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November 20,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00"/>
        <w:spacing w:after="0"/>
        <w:rPr>
          <w:sz w:val="20"/>
          <w:szCs w:val="20"/>
          <w:color w:val="auto"/>
        </w:rPr>
      </w:pPr>
      <w:r>
        <w:rPr>
          <w:rFonts w:ascii="Arial" w:cs="Arial" w:eastAsia="Arial" w:hAnsi="Arial"/>
          <w:sz w:val="13"/>
          <w:szCs w:val="13"/>
          <w:b w:val="1"/>
          <w:bCs w:val="1"/>
          <w:color w:val="auto"/>
        </w:rPr>
        <w:t>(State or Other Jurisdiction</w:t>
      </w:r>
    </w:p>
    <w:p>
      <w:pPr>
        <w:jc w:val="center"/>
        <w:ind w:right="80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320"/>
        <w:spacing w:after="0" w:line="264" w:lineRule="auto"/>
        <w:rPr>
          <w:sz w:val="20"/>
          <w:szCs w:val="20"/>
          <w:color w:val="auto"/>
        </w:rPr>
      </w:pPr>
      <w:r>
        <w:rPr>
          <w:rFonts w:ascii="Arial" w:cs="Arial" w:eastAsia="Arial" w:hAnsi="Arial"/>
          <w:sz w:val="18"/>
          <w:szCs w:val="18"/>
          <w:color w:val="auto"/>
        </w:rPr>
        <w:t>On November 20, 2017, Marvell Technology Group Ltd. (“Marvell”) and Cavium, Inc. (“Cavium”) issued a joint press release that includes, among other things, Marvell’s preliminary results for the third quarter ended October 29, 2017. A copy of the joint press release is furnished as Exhibit 99.1 and is incorporated herein by reference.</w:t>
      </w:r>
    </w:p>
    <w:p>
      <w:pPr>
        <w:spacing w:after="0" w:line="32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On November 20, 2017, Marvell and Cavium issued a joint press release announcing, among other things, the execution of the Merger Agreement by and among Marvell, Kauai Acquisition Corp., a Delaware corporation and an indirect wholly owned subsidiary of Marvell (“Merger Sub”), and Cavium (the “Merger Agreement”). Pursuant to the Merger Agreement, Merger Sub will be merged with and into Cavium, with Cavium continuing as an indirect wholly owned subsidiary of Marvell.</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A copy of the joint press release is furnished as Exhibit 99.1.</w:t>
      </w:r>
    </w:p>
    <w:p>
      <w:pPr>
        <w:spacing w:after="0" w:line="225" w:lineRule="exact"/>
        <w:rPr>
          <w:sz w:val="20"/>
          <w:szCs w:val="20"/>
          <w:color w:val="auto"/>
        </w:rPr>
      </w:pPr>
    </w:p>
    <w:p>
      <w:pPr>
        <w:ind w:right="80"/>
        <w:spacing w:after="0" w:line="312" w:lineRule="auto"/>
        <w:rPr>
          <w:sz w:val="20"/>
          <w:szCs w:val="20"/>
          <w:color w:val="auto"/>
        </w:rPr>
      </w:pPr>
      <w:r>
        <w:rPr>
          <w:rFonts w:ascii="Arial" w:cs="Arial" w:eastAsia="Arial" w:hAnsi="Arial"/>
          <w:sz w:val="16"/>
          <w:szCs w:val="16"/>
          <w:color w:val="auto"/>
        </w:rPr>
        <w:t>The information in Items 2.02 and 7.01 (including the exhibit) shall not be deemed to be “filed” for purposes of Section 18 of the Securities Exchange Act of 1934, as amended (the “Exchange Act”), or otherwise subject to the liabilities of that section, and is not incorporated by reference into any filing under the Securities Act of 1933, as amended (the “Securities Act”), or the Exchange Act, except as shall be expressly set forth by a specific reference in such filing.</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w:t>
      </w:r>
    </w:p>
    <w:p>
      <w:pPr>
        <w:spacing w:after="0" w:line="5" w:lineRule="exact"/>
        <w:rPr>
          <w:sz w:val="20"/>
          <w:szCs w:val="20"/>
          <w:color w:val="auto"/>
        </w:rPr>
      </w:pPr>
    </w:p>
    <w:p>
      <w:pPr>
        <w:ind w:right="160" w:firstLine="8"/>
        <w:spacing w:after="0" w:line="281" w:lineRule="auto"/>
        <w:tabs>
          <w:tab w:leader="none" w:pos="305"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w:t>
      </w:r>
    </w:p>
    <w:p>
      <w:pPr>
        <w:spacing w:after="0" w:line="2" w:lineRule="exact"/>
        <w:rPr>
          <w:rFonts w:ascii="Arial" w:cs="Arial" w:eastAsia="Arial" w:hAnsi="Arial"/>
          <w:sz w:val="16"/>
          <w:szCs w:val="16"/>
          <w:color w:val="auto"/>
        </w:rPr>
      </w:pPr>
    </w:p>
    <w:p>
      <w:pPr>
        <w:ind w:right="20" w:firstLine="8"/>
        <w:spacing w:after="0" w:line="251" w:lineRule="auto"/>
        <w:tabs>
          <w:tab w:leader="none" w:pos="3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U.S. Securities and Exchange Commission (the “SEC”). These filings identify and address other important risks and uncertainties that could cause</w:t>
      </w:r>
    </w:p>
    <w:p>
      <w:pPr>
        <w:sectPr>
          <w:pgSz w:w="11900" w:h="16838" w:orient="portrait"/>
          <w:cols w:equalWidth="0" w:num="1">
            <w:col w:w="11400"/>
          </w:cols>
          <w:pgMar w:left="240" w:top="270" w:right="259" w:bottom="1440" w:gutter="0" w:footer="0" w:header="0"/>
        </w:sectPr>
      </w:pPr>
    </w:p>
    <w:bookmarkStart w:id="2" w:name="page3"/>
    <w:bookmarkEnd w:id="2"/>
    <w:p>
      <w:pPr>
        <w:ind w:right="1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2" w:lineRule="exact"/>
        <w:rPr>
          <w:sz w:val="20"/>
          <w:szCs w:val="20"/>
          <w:color w:val="auto"/>
        </w:rPr>
      </w:pPr>
    </w:p>
    <w:p>
      <w:pPr>
        <w:ind w:right="540"/>
        <w:spacing w:after="0" w:line="308" w:lineRule="auto"/>
        <w:rPr>
          <w:sz w:val="20"/>
          <w:szCs w:val="20"/>
          <w:color w:val="auto"/>
        </w:rPr>
      </w:pPr>
      <w:r>
        <w:rPr>
          <w:rFonts w:ascii="Arial" w:cs="Arial" w:eastAsia="Arial" w:hAnsi="Arial"/>
          <w:sz w:val="17"/>
          <w:szCs w:val="17"/>
          <w:color w:val="auto"/>
        </w:rPr>
        <w:t xml:space="preserve">Investors and security holders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w:t>
      </w:r>
    </w:p>
    <w:p>
      <w:pPr>
        <w:spacing w:after="0" w:line="1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http://investor.marvell.com/ or upon written request to Marvell at 5488 Marvell Lane, Santa Clara, CA 95054.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documents filed by Cavium with the SEC also may be obtained free of charge at Cavium’s website at http://investor.caviumnetworks.com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http://mercurykauai.transactionannouncement.com</w:t>
      </w:r>
      <w:r>
        <w:rPr>
          <w:rFonts w:ascii="Arial" w:cs="Arial" w:eastAsia="Arial" w:hAnsi="Arial"/>
          <w:sz w:val="18"/>
          <w:szCs w:val="18"/>
          <w:color w:val="auto"/>
        </w:rPr>
        <w: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32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460" w:hanging="452"/>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Exhibits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440" w:type="dxa"/>
            <w:vAlign w:val="bottom"/>
          </w:tcPr>
          <w:p>
            <w:pPr>
              <w:ind w:left="20"/>
              <w:spacing w:after="0"/>
              <w:rPr>
                <w:sz w:val="20"/>
                <w:szCs w:val="20"/>
                <w:color w:val="auto"/>
              </w:rPr>
            </w:pPr>
            <w:r>
              <w:rPr>
                <w:rFonts w:ascii="Arial" w:cs="Arial" w:eastAsia="Arial" w:hAnsi="Arial"/>
                <w:sz w:val="14"/>
                <w:szCs w:val="14"/>
                <w:color w:val="auto"/>
                <w:w w:val="95"/>
              </w:rPr>
              <w:t>Exhibit</w:t>
            </w:r>
          </w:p>
        </w:tc>
        <w:tc>
          <w:tcPr>
            <w:tcW w:w="560" w:type="dxa"/>
            <w:vAlign w:val="bottom"/>
          </w:tcPr>
          <w:p>
            <w:pPr>
              <w:spacing w:after="0"/>
              <w:rPr>
                <w:sz w:val="14"/>
                <w:szCs w:val="14"/>
                <w:color w:val="auto"/>
              </w:rPr>
            </w:pPr>
          </w:p>
        </w:tc>
        <w:tc>
          <w:tcPr>
            <w:tcW w:w="4860" w:type="dxa"/>
            <w:vAlign w:val="bottom"/>
          </w:tcPr>
          <w:p>
            <w:pPr>
              <w:spacing w:after="0"/>
              <w:rPr>
                <w:sz w:val="14"/>
                <w:szCs w:val="14"/>
                <w:color w:val="auto"/>
              </w:rPr>
            </w:pPr>
          </w:p>
        </w:tc>
        <w:tc>
          <w:tcPr>
            <w:tcW w:w="2620" w:type="dxa"/>
            <w:vAlign w:val="bottom"/>
            <w:gridSpan w:val="2"/>
          </w:tcPr>
          <w:p>
            <w:pPr>
              <w:ind w:left="20"/>
              <w:spacing w:after="0"/>
              <w:rPr>
                <w:sz w:val="20"/>
                <w:szCs w:val="20"/>
                <w:color w:val="auto"/>
              </w:rPr>
            </w:pPr>
            <w:r>
              <w:rPr>
                <w:rFonts w:ascii="Arial" w:cs="Arial" w:eastAsia="Arial" w:hAnsi="Arial"/>
                <w:sz w:val="14"/>
                <w:szCs w:val="14"/>
                <w:color w:val="auto"/>
              </w:rPr>
              <w:t>Description</w:t>
            </w:r>
          </w:p>
        </w:tc>
      </w:tr>
      <w:tr>
        <w:trPr>
          <w:trHeight w:val="20"/>
        </w:trPr>
        <w:tc>
          <w:tcPr>
            <w:tcW w:w="44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r>
      <w:tr>
        <w:trPr>
          <w:trHeight w:val="277"/>
        </w:trPr>
        <w:tc>
          <w:tcPr>
            <w:tcW w:w="440" w:type="dxa"/>
            <w:vAlign w:val="bottom"/>
          </w:tcPr>
          <w:p>
            <w:pPr>
              <w:spacing w:after="0"/>
              <w:rPr>
                <w:sz w:val="20"/>
                <w:szCs w:val="20"/>
                <w:color w:val="auto"/>
              </w:rPr>
            </w:pPr>
            <w:r>
              <w:rPr>
                <w:rFonts w:ascii="Arial" w:cs="Arial" w:eastAsia="Arial" w:hAnsi="Arial"/>
                <w:sz w:val="18"/>
                <w:szCs w:val="18"/>
                <w:color w:val="auto"/>
              </w:rPr>
              <w:t>99.1</w:t>
            </w:r>
          </w:p>
        </w:tc>
        <w:tc>
          <w:tcPr>
            <w:tcW w:w="560" w:type="dxa"/>
            <w:vAlign w:val="bottom"/>
          </w:tcPr>
          <w:p>
            <w:pPr>
              <w:spacing w:after="0"/>
              <w:rPr>
                <w:sz w:val="24"/>
                <w:szCs w:val="24"/>
                <w:color w:val="auto"/>
              </w:rPr>
            </w:pPr>
          </w:p>
        </w:tc>
        <w:tc>
          <w:tcPr>
            <w:tcW w:w="7480" w:type="dxa"/>
            <w:vAlign w:val="bottom"/>
            <w:tcBorders>
              <w:bottom w:val="single" w:sz="8" w:color="0000EE"/>
            </w:tcBorders>
            <w:gridSpan w:val="3"/>
          </w:tcPr>
          <w:p>
            <w:pPr>
              <w:spacing w:after="0"/>
              <w:rPr>
                <w:rFonts w:ascii="Arial" w:cs="Arial" w:eastAsia="Arial" w:hAnsi="Arial"/>
                <w:sz w:val="18"/>
                <w:szCs w:val="18"/>
                <w:color w:val="0000EE"/>
                <w:w w:val="90"/>
              </w:rPr>
            </w:pPr>
            <w:hyperlink w:anchor="page5">
              <w:r>
                <w:rPr>
                  <w:rFonts w:ascii="Arial" w:cs="Arial" w:eastAsia="Arial" w:hAnsi="Arial"/>
                  <w:sz w:val="18"/>
                  <w:szCs w:val="18"/>
                  <w:color w:val="0000EE"/>
                  <w:w w:val="90"/>
                </w:rPr>
                <w:t>Joint Press Release issued by Marvell Technology Group Ltd. and Cavium, Inc. on November 20, 2017.</w:t>
              </w:r>
            </w:hyperlink>
          </w:p>
        </w:tc>
      </w:tr>
    </w:tbl>
    <w:p>
      <w:pPr>
        <w:sectPr>
          <w:pgSz w:w="11900" w:h="16838" w:orient="portrait"/>
          <w:cols w:equalWidth="0" w:num="1">
            <w:col w:w="11420"/>
          </w:cols>
          <w:pgMar w:left="240" w:top="274" w:right="239" w:bottom="1440" w:gutter="0" w:footer="0" w:header="0"/>
        </w:sectPr>
      </w:pPr>
    </w:p>
    <w:bookmarkStart w:id="3" w:name="page4"/>
    <w:bookmarkEnd w:id="3"/>
    <w:p>
      <w:pPr>
        <w:jc w:val="center"/>
        <w:ind w:right="-6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97"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(Registrant)</w:t>
      </w:r>
    </w:p>
    <w:p>
      <w:pPr>
        <w:spacing w:after="0" w:line="224"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November 20, 2017</w:t>
      </w:r>
      <w:r>
        <w:rPr>
          <w:sz w:val="20"/>
          <w:szCs w:val="20"/>
          <w:color w:val="auto"/>
        </w:rPr>
        <w:tab/>
      </w:r>
      <w:r>
        <w:rPr>
          <w:rFonts w:ascii="Arial" w:cs="Arial" w:eastAsia="Arial" w:hAnsi="Arial"/>
          <w:sz w:val="17"/>
          <w:szCs w:val="17"/>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i w:val="1"/>
          <w:iCs w:val="1"/>
          <w:color w:val="auto"/>
        </w:rPr>
        <w:t>Chief Administration and Legal Officer</w:t>
      </w:r>
    </w:p>
    <w:p>
      <w:pPr>
        <w:sectPr>
          <w:pgSz w:w="11900" w:h="16838" w:orient="portrait"/>
          <w:cols w:equalWidth="0" w:num="1">
            <w:col w:w="10740"/>
          </w:cols>
          <w:pgMar w:left="240" w:top="270" w:right="91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and Cavium to Combine Creating an Infrastructure Solutions Powerhouse</w:t>
      </w:r>
    </w:p>
    <w:p>
      <w:pPr>
        <w:spacing w:after="0" w:line="225" w:lineRule="exact"/>
        <w:rPr>
          <w:sz w:val="20"/>
          <w:szCs w:val="20"/>
          <w:color w:val="auto"/>
        </w:rPr>
      </w:pPr>
    </w:p>
    <w:p>
      <w:pPr>
        <w:ind w:left="2720"/>
        <w:spacing w:after="0"/>
        <w:rPr>
          <w:sz w:val="20"/>
          <w:szCs w:val="20"/>
          <w:color w:val="auto"/>
        </w:rPr>
      </w:pPr>
      <w:r>
        <w:rPr>
          <w:rFonts w:ascii="Arial" w:cs="Arial" w:eastAsia="Arial" w:hAnsi="Arial"/>
          <w:sz w:val="18"/>
          <w:szCs w:val="18"/>
          <w:b w:val="1"/>
          <w:bCs w:val="1"/>
          <w:color w:val="auto"/>
        </w:rPr>
        <w:t>– Complementary portfolios and scale enable world-class end-to-end solutions</w:t>
      </w:r>
    </w:p>
    <w:p>
      <w:pPr>
        <w:spacing w:after="0" w:line="27" w:lineRule="exact"/>
        <w:rPr>
          <w:sz w:val="20"/>
          <w:szCs w:val="20"/>
          <w:color w:val="auto"/>
        </w:rPr>
      </w:pPr>
    </w:p>
    <w:p>
      <w:pPr>
        <w:ind w:left="2860"/>
        <w:spacing w:after="0"/>
        <w:rPr>
          <w:sz w:val="20"/>
          <w:szCs w:val="20"/>
          <w:color w:val="auto"/>
        </w:rPr>
      </w:pPr>
      <w:r>
        <w:rPr>
          <w:rFonts w:ascii="Arial" w:cs="Arial" w:eastAsia="Arial" w:hAnsi="Arial"/>
          <w:sz w:val="18"/>
          <w:szCs w:val="18"/>
          <w:b w:val="1"/>
          <w:bCs w:val="1"/>
          <w:color w:val="auto"/>
        </w:rPr>
        <w:t>– Diversifies revenue base and end markets; increases SAM to $16 billion+</w:t>
      </w:r>
    </w:p>
    <w:p>
      <w:pPr>
        <w:spacing w:after="0" w:line="9" w:lineRule="exact"/>
        <w:rPr>
          <w:sz w:val="20"/>
          <w:szCs w:val="20"/>
          <w:color w:val="auto"/>
        </w:rPr>
      </w:pPr>
    </w:p>
    <w:p>
      <w:pPr>
        <w:ind w:left="2480"/>
        <w:spacing w:after="0"/>
        <w:rPr>
          <w:sz w:val="20"/>
          <w:szCs w:val="20"/>
          <w:color w:val="auto"/>
        </w:rPr>
      </w:pPr>
      <w:r>
        <w:rPr>
          <w:rFonts w:ascii="Arial" w:cs="Arial" w:eastAsia="Arial" w:hAnsi="Arial"/>
          <w:sz w:val="18"/>
          <w:szCs w:val="18"/>
          <w:b w:val="1"/>
          <w:bCs w:val="1"/>
          <w:color w:val="auto"/>
        </w:rPr>
        <w:t>– Combined R&amp;D innovation engine and IP portfolio accelerates product leadership</w:t>
      </w:r>
    </w:p>
    <w:p>
      <w:pPr>
        <w:spacing w:after="0" w:line="9" w:lineRule="exact"/>
        <w:rPr>
          <w:sz w:val="20"/>
          <w:szCs w:val="20"/>
          <w:color w:val="auto"/>
        </w:rPr>
      </w:pPr>
    </w:p>
    <w:p>
      <w:pPr>
        <w:ind w:left="4240"/>
        <w:spacing w:after="0"/>
        <w:rPr>
          <w:sz w:val="20"/>
          <w:szCs w:val="20"/>
          <w:color w:val="auto"/>
        </w:rPr>
      </w:pPr>
      <w:r>
        <w:rPr>
          <w:rFonts w:ascii="Arial" w:cs="Arial" w:eastAsia="Arial" w:hAnsi="Arial"/>
          <w:sz w:val="18"/>
          <w:szCs w:val="18"/>
          <w:b w:val="1"/>
          <w:bCs w:val="1"/>
          <w:color w:val="auto"/>
        </w:rPr>
        <w:t>– Creates best-in-class financial model</w:t>
      </w:r>
    </w:p>
    <w:p>
      <w:pPr>
        <w:spacing w:after="0" w:line="207" w:lineRule="exact"/>
        <w:rPr>
          <w:sz w:val="20"/>
          <w:szCs w:val="20"/>
          <w:color w:val="auto"/>
        </w:rPr>
      </w:pPr>
    </w:p>
    <w:p>
      <w:pPr>
        <w:ind w:right="60"/>
        <w:spacing w:after="0" w:line="303" w:lineRule="auto"/>
        <w:rPr>
          <w:sz w:val="20"/>
          <w:szCs w:val="20"/>
          <w:color w:val="auto"/>
        </w:rPr>
      </w:pPr>
      <w:r>
        <w:rPr>
          <w:rFonts w:ascii="Arial" w:cs="Arial" w:eastAsia="Arial" w:hAnsi="Arial"/>
          <w:sz w:val="16"/>
          <w:szCs w:val="16"/>
          <w:b w:val="1"/>
          <w:bCs w:val="1"/>
          <w:color w:val="auto"/>
        </w:rPr>
        <w:t xml:space="preserve">Santa Clara, and San Jose Calif. (November 20, 2017) </w:t>
      </w:r>
      <w:r>
        <w:rPr>
          <w:rFonts w:ascii="Arial" w:cs="Arial" w:eastAsia="Arial" w:hAnsi="Arial"/>
          <w:sz w:val="16"/>
          <w:szCs w:val="16"/>
          <w:color w:val="auto"/>
        </w:rPr>
        <w:t>- Marvell Technology Group Ltd. (NASDAQ: MRVL) and Cavium, Inc. (NASDAQ: CAVM) today</w:t>
      </w:r>
      <w:r>
        <w:rPr>
          <w:rFonts w:ascii="Arial" w:cs="Arial" w:eastAsia="Arial" w:hAnsi="Arial"/>
          <w:sz w:val="16"/>
          <w:szCs w:val="16"/>
          <w:b w:val="1"/>
          <w:bCs w:val="1"/>
          <w:color w:val="auto"/>
        </w:rPr>
        <w:t xml:space="preserve"> </w:t>
      </w:r>
      <w:r>
        <w:rPr>
          <w:rFonts w:ascii="Arial" w:cs="Arial" w:eastAsia="Arial" w:hAnsi="Arial"/>
          <w:sz w:val="16"/>
          <w:szCs w:val="16"/>
          <w:color w:val="auto"/>
        </w:rPr>
        <w:t>announced a definitive agreement, unanimously approved by the boards of directors of both companies, under which Marvell will acquire all outstanding shares of Cavium common stock in exchange for consideration of $40.00 per share in cash and 2.1757 Marvell common shares for each Cavium share. Upon completion of the transaction, Marvell will become a leader in infrastructure solutions with approximately $3.4 billion</w:t>
      </w:r>
      <w:r>
        <w:rPr>
          <w:rFonts w:ascii="Arial" w:cs="Arial" w:eastAsia="Arial" w:hAnsi="Arial"/>
          <w:sz w:val="13"/>
          <w:szCs w:val="13"/>
          <w:color w:val="auto"/>
        </w:rPr>
        <w:t>1</w:t>
      </w:r>
      <w:r>
        <w:rPr>
          <w:rFonts w:ascii="Arial" w:cs="Arial" w:eastAsia="Arial" w:hAnsi="Arial"/>
          <w:sz w:val="16"/>
          <w:szCs w:val="16"/>
          <w:color w:val="auto"/>
        </w:rPr>
        <w:t xml:space="preserve"> in annual revenue.</w:t>
      </w:r>
    </w:p>
    <w:p>
      <w:pPr>
        <w:spacing w:after="0" w:line="155"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The transaction combines Marvell’s portfolio of leading HDD and SSD storage controllers, networking solutions and high-performance wireless connectivity products with Cavium’s portfolio of leading multi-core processing, networking communications, storage connectivity and security solutions. The combined product portfolios provide the scale and breadth to deliver comprehensive end-to-end solutions for customers across the cloud data center, enterprise and service provider markets, and expands Marvell’s serviceable addressable market to more than $16 billion. This transaction also creates an R&amp;D innovation engine to accelerate product development, positioning the company to meet today’s massive and growing demand for data storage, heterogeneous computing and high-speed connectivity.</w:t>
      </w:r>
    </w:p>
    <w:p>
      <w:pPr>
        <w:spacing w:after="0" w:line="193"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color w:val="auto"/>
        </w:rPr>
        <w:t>“This is an exciting combination of two very complementary companies that together equal more than the sum of their parts,” said Marvell President and Chief Executive Officer, Matt Murphy. “This combination expands and diversifies our revenue base and end markets, and enables us to deliver a broader set of differentiated solutions to our customers. Syed Ali has built an outstanding company, and I’m excited that he is joining the Board. I’m equally excited that Cavium’s Co-founder Raghib Hussain and Vice President of IC Engineering Anil Jain will also join my senior leadership team. Together, we all will be able to deliver immediate and long-term value to our customers, employees and shareholders.”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67310</wp:posOffset>
            </wp:positionV>
            <wp:extent cx="72898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6" w:lineRule="exact"/>
        <w:rPr>
          <w:sz w:val="20"/>
          <w:szCs w:val="20"/>
          <w:color w:val="auto"/>
        </w:rPr>
      </w:pPr>
    </w:p>
    <w:p>
      <w:pPr>
        <w:ind w:left="120" w:hanging="112"/>
        <w:spacing w:after="0"/>
        <w:tabs>
          <w:tab w:leader="none" w:pos="120" w:val="left"/>
        </w:tabs>
        <w:numPr>
          <w:ilvl w:val="0"/>
          <w:numId w:val="6"/>
        </w:numPr>
        <w:rPr>
          <w:rFonts w:ascii="Arial" w:cs="Arial" w:eastAsia="Arial" w:hAnsi="Arial"/>
          <w:sz w:val="15"/>
          <w:szCs w:val="15"/>
          <w:color w:val="auto"/>
        </w:rPr>
      </w:pPr>
      <w:r>
        <w:rPr>
          <w:rFonts w:ascii="Arial" w:cs="Arial" w:eastAsia="Arial" w:hAnsi="Arial"/>
          <w:sz w:val="18"/>
          <w:szCs w:val="18"/>
          <w:color w:val="auto"/>
        </w:rPr>
        <w:t>Based on last quarter annualized revenues as of 7/29/2017 for Marvell and 9/30/2017 for Cavium.</w:t>
      </w:r>
    </w:p>
    <w:p>
      <w:pPr>
        <w:sectPr>
          <w:pgSz w:w="11900" w:h="16838" w:orient="portrait"/>
          <w:cols w:equalWidth="0" w:num="1">
            <w:col w:w="11420"/>
          </w:cols>
          <w:pgMar w:left="240" w:top="121" w:right="239" w:bottom="1440" w:gutter="0" w:footer="0" w:header="0"/>
        </w:sectPr>
      </w:pPr>
    </w:p>
    <w:bookmarkStart w:id="5" w:name="page6"/>
    <w:bookmarkEnd w:id="5"/>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“Individually, our businesses are exceptionally strong, but together, we will be one of the few companies in the world capable of delivering such a comprehensive set of end-to-end solutions to our combined customer base,” said Cavium Co-founder and Chief Executive Officer, Syed Ali. “Our potential is huge. We look forward to working closely with the Marvell team to ensure a smooth transition and to start unlocking the significant opportunities that our combination creates.”</w:t>
      </w:r>
    </w:p>
    <w:p>
      <w:pPr>
        <w:spacing w:after="0" w:line="18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transaction is expected to generate at least $150 to $175 million of annual run-rate synergies within 18 months post close and to be significantly accretive to revenue growth, margins and non-GAAP EPS.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Structure and Terms</w:t>
      </w:r>
    </w:p>
    <w:p>
      <w:pPr>
        <w:spacing w:after="0" w:line="121"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Under the terms of the definitive agreement, Marvell will pay Cavium shareholders $40.00 in cash and 2.1757 Marvell common shares for each share of Cavium common stock. The exchange ratio was based on a purchase price of $80 per share, using Marvell’s undisturbed price prior to November 3, when media reports of the transaction first surfaced. This represents a transaction value of approximately $6 billion. Cavium shareholders are expected to own approximately 25% of the combined company on a pro forma basis.</w:t>
      </w:r>
    </w:p>
    <w:p>
      <w:pPr>
        <w:spacing w:after="0" w:line="187"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Marvell intends to fund the cash consideration with a combination of cash on hand from the combined companies and $1.75 billion in debt financing. Marvell has obtained commitments consisting of an $850 million bridge loan commitment and a $900 million committed term loan from Goldman Sachs Bank USA and Bank of America Merrill Lynch, in each case, subject to customary terms and conditions. The transaction is not subject to any financing condition.</w:t>
      </w:r>
    </w:p>
    <w:p>
      <w:pPr>
        <w:spacing w:after="0" w:line="147" w:lineRule="exact"/>
        <w:rPr>
          <w:sz w:val="20"/>
          <w:szCs w:val="20"/>
          <w:color w:val="auto"/>
        </w:rPr>
      </w:pPr>
    </w:p>
    <w:p>
      <w:pPr>
        <w:jc w:val="both"/>
        <w:ind w:right="560"/>
        <w:spacing w:after="0" w:line="264" w:lineRule="auto"/>
        <w:rPr>
          <w:sz w:val="20"/>
          <w:szCs w:val="20"/>
          <w:color w:val="auto"/>
        </w:rPr>
      </w:pPr>
      <w:r>
        <w:rPr>
          <w:rFonts w:ascii="Arial" w:cs="Arial" w:eastAsia="Arial" w:hAnsi="Arial"/>
          <w:sz w:val="18"/>
          <w:szCs w:val="18"/>
          <w:color w:val="auto"/>
        </w:rPr>
        <w:t>The transaction is expected to close in mid-calendar 2018, subject to regulatory approval as well as other customary closing conditions, including the adoption by Cavium shareholders of the merger agreement and the approval by Marvell shareholders of the issuance of Marvell common shares in the transaction.</w:t>
      </w:r>
    </w:p>
    <w:p>
      <w:pPr>
        <w:sectPr>
          <w:pgSz w:w="11900" w:h="16838" w:orient="portrait"/>
          <w:cols w:equalWidth="0" w:num="1">
            <w:col w:w="11380"/>
          </w:cols>
          <w:pgMar w:left="240" w:top="274" w:right="27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Management and Board of Directors</w:t>
      </w:r>
    </w:p>
    <w:p>
      <w:pPr>
        <w:spacing w:after="0" w:line="121"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color w:val="auto"/>
        </w:rPr>
        <w:t>Matt Murphy will lead the combined company, and the leadership team will have strong representation from both companies, including Marvell’s current Chief Financial Officer Jean Hu, Cavium’s Co-founder and Chief Operating Officer Raghib Hussain and Cavium’s Vice President of IC Engineering Anil Jain. In addition, Cavium’s Co-founder and Chief Executive Officer, Syed Ali, will continue with the combined company as a strategic advisor and will join Marvell’s Board of Directors, along with two additional board members from Cavium’s Board of Directors, effective upon closing of the transaction.</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Advisors</w:t>
      </w:r>
    </w:p>
    <w:p>
      <w:pPr>
        <w:spacing w:after="0" w:line="121" w:lineRule="exact"/>
        <w:rPr>
          <w:sz w:val="20"/>
          <w:szCs w:val="20"/>
          <w:color w:val="auto"/>
        </w:rPr>
      </w:pPr>
    </w:p>
    <w:p>
      <w:pPr>
        <w:spacing w:after="0" w:line="308" w:lineRule="auto"/>
        <w:rPr>
          <w:sz w:val="20"/>
          <w:szCs w:val="20"/>
          <w:color w:val="auto"/>
        </w:rPr>
      </w:pPr>
      <w:r>
        <w:rPr>
          <w:rFonts w:ascii="Arial" w:cs="Arial" w:eastAsia="Arial" w:hAnsi="Arial"/>
          <w:sz w:val="17"/>
          <w:szCs w:val="17"/>
          <w:color w:val="auto"/>
        </w:rPr>
        <w:t>Goldman Sachs &amp; Co. LLC served as the exclusive financial advisor to Marvell and Hogan Lovells US LLP served as legal advisor. Qatalyst Partners LP and J.P. Morgan Securities LLC served as financial advisors to Cavium and Skadden, Arps, Slate, Meagher &amp; Flom LLP served as legal advisor.</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Preliminary Third Fiscal Quarter Results</w:t>
      </w:r>
    </w:p>
    <w:p>
      <w:pPr>
        <w:spacing w:after="0" w:line="121" w:lineRule="exact"/>
        <w:rPr>
          <w:sz w:val="20"/>
          <w:szCs w:val="20"/>
          <w:color w:val="auto"/>
        </w:rPr>
      </w:pPr>
    </w:p>
    <w:p>
      <w:pPr>
        <w:ind w:right="300"/>
        <w:spacing w:after="0" w:line="264" w:lineRule="auto"/>
        <w:rPr>
          <w:sz w:val="20"/>
          <w:szCs w:val="20"/>
          <w:color w:val="auto"/>
        </w:rPr>
      </w:pPr>
      <w:r>
        <w:rPr>
          <w:rFonts w:ascii="Arial" w:cs="Arial" w:eastAsia="Arial" w:hAnsi="Arial"/>
          <w:sz w:val="18"/>
          <w:szCs w:val="18"/>
          <w:color w:val="auto"/>
        </w:rPr>
        <w:t>Based on preliminary financial information, Marvell expects revenue of $610 to $620 million and non-GAAP earnings per share to be between $0.32 and $0.34, above the mid-point of guidance provided on August 24, 2017. Further information regarding third fiscal quarter results will be released on November 28, 2017 at 1:45 p.m. Pacific Time.</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Website</w:t>
      </w:r>
    </w:p>
    <w:p>
      <w:pPr>
        <w:spacing w:after="0" w:line="121"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 which will be used by Marvell and Cavium to disclose information about the transaction and comply with Regulation FD.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121"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Interested parties may join a conference call Monday, November 20, 2017 at 5:00 a.m. Pacific Time to discuss the transaction by dialing 1 (866) 547-1509 in the U.S. or +1 (920) 663-6208 internationally, with the conference ID 6386325. A webcast of the call can be accessed by visiting Marvell’s investor relations website. A replay will be available until December 4, 2017 by dialing 1 (800) 585-8367, replay ID 6386325.</w:t>
      </w:r>
    </w:p>
    <w:p>
      <w:pPr>
        <w:sectPr>
          <w:pgSz w:w="11900" w:h="16838" w:orient="portrait"/>
          <w:cols w:equalWidth="0" w:num="1">
            <w:col w:w="11360"/>
          </w:cols>
          <w:pgMar w:left="240" w:top="270" w:right="29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Cavium</w:t>
      </w:r>
    </w:p>
    <w:p>
      <w:pPr>
        <w:spacing w:after="0" w:line="121"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 xml:space="preserve">Cavium, Inc., offers a broad portfolio of infrastructure solutions for compute, security, storage, switching, connectivity and baseband processing. Cavium’s highly integrated multi-core SoC products deliver software compatible solutions across low to high performance points enabling secure and intelligent functionality in Enterprise, Data Center and Service Provider Equipment. Cavium processors and solutions are supported by an extensive ecosystem of operating systems, tools, application stacks, hardware-reference designs and other products. Cavium is headquartered in San Jose, CA with design centers in California, Massachusetts, India, Israel, China and Taiwan. For more information, please visit: </w:t>
      </w:r>
      <w:r>
        <w:rPr>
          <w:rFonts w:ascii="Arial" w:cs="Arial" w:eastAsia="Arial" w:hAnsi="Arial"/>
          <w:sz w:val="17"/>
          <w:szCs w:val="17"/>
          <w:u w:val="single" w:color="auto"/>
          <w:color w:val="auto"/>
        </w:rPr>
        <w:t>http://www.cavium.com</w:t>
      </w:r>
      <w:r>
        <w:rPr>
          <w:rFonts w:ascii="Arial" w:cs="Arial" w:eastAsia="Arial" w:hAnsi="Arial"/>
          <w:sz w:val="17"/>
          <w:szCs w:val="17"/>
          <w:color w:val="auto"/>
        </w:rPr>
        <w:t>.</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ectPr>
          <w:pgSz w:w="11900" w:h="16838" w:orient="portrait"/>
          <w:cols w:equalWidth="0" w:num="1">
            <w:col w:w="11360"/>
          </w:cols>
          <w:pgMar w:left="240" w:top="270" w:right="299" w:bottom="1440" w:gutter="0" w:footer="0" w:header="0"/>
        </w:sectPr>
      </w:pPr>
    </w:p>
    <w:bookmarkStart w:id="8" w:name="page9"/>
    <w:bookmarkEnd w:id="8"/>
    <w:p>
      <w:pPr>
        <w:ind w:right="50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47"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at 5488 Marvell Lane, Santa Clara, CA 95054.</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The documents filed by Cavium with the SEC also may be obtained free of charge at Cavium’s website at www.cavium.com or upon written request to 2315 North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w:t>
      </w:r>
    </w:p>
    <w:p>
      <w:pPr>
        <w:spacing w:after="0" w:line="225"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w:t>
      </w:r>
    </w:p>
    <w:p>
      <w:pPr>
        <w:sectPr>
          <w:pgSz w:w="11900" w:h="16838" w:orient="portrait"/>
          <w:cols w:equalWidth="0" w:num="1">
            <w:col w:w="11380"/>
          </w:cols>
          <w:pgMar w:left="240" w:top="274" w:right="279" w:bottom="1440" w:gutter="0" w:footer="0" w:header="0"/>
        </w:sectPr>
      </w:pPr>
    </w:p>
    <w:bookmarkStart w:id="9" w:name="page10"/>
    <w:bookmarkEnd w:id="9"/>
    <w:p>
      <w:pPr>
        <w:spacing w:after="0" w:line="267"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 (iv) 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 (vii) 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186" w:lineRule="exact"/>
        <w:rPr>
          <w:sz w:val="20"/>
          <w:szCs w:val="20"/>
          <w:color w:val="auto"/>
        </w:rPr>
      </w:pPr>
    </w:p>
    <w:p>
      <w:pPr>
        <w:ind w:left="2560"/>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jc w:val="right"/>
        <w:ind w:right="10220" w:firstLine="8"/>
        <w:spacing w:after="0" w:line="323" w:lineRule="auto"/>
        <w:tabs>
          <w:tab w:leader="none" w:pos="435" w:val="left"/>
        </w:tabs>
        <w:numPr>
          <w:ilvl w:val="0"/>
          <w:numId w:val="7"/>
        </w:numPr>
        <w:rPr>
          <w:rFonts w:ascii="Arial" w:cs="Arial" w:eastAsia="Arial" w:hAnsi="Arial"/>
          <w:sz w:val="16"/>
          <w:szCs w:val="16"/>
          <w:color w:val="auto"/>
        </w:rPr>
      </w:pPr>
      <w:r>
        <w:rPr>
          <w:rFonts w:ascii="Arial" w:cs="Arial" w:eastAsia="Arial" w:hAnsi="Arial"/>
          <w:sz w:val="16"/>
          <w:szCs w:val="16"/>
          <w:color w:val="auto"/>
        </w:rPr>
        <w:t xml:space="preserve">222-0777 </w:t>
      </w:r>
      <w:r>
        <w:rPr>
          <w:rFonts w:ascii="Arial" w:cs="Arial" w:eastAsia="Arial" w:hAnsi="Arial"/>
          <w:sz w:val="16"/>
          <w:szCs w:val="16"/>
          <w:u w:val="single" w:color="auto"/>
          <w:color w:val="auto"/>
        </w:rPr>
        <w:t>ir@marvell.com</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lowerRoman"/>
      <w:start w:val="4"/>
    </w:lvl>
  </w:abstractNum>
  <w:abstractNum w:abstractNumId="2">
    <w:nsid w:val="46E87CCD"/>
    <w:multiLevelType w:val="hybridMultilevel"/>
    <w:lvl w:ilvl="0">
      <w:lvlJc w:val="left"/>
      <w:lvlText w:val="(%1)"/>
      <w:numFmt w:val="lowerRoman"/>
      <w:start w:val="7"/>
    </w:lvl>
  </w:abstractNum>
  <w:abstractNum w:abstractNumId="3">
    <w:nsid w:val="3D1B58BA"/>
    <w:multiLevelType w:val="hybridMultilevel"/>
    <w:lvl w:ilvl="0">
      <w:lvlJc w:val="left"/>
      <w:lvlText w:val="(%1)"/>
      <w:numFmt w:val="lowerLetter"/>
      <w:start w:val="4"/>
    </w:lvl>
  </w:abstractNum>
  <w:abstractNum w:abstractNumId="4">
    <w:nsid w:val="507ED7AB"/>
    <w:multiLevelType w:val="hybridMultilevel"/>
    <w:lvl w:ilvl="0">
      <w:lvlJc w:val="left"/>
      <w:lvlText w:val="\endash "/>
      <w:numFmt w:val="bullet"/>
      <w:start w:val="1"/>
    </w:lvl>
    <w:lvl w:ilvl="1">
      <w:lvlJc w:val="left"/>
      <w:lvlText w:val="\endash "/>
      <w:numFmt w:val="bullet"/>
      <w:start w:val="1"/>
    </w:lvl>
    <w:lvl w:ilvl="2">
      <w:lvlJc w:val="left"/>
      <w:lvlText w:val="\endash "/>
      <w:numFmt w:val="bullet"/>
      <w:start w:val="1"/>
    </w:lvl>
    <w:lvl w:ilvl="3">
      <w:lvlJc w:val="left"/>
      <w:lvlText w:val="\endash "/>
      <w:numFmt w:val="bullet"/>
      <w:start w:val="1"/>
    </w:lvl>
  </w:abstractNum>
  <w:abstractNum w:abstractNumId="5">
    <w:nsid w:val="2EB141F2"/>
    <w:multiLevelType w:val="hybridMultilevel"/>
    <w:lvl w:ilvl="0">
      <w:lvlJc w:val="left"/>
      <w:lvlText w:val="1"/>
      <w:numFmt w:val="bullet"/>
      <w:start w:val="1"/>
    </w:lvl>
  </w:abstractNum>
  <w:abstractNum w:abstractNumId="6">
    <w:nsid w:val="41B71EFB"/>
    <w:multiLevelType w:val="hybridMultilevel"/>
    <w:lvl w:ilvl="0">
      <w:lvlJc w:val="left"/>
      <w:lvlText w:val="(%1)"/>
      <w:numFmt w:val="decimal"/>
      <w:start w:val="40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2019-12-29T02:44:15Z</dcterms:created>
  <dcterms:modified xsi:type="dcterms:W3CDTF">2019-12-29T02:44:15Z</dcterms:modified>
</cp:coreProperties>
</file>