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Report: August 24, 2017</w:t>
      </w:r>
    </w:p>
    <w:p>
      <w:pPr>
        <w:spacing w:after="0" w:line="5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right"/>
              <w:ind w:right="1675"/>
              <w:spacing w:after="0"/>
              <w:rPr>
                <w:sz w:val="20"/>
                <w:szCs w:val="20"/>
                <w:color w:val="auto"/>
              </w:rPr>
            </w:pPr>
            <w:r>
              <w:rPr>
                <w:rFonts w:ascii="Arial" w:cs="Arial" w:eastAsia="Arial" w:hAnsi="Arial"/>
                <w:sz w:val="18"/>
                <w:szCs w:val="18"/>
                <w:b w:val="1"/>
                <w:bCs w:val="1"/>
                <w:color w:val="auto"/>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r>
        <w:trPr>
          <w:trHeight w:val="255"/>
        </w:trPr>
        <w:tc>
          <w:tcPr>
            <w:tcW w:w="2340" w:type="dxa"/>
            <w:vAlign w:val="bottom"/>
          </w:tcPr>
          <w:p>
            <w:pPr>
              <w:spacing w:after="0"/>
              <w:rPr>
                <w:sz w:val="22"/>
                <w:szCs w:val="22"/>
                <w:color w:val="auto"/>
              </w:rPr>
            </w:pPr>
          </w:p>
        </w:tc>
        <w:tc>
          <w:tcPr>
            <w:tcW w:w="4680" w:type="dxa"/>
            <w:vAlign w:val="bottom"/>
          </w:tcPr>
          <w:p>
            <w:pPr>
              <w:jc w:val="right"/>
              <w:ind w:right="1115"/>
              <w:spacing w:after="0"/>
              <w:rPr>
                <w:sz w:val="20"/>
                <w:szCs w:val="20"/>
                <w:color w:val="auto"/>
              </w:rPr>
            </w:pPr>
            <w:r>
              <w:rPr>
                <w:rFonts w:ascii="Arial" w:cs="Arial" w:eastAsia="Arial" w:hAnsi="Arial"/>
                <w:sz w:val="18"/>
                <w:szCs w:val="18"/>
                <w:color w:val="auto"/>
              </w:rPr>
              <w:t>_________________________</w:t>
            </w:r>
          </w:p>
        </w:tc>
        <w:tc>
          <w:tcPr>
            <w:tcW w:w="2580" w:type="dxa"/>
            <w:vAlign w:val="bottom"/>
          </w:tcPr>
          <w:p>
            <w:pPr>
              <w:spacing w:after="0"/>
              <w:rPr>
                <w:sz w:val="22"/>
                <w:szCs w:val="22"/>
                <w:color w:val="auto"/>
              </w:rPr>
            </w:pPr>
          </w:p>
        </w:tc>
      </w:tr>
    </w:tbl>
    <w:p>
      <w:pPr>
        <w:spacing w:after="0" w:line="188" w:lineRule="exact"/>
        <w:rPr>
          <w:sz w:val="24"/>
          <w:szCs w:val="24"/>
          <w:color w:val="auto"/>
        </w:rPr>
      </w:pPr>
    </w:p>
    <w:p>
      <w:pPr>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ectPr>
          <w:pgSz w:w="11900" w:h="16838" w:orient="portrait"/>
          <w:cols w:equalWidth="0" w:num="1">
            <w:col w:w="11300"/>
          </w:cols>
          <w:pgMar w:left="240" w:top="702" w:right="359" w:bottom="1440" w:gutter="0" w:footer="0" w:header="0"/>
        </w:sectPr>
      </w:pPr>
    </w:p>
    <w:bookmarkStart w:id="1" w:name="page2"/>
    <w:bookmarkEnd w:id="1"/>
    <w:p>
      <w:pPr>
        <w:ind w:left="500" w:hanging="357"/>
        <w:spacing w:after="0"/>
        <w:tabs>
          <w:tab w:leader="none" w:pos="5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0"/>
          <w:szCs w:val="20"/>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530" w:right="29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80" w:firstLine="648"/>
        <w:spacing w:after="0" w:line="308" w:lineRule="auto"/>
        <w:rPr>
          <w:sz w:val="20"/>
          <w:szCs w:val="20"/>
          <w:color w:val="auto"/>
        </w:rPr>
      </w:pPr>
      <w:r>
        <w:rPr>
          <w:rFonts w:ascii="Arial" w:cs="Arial" w:eastAsia="Arial" w:hAnsi="Arial"/>
          <w:sz w:val="17"/>
          <w:szCs w:val="17"/>
          <w:color w:val="auto"/>
        </w:rPr>
        <w:t>On August 24, 2017, Marvell Technology Group Ltd. (“Marvell”) issued a press release reporting its financial results for the second quarter of fiscal 2018 ended July 29, 2017. A copy of the press release is furnished herewith as Exhibit 99.1 and is incorporated by reference herein.</w:t>
      </w:r>
    </w:p>
    <w:p>
      <w:pPr>
        <w:spacing w:after="0" w:line="255"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Marvell will conduct a conference call on Thursday, August 24, 2017 at 1:45 p.m. Pacific Time to discuss results for the second quarter of fiscal 2018. Interested parties may join the conference call by dialing 1-844-647-5488 or 1-615-247-0258, pass-code 57564938. The call will be webcast by Thomson Reuters and can be accessed at the Marvell Investor Relations website at http://investor.marvell.com/ with a replay available following the call until September 1, 2017.</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360" w:hanging="647"/>
        <w:spacing w:after="0" w:line="277"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Press Release dated August 24, 2017, titled “Marvell Technology Group Ltd. Reports Second Quarter of Fiscal 2018 Financial Results”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580" w:right="23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August 24, 2017</w:t>
      </w:r>
    </w:p>
    <w:p>
      <w:pPr>
        <w:spacing w:after="0" w:line="225"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color w:val="auto"/>
        </w:rPr>
        <w:t>/s/ Jean Hu</w:t>
      </w:r>
    </w:p>
    <w:p>
      <w:pPr>
        <w:spacing w:after="0" w:line="2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2640330</wp:posOffset>
            </wp:positionH>
            <wp:positionV relativeFrom="paragraph">
              <wp:posOffset>-19050</wp:posOffset>
            </wp:positionV>
            <wp:extent cx="5715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571500" cy="8890"/>
                    </a:xfrm>
                    <a:prstGeom prst="rect">
                      <a:avLst/>
                    </a:prstGeom>
                    <a:noFill/>
                  </pic:spPr>
                </pic:pic>
              </a:graphicData>
            </a:graphic>
          </wp:anchor>
        </w:drawing>
      </w:r>
    </w:p>
    <w:p>
      <w:pPr>
        <w:ind w:left="4220"/>
        <w:spacing w:after="0"/>
        <w:rPr>
          <w:sz w:val="20"/>
          <w:szCs w:val="20"/>
          <w:color w:val="auto"/>
        </w:rPr>
      </w:pPr>
      <w:r>
        <w:rPr>
          <w:rFonts w:ascii="Arial" w:cs="Arial" w:eastAsia="Arial" w:hAnsi="Arial"/>
          <w:sz w:val="18"/>
          <w:szCs w:val="18"/>
          <w:color w:val="auto"/>
        </w:rPr>
        <w:t>Jean Hu</w:t>
      </w:r>
    </w:p>
    <w:p>
      <w:pPr>
        <w:spacing w:after="0" w:line="9" w:lineRule="exact"/>
        <w:rPr>
          <w:sz w:val="20"/>
          <w:szCs w:val="20"/>
          <w:color w:val="auto"/>
        </w:rPr>
      </w:pPr>
    </w:p>
    <w:p>
      <w:pPr>
        <w:ind w:left="4220"/>
        <w:spacing w:after="0"/>
        <w:rPr>
          <w:sz w:val="20"/>
          <w:szCs w:val="20"/>
          <w:color w:val="auto"/>
        </w:rPr>
      </w:pPr>
      <w:r>
        <w:rPr>
          <w:rFonts w:ascii="Arial" w:cs="Arial" w:eastAsia="Arial" w:hAnsi="Arial"/>
          <w:sz w:val="18"/>
          <w:szCs w:val="18"/>
          <w:i w:val="1"/>
          <w:iCs w:val="1"/>
          <w:color w:val="auto"/>
        </w:rPr>
        <w:t>Chief Financial Officer</w:t>
      </w: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364" w:right="279" w:bottom="1440" w:gutter="0" w:footer="0" w:header="0"/>
        </w:sectPr>
      </w:pPr>
    </w:p>
    <w:bookmarkStart w:id="4" w:name="page5"/>
    <w:bookmarkEnd w:id="4"/>
    <w:p>
      <w:pPr>
        <w:ind w:left="4260"/>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9459"/>
          </w:cols>
          <w:pgMar w:left="1000" w:top="688"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Arial" w:cs="Arial" w:eastAsia="Arial" w:hAnsi="Arial"/>
          <w:sz w:val="17"/>
          <w:szCs w:val="17"/>
          <w:color w:val="auto"/>
        </w:rPr>
        <w:t>Exhibit No.</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16"/>
          <w:szCs w:val="16"/>
          <w:color w:val="auto"/>
        </w:rPr>
        <w:t>Description</w:t>
      </w:r>
    </w:p>
    <w:p>
      <w:pPr>
        <w:spacing w:after="0" w:line="211" w:lineRule="exact"/>
        <w:rPr>
          <w:sz w:val="20"/>
          <w:szCs w:val="20"/>
          <w:color w:val="auto"/>
        </w:rPr>
      </w:pPr>
    </w:p>
    <w:p>
      <w:pPr>
        <w:sectPr>
          <w:pgSz w:w="11900" w:h="16838" w:orient="portrait"/>
          <w:cols w:equalWidth="0" w:num="2">
            <w:col w:w="1200" w:space="720"/>
            <w:col w:w="7539"/>
          </w:cols>
          <w:pgMar w:left="1000" w:top="688" w:right="1440" w:bottom="1440" w:gutter="0" w:footer="0" w:header="0"/>
          <w:type w:val="continuous"/>
        </w:sectPr>
      </w:pPr>
    </w:p>
    <w:p>
      <w:pPr>
        <w:spacing w:after="0" w:line="172" w:lineRule="exact"/>
        <w:rPr>
          <w:sz w:val="20"/>
          <w:szCs w:val="20"/>
          <w:color w:val="auto"/>
        </w:rPr>
      </w:pPr>
    </w:p>
    <w:p>
      <w:pPr>
        <w:ind w:left="300"/>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ind w:right="1379"/>
        <w:spacing w:after="0" w:line="277" w:lineRule="auto"/>
        <w:rPr>
          <w:sz w:val="20"/>
          <w:szCs w:val="20"/>
          <w:color w:val="auto"/>
        </w:rPr>
      </w:pPr>
      <w:r>
        <w:rPr>
          <w:rFonts w:ascii="Arial" w:cs="Arial" w:eastAsia="Arial" w:hAnsi="Arial"/>
          <w:sz w:val="18"/>
          <w:szCs w:val="18"/>
          <w:color w:val="auto"/>
        </w:rPr>
        <w:t>Press Release dated August 24, 2017, titled “Marvell Technology Group Ltd. Reports Second Quarter of Fiscal 2018 Financial Results”</w:t>
      </w:r>
    </w:p>
    <w:p>
      <w:pPr>
        <w:sectPr>
          <w:pgSz w:w="11900" w:h="16838" w:orient="portrait"/>
          <w:cols w:equalWidth="0" w:num="2">
            <w:col w:w="1200" w:space="720"/>
            <w:col w:w="7539"/>
          </w:cols>
          <w:pgMar w:left="1000" w:top="688"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2018</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Revenue: $605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Gross Margin: 60.4% GAAP gross margin; 61.2% non-GAAP gross margin</w:t>
      </w:r>
    </w:p>
    <w:p>
      <w:pPr>
        <w:spacing w:after="0" w:line="9" w:lineRule="exact"/>
        <w:rPr>
          <w:rFonts w:ascii="Arial" w:cs="Arial" w:eastAsia="Arial" w:hAnsi="Arial"/>
          <w:sz w:val="18"/>
          <w:szCs w:val="18"/>
          <w:color w:val="auto"/>
        </w:rPr>
      </w:pPr>
    </w:p>
    <w:p>
      <w:pPr>
        <w:ind w:left="660" w:hanging="328"/>
        <w:spacing w:after="0" w:line="25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Q2 Diluted earnings per share: $0.26 GAAP diluted earnings per share from continuing operations; $0.30 non-GAAP diluted earnings per share from continuing operations</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$1.6 billion</w:t>
      </w:r>
    </w:p>
    <w:p>
      <w:pPr>
        <w:spacing w:after="0" w:line="328" w:lineRule="exact"/>
        <w:rPr>
          <w:sz w:val="20"/>
          <w:szCs w:val="20"/>
          <w:color w:val="auto"/>
        </w:rPr>
      </w:pPr>
    </w:p>
    <w:p>
      <w:pPr>
        <w:ind w:right="200"/>
        <w:spacing w:after="0" w:line="266" w:lineRule="auto"/>
        <w:rPr>
          <w:sz w:val="20"/>
          <w:szCs w:val="20"/>
          <w:color w:val="auto"/>
        </w:rPr>
      </w:pPr>
      <w:r>
        <w:rPr>
          <w:rFonts w:ascii="Arial" w:cs="Arial" w:eastAsia="Arial" w:hAnsi="Arial"/>
          <w:sz w:val="18"/>
          <w:szCs w:val="18"/>
          <w:b w:val="1"/>
          <w:bCs w:val="1"/>
          <w:color w:val="auto"/>
        </w:rPr>
        <w:t xml:space="preserve">Santa Clara, Calif. (August 24, 2017) </w:t>
      </w:r>
      <w:r>
        <w:rPr>
          <w:rFonts w:ascii="Arial" w:cs="Arial" w:eastAsia="Arial" w:hAnsi="Arial"/>
          <w:sz w:val="18"/>
          <w:szCs w:val="18"/>
          <w:color w:val="auto"/>
        </w:rPr>
        <w:t>- Marvell Technology Group Ltd. (NASDAQ: MRVL), a leader in storage, networking and connectivity</w:t>
      </w:r>
      <w:r>
        <w:rPr>
          <w:rFonts w:ascii="Arial" w:cs="Arial" w:eastAsia="Arial" w:hAnsi="Arial"/>
          <w:sz w:val="18"/>
          <w:szCs w:val="18"/>
          <w:b w:val="1"/>
          <w:bCs w:val="1"/>
          <w:color w:val="auto"/>
        </w:rPr>
        <w:t xml:space="preserve"> </w:t>
      </w:r>
      <w:r>
        <w:rPr>
          <w:rFonts w:ascii="Arial" w:cs="Arial" w:eastAsia="Arial" w:hAnsi="Arial"/>
          <w:sz w:val="18"/>
          <w:szCs w:val="18"/>
          <w:color w:val="auto"/>
        </w:rPr>
        <w:t>semiconductor solutions, today reported financial results for the second fiscal quarter of fiscal year 2018. Revenue for the second quarter of fiscal 2018 was $605 million, which exceeded the midpoint of the Company’s guidance provided on May 25, 2017.</w:t>
      </w:r>
    </w:p>
    <w:p>
      <w:pPr>
        <w:spacing w:after="0" w:line="72"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GAAP net income from continuing operations for the second quarter of fiscal 2018 was $135 million, or $0.26 per share. Non-GAAP net income from continuing operations for the second quarter of fiscal 2018 was $153 million, or $0.30 per diluted share. Cash flow from operations for the second quarter was $101 million.</w:t>
      </w:r>
    </w:p>
    <w:p>
      <w:pPr>
        <w:spacing w:after="0" w:line="181" w:lineRule="exact"/>
        <w:rPr>
          <w:sz w:val="20"/>
          <w:szCs w:val="20"/>
          <w:color w:val="auto"/>
        </w:rPr>
      </w:pPr>
    </w:p>
    <w:p>
      <w:pPr>
        <w:jc w:val="both"/>
        <w:ind w:right="80"/>
        <w:spacing w:after="0" w:line="286" w:lineRule="auto"/>
        <w:rPr>
          <w:sz w:val="20"/>
          <w:szCs w:val="20"/>
          <w:color w:val="auto"/>
        </w:rPr>
      </w:pPr>
      <w:r>
        <w:rPr>
          <w:rFonts w:ascii="Arial" w:cs="Arial" w:eastAsia="Arial" w:hAnsi="Arial"/>
          <w:sz w:val="17"/>
          <w:szCs w:val="17"/>
          <w:color w:val="auto"/>
        </w:rPr>
        <w:t>“I am pleased to report that our second quarter results demonstrated Marvell’s continued transformation as a company, achieving revenue above the midpoint of our guidance, improved profitability and continued return of capital to shareholders,” said Matt Murphy, Marvell’s President and CEO. “I’m proud of our team -- in a competitive environment, we are delivering innovative solutions that our customers clearly value.”</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2018 Financial Outlook</w:t>
      </w:r>
    </w:p>
    <w:p>
      <w:pPr>
        <w:spacing w:after="0" w:line="135"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$595 million to $625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61% to 62%.</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$230 million to $240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$205 million to $210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from continuing operations is expected to be in the range of $0.25 to $0.31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from continuing operations is expected to be in the range of $0.30 to $0.34 per share.</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Discontinued Operations</w:t>
      </w:r>
    </w:p>
    <w:p>
      <w:pPr>
        <w:spacing w:after="0" w:line="121" w:lineRule="exact"/>
        <w:rPr>
          <w:sz w:val="20"/>
          <w:szCs w:val="20"/>
          <w:color w:val="auto"/>
        </w:rPr>
      </w:pPr>
    </w:p>
    <w:p>
      <w:pPr>
        <w:ind w:right="760"/>
        <w:spacing w:after="0" w:line="277" w:lineRule="auto"/>
        <w:rPr>
          <w:sz w:val="20"/>
          <w:szCs w:val="20"/>
          <w:color w:val="auto"/>
        </w:rPr>
      </w:pPr>
      <w:r>
        <w:rPr>
          <w:rFonts w:ascii="Arial" w:cs="Arial" w:eastAsia="Arial" w:hAnsi="Arial"/>
          <w:sz w:val="18"/>
          <w:szCs w:val="18"/>
          <w:color w:val="auto"/>
        </w:rPr>
        <w:t>The Company’s financial results for prior periods presented herein have been recast to reflect certain businesses that were classified as discontinued operations during the fourth quarter of fiscal year 2017 and second quarter of fiscal year 2018.</w:t>
      </w:r>
    </w:p>
    <w:p>
      <w:pPr>
        <w:sectPr>
          <w:pgSz w:w="11900" w:h="16838" w:orient="portrait"/>
          <w:cols w:equalWidth="0" w:num="1">
            <w:col w:w="11420"/>
          </w:cols>
          <w:pgMar w:left="240" w:top="121"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Marvell will conduct a conference call on Thursday, August 24, 2017 at 1:45 p.m. Pacific Time to discuss results for the second quarter of fiscal 2018. Interested parties may join the conference call by dialing 1-844-647-5488 or 1-615-247-0258, pass-code 57564938. The call will be webcast by Thomson Reuters and can be accessed at the Marvell Investor Relations website at http://investor.marvell.com/ with a replay available following the call until September 1, 2017.</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operating performance.</w:t>
      </w:r>
    </w:p>
    <w:p>
      <w:pPr>
        <w:spacing w:after="0" w:line="7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In fiscal 2018, Marvell began using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second quarter of fiscal 2018, a non-GAAP tax rate of 4% has been applied to the non-GAAP financial results.</w:t>
      </w:r>
    </w:p>
    <w:p>
      <w:pPr>
        <w:spacing w:after="0" w:line="85"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8"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80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60" w:hanging="328"/>
        <w:spacing w:after="0" w:line="261"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ind w:right="20"/>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third quarter of fiscal 2018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Marvell’s ability to successfully restructure its operations within its anticipated timeframe announced in November 2016 and with the anticipated amounts of costs and savings; Marvell’s dependence upon the storage, networking and connectivity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April 29, 2017 as filed with the SEC on June 5, 2017,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580" w:right="239" w:bottom="407"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200"/>
          </w:cols>
          <w:pgMar w:left="240" w:top="121" w:right="45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4"/>
          </w:tcPr>
          <w:p>
            <w:pPr>
              <w:jc w:val="right"/>
              <w:ind w:right="631"/>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264"/>
        </w:trPr>
        <w:tc>
          <w:tcPr>
            <w:tcW w:w="44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July 29, 2017</w:t>
            </w:r>
          </w:p>
        </w:tc>
        <w:tc>
          <w:tcPr>
            <w:tcW w:w="180" w:type="dxa"/>
            <w:vAlign w:val="bottom"/>
          </w:tcPr>
          <w:p>
            <w:pPr>
              <w:spacing w:after="0"/>
              <w:rPr>
                <w:sz w:val="22"/>
                <w:szCs w:val="22"/>
                <w:color w:val="auto"/>
              </w:rPr>
            </w:pPr>
          </w:p>
        </w:tc>
        <w:tc>
          <w:tcPr>
            <w:tcW w:w="1280" w:type="dxa"/>
            <w:vAlign w:val="bottom"/>
            <w:gridSpan w:val="2"/>
          </w:tcPr>
          <w:p>
            <w:pPr>
              <w:ind w:left="60"/>
              <w:spacing w:after="0"/>
              <w:rPr>
                <w:sz w:val="20"/>
                <w:szCs w:val="20"/>
                <w:color w:val="auto"/>
              </w:rPr>
            </w:pPr>
            <w:r>
              <w:rPr>
                <w:rFonts w:ascii="Arial" w:cs="Arial" w:eastAsia="Arial" w:hAnsi="Arial"/>
                <w:sz w:val="14"/>
                <w:szCs w:val="14"/>
                <w:b w:val="1"/>
                <w:bCs w:val="1"/>
                <w:color w:val="auto"/>
              </w:rPr>
              <w:t>April 29, 2017</w:t>
            </w:r>
          </w:p>
        </w:tc>
        <w:tc>
          <w:tcPr>
            <w:tcW w:w="180" w:type="dxa"/>
            <w:vAlign w:val="bottom"/>
          </w:tcPr>
          <w:p>
            <w:pPr>
              <w:spacing w:after="0"/>
              <w:rPr>
                <w:sz w:val="22"/>
                <w:szCs w:val="22"/>
                <w:color w:val="auto"/>
              </w:rPr>
            </w:pPr>
          </w:p>
        </w:tc>
        <w:tc>
          <w:tcPr>
            <w:tcW w:w="1300" w:type="dxa"/>
            <w:vAlign w:val="bottom"/>
            <w:gridSpan w:val="2"/>
          </w:tcPr>
          <w:p>
            <w:pPr>
              <w:ind w:left="60"/>
              <w:spacing w:after="0"/>
              <w:rPr>
                <w:sz w:val="20"/>
                <w:szCs w:val="20"/>
                <w:color w:val="auto"/>
              </w:rPr>
            </w:pPr>
            <w:r>
              <w:rPr>
                <w:rFonts w:ascii="Arial" w:cs="Arial" w:eastAsia="Arial" w:hAnsi="Arial"/>
                <w:sz w:val="14"/>
                <w:szCs w:val="14"/>
                <w:b w:val="1"/>
                <w:bCs w:val="1"/>
                <w:color w:val="auto"/>
              </w:rPr>
              <w:t>July 30, 2016</w:t>
            </w:r>
          </w:p>
        </w:tc>
        <w:tc>
          <w:tcPr>
            <w:tcW w:w="180" w:type="dxa"/>
            <w:vAlign w:val="bottom"/>
          </w:tcPr>
          <w:p>
            <w:pPr>
              <w:spacing w:after="0"/>
              <w:rPr>
                <w:sz w:val="22"/>
                <w:szCs w:val="22"/>
                <w:color w:val="auto"/>
              </w:rPr>
            </w:pPr>
          </w:p>
        </w:tc>
        <w:tc>
          <w:tcPr>
            <w:tcW w:w="1180" w:type="dxa"/>
            <w:vAlign w:val="bottom"/>
            <w:gridSpan w:val="2"/>
          </w:tcPr>
          <w:p>
            <w:pPr>
              <w:ind w:left="40"/>
              <w:spacing w:after="0"/>
              <w:rPr>
                <w:sz w:val="20"/>
                <w:szCs w:val="20"/>
                <w:color w:val="auto"/>
              </w:rPr>
            </w:pPr>
            <w:r>
              <w:rPr>
                <w:rFonts w:ascii="Arial" w:cs="Arial" w:eastAsia="Arial" w:hAnsi="Arial"/>
                <w:sz w:val="14"/>
                <w:szCs w:val="14"/>
                <w:b w:val="1"/>
                <w:bCs w:val="1"/>
                <w:color w:val="auto"/>
              </w:rPr>
              <w:t>July 29, 2017</w:t>
            </w:r>
          </w:p>
        </w:tc>
        <w:tc>
          <w:tcPr>
            <w:tcW w:w="180" w:type="dxa"/>
            <w:vAlign w:val="bottom"/>
          </w:tcPr>
          <w:p>
            <w:pPr>
              <w:spacing w:after="0"/>
              <w:rPr>
                <w:sz w:val="22"/>
                <w:szCs w:val="22"/>
                <w:color w:val="auto"/>
              </w:rPr>
            </w:pPr>
          </w:p>
        </w:tc>
        <w:tc>
          <w:tcPr>
            <w:tcW w:w="1080" w:type="dxa"/>
            <w:vAlign w:val="bottom"/>
          </w:tcPr>
          <w:p>
            <w:pPr>
              <w:jc w:val="right"/>
              <w:ind w:right="131"/>
              <w:spacing w:after="0"/>
              <w:rPr>
                <w:sz w:val="20"/>
                <w:szCs w:val="20"/>
                <w:color w:val="auto"/>
              </w:rPr>
            </w:pPr>
            <w:r>
              <w:rPr>
                <w:rFonts w:ascii="Arial" w:cs="Arial" w:eastAsia="Arial" w:hAnsi="Arial"/>
                <w:sz w:val="14"/>
                <w:szCs w:val="14"/>
                <w:b w:val="1"/>
                <w:bCs w:val="1"/>
                <w:color w:val="auto"/>
                <w:w w:val="97"/>
              </w:rPr>
              <w:t>July 30, 2016</w:t>
            </w:r>
          </w:p>
        </w:tc>
        <w:tc>
          <w:tcPr>
            <w:tcW w:w="0" w:type="dxa"/>
            <w:vAlign w:val="bottom"/>
          </w:tcPr>
          <w:p>
            <w:pPr>
              <w:spacing w:after="0"/>
              <w:rPr>
                <w:sz w:val="1"/>
                <w:szCs w:val="1"/>
                <w:color w:val="auto"/>
              </w:rPr>
            </w:pPr>
          </w:p>
        </w:tc>
      </w:tr>
      <w:tr>
        <w:trPr>
          <w:trHeight w:val="250"/>
        </w:trPr>
        <w:tc>
          <w:tcPr>
            <w:tcW w:w="4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604,750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572,709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597,346</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1,177,459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1,110,979</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8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239,572</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227,198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270,427</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466,770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510,360</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365,178</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345,511</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326,919</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710,689</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600,619</w:t>
            </w:r>
          </w:p>
        </w:tc>
        <w:tc>
          <w:tcPr>
            <w:tcW w:w="0" w:type="dxa"/>
            <w:vAlign w:val="bottom"/>
          </w:tcPr>
          <w:p>
            <w:pPr>
              <w:spacing w:after="0"/>
              <w:rPr>
                <w:sz w:val="1"/>
                <w:szCs w:val="1"/>
                <w:color w:val="auto"/>
              </w:rPr>
            </w:pPr>
          </w:p>
        </w:tc>
      </w:tr>
      <w:tr>
        <w:trPr>
          <w:trHeight w:val="318"/>
        </w:trPr>
        <w:tc>
          <w:tcPr>
            <w:tcW w:w="446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10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1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Borders>
              <w:top w:val="single" w:sz="8" w:color="auto"/>
            </w:tcBorders>
          </w:tcPr>
          <w:p>
            <w:pPr>
              <w:spacing w:after="0"/>
              <w:rPr>
                <w:sz w:val="24"/>
                <w:szCs w:val="24"/>
                <w:color w:val="auto"/>
              </w:rPr>
            </w:pPr>
          </w:p>
        </w:tc>
        <w:tc>
          <w:tcPr>
            <w:tcW w:w="10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180,871</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188,096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207,943</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368,967</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427,351</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55,659</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55,104</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67,896</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110,763</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131,964</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18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4,285</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886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721</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5,171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5,162</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240,815</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244,086</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276,560</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484,901</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564,477</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Operating income</w:t>
            </w:r>
          </w:p>
        </w:tc>
        <w:tc>
          <w:tcPr>
            <w:tcW w:w="1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124,363</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101,425</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50,359</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225,788</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36,142</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1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7,188</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6,284</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10,521</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7,772</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w w:val="99"/>
              </w:rPr>
              <w:t>Income from continuing operations before income taxes</w:t>
            </w:r>
          </w:p>
        </w:tc>
        <w:tc>
          <w:tcPr>
            <w:tcW w:w="1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131,551</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104,758</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56,643</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236,309</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43,914</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(3,899)</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5,166</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(5,823)</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1,267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(11,260)</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Income from continuing operations</w:t>
            </w:r>
          </w:p>
        </w:tc>
        <w:tc>
          <w:tcPr>
            <w:tcW w:w="1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135,450</w:t>
            </w:r>
          </w:p>
        </w:tc>
        <w:tc>
          <w:tcPr>
            <w:tcW w:w="1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99,592</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62,466</w:t>
            </w:r>
          </w:p>
        </w:tc>
        <w:tc>
          <w:tcPr>
            <w:tcW w:w="22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235,042</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55,174</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180" w:type="dxa"/>
            <w:vAlign w:val="bottom"/>
            <w:tcBorders>
              <w:bottom w:val="single" w:sz="8" w:color="CCEEFF"/>
            </w:tcBorders>
            <w:shd w:val="clear" w:color="auto" w:fill="CCEEFF"/>
          </w:tcPr>
          <w:p>
            <w:pPr>
              <w:spacing w:after="0"/>
              <w:rPr>
                <w:sz w:val="22"/>
                <w:szCs w:val="22"/>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29,809</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7,029</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(11,161)</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36,838</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(26,548)</w:t>
            </w:r>
          </w:p>
        </w:tc>
        <w:tc>
          <w:tcPr>
            <w:tcW w:w="0" w:type="dxa"/>
            <w:vAlign w:val="bottom"/>
          </w:tcPr>
          <w:p>
            <w:pPr>
              <w:spacing w:after="0"/>
              <w:rPr>
                <w:sz w:val="1"/>
                <w:szCs w:val="1"/>
                <w:color w:val="auto"/>
              </w:rPr>
            </w:pPr>
          </w:p>
        </w:tc>
      </w:tr>
      <w:tr>
        <w:trPr>
          <w:trHeight w:val="297"/>
        </w:trPr>
        <w:tc>
          <w:tcPr>
            <w:tcW w:w="44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165,259</w:t>
            </w:r>
          </w:p>
        </w:tc>
        <w:tc>
          <w:tcPr>
            <w:tcW w:w="12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106,621</w:t>
            </w:r>
          </w:p>
        </w:tc>
        <w:tc>
          <w:tcPr>
            <w:tcW w:w="10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51,305</w:t>
            </w:r>
          </w:p>
        </w:tc>
        <w:tc>
          <w:tcPr>
            <w:tcW w:w="22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31"/>
              <w:spacing w:after="0"/>
              <w:rPr>
                <w:sz w:val="20"/>
                <w:szCs w:val="20"/>
                <w:color w:val="auto"/>
              </w:rPr>
            </w:pPr>
            <w:r>
              <w:rPr>
                <w:rFonts w:ascii="Arial" w:cs="Arial" w:eastAsia="Arial" w:hAnsi="Arial"/>
                <w:sz w:val="18"/>
                <w:szCs w:val="18"/>
                <w:color w:val="auto"/>
              </w:rPr>
              <w:t>271,880</w:t>
            </w:r>
          </w:p>
        </w:tc>
        <w:tc>
          <w:tcPr>
            <w:tcW w:w="100" w:type="dxa"/>
            <w:vAlign w:val="bottom"/>
            <w:tcBorders>
              <w:bottom w:val="single" w:sz="8" w:color="CCEEFF"/>
            </w:tcBorders>
          </w:tcPr>
          <w:p>
            <w:pPr>
              <w:spacing w:after="0"/>
              <w:rPr>
                <w:sz w:val="24"/>
                <w:szCs w:val="24"/>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28,626</w:t>
            </w:r>
          </w:p>
        </w:tc>
        <w:tc>
          <w:tcPr>
            <w:tcW w:w="0" w:type="dxa"/>
            <w:vAlign w:val="bottom"/>
          </w:tcPr>
          <w:p>
            <w:pPr>
              <w:spacing w:after="0"/>
              <w:rPr>
                <w:sz w:val="1"/>
                <w:szCs w:val="1"/>
                <w:color w:val="auto"/>
              </w:rPr>
            </w:pPr>
          </w:p>
        </w:tc>
      </w:tr>
      <w:tr>
        <w:trPr>
          <w:trHeight w:val="284"/>
        </w:trPr>
        <w:tc>
          <w:tcPr>
            <w:tcW w:w="44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Net income (loss) per share — Basic:</w:t>
            </w:r>
          </w:p>
        </w:tc>
        <w:tc>
          <w:tcPr>
            <w:tcW w:w="1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0.27</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0.20</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0.12</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0.47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0.06</w:t>
            </w:r>
          </w:p>
        </w:tc>
        <w:tc>
          <w:tcPr>
            <w:tcW w:w="120" w:type="dxa"/>
            <w:vAlign w:val="bottom"/>
          </w:tcPr>
          <w:p>
            <w:pPr>
              <w:spacing w:after="0"/>
              <w:rPr>
                <w:sz w:val="19"/>
                <w:szCs w:val="19"/>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0.07</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(0.05)</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per share - basic</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0.33</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0.54</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20" w:type="dxa"/>
            <w:vAlign w:val="bottom"/>
          </w:tcPr>
          <w:p>
            <w:pPr>
              <w:spacing w:after="0"/>
              <w:rPr>
                <w:sz w:val="21"/>
                <w:szCs w:val="21"/>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0.12</w:t>
            </w:r>
          </w:p>
        </w:tc>
        <w:tc>
          <w:tcPr>
            <w:tcW w:w="22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0.46</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 - diluted</w:t>
            </w: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0.32</w:t>
            </w:r>
          </w:p>
        </w:tc>
        <w:tc>
          <w:tcPr>
            <w:tcW w:w="120" w:type="dxa"/>
            <w:vAlign w:val="bottom"/>
          </w:tcPr>
          <w:p>
            <w:pPr>
              <w:spacing w:after="0"/>
              <w:rPr>
                <w:sz w:val="19"/>
                <w:szCs w:val="19"/>
                <w:color w:val="auto"/>
              </w:rPr>
            </w:pPr>
          </w:p>
        </w:tc>
        <w:tc>
          <w:tcPr>
            <w:tcW w:w="180" w:type="dxa"/>
            <w:vAlign w:val="bottom"/>
          </w:tcPr>
          <w:p>
            <w:pPr>
              <w:ind w:left="2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0.21</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2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0.53</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1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Basic</w:t>
            </w:r>
          </w:p>
        </w:tc>
        <w:tc>
          <w:tcPr>
            <w:tcW w:w="1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500,817</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503,790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511,235</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502,303</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510,014</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21"/>
                <w:szCs w:val="21"/>
                <w:color w:val="auto"/>
              </w:rPr>
            </w:pPr>
          </w:p>
        </w:tc>
        <w:tc>
          <w:tcPr>
            <w:tcW w:w="1100" w:type="dxa"/>
            <w:vAlign w:val="bottom"/>
          </w:tcPr>
          <w:p>
            <w:pPr>
              <w:jc w:val="right"/>
              <w:ind w:right="11"/>
              <w:spacing w:after="0"/>
              <w:rPr>
                <w:sz w:val="20"/>
                <w:szCs w:val="20"/>
                <w:color w:val="auto"/>
              </w:rPr>
            </w:pPr>
            <w:r>
              <w:rPr>
                <w:rFonts w:ascii="Arial" w:cs="Arial" w:eastAsia="Arial" w:hAnsi="Arial"/>
                <w:sz w:val="18"/>
                <w:szCs w:val="18"/>
                <w:color w:val="auto"/>
              </w:rPr>
              <w:t>510,309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517,592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514,314</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513,951</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11"/>
              <w:spacing w:after="0"/>
              <w:rPr>
                <w:sz w:val="20"/>
                <w:szCs w:val="20"/>
                <w:color w:val="auto"/>
              </w:rPr>
            </w:pPr>
            <w:r>
              <w:rPr>
                <w:rFonts w:ascii="Arial" w:cs="Arial" w:eastAsia="Arial" w:hAnsi="Arial"/>
                <w:sz w:val="18"/>
                <w:szCs w:val="18"/>
                <w:color w:val="auto"/>
              </w:rPr>
              <w:t>513,669</w:t>
            </w:r>
          </w:p>
        </w:tc>
        <w:tc>
          <w:tcPr>
            <w:tcW w:w="0" w:type="dxa"/>
            <w:vAlign w:val="bottom"/>
          </w:tcPr>
          <w:p>
            <w:pPr>
              <w:spacing w:after="0"/>
              <w:rPr>
                <w:sz w:val="1"/>
                <w:szCs w:val="1"/>
                <w:color w:val="auto"/>
              </w:rPr>
            </w:pPr>
          </w:p>
        </w:tc>
      </w:tr>
    </w:tbl>
    <w:p>
      <w:pPr>
        <w:sectPr>
          <w:pgSz w:w="11900" w:h="16838" w:orient="portrait"/>
          <w:cols w:equalWidth="0" w:num="1">
            <w:col w:w="11420"/>
          </w:cols>
          <w:pgMar w:left="240" w:top="364" w:right="239" w:bottom="1440" w:gutter="0" w:footer="0" w:header="0"/>
        </w:sectPr>
      </w:pPr>
    </w:p>
    <w:bookmarkStart w:id="9" w:name="page10"/>
    <w:bookmarkEnd w:id="9"/>
    <w:p>
      <w:pPr>
        <w:spacing w:after="0"/>
        <w:rPr>
          <w:sz w:val="20"/>
          <w:szCs w:val="20"/>
          <w:color w:val="auto"/>
        </w:rPr>
      </w:pPr>
    </w:p>
    <w:p>
      <w:pPr>
        <w:sectPr>
          <w:pgSz w:w="11900" w:h="16838" w:orient="portrait"/>
          <w:cols w:equalWidth="1" w:num="1" w:space="0"/>
          <w:pgMar w:left="1440" w:top="1440" w:right="1440" w:bottom="875"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80" w:type="dxa"/>
            <w:vAlign w:val="bottom"/>
            <w:gridSpan w:val="2"/>
          </w:tcPr>
          <w:p>
            <w:pPr>
              <w:ind w:left="200"/>
              <w:spacing w:after="0"/>
              <w:rPr>
                <w:sz w:val="20"/>
                <w:szCs w:val="20"/>
                <w:color w:val="auto"/>
              </w:rPr>
            </w:pPr>
            <w:r>
              <w:rPr>
                <w:rFonts w:ascii="Arial" w:cs="Arial" w:eastAsia="Arial" w:hAnsi="Arial"/>
                <w:sz w:val="14"/>
                <w:szCs w:val="14"/>
                <w:b w:val="1"/>
                <w:bCs w:val="1"/>
                <w:color w:val="auto"/>
              </w:rPr>
              <w:t>July 29,</w:t>
            </w:r>
          </w:p>
        </w:tc>
        <w:tc>
          <w:tcPr>
            <w:tcW w:w="280" w:type="dxa"/>
            <w:vAlign w:val="bottom"/>
          </w:tcPr>
          <w:p>
            <w:pPr>
              <w:spacing w:after="0"/>
              <w:rPr>
                <w:sz w:val="14"/>
                <w:szCs w:val="14"/>
                <w:color w:val="auto"/>
              </w:rPr>
            </w:pPr>
          </w:p>
        </w:tc>
        <w:tc>
          <w:tcPr>
            <w:tcW w:w="1320" w:type="dxa"/>
            <w:vAlign w:val="bottom"/>
          </w:tcPr>
          <w:p>
            <w:pPr>
              <w:jc w:val="right"/>
              <w:ind w:right="371"/>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00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2017</w:t>
            </w:r>
          </w:p>
        </w:tc>
        <w:tc>
          <w:tcPr>
            <w:tcW w:w="2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2017</w:t>
            </w: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Assets</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3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630,501</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943,006</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854,268</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371,697</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175,355</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170,842</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46,491</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41,896</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57,077</w:t>
            </w:r>
          </w:p>
        </w:tc>
      </w:tr>
      <w:tr>
        <w:trPr>
          <w:trHeight w:val="27"/>
        </w:trPr>
        <w:tc>
          <w:tcPr>
            <w:tcW w:w="80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44"/>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2,208,946</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2,290,434</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235,354</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243,397</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 and acquired intangible assets, net</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1,994,743</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1,996,880</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148,407</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117,939</w:t>
            </w:r>
          </w:p>
        </w:tc>
      </w:tr>
      <w:tr>
        <w:trPr>
          <w:trHeight w:val="27"/>
        </w:trPr>
        <w:tc>
          <w:tcPr>
            <w:tcW w:w="80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69"/>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4,587,450</w:t>
            </w:r>
          </w:p>
        </w:tc>
        <w:tc>
          <w:tcPr>
            <w:tcW w:w="2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80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320" w:type="dxa"/>
            <w:vAlign w:val="bottom"/>
          </w:tcPr>
          <w:p>
            <w:pPr>
              <w:spacing w:after="0"/>
              <w:rPr>
                <w:sz w:val="22"/>
                <w:szCs w:val="2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Liabilities and Shareholders’ Equity</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3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153,862</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106,351</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143,491</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131,272</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70,063</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63,976</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Liabilities held for sale</w:t>
            </w:r>
          </w:p>
        </w:tc>
        <w:tc>
          <w:tcPr>
            <w:tcW w:w="3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1,015</w:t>
            </w:r>
          </w:p>
        </w:tc>
        <w:tc>
          <w:tcPr>
            <w:tcW w:w="2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5,818</w:t>
            </w:r>
          </w:p>
        </w:tc>
      </w:tr>
      <w:tr>
        <w:trPr>
          <w:trHeight w:val="237"/>
        </w:trPr>
        <w:tc>
          <w:tcPr>
            <w:tcW w:w="8000" w:type="dxa"/>
            <w:vAlign w:val="bottom"/>
          </w:tcPr>
          <w:p>
            <w:pPr>
              <w:ind w:left="900"/>
              <w:spacing w:after="0"/>
              <w:rPr>
                <w:sz w:val="20"/>
                <w:szCs w:val="20"/>
                <w:color w:val="auto"/>
              </w:rPr>
            </w:pPr>
            <w:r>
              <w:rPr>
                <w:rFonts w:ascii="Arial" w:cs="Arial" w:eastAsia="Arial" w:hAnsi="Arial"/>
                <w:sz w:val="18"/>
                <w:szCs w:val="18"/>
                <w:color w:val="auto"/>
              </w:rPr>
              <w:t>Total current liabilities</w:t>
            </w:r>
          </w:p>
        </w:tc>
        <w:tc>
          <w:tcPr>
            <w:tcW w:w="3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462,563</w:t>
            </w:r>
          </w:p>
        </w:tc>
        <w:tc>
          <w:tcPr>
            <w:tcW w:w="2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55,714</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95,076</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63,937</w:t>
            </w:r>
          </w:p>
        </w:tc>
      </w:tr>
      <w:tr>
        <w:trPr>
          <w:trHeight w:val="27"/>
        </w:trPr>
        <w:tc>
          <w:tcPr>
            <w:tcW w:w="80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64"/>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w:t>
            </w:r>
          </w:p>
        </w:tc>
        <w:tc>
          <w:tcPr>
            <w:tcW w:w="34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613,353</w:t>
            </w:r>
          </w:p>
        </w:tc>
        <w:tc>
          <w:tcPr>
            <w:tcW w:w="2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r>
      <w:tr>
        <w:trPr>
          <w:trHeight w:val="277"/>
        </w:trPr>
        <w:tc>
          <w:tcPr>
            <w:tcW w:w="8000" w:type="dxa"/>
            <w:vAlign w:val="bottom"/>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1280" w:type="dxa"/>
            <w:vAlign w:val="bottom"/>
            <w:tcBorders>
              <w:top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1320" w:type="dxa"/>
            <w:vAlign w:val="bottom"/>
            <w:tcBorders>
              <w:top w:val="single" w:sz="8" w:color="auto"/>
            </w:tcBorders>
          </w:tcPr>
          <w:p>
            <w:pPr>
              <w:spacing w:after="0"/>
              <w:rPr>
                <w:sz w:val="24"/>
                <w:szCs w:val="24"/>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991</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1,012</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3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2,752,541</w:t>
            </w:r>
          </w:p>
        </w:tc>
        <w:tc>
          <w:tcPr>
            <w:tcW w:w="2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Accumulated other comprehensive income</w:t>
            </w:r>
          </w:p>
        </w:tc>
        <w:tc>
          <w:tcPr>
            <w:tcW w:w="340" w:type="dxa"/>
            <w:vAlign w:val="bottom"/>
          </w:tcPr>
          <w:p>
            <w:pPr>
              <w:spacing w:after="0"/>
              <w:rPr>
                <w:sz w:val="21"/>
                <w:szCs w:val="21"/>
                <w:color w:val="auto"/>
              </w:rPr>
            </w:pPr>
          </w:p>
        </w:tc>
        <w:tc>
          <w:tcPr>
            <w:tcW w:w="1280" w:type="dxa"/>
            <w:vAlign w:val="bottom"/>
          </w:tcPr>
          <w:p>
            <w:pPr>
              <w:jc w:val="right"/>
              <w:ind w:right="31"/>
              <w:spacing w:after="0"/>
              <w:rPr>
                <w:sz w:val="20"/>
                <w:szCs w:val="20"/>
                <w:color w:val="auto"/>
              </w:rPr>
            </w:pPr>
            <w:r>
              <w:rPr>
                <w:rFonts w:ascii="Arial" w:cs="Arial" w:eastAsia="Arial" w:hAnsi="Arial"/>
                <w:sz w:val="18"/>
                <w:szCs w:val="18"/>
                <w:color w:val="auto"/>
              </w:rPr>
              <w:t>899</w:t>
            </w:r>
          </w:p>
        </w:tc>
        <w:tc>
          <w:tcPr>
            <w:tcW w:w="2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20" w:type="dxa"/>
            <w:vAlign w:val="bottom"/>
          </w:tcPr>
          <w:p>
            <w:pPr>
              <w:jc w:val="right"/>
              <w:ind w:right="11"/>
              <w:spacing w:after="0"/>
              <w:rPr>
                <w:sz w:val="20"/>
                <w:szCs w:val="20"/>
                <w:color w:val="auto"/>
              </w:rPr>
            </w:pPr>
            <w:r>
              <w:rPr>
                <w:rFonts w:ascii="Arial" w:cs="Arial" w:eastAsia="Arial" w:hAnsi="Arial"/>
                <w:sz w:val="18"/>
                <w:szCs w:val="18"/>
                <w:color w:val="auto"/>
              </w:rPr>
              <w:t>23</w:t>
            </w:r>
          </w:p>
        </w:tc>
      </w:tr>
      <w:tr>
        <w:trPr>
          <w:trHeight w:val="27"/>
        </w:trPr>
        <w:tc>
          <w:tcPr>
            <w:tcW w:w="80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34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1,219,666</w:t>
            </w:r>
          </w:p>
        </w:tc>
        <w:tc>
          <w:tcPr>
            <w:tcW w:w="2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r>
      <w:tr>
        <w:trPr>
          <w:trHeight w:val="237"/>
        </w:trPr>
        <w:tc>
          <w:tcPr>
            <w:tcW w:w="800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340" w:type="dxa"/>
            <w:vAlign w:val="bottom"/>
            <w:tcBorders>
              <w:top w:val="single" w:sz="8" w:color="auto"/>
            </w:tcBorders>
          </w:tcPr>
          <w:p>
            <w:pPr>
              <w:spacing w:after="0"/>
              <w:rPr>
                <w:sz w:val="20"/>
                <w:szCs w:val="20"/>
                <w:color w:val="auto"/>
              </w:rPr>
            </w:pPr>
          </w:p>
        </w:tc>
        <w:tc>
          <w:tcPr>
            <w:tcW w:w="12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3,974,097</w:t>
            </w:r>
          </w:p>
        </w:tc>
        <w:tc>
          <w:tcPr>
            <w:tcW w:w="2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r>
      <w:tr>
        <w:trPr>
          <w:trHeight w:val="27"/>
        </w:trPr>
        <w:tc>
          <w:tcPr>
            <w:tcW w:w="80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269"/>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4,587,450</w:t>
            </w:r>
          </w:p>
        </w:tc>
        <w:tc>
          <w:tcPr>
            <w:tcW w:w="2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67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4"/>
          </w:tcPr>
          <w:p>
            <w:pPr>
              <w:jc w:val="right"/>
              <w:ind w:right="750"/>
              <w:spacing w:after="0"/>
              <w:rPr>
                <w:sz w:val="20"/>
                <w:szCs w:val="20"/>
                <w:color w:val="auto"/>
              </w:rPr>
            </w:pPr>
            <w:r>
              <w:rPr>
                <w:rFonts w:ascii="Arial" w:cs="Arial" w:eastAsia="Arial" w:hAnsi="Arial"/>
                <w:sz w:val="14"/>
                <w:szCs w:val="14"/>
                <w:b w:val="1"/>
                <w:bCs w:val="1"/>
                <w:color w:val="auto"/>
              </w:rPr>
              <w:t>Six Months Ended</w:t>
            </w:r>
          </w:p>
        </w:tc>
      </w:tr>
      <w:tr>
        <w:trPr>
          <w:trHeight w:val="263"/>
        </w:trPr>
        <w:tc>
          <w:tcPr>
            <w:tcW w:w="56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30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29, 2017</w:t>
            </w:r>
          </w:p>
        </w:tc>
        <w:tc>
          <w:tcPr>
            <w:tcW w:w="200" w:type="dxa"/>
            <w:vAlign w:val="bottom"/>
          </w:tcPr>
          <w:p>
            <w:pPr>
              <w:spacing w:after="0"/>
              <w:rPr>
                <w:sz w:val="22"/>
                <w:szCs w:val="22"/>
                <w:color w:val="auto"/>
              </w:rPr>
            </w:pPr>
          </w:p>
        </w:tc>
        <w:tc>
          <w:tcPr>
            <w:tcW w:w="12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30, 2016</w:t>
            </w:r>
          </w:p>
        </w:tc>
        <w:tc>
          <w:tcPr>
            <w:tcW w:w="200" w:type="dxa"/>
            <w:vAlign w:val="bottom"/>
          </w:tcPr>
          <w:p>
            <w:pPr>
              <w:spacing w:after="0"/>
              <w:rPr>
                <w:sz w:val="22"/>
                <w:szCs w:val="22"/>
                <w:color w:val="auto"/>
              </w:rPr>
            </w:pPr>
          </w:p>
        </w:tc>
        <w:tc>
          <w:tcPr>
            <w:tcW w:w="128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29, 2017</w:t>
            </w:r>
          </w:p>
        </w:tc>
        <w:tc>
          <w:tcPr>
            <w:tcW w:w="200" w:type="dxa"/>
            <w:vAlign w:val="bottom"/>
          </w:tcPr>
          <w:p>
            <w:pPr>
              <w:spacing w:after="0"/>
              <w:rPr>
                <w:sz w:val="22"/>
                <w:szCs w:val="22"/>
                <w:color w:val="auto"/>
              </w:rPr>
            </w:pPr>
          </w:p>
        </w:tc>
        <w:tc>
          <w:tcPr>
            <w:tcW w:w="1160" w:type="dxa"/>
            <w:vAlign w:val="bottom"/>
          </w:tcPr>
          <w:p>
            <w:pPr>
              <w:jc w:val="right"/>
              <w:ind w:right="190"/>
              <w:spacing w:after="0"/>
              <w:rPr>
                <w:sz w:val="20"/>
                <w:szCs w:val="20"/>
                <w:color w:val="auto"/>
              </w:rPr>
            </w:pPr>
            <w:r>
              <w:rPr>
                <w:rFonts w:ascii="Arial" w:cs="Arial" w:eastAsia="Arial" w:hAnsi="Arial"/>
                <w:sz w:val="14"/>
                <w:szCs w:val="14"/>
                <w:b w:val="1"/>
                <w:bCs w:val="1"/>
                <w:color w:val="auto"/>
                <w:w w:val="99"/>
              </w:rPr>
              <w:t>July 30, 2016</w:t>
            </w:r>
          </w:p>
        </w:tc>
      </w:tr>
      <w:tr>
        <w:trPr>
          <w:trHeight w:val="230"/>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54"/>
        </w:trPr>
        <w:tc>
          <w:tcPr>
            <w:tcW w:w="562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20" w:type="dxa"/>
            <w:vAlign w:val="bottom"/>
          </w:tcPr>
          <w:p>
            <w:pPr>
              <w:spacing w:after="0"/>
              <w:rPr>
                <w:sz w:val="4"/>
                <w:szCs w:val="4"/>
                <w:color w:val="auto"/>
              </w:rPr>
            </w:pPr>
          </w:p>
        </w:tc>
        <w:tc>
          <w:tcPr>
            <w:tcW w:w="200" w:type="dxa"/>
            <w:vAlign w:val="bottom"/>
          </w:tcPr>
          <w:p>
            <w:pPr>
              <w:spacing w:after="0"/>
              <w:rPr>
                <w:sz w:val="4"/>
                <w:szCs w:val="4"/>
                <w:color w:val="auto"/>
              </w:rPr>
            </w:pPr>
          </w:p>
        </w:tc>
        <w:tc>
          <w:tcPr>
            <w:tcW w:w="1160" w:type="dxa"/>
            <w:vAlign w:val="bottom"/>
          </w:tcPr>
          <w:p>
            <w:pPr>
              <w:spacing w:after="0"/>
              <w:rPr>
                <w:sz w:val="4"/>
                <w:szCs w:val="4"/>
                <w:color w:val="auto"/>
              </w:rPr>
            </w:pP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165,259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51,305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271,880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28,626</w:t>
            </w:r>
          </w:p>
        </w:tc>
      </w:tr>
      <w:tr>
        <w:trPr>
          <w:trHeight w:val="229"/>
        </w:trPr>
        <w:tc>
          <w:tcPr>
            <w:tcW w:w="5620" w:type="dxa"/>
            <w:vAlign w:val="bottom"/>
          </w:tcPr>
          <w:p>
            <w:pPr>
              <w:ind w:left="40"/>
              <w:spacing w:after="0"/>
              <w:rPr>
                <w:sz w:val="20"/>
                <w:szCs w:val="20"/>
                <w:color w:val="auto"/>
              </w:rPr>
            </w:pPr>
            <w:r>
              <w:rPr>
                <w:rFonts w:ascii="Arial" w:cs="Arial" w:eastAsia="Arial" w:hAnsi="Arial"/>
                <w:sz w:val="18"/>
                <w:szCs w:val="18"/>
                <w:color w:val="auto"/>
              </w:rPr>
              <w:t>Adjustments to reconcile net income to net cash provided by (used in)</w:t>
            </w:r>
          </w:p>
        </w:tc>
        <w:tc>
          <w:tcPr>
            <w:tcW w:w="2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30"/>
        </w:trPr>
        <w:tc>
          <w:tcPr>
            <w:tcW w:w="5620" w:type="dxa"/>
            <w:vAlign w:val="bottom"/>
          </w:tcPr>
          <w:p>
            <w:pPr>
              <w:ind w:left="260"/>
              <w:spacing w:after="0"/>
              <w:rPr>
                <w:sz w:val="20"/>
                <w:szCs w:val="20"/>
                <w:color w:val="auto"/>
              </w:rPr>
            </w:pPr>
            <w:r>
              <w:rPr>
                <w:rFonts w:ascii="Arial" w:cs="Arial" w:eastAsia="Arial" w:hAnsi="Arial"/>
                <w:sz w:val="18"/>
                <w:szCs w:val="18"/>
                <w:color w:val="auto"/>
              </w:rPr>
              <w:t>operating activities:</w:t>
            </w:r>
          </w:p>
        </w:tc>
        <w:tc>
          <w:tcPr>
            <w:tcW w:w="2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Depreciation and amortization</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20,444</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26,866</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41,186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53,980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22,422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37,196</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46,439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61,649</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2,946</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2,136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5,892</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Deferred income taxes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2,008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53</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2,791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(2,423)</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businesses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(39,309)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(47,464)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718</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(1,886)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2,975</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receivable</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(14,550)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(68,025)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(36,313)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(25,383)</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Inventories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(3,170)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(6,364)</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(14,712)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7,234</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2,460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6,605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(6,612)</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payable</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(27,455)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20,437</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3,968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40,359</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(21,793)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(7,741)</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(33,418)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(30,243)</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w w:val="99"/>
              </w:rPr>
              <w:t xml:space="preserve">Carnegie Mellon University accrued litigation settlement </w:t>
            </w:r>
            <w:r>
              <w:rPr>
                <w:rFonts w:ascii="Arial" w:cs="Arial" w:eastAsia="Arial" w:hAnsi="Arial"/>
                <w:sz w:val="18"/>
                <w:szCs w:val="18"/>
                <w:i w:val="1"/>
                <w:iCs w:val="1"/>
                <w:color w:val="auto"/>
                <w:w w:val="99"/>
              </w:rPr>
              <w:t>(a)</w:t>
            </w:r>
          </w:p>
        </w:tc>
        <w:tc>
          <w:tcPr>
            <w:tcW w:w="2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(736,000)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(22,270)</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(8,375)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(15,118)</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Deferred income</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(3,732)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17,561</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1,284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16,327</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operating activities</w:t>
            </w:r>
          </w:p>
        </w:tc>
        <w:tc>
          <w:tcPr>
            <w:tcW w:w="2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101,252</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59,282</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236,398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(598,742)</w:t>
            </w: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5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(177,811)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(110,358)</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(376,227)</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(203,723)</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37,936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67,824</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116,700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340,095</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87,376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48,682</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169,611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146,470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 of time deposits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(150,000)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(125,000)</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time deposits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150,000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Return of investment from privately-held companies</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2,388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2,388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(3,995)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(1,701)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(8,045)</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(4,020)</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(12,509)</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(14,046)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(24,377)</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businesses</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42,000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72,229</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2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(12,739)</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(85,356)</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(31,046)</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125,420</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(221,265)</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(387,558)</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77,872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244</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97,811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559</w:t>
            </w: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Minimum tax withholding paid on behalf of employees for net</w:t>
            </w:r>
          </w:p>
        </w:tc>
        <w:tc>
          <w:tcPr>
            <w:tcW w:w="2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share settlement</w:t>
            </w:r>
          </w:p>
        </w:tc>
        <w:tc>
          <w:tcPr>
            <w:tcW w:w="2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(3,005)</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(112)</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(24,814)</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(15,382)</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(30,095)</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(30,675)</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(60,086)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(61,136)</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(7,481)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(4,858)</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(14,296)</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(10,152)</w:t>
            </w:r>
          </w:p>
        </w:tc>
      </w:tr>
      <w:tr>
        <w:trPr>
          <w:trHeight w:val="27"/>
        </w:trPr>
        <w:tc>
          <w:tcPr>
            <w:tcW w:w="5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2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w:t>
            </w: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used in financing activities</w:t>
            </w:r>
          </w:p>
        </w:tc>
        <w:tc>
          <w:tcPr>
            <w:tcW w:w="2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(183,974)</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(35,396)</w:t>
            </w:r>
          </w:p>
        </w:tc>
        <w:tc>
          <w:tcPr>
            <w:tcW w:w="1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(388,943)</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(86,106)</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(95,461)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(61,470)</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(183,591)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(559,428)</w:t>
            </w: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725,962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30"/>
              <w:spacing w:after="0"/>
              <w:rPr>
                <w:sz w:val="20"/>
                <w:szCs w:val="20"/>
                <w:color w:val="auto"/>
              </w:rPr>
            </w:pPr>
            <w:r>
              <w:rPr>
                <w:rFonts w:ascii="Arial" w:cs="Arial" w:eastAsia="Arial" w:hAnsi="Arial"/>
                <w:sz w:val="18"/>
                <w:szCs w:val="18"/>
                <w:color w:val="auto"/>
              </w:rPr>
              <w:t>780,222</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814,092</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0"/>
              <w:spacing w:after="0"/>
              <w:rPr>
                <w:sz w:val="20"/>
                <w:szCs w:val="20"/>
                <w:color w:val="auto"/>
              </w:rPr>
            </w:pPr>
            <w:r>
              <w:rPr>
                <w:rFonts w:ascii="Arial" w:cs="Arial" w:eastAsia="Arial" w:hAnsi="Arial"/>
                <w:sz w:val="18"/>
                <w:szCs w:val="18"/>
                <w:color w:val="auto"/>
              </w:rPr>
              <w:t>1,278,180</w:t>
            </w:r>
          </w:p>
        </w:tc>
      </w:tr>
      <w:tr>
        <w:trPr>
          <w:trHeight w:val="27"/>
        </w:trPr>
        <w:tc>
          <w:tcPr>
            <w:tcW w:w="56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9"/>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630,501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718,752</w:t>
            </w:r>
          </w:p>
        </w:tc>
        <w:tc>
          <w:tcPr>
            <w:tcW w:w="1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630,501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718,752</w:t>
            </w:r>
          </w:p>
        </w:tc>
      </w:tr>
      <w:tr>
        <w:trPr>
          <w:trHeight w:val="20"/>
        </w:trPr>
        <w:tc>
          <w:tcPr>
            <w:tcW w:w="56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715" w:right="239" w:bottom="1440" w:gutter="0" w:footer="0" w:header="0"/>
        </w:sectPr>
      </w:pPr>
    </w:p>
    <w:p>
      <w:pPr>
        <w:spacing w:after="0" w:line="204" w:lineRule="exact"/>
        <w:rPr>
          <w:sz w:val="20"/>
          <w:szCs w:val="20"/>
          <w:color w:val="auto"/>
        </w:rPr>
      </w:pPr>
    </w:p>
    <w:p>
      <w:pPr>
        <w:ind w:left="500" w:hanging="465"/>
        <w:spacing w:after="0"/>
        <w:tabs>
          <w:tab w:leader="none" w:pos="50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The Company paid $750.0 million to Carnegie Mellon University in connection with a litigation settlement agreement reached in February 2016.</w:t>
      </w:r>
    </w:p>
    <w:p>
      <w:pPr>
        <w:sectPr>
          <w:pgSz w:w="11900" w:h="16838" w:orient="portrait"/>
          <w:cols w:equalWidth="0" w:num="1">
            <w:col w:w="11420"/>
          </w:cols>
          <w:pgMar w:left="240" w:top="715" w:right="239" w:bottom="1440" w:gutter="0" w:footer="0" w:header="0"/>
          <w:type w:val="continuous"/>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4"/>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460" w:type="dxa"/>
            <w:vAlign w:val="bottom"/>
            <w:tcBorders>
              <w:bottom w:val="single" w:sz="8" w:color="auto"/>
            </w:tcBorders>
            <w:gridSpan w:val="4"/>
          </w:tcPr>
          <w:p>
            <w:pPr>
              <w:jc w:val="right"/>
              <w:ind w:right="631"/>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454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04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w w:val="94"/>
              </w:rPr>
              <w:t>July 29, 2017</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06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w w:val="97"/>
              </w:rPr>
              <w:t>April 29, 2017</w:t>
            </w:r>
          </w:p>
        </w:tc>
        <w:tc>
          <w:tcPr>
            <w:tcW w:w="22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04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w w:val="94"/>
              </w:rPr>
              <w:t>July 30, 2016</w:t>
            </w:r>
          </w:p>
        </w:tc>
        <w:tc>
          <w:tcPr>
            <w:tcW w:w="22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04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w w:val="94"/>
              </w:rPr>
              <w:t>July 29, 2017</w:t>
            </w:r>
          </w:p>
        </w:tc>
        <w:tc>
          <w:tcPr>
            <w:tcW w:w="22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04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w w:val="94"/>
              </w:rPr>
              <w:t>July 30, 2016</w:t>
            </w:r>
          </w:p>
        </w:tc>
      </w:tr>
      <w:tr>
        <w:trPr>
          <w:trHeight w:val="250"/>
        </w:trPr>
        <w:tc>
          <w:tcPr>
            <w:tcW w:w="4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365,178</w:t>
            </w:r>
          </w:p>
        </w:tc>
        <w:tc>
          <w:tcPr>
            <w:tcW w:w="3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345,511</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326,919</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710,689</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600,619</w:t>
            </w:r>
          </w:p>
        </w:tc>
      </w:tr>
      <w:tr>
        <w:trPr>
          <w:trHeight w:val="243"/>
        </w:trPr>
        <w:tc>
          <w:tcPr>
            <w:tcW w:w="454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5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1,810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1,426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2,720</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3,236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4,504</w:t>
            </w:r>
          </w:p>
        </w:tc>
      </w:tr>
      <w:tr>
        <w:trPr>
          <w:trHeight w:val="243"/>
        </w:trPr>
        <w:tc>
          <w:tcPr>
            <w:tcW w:w="4540" w:type="dxa"/>
            <w:vAlign w:val="bottom"/>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60" w:type="dxa"/>
            <w:vAlign w:val="bottom"/>
          </w:tcPr>
          <w:p>
            <w:pPr>
              <w:spacing w:after="0"/>
              <w:rPr>
                <w:sz w:val="21"/>
                <w:szCs w:val="21"/>
                <w:color w:val="auto"/>
              </w:rPr>
            </w:pPr>
          </w:p>
        </w:tc>
        <w:tc>
          <w:tcPr>
            <w:tcW w:w="1040" w:type="dxa"/>
            <w:vAlign w:val="bottom"/>
          </w:tcPr>
          <w:p>
            <w:pPr>
              <w:jc w:val="right"/>
              <w:ind w:right="91"/>
              <w:spacing w:after="0"/>
              <w:rPr>
                <w:sz w:val="20"/>
                <w:szCs w:val="20"/>
                <w:color w:val="auto"/>
              </w:rPr>
            </w:pPr>
            <w:r>
              <w:rPr>
                <w:rFonts w:ascii="Arial" w:cs="Arial" w:eastAsia="Arial" w:hAnsi="Arial"/>
                <w:sz w:val="18"/>
                <w:szCs w:val="18"/>
                <w:color w:val="auto"/>
              </w:rPr>
              <w:t>3,000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040" w:type="dxa"/>
            <w:vAlign w:val="bottom"/>
          </w:tcPr>
          <w:p>
            <w:pPr>
              <w:jc w:val="right"/>
              <w:ind w:right="92"/>
              <w:spacing w:after="0"/>
              <w:rPr>
                <w:sz w:val="20"/>
                <w:szCs w:val="20"/>
                <w:color w:val="auto"/>
              </w:rPr>
            </w:pPr>
            <w:r>
              <w:rPr>
                <w:rFonts w:ascii="Arial" w:cs="Arial" w:eastAsia="Arial" w:hAnsi="Arial"/>
                <w:sz w:val="18"/>
                <w:szCs w:val="18"/>
                <w:color w:val="auto"/>
              </w:rPr>
              <w:t>3,000</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91"/>
              <w:spacing w:after="0"/>
              <w:rPr>
                <w:sz w:val="20"/>
                <w:szCs w:val="20"/>
                <w:color w:val="auto"/>
              </w:rPr>
            </w:pPr>
            <w:r>
              <w:rPr>
                <w:rFonts w:ascii="Arial" w:cs="Arial" w:eastAsia="Arial" w:hAnsi="Arial"/>
                <w:sz w:val="18"/>
                <w:szCs w:val="18"/>
                <w:color w:val="auto"/>
              </w:rPr>
              <w:t>—</w:t>
            </w:r>
          </w:p>
        </w:tc>
      </w:tr>
      <w:tr>
        <w:trPr>
          <w:trHeight w:val="27"/>
        </w:trPr>
        <w:tc>
          <w:tcPr>
            <w:tcW w:w="45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4,810</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1,426</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2,720</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6,236</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4,504</w:t>
            </w:r>
          </w:p>
        </w:tc>
      </w:tr>
      <w:tr>
        <w:trPr>
          <w:trHeight w:val="237"/>
        </w:trPr>
        <w:tc>
          <w:tcPr>
            <w:tcW w:w="4540" w:type="dxa"/>
            <w:vAlign w:val="bottom"/>
          </w:tcPr>
          <w:p>
            <w:pPr>
              <w:ind w:left="40"/>
              <w:spacing w:after="0"/>
              <w:rPr>
                <w:sz w:val="20"/>
                <w:szCs w:val="20"/>
                <w:color w:val="auto"/>
              </w:rPr>
            </w:pPr>
            <w:r>
              <w:rPr>
                <w:rFonts w:ascii="Arial" w:cs="Arial" w:eastAsia="Arial" w:hAnsi="Arial"/>
                <w:sz w:val="18"/>
                <w:szCs w:val="18"/>
                <w:color w:val="auto"/>
              </w:rPr>
              <w:t>Non-GAAP gross profit</w:t>
            </w: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369,988</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346,937</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329,639</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716,925</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605,123</w:t>
            </w:r>
          </w:p>
        </w:tc>
      </w:tr>
      <w:tr>
        <w:trPr>
          <w:trHeight w:val="67"/>
        </w:trPr>
        <w:tc>
          <w:tcPr>
            <w:tcW w:w="45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r>
      <w:tr>
        <w:trPr>
          <w:trHeight w:val="251"/>
        </w:trPr>
        <w:tc>
          <w:tcPr>
            <w:tcW w:w="454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r>
      <w:tr>
        <w:trPr>
          <w:trHeight w:val="243"/>
        </w:trPr>
        <w:tc>
          <w:tcPr>
            <w:tcW w:w="4540" w:type="dxa"/>
            <w:vAlign w:val="bottom"/>
          </w:tcPr>
          <w:p>
            <w:pPr>
              <w:ind w:left="40"/>
              <w:spacing w:after="0"/>
              <w:rPr>
                <w:sz w:val="20"/>
                <w:szCs w:val="20"/>
                <w:color w:val="auto"/>
              </w:rPr>
            </w:pPr>
            <w:r>
              <w:rPr>
                <w:rFonts w:ascii="Arial" w:cs="Arial" w:eastAsia="Arial" w:hAnsi="Arial"/>
                <w:sz w:val="18"/>
                <w:szCs w:val="18"/>
                <w:color w:val="auto"/>
              </w:rPr>
              <w:t>GAAP gross margin</w:t>
            </w: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60.4%</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60.3%</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54.7%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60.4%</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54.1%</w:t>
            </w:r>
          </w:p>
        </w:tc>
      </w:tr>
      <w:tr>
        <w:trPr>
          <w:trHeight w:val="67"/>
        </w:trPr>
        <w:tc>
          <w:tcPr>
            <w:tcW w:w="45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r>
      <w:tr>
        <w:trPr>
          <w:trHeight w:val="256"/>
        </w:trPr>
        <w:tc>
          <w:tcPr>
            <w:tcW w:w="454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gross margin</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61.2%</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55.2%</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60.9%</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54.5%</w:t>
            </w:r>
          </w:p>
        </w:tc>
      </w:tr>
      <w:tr>
        <w:trPr>
          <w:trHeight w:val="20"/>
        </w:trPr>
        <w:tc>
          <w:tcPr>
            <w:tcW w:w="45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4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324"/>
        </w:trPr>
        <w:tc>
          <w:tcPr>
            <w:tcW w:w="45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r>
      <w:tr>
        <w:trPr>
          <w:trHeight w:val="270"/>
        </w:trPr>
        <w:tc>
          <w:tcPr>
            <w:tcW w:w="454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040" w:type="dxa"/>
            <w:vAlign w:val="bottom"/>
          </w:tcPr>
          <w:p>
            <w:pPr>
              <w:spacing w:after="0"/>
              <w:rPr>
                <w:sz w:val="23"/>
                <w:szCs w:val="23"/>
                <w:color w:val="auto"/>
              </w:rPr>
            </w:pPr>
          </w:p>
        </w:tc>
      </w:tr>
      <w:tr>
        <w:trPr>
          <w:trHeight w:val="250"/>
        </w:trPr>
        <w:tc>
          <w:tcPr>
            <w:tcW w:w="4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GAAP operating expenses</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240,815</w:t>
            </w:r>
          </w:p>
        </w:tc>
        <w:tc>
          <w:tcPr>
            <w:tcW w:w="3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244,086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276,560</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484,901</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564,477</w:t>
            </w:r>
          </w:p>
        </w:tc>
      </w:tr>
      <w:tr>
        <w:trPr>
          <w:trHeight w:val="243"/>
        </w:trPr>
        <w:tc>
          <w:tcPr>
            <w:tcW w:w="454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5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(19,557)</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(20,313)</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(30,359)</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(39,870)</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(50,003)</w:t>
            </w:r>
          </w:p>
        </w:tc>
      </w:tr>
      <w:tr>
        <w:trPr>
          <w:trHeight w:val="243"/>
        </w:trPr>
        <w:tc>
          <w:tcPr>
            <w:tcW w:w="454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6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(4,285)</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(886)</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(721)</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(5,171)</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(5,162)</w:t>
            </w: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29"/>
        </w:trPr>
        <w:tc>
          <w:tcPr>
            <w:tcW w:w="45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 intangible</w:t>
            </w:r>
          </w:p>
        </w:tc>
        <w:tc>
          <w:tcPr>
            <w:tcW w:w="1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7"/>
        </w:trPr>
        <w:tc>
          <w:tcPr>
            <w:tcW w:w="45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assets</w:t>
            </w: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(1,065)</w:t>
            </w:r>
          </w:p>
        </w:tc>
        <w:tc>
          <w:tcPr>
            <w:tcW w:w="2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(1,071)</w:t>
            </w:r>
          </w:p>
        </w:tc>
        <w:tc>
          <w:tcPr>
            <w:tcW w:w="2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(2,299)</w:t>
            </w:r>
          </w:p>
        </w:tc>
        <w:tc>
          <w:tcPr>
            <w:tcW w:w="2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(2,136)</w:t>
            </w:r>
          </w:p>
        </w:tc>
        <w:tc>
          <w:tcPr>
            <w:tcW w:w="2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(4,597)</w:t>
            </w:r>
          </w:p>
        </w:tc>
      </w:tr>
      <w:tr>
        <w:trPr>
          <w:trHeight w:val="243"/>
        </w:trPr>
        <w:tc>
          <w:tcPr>
            <w:tcW w:w="4540" w:type="dxa"/>
            <w:vAlign w:val="bottom"/>
          </w:tcPr>
          <w:p>
            <w:pPr>
              <w:ind w:left="460"/>
              <w:spacing w:after="0"/>
              <w:rPr>
                <w:sz w:val="20"/>
                <w:szCs w:val="20"/>
                <w:color w:val="auto"/>
              </w:rPr>
            </w:pPr>
            <w:r>
              <w:rPr>
                <w:rFonts w:ascii="Arial" w:cs="Arial" w:eastAsia="Arial" w:hAnsi="Arial"/>
                <w:sz w:val="18"/>
                <w:szCs w:val="18"/>
                <w:color w:val="auto"/>
              </w:rPr>
              <w:t>Other operating expenses (c)</w:t>
            </w:r>
          </w:p>
        </w:tc>
        <w:tc>
          <w:tcPr>
            <w:tcW w:w="16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(1,687)</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jc w:val="right"/>
              <w:ind w:right="31"/>
              <w:spacing w:after="0"/>
              <w:rPr>
                <w:sz w:val="20"/>
                <w:szCs w:val="20"/>
                <w:color w:val="auto"/>
              </w:rPr>
            </w:pPr>
            <w:r>
              <w:rPr>
                <w:rFonts w:ascii="Arial" w:cs="Arial" w:eastAsia="Arial" w:hAnsi="Arial"/>
                <w:sz w:val="18"/>
                <w:szCs w:val="18"/>
                <w:color w:val="auto"/>
              </w:rPr>
              <w:t>(2,303)</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91"/>
              <w:spacing w:after="0"/>
              <w:rPr>
                <w:sz w:val="20"/>
                <w:szCs w:val="20"/>
                <w:color w:val="auto"/>
              </w:rPr>
            </w:pPr>
            <w:r>
              <w:rPr>
                <w:rFonts w:ascii="Arial" w:cs="Arial" w:eastAsia="Arial" w:hAnsi="Arial"/>
                <w:sz w:val="18"/>
                <w:szCs w:val="18"/>
                <w:color w:val="auto"/>
              </w:rPr>
              <w:t>13</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(3,990)</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ind w:right="31"/>
              <w:spacing w:after="0"/>
              <w:rPr>
                <w:sz w:val="20"/>
                <w:szCs w:val="20"/>
                <w:color w:val="auto"/>
              </w:rPr>
            </w:pPr>
            <w:r>
              <w:rPr>
                <w:rFonts w:ascii="Arial" w:cs="Arial" w:eastAsia="Arial" w:hAnsi="Arial"/>
                <w:sz w:val="18"/>
                <w:szCs w:val="18"/>
                <w:color w:val="auto"/>
              </w:rPr>
              <w:t>(1,229)</w:t>
            </w:r>
          </w:p>
        </w:tc>
      </w:tr>
      <w:tr>
        <w:trPr>
          <w:trHeight w:val="27"/>
        </w:trPr>
        <w:tc>
          <w:tcPr>
            <w:tcW w:w="45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r>
      <w:tr>
        <w:trPr>
          <w:trHeight w:val="264"/>
        </w:trPr>
        <w:tc>
          <w:tcPr>
            <w:tcW w:w="4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(26,594)</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(24,573)</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(33,366)</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(51,167)</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(60,991)</w:t>
            </w:r>
          </w:p>
        </w:tc>
      </w:tr>
      <w:tr>
        <w:trPr>
          <w:trHeight w:val="237"/>
        </w:trPr>
        <w:tc>
          <w:tcPr>
            <w:tcW w:w="4540" w:type="dxa"/>
            <w:vAlign w:val="bottom"/>
          </w:tcPr>
          <w:p>
            <w:pPr>
              <w:ind w:left="40"/>
              <w:spacing w:after="0"/>
              <w:rPr>
                <w:sz w:val="20"/>
                <w:szCs w:val="20"/>
                <w:color w:val="auto"/>
              </w:rPr>
            </w:pPr>
            <w:r>
              <w:rPr>
                <w:rFonts w:ascii="Arial" w:cs="Arial" w:eastAsia="Arial" w:hAnsi="Arial"/>
                <w:sz w:val="18"/>
                <w:szCs w:val="18"/>
                <w:color w:val="auto"/>
              </w:rPr>
              <w:t>Total non-GAAP operating expenses</w:t>
            </w: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214,221</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219,513</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243,194</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433,734</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503,486</w:t>
            </w:r>
          </w:p>
        </w:tc>
      </w:tr>
      <w:tr>
        <w:trPr>
          <w:trHeight w:val="67"/>
        </w:trPr>
        <w:tc>
          <w:tcPr>
            <w:tcW w:w="45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r>
      <w:tr>
        <w:trPr>
          <w:trHeight w:val="251"/>
        </w:trPr>
        <w:tc>
          <w:tcPr>
            <w:tcW w:w="454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r>
      <w:tr>
        <w:trPr>
          <w:trHeight w:val="297"/>
        </w:trPr>
        <w:tc>
          <w:tcPr>
            <w:tcW w:w="4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297"/>
        </w:trPr>
        <w:tc>
          <w:tcPr>
            <w:tcW w:w="45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r>
      <w:tr>
        <w:trPr>
          <w:trHeight w:val="243"/>
        </w:trPr>
        <w:tc>
          <w:tcPr>
            <w:tcW w:w="4540" w:type="dxa"/>
            <w:vAlign w:val="bottom"/>
          </w:tcPr>
          <w:p>
            <w:pPr>
              <w:ind w:left="40"/>
              <w:spacing w:after="0"/>
              <w:rPr>
                <w:sz w:val="20"/>
                <w:szCs w:val="20"/>
                <w:color w:val="auto"/>
              </w:rPr>
            </w:pPr>
            <w:r>
              <w:rPr>
                <w:rFonts w:ascii="Arial" w:cs="Arial" w:eastAsia="Arial" w:hAnsi="Arial"/>
                <w:sz w:val="18"/>
                <w:szCs w:val="18"/>
                <w:color w:val="auto"/>
              </w:rPr>
              <w:t>GAAP operating margin</w:t>
            </w: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20.6%</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17.7%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8.4%</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19.2%</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5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454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3.5%</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5.5%</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50"/>
        </w:trPr>
        <w:tc>
          <w:tcPr>
            <w:tcW w:w="45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r>
      <w:tr>
        <w:trPr>
          <w:trHeight w:val="229"/>
        </w:trPr>
        <w:tc>
          <w:tcPr>
            <w:tcW w:w="4540" w:type="dxa"/>
            <w:vAlign w:val="bottom"/>
          </w:tcPr>
          <w:p>
            <w:pPr>
              <w:ind w:left="460"/>
              <w:spacing w:after="0"/>
              <w:rPr>
                <w:sz w:val="20"/>
                <w:szCs w:val="20"/>
                <w:color w:val="auto"/>
              </w:rPr>
            </w:pPr>
            <w:r>
              <w:rPr>
                <w:rFonts w:ascii="Arial" w:cs="Arial" w:eastAsia="Arial" w:hAnsi="Arial"/>
                <w:sz w:val="18"/>
                <w:szCs w:val="18"/>
                <w:color w:val="auto"/>
              </w:rPr>
              <w:t>Amortization and write-off of acquired intangible</w:t>
            </w: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40" w:type="dxa"/>
            <w:vAlign w:val="bottom"/>
          </w:tcPr>
          <w:p>
            <w:pPr>
              <w:spacing w:after="0"/>
              <w:rPr>
                <w:sz w:val="19"/>
                <w:szCs w:val="19"/>
                <w:color w:val="auto"/>
              </w:rPr>
            </w:pPr>
          </w:p>
        </w:tc>
      </w:tr>
      <w:tr>
        <w:trPr>
          <w:trHeight w:val="230"/>
        </w:trPr>
        <w:tc>
          <w:tcPr>
            <w:tcW w:w="4540" w:type="dxa"/>
            <w:vAlign w:val="bottom"/>
          </w:tcPr>
          <w:p>
            <w:pPr>
              <w:ind w:left="680"/>
              <w:spacing w:after="0"/>
              <w:rPr>
                <w:sz w:val="20"/>
                <w:szCs w:val="20"/>
                <w:color w:val="auto"/>
              </w:rPr>
            </w:pPr>
            <w:r>
              <w:rPr>
                <w:rFonts w:ascii="Arial" w:cs="Arial" w:eastAsia="Arial" w:hAnsi="Arial"/>
                <w:sz w:val="18"/>
                <w:szCs w:val="18"/>
                <w:color w:val="auto"/>
              </w:rPr>
              <w:t>assets</w:t>
            </w:r>
          </w:p>
        </w:tc>
        <w:tc>
          <w:tcPr>
            <w:tcW w:w="16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0.3%</w:t>
            </w:r>
          </w:p>
        </w:tc>
      </w:tr>
      <w:tr>
        <w:trPr>
          <w:trHeight w:val="27"/>
        </w:trPr>
        <w:tc>
          <w:tcPr>
            <w:tcW w:w="45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40" w:type="dxa"/>
            <w:vAlign w:val="bottom"/>
          </w:tcPr>
          <w:p>
            <w:pPr>
              <w:spacing w:after="0"/>
              <w:rPr>
                <w:sz w:val="2"/>
                <w:szCs w:val="2"/>
                <w:color w:val="auto"/>
              </w:rPr>
            </w:pPr>
          </w:p>
        </w:tc>
      </w:tr>
      <w:tr>
        <w:trPr>
          <w:trHeight w:val="270"/>
        </w:trPr>
        <w:tc>
          <w:tcPr>
            <w:tcW w:w="454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r>
      <w:tr>
        <w:trPr>
          <w:trHeight w:val="257"/>
        </w:trPr>
        <w:tc>
          <w:tcPr>
            <w:tcW w:w="4540" w:type="dxa"/>
            <w:vAlign w:val="bottom"/>
          </w:tcPr>
          <w:p>
            <w:pPr>
              <w:ind w:left="40"/>
              <w:spacing w:after="0"/>
              <w:rPr>
                <w:sz w:val="20"/>
                <w:szCs w:val="20"/>
                <w:color w:val="auto"/>
              </w:rPr>
            </w:pPr>
            <w:r>
              <w:rPr>
                <w:rFonts w:ascii="Arial" w:cs="Arial" w:eastAsia="Arial" w:hAnsi="Arial"/>
                <w:sz w:val="18"/>
                <w:szCs w:val="18"/>
                <w:color w:val="auto"/>
              </w:rPr>
              <w:t>Non-GAAP operating margin</w:t>
            </w:r>
          </w:p>
        </w:tc>
        <w:tc>
          <w:tcPr>
            <w:tcW w:w="160" w:type="dxa"/>
            <w:vAlign w:val="bottom"/>
            <w:tcBorders>
              <w:top w:val="single" w:sz="8" w:color="auto"/>
              <w:bottom w:val="single" w:sz="8" w:color="auto"/>
            </w:tcBorders>
          </w:tcPr>
          <w:p>
            <w:pPr>
              <w:spacing w:after="0"/>
              <w:rPr>
                <w:sz w:val="22"/>
                <w:szCs w:val="22"/>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25.8%</w:t>
            </w:r>
          </w:p>
        </w:tc>
        <w:tc>
          <w:tcPr>
            <w:tcW w:w="220" w:type="dxa"/>
            <w:vAlign w:val="bottom"/>
          </w:tcPr>
          <w:p>
            <w:pPr>
              <w:spacing w:after="0"/>
              <w:rPr>
                <w:sz w:val="22"/>
                <w:szCs w:val="22"/>
                <w:color w:val="auto"/>
              </w:rPr>
            </w:pPr>
          </w:p>
        </w:tc>
        <w:tc>
          <w:tcPr>
            <w:tcW w:w="140" w:type="dxa"/>
            <w:vAlign w:val="bottom"/>
            <w:tcBorders>
              <w:top w:val="single" w:sz="8" w:color="auto"/>
              <w:bottom w:val="single" w:sz="8" w:color="auto"/>
            </w:tcBorders>
          </w:tcPr>
          <w:p>
            <w:pPr>
              <w:spacing w:after="0"/>
              <w:rPr>
                <w:sz w:val="22"/>
                <w:szCs w:val="22"/>
                <w:color w:val="auto"/>
              </w:rPr>
            </w:pP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22.2%</w:t>
            </w:r>
          </w:p>
        </w:tc>
        <w:tc>
          <w:tcPr>
            <w:tcW w:w="220" w:type="dxa"/>
            <w:vAlign w:val="bottom"/>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14.5%</w:t>
            </w:r>
          </w:p>
        </w:tc>
        <w:tc>
          <w:tcPr>
            <w:tcW w:w="220" w:type="dxa"/>
            <w:vAlign w:val="bottom"/>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24.1%</w:t>
            </w:r>
          </w:p>
        </w:tc>
        <w:tc>
          <w:tcPr>
            <w:tcW w:w="220" w:type="dxa"/>
            <w:vAlign w:val="bottom"/>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9.1%</w:t>
            </w:r>
          </w:p>
        </w:tc>
      </w:tr>
      <w:tr>
        <w:trPr>
          <w:trHeight w:val="20"/>
        </w:trPr>
        <w:tc>
          <w:tcPr>
            <w:tcW w:w="45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8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4"/>
          </w:tcPr>
          <w:p>
            <w:pPr>
              <w:jc w:val="right"/>
              <w:ind w:right="571"/>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264"/>
        </w:trPr>
        <w:tc>
          <w:tcPr>
            <w:tcW w:w="48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04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w w:val="94"/>
              </w:rPr>
              <w:t>July 29, 2017</w:t>
            </w:r>
          </w:p>
        </w:tc>
        <w:tc>
          <w:tcPr>
            <w:tcW w:w="22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020" w:type="dxa"/>
            <w:vAlign w:val="bottom"/>
            <w:tcBorders>
              <w:bottom w:val="single" w:sz="8" w:color="auto"/>
            </w:tcBorders>
          </w:tcPr>
          <w:p>
            <w:pPr>
              <w:jc w:val="right"/>
              <w:ind w:right="51"/>
              <w:spacing w:after="0"/>
              <w:rPr>
                <w:sz w:val="20"/>
                <w:szCs w:val="20"/>
                <w:color w:val="auto"/>
              </w:rPr>
            </w:pPr>
            <w:r>
              <w:rPr>
                <w:rFonts w:ascii="Arial" w:cs="Arial" w:eastAsia="Arial" w:hAnsi="Arial"/>
                <w:sz w:val="14"/>
                <w:szCs w:val="14"/>
                <w:b w:val="1"/>
                <w:bCs w:val="1"/>
                <w:color w:val="auto"/>
                <w:w w:val="95"/>
              </w:rPr>
              <w:t>April 29, 2017</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00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w w:val="94"/>
              </w:rPr>
              <w:t>July 30, 2016</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98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w w:val="92"/>
              </w:rPr>
              <w:t>July 29, 2017</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000" w:type="dxa"/>
            <w:vAlign w:val="bottom"/>
            <w:tcBorders>
              <w:bottom w:val="single" w:sz="8" w:color="auto"/>
            </w:tcBorders>
          </w:tcPr>
          <w:p>
            <w:pPr>
              <w:jc w:val="right"/>
              <w:ind w:right="71"/>
              <w:spacing w:after="0"/>
              <w:rPr>
                <w:sz w:val="20"/>
                <w:szCs w:val="20"/>
                <w:color w:val="auto"/>
              </w:rPr>
            </w:pPr>
            <w:r>
              <w:rPr>
                <w:rFonts w:ascii="Arial" w:cs="Arial" w:eastAsia="Arial" w:hAnsi="Arial"/>
                <w:sz w:val="14"/>
                <w:szCs w:val="14"/>
                <w:b w:val="1"/>
                <w:bCs w:val="1"/>
                <w:color w:val="auto"/>
                <w:w w:val="94"/>
              </w:rPr>
              <w:t>July 30, 2016</w:t>
            </w:r>
          </w:p>
        </w:tc>
        <w:tc>
          <w:tcPr>
            <w:tcW w:w="0" w:type="dxa"/>
            <w:vAlign w:val="bottom"/>
          </w:tcPr>
          <w:p>
            <w:pPr>
              <w:spacing w:after="0"/>
              <w:rPr>
                <w:sz w:val="1"/>
                <w:szCs w:val="1"/>
                <w:color w:val="auto"/>
              </w:rPr>
            </w:pPr>
          </w:p>
        </w:tc>
      </w:tr>
      <w:tr>
        <w:trPr>
          <w:trHeight w:val="250"/>
        </w:trPr>
        <w:tc>
          <w:tcPr>
            <w:tcW w:w="4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net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7,188</w:t>
            </w:r>
          </w:p>
        </w:tc>
        <w:tc>
          <w:tcPr>
            <w:tcW w:w="3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6,284</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10,521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7,772</w:t>
            </w:r>
          </w:p>
        </w:tc>
        <w:tc>
          <w:tcPr>
            <w:tcW w:w="0" w:type="dxa"/>
            <w:vAlign w:val="bottom"/>
          </w:tcPr>
          <w:p>
            <w:pPr>
              <w:spacing w:after="0"/>
              <w:rPr>
                <w:sz w:val="1"/>
                <w:szCs w:val="1"/>
                <w:color w:val="auto"/>
              </w:rPr>
            </w:pPr>
          </w:p>
        </w:tc>
      </w:tr>
      <w:tr>
        <w:trPr>
          <w:trHeight w:val="243"/>
        </w:trPr>
        <w:tc>
          <w:tcPr>
            <w:tcW w:w="48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4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82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 xml:space="preserve">Restructuring related items </w:t>
            </w:r>
            <w:r>
              <w:rPr>
                <w:rFonts w:ascii="Arial" w:cs="Arial" w:eastAsia="Arial" w:hAnsi="Arial"/>
                <w:sz w:val="18"/>
                <w:szCs w:val="18"/>
                <w:i w:val="1"/>
                <w:iCs w:val="1"/>
                <w:color w:val="auto"/>
              </w:rPr>
              <w:t>(d)</w:t>
            </w:r>
          </w:p>
        </w:tc>
        <w:tc>
          <w:tcPr>
            <w:tcW w:w="14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482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14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8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interest and other income, net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4,103</w:t>
            </w:r>
          </w:p>
        </w:tc>
        <w:tc>
          <w:tcPr>
            <w:tcW w:w="3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3,333</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6,284</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7,436</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7,772</w:t>
            </w:r>
          </w:p>
        </w:tc>
        <w:tc>
          <w:tcPr>
            <w:tcW w:w="0" w:type="dxa"/>
            <w:vAlign w:val="bottom"/>
          </w:tcPr>
          <w:p>
            <w:pPr>
              <w:spacing w:after="0"/>
              <w:rPr>
                <w:sz w:val="1"/>
                <w:szCs w:val="1"/>
                <w:color w:val="auto"/>
              </w:rPr>
            </w:pPr>
          </w:p>
        </w:tc>
      </w:tr>
      <w:tr>
        <w:trPr>
          <w:trHeight w:val="20"/>
        </w:trPr>
        <w:tc>
          <w:tcPr>
            <w:tcW w:w="48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4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8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165,259</w:t>
            </w:r>
          </w:p>
        </w:tc>
        <w:tc>
          <w:tcPr>
            <w:tcW w:w="3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106,621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51,305</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271,880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28,626</w:t>
            </w:r>
          </w:p>
        </w:tc>
        <w:tc>
          <w:tcPr>
            <w:tcW w:w="0" w:type="dxa"/>
            <w:vAlign w:val="bottom"/>
          </w:tcPr>
          <w:p>
            <w:pPr>
              <w:spacing w:after="0"/>
              <w:rPr>
                <w:sz w:val="1"/>
                <w:szCs w:val="1"/>
                <w:color w:val="auto"/>
              </w:rPr>
            </w:pPr>
          </w:p>
        </w:tc>
      </w:tr>
      <w:tr>
        <w:trPr>
          <w:trHeight w:val="243"/>
        </w:trPr>
        <w:tc>
          <w:tcPr>
            <w:tcW w:w="4820" w:type="dxa"/>
            <w:vAlign w:val="bottom"/>
          </w:tcPr>
          <w:p>
            <w:pPr>
              <w:ind w:left="440"/>
              <w:spacing w:after="0"/>
              <w:rPr>
                <w:sz w:val="20"/>
                <w:szCs w:val="20"/>
                <w:color w:val="auto"/>
              </w:rPr>
            </w:pPr>
            <w:r>
              <w:rPr>
                <w:rFonts w:ascii="Arial" w:cs="Arial" w:eastAsia="Arial" w:hAnsi="Arial"/>
                <w:sz w:val="18"/>
                <w:szCs w:val="18"/>
                <w:color w:val="auto"/>
              </w:rPr>
              <w:t>Loss (income) from discontinued operations, net of tax</w:t>
            </w:r>
          </w:p>
        </w:tc>
        <w:tc>
          <w:tcPr>
            <w:tcW w:w="14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(29,809)</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(7,029)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11,161</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(36,838)</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26,548</w:t>
            </w:r>
          </w:p>
        </w:tc>
        <w:tc>
          <w:tcPr>
            <w:tcW w:w="0" w:type="dxa"/>
            <w:vAlign w:val="bottom"/>
          </w:tcPr>
          <w:p>
            <w:pPr>
              <w:spacing w:after="0"/>
              <w:rPr>
                <w:sz w:val="1"/>
                <w:szCs w:val="1"/>
                <w:color w:val="auto"/>
              </w:rPr>
            </w:pPr>
          </w:p>
        </w:tc>
      </w:tr>
      <w:tr>
        <w:trPr>
          <w:trHeight w:val="27"/>
        </w:trPr>
        <w:tc>
          <w:tcPr>
            <w:tcW w:w="48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8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from continuing operations</w:t>
            </w:r>
          </w:p>
        </w:tc>
        <w:tc>
          <w:tcPr>
            <w:tcW w:w="14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135,450</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99,592</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62,466</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235,042</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55,174</w:t>
            </w:r>
          </w:p>
        </w:tc>
        <w:tc>
          <w:tcPr>
            <w:tcW w:w="0" w:type="dxa"/>
            <w:vAlign w:val="bottom"/>
          </w:tcPr>
          <w:p>
            <w:pPr>
              <w:spacing w:after="0"/>
              <w:rPr>
                <w:sz w:val="1"/>
                <w:szCs w:val="1"/>
                <w:color w:val="auto"/>
              </w:rPr>
            </w:pPr>
          </w:p>
        </w:tc>
      </w:tr>
      <w:tr>
        <w:trPr>
          <w:trHeight w:val="223"/>
        </w:trPr>
        <w:tc>
          <w:tcPr>
            <w:tcW w:w="482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4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02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98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00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4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0" w:type="dxa"/>
            <w:vAlign w:val="bottom"/>
          </w:tcPr>
          <w:p>
            <w:pPr>
              <w:spacing w:after="0"/>
              <w:rPr>
                <w:sz w:val="3"/>
                <w:szCs w:val="3"/>
                <w:color w:val="auto"/>
              </w:rPr>
            </w:pPr>
          </w:p>
        </w:tc>
        <w:tc>
          <w:tcPr>
            <w:tcW w:w="220" w:type="dxa"/>
            <w:vAlign w:val="bottom"/>
          </w:tcPr>
          <w:p>
            <w:pPr>
              <w:spacing w:after="0"/>
              <w:rPr>
                <w:sz w:val="3"/>
                <w:szCs w:val="3"/>
                <w:color w:val="auto"/>
              </w:rPr>
            </w:pPr>
          </w:p>
        </w:tc>
        <w:tc>
          <w:tcPr>
            <w:tcW w:w="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48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w:t>
            </w:r>
            <w:r>
              <w:rPr>
                <w:rFonts w:ascii="Arial" w:cs="Arial" w:eastAsia="Arial" w:hAnsi="Arial"/>
                <w:sz w:val="18"/>
                <w:szCs w:val="18"/>
                <w:i w:val="1"/>
                <w:iCs w:val="1"/>
                <w:color w:val="auto"/>
              </w:rPr>
              <w:t>a</w:t>
            </w: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3,000</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48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40" w:type="dxa"/>
            <w:vAlign w:val="bottom"/>
          </w:tcPr>
          <w:p>
            <w:pPr>
              <w:spacing w:after="0"/>
              <w:rPr>
                <w:sz w:val="21"/>
                <w:szCs w:val="21"/>
                <w:color w:val="auto"/>
              </w:rPr>
            </w:pPr>
          </w:p>
        </w:tc>
        <w:tc>
          <w:tcPr>
            <w:tcW w:w="1040" w:type="dxa"/>
            <w:vAlign w:val="bottom"/>
          </w:tcPr>
          <w:p>
            <w:pPr>
              <w:jc w:val="right"/>
              <w:ind w:right="51"/>
              <w:spacing w:after="0"/>
              <w:rPr>
                <w:sz w:val="20"/>
                <w:szCs w:val="20"/>
                <w:color w:val="auto"/>
              </w:rPr>
            </w:pPr>
            <w:r>
              <w:rPr>
                <w:rFonts w:ascii="Arial" w:cs="Arial" w:eastAsia="Arial" w:hAnsi="Arial"/>
                <w:sz w:val="18"/>
                <w:szCs w:val="18"/>
                <w:color w:val="auto"/>
              </w:rPr>
              <w:t>21,367</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21,739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33,079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43,106</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54,507</w:t>
            </w:r>
          </w:p>
        </w:tc>
        <w:tc>
          <w:tcPr>
            <w:tcW w:w="0" w:type="dxa"/>
            <w:vAlign w:val="bottom"/>
          </w:tcPr>
          <w:p>
            <w:pPr>
              <w:spacing w:after="0"/>
              <w:rPr>
                <w:sz w:val="1"/>
                <w:szCs w:val="1"/>
                <w:color w:val="auto"/>
              </w:rPr>
            </w:pPr>
          </w:p>
        </w:tc>
      </w:tr>
      <w:tr>
        <w:trPr>
          <w:trHeight w:val="27"/>
        </w:trPr>
        <w:tc>
          <w:tcPr>
            <w:tcW w:w="4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8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1,200</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886</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721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2,086</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5,162</w:t>
            </w:r>
          </w:p>
        </w:tc>
        <w:tc>
          <w:tcPr>
            <w:tcW w:w="0" w:type="dxa"/>
            <w:vAlign w:val="bottom"/>
          </w:tcPr>
          <w:p>
            <w:pPr>
              <w:spacing w:after="0"/>
              <w:rPr>
                <w:sz w:val="1"/>
                <w:szCs w:val="1"/>
                <w:color w:val="auto"/>
              </w:rPr>
            </w:pPr>
          </w:p>
        </w:tc>
      </w:tr>
      <w:tr>
        <w:trPr>
          <w:trHeight w:val="243"/>
        </w:trPr>
        <w:tc>
          <w:tcPr>
            <w:tcW w:w="4820" w:type="dxa"/>
            <w:vAlign w:val="bottom"/>
          </w:tcPr>
          <w:p>
            <w:pPr>
              <w:ind w:left="460"/>
              <w:spacing w:after="0"/>
              <w:rPr>
                <w:sz w:val="20"/>
                <w:szCs w:val="20"/>
                <w:color w:val="auto"/>
              </w:rPr>
            </w:pPr>
            <w:r>
              <w:rPr>
                <w:rFonts w:ascii="Arial" w:cs="Arial" w:eastAsia="Arial" w:hAnsi="Arial"/>
                <w:sz w:val="18"/>
                <w:szCs w:val="18"/>
                <w:color w:val="auto"/>
                <w:w w:val="99"/>
              </w:rPr>
              <w:t>Amortization of and write-off acquired intangible assets</w:t>
            </w:r>
          </w:p>
        </w:tc>
        <w:tc>
          <w:tcPr>
            <w:tcW w:w="140" w:type="dxa"/>
            <w:vAlign w:val="bottom"/>
          </w:tcPr>
          <w:p>
            <w:pPr>
              <w:spacing w:after="0"/>
              <w:rPr>
                <w:sz w:val="21"/>
                <w:szCs w:val="21"/>
                <w:color w:val="auto"/>
              </w:rPr>
            </w:pPr>
          </w:p>
        </w:tc>
        <w:tc>
          <w:tcPr>
            <w:tcW w:w="1040" w:type="dxa"/>
            <w:vAlign w:val="bottom"/>
          </w:tcPr>
          <w:p>
            <w:pPr>
              <w:jc w:val="right"/>
              <w:ind w:right="51"/>
              <w:spacing w:after="0"/>
              <w:rPr>
                <w:sz w:val="20"/>
                <w:szCs w:val="20"/>
                <w:color w:val="auto"/>
              </w:rPr>
            </w:pPr>
            <w:r>
              <w:rPr>
                <w:rFonts w:ascii="Arial" w:cs="Arial" w:eastAsia="Arial" w:hAnsi="Arial"/>
                <w:sz w:val="18"/>
                <w:szCs w:val="18"/>
                <w:color w:val="auto"/>
              </w:rPr>
              <w:t>1,065</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1,071</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2,299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2,136</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4,597</w:t>
            </w:r>
          </w:p>
        </w:tc>
        <w:tc>
          <w:tcPr>
            <w:tcW w:w="0" w:type="dxa"/>
            <w:vAlign w:val="bottom"/>
          </w:tcPr>
          <w:p>
            <w:pPr>
              <w:spacing w:after="0"/>
              <w:rPr>
                <w:sz w:val="1"/>
                <w:szCs w:val="1"/>
                <w:color w:val="auto"/>
              </w:rPr>
            </w:pPr>
          </w:p>
        </w:tc>
      </w:tr>
      <w:tr>
        <w:trPr>
          <w:trHeight w:val="27"/>
        </w:trPr>
        <w:tc>
          <w:tcPr>
            <w:tcW w:w="4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8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4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1,687</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2,303</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3,990</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1,229</w:t>
            </w:r>
          </w:p>
        </w:tc>
        <w:tc>
          <w:tcPr>
            <w:tcW w:w="0" w:type="dxa"/>
            <w:vAlign w:val="bottom"/>
          </w:tcPr>
          <w:p>
            <w:pPr>
              <w:spacing w:after="0"/>
              <w:rPr>
                <w:sz w:val="1"/>
                <w:szCs w:val="1"/>
                <w:color w:val="auto"/>
              </w:rPr>
            </w:pPr>
          </w:p>
        </w:tc>
      </w:tr>
      <w:tr>
        <w:trPr>
          <w:trHeight w:val="237"/>
        </w:trPr>
        <w:tc>
          <w:tcPr>
            <w:tcW w:w="4820" w:type="dxa"/>
            <w:vAlign w:val="bottom"/>
          </w:tcPr>
          <w:p>
            <w:pPr>
              <w:ind w:left="40"/>
              <w:spacing w:after="0"/>
              <w:rPr>
                <w:sz w:val="20"/>
                <w:szCs w:val="20"/>
                <w:color w:val="auto"/>
              </w:rPr>
            </w:pPr>
            <w:r>
              <w:rPr>
                <w:rFonts w:ascii="Arial" w:cs="Arial" w:eastAsia="Arial" w:hAnsi="Arial"/>
                <w:sz w:val="18"/>
                <w:szCs w:val="18"/>
                <w:color w:val="auto"/>
              </w:rPr>
              <w:t>Pre-tax total special items</w:t>
            </w:r>
          </w:p>
        </w:tc>
        <w:tc>
          <w:tcPr>
            <w:tcW w:w="140" w:type="dxa"/>
            <w:vAlign w:val="bottom"/>
            <w:tcBorders>
              <w:top w:val="single" w:sz="8" w:color="auto"/>
            </w:tcBorders>
          </w:tcPr>
          <w:p>
            <w:pPr>
              <w:spacing w:after="0"/>
              <w:rPr>
                <w:sz w:val="20"/>
                <w:szCs w:val="20"/>
                <w:color w:val="auto"/>
              </w:rPr>
            </w:pPr>
          </w:p>
        </w:tc>
        <w:tc>
          <w:tcPr>
            <w:tcW w:w="104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28,319</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0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25,999</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36,086</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54,318</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65,495</w:t>
            </w:r>
          </w:p>
        </w:tc>
        <w:tc>
          <w:tcPr>
            <w:tcW w:w="0" w:type="dxa"/>
            <w:vAlign w:val="bottom"/>
          </w:tcPr>
          <w:p>
            <w:pPr>
              <w:spacing w:after="0"/>
              <w:rPr>
                <w:sz w:val="1"/>
                <w:szCs w:val="1"/>
                <w:color w:val="auto"/>
              </w:rPr>
            </w:pPr>
          </w:p>
        </w:tc>
      </w:tr>
      <w:tr>
        <w:trPr>
          <w:trHeight w:val="27"/>
        </w:trPr>
        <w:tc>
          <w:tcPr>
            <w:tcW w:w="48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82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 xml:space="preserve">Other income tax effects and adjustments </w:t>
            </w:r>
            <w:r>
              <w:rPr>
                <w:rFonts w:ascii="Arial" w:cs="Arial" w:eastAsia="Arial" w:hAnsi="Arial"/>
                <w:sz w:val="18"/>
                <w:szCs w:val="18"/>
                <w:i w:val="1"/>
                <w:iCs w:val="1"/>
                <w:color w:val="auto"/>
              </w:rPr>
              <w:t>(e)</w:t>
            </w:r>
          </w:p>
        </w:tc>
        <w:tc>
          <w:tcPr>
            <w:tcW w:w="140" w:type="dxa"/>
            <w:vAlign w:val="bottom"/>
            <w:tcBorders>
              <w:bottom w:val="single" w:sz="8" w:color="CCEEFF"/>
            </w:tcBorders>
            <w:shd w:val="clear" w:color="auto" w:fill="CCEEFF"/>
          </w:tcPr>
          <w:p>
            <w:pPr>
              <w:spacing w:after="0"/>
              <w:rPr>
                <w:sz w:val="22"/>
                <w:szCs w:val="22"/>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(10,298)</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(10,362)</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(1,071)</w:t>
            </w:r>
          </w:p>
        </w:tc>
        <w:tc>
          <w:tcPr>
            <w:tcW w:w="0" w:type="dxa"/>
            <w:vAlign w:val="bottom"/>
          </w:tcPr>
          <w:p>
            <w:pPr>
              <w:spacing w:after="0"/>
              <w:rPr>
                <w:sz w:val="1"/>
                <w:szCs w:val="1"/>
                <w:color w:val="auto"/>
              </w:rPr>
            </w:pPr>
          </w:p>
        </w:tc>
      </w:tr>
      <w:tr>
        <w:trPr>
          <w:trHeight w:val="237"/>
        </w:trPr>
        <w:tc>
          <w:tcPr>
            <w:tcW w:w="4820" w:type="dxa"/>
            <w:vAlign w:val="bottom"/>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51"/>
              <w:spacing w:after="0"/>
              <w:rPr>
                <w:sz w:val="20"/>
                <w:szCs w:val="20"/>
                <w:color w:val="auto"/>
              </w:rPr>
            </w:pPr>
            <w:r>
              <w:rPr>
                <w:rFonts w:ascii="Arial" w:cs="Arial" w:eastAsia="Arial" w:hAnsi="Arial"/>
                <w:sz w:val="18"/>
                <w:szCs w:val="18"/>
                <w:color w:val="auto"/>
              </w:rPr>
              <w:t>153,471</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125,527</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98,552</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278,998</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119,598</w:t>
            </w:r>
          </w:p>
        </w:tc>
        <w:tc>
          <w:tcPr>
            <w:tcW w:w="0" w:type="dxa"/>
            <w:vAlign w:val="bottom"/>
          </w:tcPr>
          <w:p>
            <w:pPr>
              <w:spacing w:after="0"/>
              <w:rPr>
                <w:sz w:val="1"/>
                <w:szCs w:val="1"/>
                <w:color w:val="auto"/>
              </w:rPr>
            </w:pPr>
          </w:p>
        </w:tc>
      </w:tr>
      <w:tr>
        <w:trPr>
          <w:trHeight w:val="67"/>
        </w:trPr>
        <w:tc>
          <w:tcPr>
            <w:tcW w:w="48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0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8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0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0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324"/>
        </w:trPr>
        <w:tc>
          <w:tcPr>
            <w:tcW w:w="48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8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0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00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820" w:type="dxa"/>
            <w:vAlign w:val="bottom"/>
          </w:tcPr>
          <w:p>
            <w:pPr>
              <w:ind w:left="40"/>
              <w:spacing w:after="0"/>
              <w:rPr>
                <w:sz w:val="20"/>
                <w:szCs w:val="20"/>
                <w:color w:val="auto"/>
              </w:rPr>
            </w:pPr>
            <w:r>
              <w:rPr>
                <w:rFonts w:ascii="Arial" w:cs="Arial" w:eastAsia="Arial" w:hAnsi="Arial"/>
                <w:sz w:val="18"/>
                <w:szCs w:val="18"/>
                <w:color w:val="auto"/>
              </w:rPr>
              <w:t>Weighted average shares — basic</w:t>
            </w:r>
          </w:p>
        </w:tc>
        <w:tc>
          <w:tcPr>
            <w:tcW w:w="140" w:type="dxa"/>
            <w:vAlign w:val="bottom"/>
          </w:tcPr>
          <w:p>
            <w:pPr>
              <w:spacing w:after="0"/>
              <w:rPr>
                <w:sz w:val="21"/>
                <w:szCs w:val="21"/>
                <w:color w:val="auto"/>
              </w:rPr>
            </w:pPr>
          </w:p>
        </w:tc>
        <w:tc>
          <w:tcPr>
            <w:tcW w:w="1040" w:type="dxa"/>
            <w:vAlign w:val="bottom"/>
          </w:tcPr>
          <w:p>
            <w:pPr>
              <w:jc w:val="right"/>
              <w:ind w:right="51"/>
              <w:spacing w:after="0"/>
              <w:rPr>
                <w:sz w:val="20"/>
                <w:szCs w:val="20"/>
                <w:color w:val="auto"/>
              </w:rPr>
            </w:pPr>
            <w:r>
              <w:rPr>
                <w:rFonts w:ascii="Arial" w:cs="Arial" w:eastAsia="Arial" w:hAnsi="Arial"/>
                <w:sz w:val="18"/>
                <w:szCs w:val="18"/>
                <w:color w:val="auto"/>
              </w:rPr>
              <w:t>500,817</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503,790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511,235</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502,303</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510,014</w:t>
            </w:r>
          </w:p>
        </w:tc>
        <w:tc>
          <w:tcPr>
            <w:tcW w:w="0" w:type="dxa"/>
            <w:vAlign w:val="bottom"/>
          </w:tcPr>
          <w:p>
            <w:pPr>
              <w:spacing w:after="0"/>
              <w:rPr>
                <w:sz w:val="1"/>
                <w:szCs w:val="1"/>
                <w:color w:val="auto"/>
              </w:rPr>
            </w:pPr>
          </w:p>
        </w:tc>
      </w:tr>
      <w:tr>
        <w:trPr>
          <w:trHeight w:val="67"/>
        </w:trPr>
        <w:tc>
          <w:tcPr>
            <w:tcW w:w="48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0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82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Weighted average shares — diluted</w:t>
            </w:r>
          </w:p>
        </w:tc>
        <w:tc>
          <w:tcPr>
            <w:tcW w:w="14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510,309</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517,592</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514,314</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513,951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513,669</w:t>
            </w:r>
          </w:p>
        </w:tc>
        <w:tc>
          <w:tcPr>
            <w:tcW w:w="0" w:type="dxa"/>
            <w:vAlign w:val="bottom"/>
          </w:tcPr>
          <w:p>
            <w:pPr>
              <w:spacing w:after="0"/>
              <w:rPr>
                <w:sz w:val="1"/>
                <w:szCs w:val="1"/>
                <w:color w:val="auto"/>
              </w:rPr>
            </w:pPr>
          </w:p>
        </w:tc>
      </w:tr>
      <w:tr>
        <w:trPr>
          <w:trHeight w:val="20"/>
        </w:trPr>
        <w:tc>
          <w:tcPr>
            <w:tcW w:w="482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weighted average shares — diluted (f)</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820" w:type="dxa"/>
            <w:vAlign w:val="bottom"/>
            <w:vMerge w:val="continue"/>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tcPr>
          <w:p>
            <w:pPr>
              <w:jc w:val="right"/>
              <w:ind w:right="51"/>
              <w:spacing w:after="0"/>
              <w:rPr>
                <w:sz w:val="20"/>
                <w:szCs w:val="20"/>
                <w:color w:val="auto"/>
              </w:rPr>
            </w:pPr>
            <w:r>
              <w:rPr>
                <w:rFonts w:ascii="Arial" w:cs="Arial" w:eastAsia="Arial" w:hAnsi="Arial"/>
                <w:sz w:val="18"/>
                <w:szCs w:val="18"/>
                <w:color w:val="auto"/>
              </w:rPr>
              <w:t>519,438</w:t>
            </w: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20" w:type="dxa"/>
            <w:vAlign w:val="bottom"/>
          </w:tcPr>
          <w:p>
            <w:pPr>
              <w:jc w:val="right"/>
              <w:ind w:right="11"/>
              <w:spacing w:after="0"/>
              <w:rPr>
                <w:sz w:val="20"/>
                <w:szCs w:val="20"/>
                <w:color w:val="auto"/>
              </w:rPr>
            </w:pPr>
            <w:r>
              <w:rPr>
                <w:rFonts w:ascii="Arial" w:cs="Arial" w:eastAsia="Arial" w:hAnsi="Arial"/>
                <w:sz w:val="18"/>
                <w:szCs w:val="18"/>
                <w:color w:val="auto"/>
              </w:rPr>
              <w:t>523,154</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526,453</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521,296</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0" w:type="dxa"/>
            <w:vAlign w:val="bottom"/>
          </w:tcPr>
          <w:p>
            <w:pPr>
              <w:jc w:val="right"/>
              <w:ind w:right="11"/>
              <w:spacing w:after="0"/>
              <w:rPr>
                <w:sz w:val="20"/>
                <w:szCs w:val="20"/>
                <w:color w:val="auto"/>
              </w:rPr>
            </w:pPr>
            <w:r>
              <w:rPr>
                <w:rFonts w:ascii="Arial" w:cs="Arial" w:eastAsia="Arial" w:hAnsi="Arial"/>
                <w:sz w:val="18"/>
                <w:szCs w:val="18"/>
                <w:color w:val="auto"/>
              </w:rPr>
              <w:t>524,408</w:t>
            </w:r>
          </w:p>
        </w:tc>
        <w:tc>
          <w:tcPr>
            <w:tcW w:w="0" w:type="dxa"/>
            <w:vAlign w:val="bottom"/>
          </w:tcPr>
          <w:p>
            <w:pPr>
              <w:spacing w:after="0"/>
              <w:rPr>
                <w:sz w:val="1"/>
                <w:szCs w:val="1"/>
                <w:color w:val="auto"/>
              </w:rPr>
            </w:pPr>
          </w:p>
        </w:tc>
      </w:tr>
      <w:tr>
        <w:trPr>
          <w:trHeight w:val="67"/>
        </w:trPr>
        <w:tc>
          <w:tcPr>
            <w:tcW w:w="48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0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8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0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9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00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4820" w:type="dxa"/>
            <w:vAlign w:val="bottom"/>
          </w:tcPr>
          <w:p>
            <w:pPr>
              <w:ind w:left="40"/>
              <w:spacing w:after="0"/>
              <w:rPr>
                <w:sz w:val="20"/>
                <w:szCs w:val="20"/>
                <w:color w:val="auto"/>
              </w:rPr>
            </w:pPr>
            <w:r>
              <w:rPr>
                <w:rFonts w:ascii="Arial" w:cs="Arial" w:eastAsia="Arial" w:hAnsi="Arial"/>
                <w:sz w:val="18"/>
                <w:szCs w:val="18"/>
                <w:color w:val="auto"/>
              </w:rPr>
              <w:t>GAAP diluted net income (loss) per share from continuing</w:t>
            </w: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vMerge w:val="restart"/>
          </w:tcPr>
          <w:p>
            <w:pPr>
              <w:jc w:val="right"/>
              <w:ind w:right="51"/>
              <w:spacing w:after="0"/>
              <w:rPr>
                <w:sz w:val="20"/>
                <w:szCs w:val="20"/>
                <w:color w:val="auto"/>
              </w:rPr>
            </w:pPr>
            <w:r>
              <w:rPr>
                <w:rFonts w:ascii="Arial" w:cs="Arial" w:eastAsia="Arial" w:hAnsi="Arial"/>
                <w:sz w:val="18"/>
                <w:szCs w:val="18"/>
                <w:color w:val="auto"/>
              </w:rPr>
              <w:t>0.26</w:t>
            </w:r>
          </w:p>
        </w:tc>
        <w:tc>
          <w:tcPr>
            <w:tcW w:w="220" w:type="dxa"/>
            <w:vAlign w:val="bottom"/>
            <w:vMerge w:val="restart"/>
          </w:tcPr>
          <w:p>
            <w:pPr>
              <w:spacing w:after="0"/>
              <w:rPr>
                <w:sz w:val="19"/>
                <w:szCs w:val="19"/>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vMerge w:val="restart"/>
          </w:tcPr>
          <w:p>
            <w:pPr>
              <w:jc w:val="right"/>
              <w:ind w:right="11"/>
              <w:spacing w:after="0"/>
              <w:rPr>
                <w:sz w:val="20"/>
                <w:szCs w:val="20"/>
                <w:color w:val="auto"/>
              </w:rPr>
            </w:pPr>
            <w:r>
              <w:rPr>
                <w:rFonts w:ascii="Arial" w:cs="Arial" w:eastAsia="Arial" w:hAnsi="Arial"/>
                <w:sz w:val="18"/>
                <w:szCs w:val="18"/>
                <w:color w:val="auto"/>
              </w:rPr>
              <w:t>0.19</w:t>
            </w:r>
          </w:p>
        </w:tc>
        <w:tc>
          <w:tcPr>
            <w:tcW w:w="220" w:type="dxa"/>
            <w:vAlign w:val="bottom"/>
          </w:tcPr>
          <w:p>
            <w:pPr>
              <w:spacing w:after="0"/>
              <w:rPr>
                <w:sz w:val="19"/>
                <w:szCs w:val="19"/>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vMerge w:val="restart"/>
          </w:tcPr>
          <w:p>
            <w:pPr>
              <w:jc w:val="right"/>
              <w:ind w:right="11"/>
              <w:spacing w:after="0"/>
              <w:rPr>
                <w:sz w:val="20"/>
                <w:szCs w:val="20"/>
                <w:color w:val="auto"/>
              </w:rPr>
            </w:pPr>
            <w:r>
              <w:rPr>
                <w:rFonts w:ascii="Arial" w:cs="Arial" w:eastAsia="Arial" w:hAnsi="Arial"/>
                <w:sz w:val="18"/>
                <w:szCs w:val="18"/>
                <w:color w:val="auto"/>
              </w:rPr>
              <w:t>0.12</w:t>
            </w:r>
          </w:p>
        </w:tc>
        <w:tc>
          <w:tcPr>
            <w:tcW w:w="220" w:type="dxa"/>
            <w:vAlign w:val="bottom"/>
          </w:tcPr>
          <w:p>
            <w:pPr>
              <w:spacing w:after="0"/>
              <w:rPr>
                <w:sz w:val="19"/>
                <w:szCs w:val="19"/>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vMerge w:val="restart"/>
          </w:tcPr>
          <w:p>
            <w:pPr>
              <w:jc w:val="right"/>
              <w:ind w:right="12"/>
              <w:spacing w:after="0"/>
              <w:rPr>
                <w:sz w:val="20"/>
                <w:szCs w:val="20"/>
                <w:color w:val="auto"/>
              </w:rPr>
            </w:pPr>
            <w:r>
              <w:rPr>
                <w:rFonts w:ascii="Arial" w:cs="Arial" w:eastAsia="Arial" w:hAnsi="Arial"/>
                <w:sz w:val="18"/>
                <w:szCs w:val="18"/>
                <w:color w:val="auto"/>
              </w:rPr>
              <w:t>0.46</w:t>
            </w:r>
          </w:p>
        </w:tc>
        <w:tc>
          <w:tcPr>
            <w:tcW w:w="220" w:type="dxa"/>
            <w:vAlign w:val="bottom"/>
          </w:tcPr>
          <w:p>
            <w:pPr>
              <w:spacing w:after="0"/>
              <w:rPr>
                <w:sz w:val="19"/>
                <w:szCs w:val="19"/>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vMerge w:val="restart"/>
          </w:tcPr>
          <w:p>
            <w:pPr>
              <w:jc w:val="right"/>
              <w:ind w:right="11"/>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77"/>
        </w:trPr>
        <w:tc>
          <w:tcPr>
            <w:tcW w:w="482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operations</w:t>
            </w:r>
          </w:p>
        </w:tc>
        <w:tc>
          <w:tcPr>
            <w:tcW w:w="140" w:type="dxa"/>
            <w:vAlign w:val="bottom"/>
            <w:tcBorders>
              <w:bottom w:val="single" w:sz="8" w:color="auto"/>
            </w:tcBorders>
            <w:vMerge w:val="continue"/>
          </w:tcPr>
          <w:p>
            <w:pPr>
              <w:spacing w:after="0"/>
              <w:rPr>
                <w:sz w:val="24"/>
                <w:szCs w:val="24"/>
                <w:color w:val="auto"/>
              </w:rPr>
            </w:pPr>
          </w:p>
        </w:tc>
        <w:tc>
          <w:tcPr>
            <w:tcW w:w="104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vMerge w:val="continue"/>
          </w:tcPr>
          <w:p>
            <w:pPr>
              <w:spacing w:after="0"/>
              <w:rPr>
                <w:sz w:val="24"/>
                <w:szCs w:val="24"/>
                <w:color w:val="auto"/>
              </w:rPr>
            </w:pPr>
          </w:p>
        </w:tc>
        <w:tc>
          <w:tcPr>
            <w:tcW w:w="120" w:type="dxa"/>
            <w:vAlign w:val="bottom"/>
            <w:tcBorders>
              <w:bottom w:val="single" w:sz="8" w:color="auto"/>
            </w:tcBorders>
            <w:vMerge w:val="continue"/>
          </w:tcPr>
          <w:p>
            <w:pPr>
              <w:spacing w:after="0"/>
              <w:rPr>
                <w:sz w:val="24"/>
                <w:szCs w:val="24"/>
                <w:color w:val="auto"/>
              </w:rPr>
            </w:pPr>
          </w:p>
        </w:tc>
        <w:tc>
          <w:tcPr>
            <w:tcW w:w="102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140" w:type="dxa"/>
            <w:vAlign w:val="bottom"/>
            <w:tcBorders>
              <w:bottom w:val="single" w:sz="8" w:color="auto"/>
            </w:tcBorders>
            <w:vMerge w:val="continue"/>
          </w:tcPr>
          <w:p>
            <w:pPr>
              <w:spacing w:after="0"/>
              <w:rPr>
                <w:sz w:val="24"/>
                <w:szCs w:val="24"/>
                <w:color w:val="auto"/>
              </w:rPr>
            </w:pPr>
          </w:p>
        </w:tc>
        <w:tc>
          <w:tcPr>
            <w:tcW w:w="100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140" w:type="dxa"/>
            <w:vAlign w:val="bottom"/>
            <w:tcBorders>
              <w:bottom w:val="single" w:sz="8" w:color="auto"/>
            </w:tcBorders>
            <w:vMerge w:val="continue"/>
          </w:tcPr>
          <w:p>
            <w:pPr>
              <w:spacing w:after="0"/>
              <w:rPr>
                <w:sz w:val="24"/>
                <w:szCs w:val="24"/>
                <w:color w:val="auto"/>
              </w:rPr>
            </w:pPr>
          </w:p>
        </w:tc>
        <w:tc>
          <w:tcPr>
            <w:tcW w:w="98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140" w:type="dxa"/>
            <w:vAlign w:val="bottom"/>
            <w:tcBorders>
              <w:bottom w:val="single" w:sz="8" w:color="auto"/>
            </w:tcBorders>
            <w:vMerge w:val="continue"/>
          </w:tcPr>
          <w:p>
            <w:pPr>
              <w:spacing w:after="0"/>
              <w:rPr>
                <w:sz w:val="24"/>
                <w:szCs w:val="24"/>
                <w:color w:val="auto"/>
              </w:rPr>
            </w:pPr>
          </w:p>
        </w:tc>
        <w:tc>
          <w:tcPr>
            <w:tcW w:w="100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4820" w:type="dxa"/>
            <w:vAlign w:val="bottom"/>
            <w:shd w:val="clear" w:color="auto" w:fill="CCEEFF"/>
          </w:tcPr>
          <w:p>
            <w:pPr>
              <w:ind w:left="40"/>
              <w:spacing w:after="0" w:line="189" w:lineRule="exact"/>
              <w:rPr>
                <w:sz w:val="20"/>
                <w:szCs w:val="20"/>
                <w:color w:val="auto"/>
              </w:rPr>
            </w:pPr>
            <w:r>
              <w:rPr>
                <w:rFonts w:ascii="Arial" w:cs="Arial" w:eastAsia="Arial" w:hAnsi="Arial"/>
                <w:sz w:val="18"/>
                <w:szCs w:val="18"/>
                <w:color w:val="auto"/>
              </w:rPr>
              <w:t>Non-GAAP diluted net income per share from continuing</w:t>
            </w: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vMerge w:val="restart"/>
            <w:shd w:val="clear" w:color="auto" w:fill="CCEEFF"/>
          </w:tcPr>
          <w:p>
            <w:pPr>
              <w:jc w:val="right"/>
              <w:ind w:right="51"/>
              <w:spacing w:after="0"/>
              <w:rPr>
                <w:sz w:val="20"/>
                <w:szCs w:val="20"/>
                <w:color w:val="auto"/>
              </w:rPr>
            </w:pPr>
            <w:r>
              <w:rPr>
                <w:rFonts w:ascii="Arial" w:cs="Arial" w:eastAsia="Arial" w:hAnsi="Arial"/>
                <w:sz w:val="18"/>
                <w:szCs w:val="18"/>
                <w:color w:val="auto"/>
              </w:rPr>
              <w:t>0.30</w:t>
            </w:r>
          </w:p>
        </w:tc>
        <w:tc>
          <w:tcPr>
            <w:tcW w:w="34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vMerge w:val="restart"/>
            <w:shd w:val="clear" w:color="auto" w:fill="CCEEFF"/>
          </w:tcPr>
          <w:p>
            <w:pPr>
              <w:jc w:val="right"/>
              <w:ind w:right="11"/>
              <w:spacing w:after="0"/>
              <w:rPr>
                <w:sz w:val="20"/>
                <w:szCs w:val="20"/>
                <w:color w:val="auto"/>
              </w:rPr>
            </w:pPr>
            <w:r>
              <w:rPr>
                <w:rFonts w:ascii="Arial" w:cs="Arial" w:eastAsia="Arial" w:hAnsi="Arial"/>
                <w:sz w:val="18"/>
                <w:szCs w:val="18"/>
                <w:color w:val="auto"/>
              </w:rPr>
              <w:t>0.24</w:t>
            </w:r>
          </w:p>
        </w:tc>
        <w:tc>
          <w:tcPr>
            <w:tcW w:w="220" w:type="dxa"/>
            <w:vAlign w:val="bottom"/>
            <w:shd w:val="clear" w:color="auto" w:fill="CCEEFF"/>
          </w:tcPr>
          <w:p>
            <w:pPr>
              <w:spacing w:after="0"/>
              <w:rPr>
                <w:sz w:val="16"/>
                <w:szCs w:val="16"/>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vMerge w:val="restart"/>
            <w:shd w:val="clear" w:color="auto" w:fill="CCEEFF"/>
          </w:tcPr>
          <w:p>
            <w:pPr>
              <w:jc w:val="right"/>
              <w:ind w:right="11"/>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spacing w:after="0"/>
              <w:rPr>
                <w:sz w:val="16"/>
                <w:szCs w:val="16"/>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vMerge w:val="restart"/>
            <w:shd w:val="clear" w:color="auto" w:fill="CCEEFF"/>
          </w:tcPr>
          <w:p>
            <w:pPr>
              <w:jc w:val="right"/>
              <w:ind w:right="12"/>
              <w:spacing w:after="0"/>
              <w:rPr>
                <w:sz w:val="20"/>
                <w:szCs w:val="20"/>
                <w:color w:val="auto"/>
              </w:rPr>
            </w:pPr>
            <w:r>
              <w:rPr>
                <w:rFonts w:ascii="Arial" w:cs="Arial" w:eastAsia="Arial" w:hAnsi="Arial"/>
                <w:sz w:val="18"/>
                <w:szCs w:val="18"/>
                <w:color w:val="auto"/>
              </w:rPr>
              <w:t>0.54</w:t>
            </w:r>
          </w:p>
        </w:tc>
        <w:tc>
          <w:tcPr>
            <w:tcW w:w="220" w:type="dxa"/>
            <w:vAlign w:val="bottom"/>
            <w:shd w:val="clear" w:color="auto" w:fill="CCEEFF"/>
          </w:tcPr>
          <w:p>
            <w:pPr>
              <w:spacing w:after="0"/>
              <w:rPr>
                <w:sz w:val="16"/>
                <w:szCs w:val="16"/>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00" w:type="dxa"/>
            <w:vAlign w:val="bottom"/>
            <w:vMerge w:val="restart"/>
            <w:shd w:val="clear" w:color="auto" w:fill="CCEEFF"/>
          </w:tcPr>
          <w:p>
            <w:pPr>
              <w:jc w:val="right"/>
              <w:ind w:right="11"/>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37"/>
        </w:trPr>
        <w:tc>
          <w:tcPr>
            <w:tcW w:w="48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operations</w:t>
            </w:r>
          </w:p>
        </w:tc>
        <w:tc>
          <w:tcPr>
            <w:tcW w:w="140" w:type="dxa"/>
            <w:vAlign w:val="bottom"/>
            <w:vMerge w:val="continue"/>
            <w:shd w:val="clear" w:color="auto" w:fill="CCEEFF"/>
          </w:tcPr>
          <w:p>
            <w:pPr>
              <w:spacing w:after="0"/>
              <w:rPr>
                <w:sz w:val="20"/>
                <w:szCs w:val="20"/>
                <w:color w:val="auto"/>
              </w:rPr>
            </w:pPr>
          </w:p>
        </w:tc>
        <w:tc>
          <w:tcPr>
            <w:tcW w:w="1040" w:type="dxa"/>
            <w:vAlign w:val="bottom"/>
            <w:vMerge w:val="continue"/>
            <w:shd w:val="clear" w:color="auto" w:fill="CCEEFF"/>
          </w:tcPr>
          <w:p>
            <w:pPr>
              <w:spacing w:after="0"/>
              <w:rPr>
                <w:sz w:val="20"/>
                <w:szCs w:val="20"/>
                <w:color w:val="auto"/>
              </w:rPr>
            </w:pPr>
          </w:p>
        </w:tc>
        <w:tc>
          <w:tcPr>
            <w:tcW w:w="340" w:type="dxa"/>
            <w:vAlign w:val="bottom"/>
            <w:gridSpan w:val="2"/>
            <w:vMerge w:val="continue"/>
            <w:shd w:val="clear" w:color="auto" w:fill="CCEEFF"/>
          </w:tcPr>
          <w:p>
            <w:pPr>
              <w:spacing w:after="0"/>
              <w:rPr>
                <w:sz w:val="20"/>
                <w:szCs w:val="20"/>
                <w:color w:val="auto"/>
              </w:rPr>
            </w:pPr>
          </w:p>
        </w:tc>
        <w:tc>
          <w:tcPr>
            <w:tcW w:w="102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00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98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00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8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553" w:right="239" w:bottom="1440" w:gutter="0" w:footer="0" w:header="0"/>
        </w:sectPr>
      </w:pPr>
    </w:p>
    <w:bookmarkStart w:id="14" w:name="page15"/>
    <w:bookmarkEnd w:id="14"/>
    <w:p>
      <w:pPr>
        <w:ind w:left="465" w:hanging="465"/>
        <w:spacing w:after="0"/>
        <w:tabs>
          <w:tab w:leader="none" w:pos="465"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Other costs of goods sold in the three and six months ended July 29, 2017 include charges for past intellectual property licensing matters.</w:t>
      </w:r>
    </w:p>
    <w:p>
      <w:pPr>
        <w:spacing w:after="0" w:line="209" w:lineRule="exact"/>
        <w:rPr>
          <w:rFonts w:ascii="Arial" w:cs="Arial" w:eastAsia="Arial" w:hAnsi="Arial"/>
          <w:sz w:val="17"/>
          <w:szCs w:val="17"/>
          <w:i w:val="1"/>
          <w:iCs w:val="1"/>
          <w:color w:val="auto"/>
        </w:rPr>
      </w:pPr>
    </w:p>
    <w:p>
      <w:pPr>
        <w:ind w:left="465" w:right="22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costs that are a direct result of restructuring. Such charges include employee severance, facilities related costs, contract cancellation charges and impairment of equipment.</w:t>
      </w:r>
    </w:p>
    <w:p>
      <w:pPr>
        <w:spacing w:after="0" w:line="143" w:lineRule="exact"/>
        <w:rPr>
          <w:rFonts w:ascii="Arial" w:cs="Arial" w:eastAsia="Arial" w:hAnsi="Arial"/>
          <w:sz w:val="18"/>
          <w:szCs w:val="18"/>
          <w:i w:val="1"/>
          <w:iCs w:val="1"/>
          <w:color w:val="auto"/>
        </w:rPr>
      </w:pPr>
    </w:p>
    <w:p>
      <w:pPr>
        <w:ind w:left="465" w:right="46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in the three and six months ended July 29, 2017 include costs of retention bonuses offered to employees who remained through the ramp down of certain operations due to the restructuring actions.</w:t>
      </w:r>
    </w:p>
    <w:p>
      <w:pPr>
        <w:spacing w:after="0" w:line="143" w:lineRule="exact"/>
        <w:rPr>
          <w:rFonts w:ascii="Arial" w:cs="Arial" w:eastAsia="Arial" w:hAnsi="Arial"/>
          <w:sz w:val="18"/>
          <w:szCs w:val="18"/>
          <w:i w:val="1"/>
          <w:iCs w:val="1"/>
          <w:color w:val="auto"/>
        </w:rPr>
      </w:pPr>
    </w:p>
    <w:p>
      <w:pPr>
        <w:ind w:left="465"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gain on sale of a business and foreign currency losses related to restructuring related accruals.</w:t>
      </w:r>
    </w:p>
    <w:p>
      <w:pPr>
        <w:spacing w:after="0" w:line="143" w:lineRule="exact"/>
        <w:rPr>
          <w:rFonts w:ascii="Arial" w:cs="Arial" w:eastAsia="Arial" w:hAnsi="Arial"/>
          <w:sz w:val="18"/>
          <w:szCs w:val="18"/>
          <w:i w:val="1"/>
          <w:iCs w:val="1"/>
          <w:color w:val="auto"/>
        </w:rPr>
      </w:pPr>
    </w:p>
    <w:p>
      <w:pPr>
        <w:ind w:left="465" w:right="200" w:hanging="465"/>
        <w:spacing w:after="0" w:line="264"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in the three months ended July 29, 2017 and April 29, 2017 includes adjustment to the tax provision based on a non-GAAP tax rate of 4%. Other income tax effects and adjustments in the six months ended July 29, 2017 includes adjustment to the tax provision based on a non-GAAP tax rate of 4%.</w:t>
      </w:r>
    </w:p>
    <w:p>
      <w:pPr>
        <w:spacing w:after="0" w:line="154" w:lineRule="exact"/>
        <w:rPr>
          <w:rFonts w:ascii="Arial" w:cs="Arial" w:eastAsia="Arial" w:hAnsi="Arial"/>
          <w:sz w:val="18"/>
          <w:szCs w:val="18"/>
          <w:i w:val="1"/>
          <w:iCs w:val="1"/>
          <w:color w:val="auto"/>
        </w:rPr>
      </w:pPr>
    </w:p>
    <w:p>
      <w:pPr>
        <w:ind w:left="465" w:right="80" w:hanging="465"/>
        <w:spacing w:after="0" w:line="264"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 method.</w:t>
      </w:r>
    </w:p>
    <w:p>
      <w:pPr>
        <w:sectPr>
          <w:pgSz w:w="11900" w:h="16838" w:orient="portrait"/>
          <w:cols w:equalWidth="0" w:num="1">
            <w:col w:w="11345"/>
          </w:cols>
          <w:pgMar w:left="275" w:top="530" w:right="27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Quarterly Revenue Trend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jc w:val="center"/>
              <w:ind w:right="220"/>
              <w:spacing w:after="0"/>
              <w:rPr>
                <w:sz w:val="20"/>
                <w:szCs w:val="20"/>
                <w:color w:val="auto"/>
              </w:rPr>
            </w:pPr>
            <w:r>
              <w:rPr>
                <w:rFonts w:ascii="Arial" w:cs="Arial" w:eastAsia="Arial" w:hAnsi="Arial"/>
                <w:sz w:val="16"/>
                <w:szCs w:val="16"/>
                <w:b w:val="1"/>
                <w:bCs w:val="1"/>
                <w:color w:val="auto"/>
                <w:w w:val="92"/>
              </w:rPr>
              <w:t>Three Months Ended</w:t>
            </w:r>
          </w:p>
        </w:tc>
        <w:tc>
          <w:tcPr>
            <w:tcW w:w="2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80" w:type="dxa"/>
            <w:vAlign w:val="bottom"/>
            <w:gridSpan w:val="3"/>
          </w:tcPr>
          <w:p>
            <w:pPr>
              <w:ind w:left="10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80" w:type="dxa"/>
            <w:vAlign w:val="bottom"/>
            <w:tcBorders>
              <w:bottom w:val="single" w:sz="8" w:color="auto"/>
            </w:tcBorders>
            <w:gridSpan w:val="3"/>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1"/>
        </w:trPr>
        <w:tc>
          <w:tcPr>
            <w:tcW w:w="29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40" w:type="dxa"/>
            <w:vAlign w:val="bottom"/>
            <w:gridSpan w:val="2"/>
          </w:tcPr>
          <w:p>
            <w:pPr>
              <w:ind w:left="180"/>
              <w:spacing w:after="0"/>
              <w:rPr>
                <w:sz w:val="20"/>
                <w:szCs w:val="20"/>
                <w:color w:val="auto"/>
              </w:rPr>
            </w:pPr>
            <w:r>
              <w:rPr>
                <w:rFonts w:ascii="Arial" w:cs="Arial" w:eastAsia="Arial" w:hAnsi="Arial"/>
                <w:sz w:val="16"/>
                <w:szCs w:val="16"/>
                <w:b w:val="1"/>
                <w:bCs w:val="1"/>
                <w:color w:val="auto"/>
              </w:rPr>
              <w:t>July 29, 2017</w:t>
            </w:r>
          </w:p>
        </w:tc>
        <w:tc>
          <w:tcPr>
            <w:tcW w:w="140" w:type="dxa"/>
            <w:vAlign w:val="bottom"/>
          </w:tcPr>
          <w:p>
            <w:pPr>
              <w:spacing w:after="0"/>
              <w:rPr>
                <w:sz w:val="20"/>
                <w:szCs w:val="20"/>
                <w:color w:val="auto"/>
              </w:rPr>
            </w:pPr>
          </w:p>
        </w:tc>
        <w:tc>
          <w:tcPr>
            <w:tcW w:w="176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4"/>
              </w:rPr>
              <w:t>April 29, 2017</w:t>
            </w:r>
          </w:p>
        </w:tc>
        <w:tc>
          <w:tcPr>
            <w:tcW w:w="280" w:type="dxa"/>
            <w:vAlign w:val="bottom"/>
          </w:tcPr>
          <w:p>
            <w:pPr>
              <w:spacing w:after="0"/>
              <w:rPr>
                <w:sz w:val="20"/>
                <w:szCs w:val="20"/>
                <w:color w:val="auto"/>
              </w:rPr>
            </w:pPr>
          </w:p>
        </w:tc>
        <w:tc>
          <w:tcPr>
            <w:tcW w:w="1620" w:type="dxa"/>
            <w:vAlign w:val="bottom"/>
            <w:gridSpan w:val="2"/>
          </w:tcPr>
          <w:p>
            <w:pPr>
              <w:ind w:left="160"/>
              <w:spacing w:after="0"/>
              <w:rPr>
                <w:sz w:val="20"/>
                <w:szCs w:val="20"/>
                <w:color w:val="auto"/>
              </w:rPr>
            </w:pPr>
            <w:r>
              <w:rPr>
                <w:rFonts w:ascii="Arial" w:cs="Arial" w:eastAsia="Arial" w:hAnsi="Arial"/>
                <w:sz w:val="16"/>
                <w:szCs w:val="16"/>
                <w:b w:val="1"/>
                <w:bCs w:val="1"/>
                <w:color w:val="auto"/>
              </w:rPr>
              <w:t>July 30, 2016</w:t>
            </w:r>
          </w:p>
        </w:tc>
        <w:tc>
          <w:tcPr>
            <w:tcW w:w="1880" w:type="dxa"/>
            <w:vAlign w:val="bottom"/>
            <w:gridSpan w:val="3"/>
          </w:tcPr>
          <w:p>
            <w:pPr>
              <w:ind w:left="540"/>
              <w:spacing w:after="0"/>
              <w:rPr>
                <w:sz w:val="20"/>
                <w:szCs w:val="20"/>
                <w:color w:val="auto"/>
              </w:rPr>
            </w:pPr>
            <w:r>
              <w:rPr>
                <w:rFonts w:ascii="Arial" w:cs="Arial" w:eastAsia="Arial" w:hAnsi="Arial"/>
                <w:sz w:val="16"/>
                <w:szCs w:val="16"/>
                <w:b w:val="1"/>
                <w:bCs w:val="1"/>
                <w:color w:val="auto"/>
              </w:rPr>
              <w:t>YoY</w:t>
            </w: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260" w:type="dxa"/>
            <w:vAlign w:val="bottom"/>
            <w:tcBorders>
              <w:bottom w:val="single" w:sz="8" w:color="CCEEFF"/>
            </w:tcBorders>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311,501</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303,808</w:t>
            </w: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15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275,343</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13 %</w:t>
            </w:r>
          </w:p>
        </w:tc>
        <w:tc>
          <w:tcPr>
            <w:tcW w:w="10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3 %</w:t>
            </w:r>
          </w:p>
        </w:tc>
      </w:tr>
      <w:tr>
        <w:trPr>
          <w:trHeight w:val="237"/>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260" w:type="dxa"/>
            <w:vAlign w:val="bottom"/>
          </w:tcPr>
          <w:p>
            <w:pPr>
              <w:spacing w:after="0"/>
              <w:rPr>
                <w:sz w:val="20"/>
                <w:szCs w:val="20"/>
                <w:color w:val="auto"/>
              </w:rPr>
            </w:pPr>
          </w:p>
        </w:tc>
        <w:tc>
          <w:tcPr>
            <w:tcW w:w="1520" w:type="dxa"/>
            <w:vAlign w:val="bottom"/>
          </w:tcPr>
          <w:p>
            <w:pPr>
              <w:jc w:val="right"/>
              <w:ind w:right="19"/>
              <w:spacing w:after="0"/>
              <w:rPr>
                <w:sz w:val="20"/>
                <w:szCs w:val="20"/>
                <w:color w:val="auto"/>
              </w:rPr>
            </w:pPr>
            <w:r>
              <w:rPr>
                <w:rFonts w:ascii="Arial" w:cs="Arial" w:eastAsia="Arial" w:hAnsi="Arial"/>
                <w:sz w:val="16"/>
                <w:szCs w:val="16"/>
                <w:color w:val="auto"/>
              </w:rPr>
              <w:t>147,250</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39"/>
              <w:spacing w:after="0"/>
              <w:rPr>
                <w:sz w:val="20"/>
                <w:szCs w:val="20"/>
                <w:color w:val="auto"/>
              </w:rPr>
            </w:pPr>
            <w:r>
              <w:rPr>
                <w:rFonts w:ascii="Arial" w:cs="Arial" w:eastAsia="Arial" w:hAnsi="Arial"/>
                <w:sz w:val="16"/>
                <w:szCs w:val="16"/>
                <w:color w:val="auto"/>
              </w:rPr>
              <w:t>144,815</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520" w:type="dxa"/>
            <w:vAlign w:val="bottom"/>
          </w:tcPr>
          <w:p>
            <w:pPr>
              <w:jc w:val="right"/>
              <w:ind w:right="39"/>
              <w:spacing w:after="0"/>
              <w:rPr>
                <w:sz w:val="20"/>
                <w:szCs w:val="20"/>
                <w:color w:val="auto"/>
              </w:rPr>
            </w:pPr>
            <w:r>
              <w:rPr>
                <w:rFonts w:ascii="Arial" w:cs="Arial" w:eastAsia="Arial" w:hAnsi="Arial"/>
                <w:sz w:val="16"/>
                <w:szCs w:val="16"/>
                <w:color w:val="auto"/>
              </w:rPr>
              <w:t>156,614</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(6)%</w:t>
            </w:r>
          </w:p>
        </w:tc>
        <w:tc>
          <w:tcPr>
            <w:tcW w:w="1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2 %</w:t>
            </w:r>
          </w:p>
        </w:tc>
      </w:tr>
      <w:tr>
        <w:trPr>
          <w:trHeight w:val="33"/>
        </w:trPr>
        <w:tc>
          <w:tcPr>
            <w:tcW w:w="29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26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98,571</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76,091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92,689</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6 %</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30 %</w:t>
            </w:r>
          </w:p>
        </w:tc>
      </w:tr>
      <w:tr>
        <w:trPr>
          <w:trHeight w:val="217"/>
        </w:trPr>
        <w:tc>
          <w:tcPr>
            <w:tcW w:w="292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260" w:type="dxa"/>
            <w:vAlign w:val="bottom"/>
            <w:tcBorders>
              <w:top w:val="single" w:sz="8" w:color="auto"/>
            </w:tcBorders>
          </w:tcPr>
          <w:p>
            <w:pPr>
              <w:spacing w:after="0"/>
              <w:rPr>
                <w:sz w:val="18"/>
                <w:szCs w:val="18"/>
                <w:color w:val="auto"/>
              </w:rPr>
            </w:pPr>
          </w:p>
        </w:tc>
        <w:tc>
          <w:tcPr>
            <w:tcW w:w="152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557,322</w:t>
            </w:r>
          </w:p>
        </w:tc>
        <w:tc>
          <w:tcPr>
            <w:tcW w:w="12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66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524,714</w:t>
            </w:r>
          </w:p>
        </w:tc>
        <w:tc>
          <w:tcPr>
            <w:tcW w:w="10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52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524,646</w:t>
            </w:r>
          </w:p>
        </w:tc>
        <w:tc>
          <w:tcPr>
            <w:tcW w:w="100" w:type="dxa"/>
            <w:vAlign w:val="bottom"/>
          </w:tcPr>
          <w:p>
            <w:pPr>
              <w:spacing w:after="0"/>
              <w:rPr>
                <w:sz w:val="18"/>
                <w:szCs w:val="18"/>
                <w:color w:val="auto"/>
              </w:rPr>
            </w:pP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6 %</w:t>
            </w:r>
          </w:p>
        </w:tc>
        <w:tc>
          <w:tcPr>
            <w:tcW w:w="100" w:type="dxa"/>
            <w:vAlign w:val="bottom"/>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6 %</w:t>
            </w:r>
          </w:p>
        </w:tc>
      </w:tr>
      <w:tr>
        <w:trPr>
          <w:trHeight w:val="33"/>
        </w:trPr>
        <w:tc>
          <w:tcPr>
            <w:tcW w:w="29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26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47,428</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47,995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72,700</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(35)%</w:t>
            </w:r>
          </w:p>
        </w:tc>
        <w:tc>
          <w:tcPr>
            <w:tcW w:w="10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w:t>
            </w:r>
          </w:p>
        </w:tc>
      </w:tr>
      <w:tr>
        <w:trPr>
          <w:trHeight w:val="244"/>
        </w:trPr>
        <w:tc>
          <w:tcPr>
            <w:tcW w:w="2920" w:type="dxa"/>
            <w:vAlign w:val="bottom"/>
          </w:tcPr>
          <w:p>
            <w:pPr>
              <w:ind w:left="40"/>
              <w:spacing w:after="0"/>
              <w:rPr>
                <w:sz w:val="20"/>
                <w:szCs w:val="20"/>
                <w:color w:val="auto"/>
              </w:rPr>
            </w:pPr>
            <w:r>
              <w:rPr>
                <w:rFonts w:ascii="Arial" w:cs="Arial" w:eastAsia="Arial" w:hAnsi="Arial"/>
                <w:sz w:val="16"/>
                <w:szCs w:val="16"/>
                <w:color w:val="auto"/>
              </w:rPr>
              <w:t xml:space="preserve">Total Revenue </w:t>
            </w:r>
            <w:r>
              <w:rPr>
                <w:rFonts w:ascii="Arial" w:cs="Arial" w:eastAsia="Arial" w:hAnsi="Arial"/>
                <w:sz w:val="16"/>
                <w:szCs w:val="16"/>
                <w:i w:val="1"/>
                <w:iCs w:val="1"/>
                <w:color w:val="auto"/>
              </w:rPr>
              <w:t>(5)</w:t>
            </w:r>
          </w:p>
        </w:tc>
        <w:tc>
          <w:tcPr>
            <w:tcW w:w="260" w:type="dxa"/>
            <w:vAlign w:val="bottom"/>
            <w:tcBorders>
              <w:top w:val="single" w:sz="8" w:color="auto"/>
              <w:bottom w:val="single" w:sz="8" w:color="auto"/>
            </w:tcBorders>
          </w:tcPr>
          <w:p>
            <w:pPr>
              <w:jc w:val="right"/>
              <w:ind w:right="79"/>
              <w:spacing w:after="0"/>
              <w:rPr>
                <w:sz w:val="20"/>
                <w:szCs w:val="20"/>
                <w:color w:val="auto"/>
              </w:rPr>
            </w:pPr>
            <w:r>
              <w:rPr>
                <w:rFonts w:ascii="Arial" w:cs="Arial" w:eastAsia="Arial" w:hAnsi="Arial"/>
                <w:sz w:val="16"/>
                <w:szCs w:val="16"/>
                <w:color w:val="auto"/>
                <w:w w:val="89"/>
              </w:rPr>
              <w:t>$</w:t>
            </w:r>
          </w:p>
        </w:tc>
        <w:tc>
          <w:tcPr>
            <w:tcW w:w="152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604,750</w:t>
            </w:r>
          </w:p>
        </w:tc>
        <w:tc>
          <w:tcPr>
            <w:tcW w:w="120" w:type="dxa"/>
            <w:vAlign w:val="bottom"/>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166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572,709</w:t>
            </w:r>
          </w:p>
        </w:tc>
        <w:tc>
          <w:tcPr>
            <w:tcW w:w="100" w:type="dxa"/>
            <w:vAlign w:val="bottom"/>
          </w:tcPr>
          <w:p>
            <w:pPr>
              <w:spacing w:after="0"/>
              <w:rPr>
                <w:sz w:val="21"/>
                <w:szCs w:val="21"/>
                <w:color w:val="auto"/>
              </w:rPr>
            </w:pPr>
          </w:p>
        </w:tc>
        <w:tc>
          <w:tcPr>
            <w:tcW w:w="280" w:type="dxa"/>
            <w:vAlign w:val="bottom"/>
            <w:tcBorders>
              <w:top w:val="single" w:sz="8" w:color="auto"/>
              <w:bottom w:val="single" w:sz="8" w:color="auto"/>
            </w:tcBorders>
          </w:tcPr>
          <w:p>
            <w:pPr>
              <w:jc w:val="right"/>
              <w:ind w:right="99"/>
              <w:spacing w:after="0"/>
              <w:rPr>
                <w:sz w:val="20"/>
                <w:szCs w:val="20"/>
                <w:color w:val="auto"/>
              </w:rPr>
            </w:pPr>
            <w:r>
              <w:rPr>
                <w:rFonts w:ascii="Arial" w:cs="Arial" w:eastAsia="Arial" w:hAnsi="Arial"/>
                <w:sz w:val="16"/>
                <w:szCs w:val="16"/>
                <w:color w:val="auto"/>
                <w:w w:val="89"/>
              </w:rPr>
              <w:t>$</w:t>
            </w:r>
          </w:p>
        </w:tc>
        <w:tc>
          <w:tcPr>
            <w:tcW w:w="152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597,346</w:t>
            </w:r>
          </w:p>
        </w:tc>
        <w:tc>
          <w:tcPr>
            <w:tcW w:w="100" w:type="dxa"/>
            <w:vAlign w:val="bottom"/>
          </w:tcPr>
          <w:p>
            <w:pPr>
              <w:spacing w:after="0"/>
              <w:rPr>
                <w:sz w:val="21"/>
                <w:szCs w:val="21"/>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1 %</w:t>
            </w:r>
          </w:p>
        </w:tc>
        <w:tc>
          <w:tcPr>
            <w:tcW w:w="100" w:type="dxa"/>
            <w:vAlign w:val="bottom"/>
          </w:tcPr>
          <w:p>
            <w:pPr>
              <w:spacing w:after="0"/>
              <w:rPr>
                <w:sz w:val="21"/>
                <w:szCs w:val="21"/>
                <w:color w:val="auto"/>
              </w:rPr>
            </w:pPr>
          </w:p>
        </w:tc>
        <w:tc>
          <w:tcPr>
            <w:tcW w:w="420" w:type="dxa"/>
            <w:vAlign w:val="bottom"/>
            <w:tcBorders>
              <w:top w:val="single" w:sz="8" w:color="auto"/>
              <w:bottom w:val="single" w:sz="8" w:color="auto"/>
            </w:tcBorders>
          </w:tcPr>
          <w:p>
            <w:pPr>
              <w:spacing w:after="0"/>
              <w:rPr>
                <w:sz w:val="21"/>
                <w:szCs w:val="21"/>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6 %</w:t>
            </w:r>
          </w:p>
        </w:tc>
      </w:tr>
      <w:tr>
        <w:trPr>
          <w:trHeight w:val="20"/>
        </w:trPr>
        <w:tc>
          <w:tcPr>
            <w:tcW w:w="29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654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740" w:type="dxa"/>
            <w:vAlign w:val="bottom"/>
            <w:gridSpan w:val="2"/>
          </w:tcPr>
          <w:p>
            <w:pPr>
              <w:jc w:val="center"/>
              <w:ind w:right="60"/>
              <w:spacing w:after="0"/>
              <w:rPr>
                <w:sz w:val="20"/>
                <w:szCs w:val="20"/>
                <w:color w:val="auto"/>
              </w:rPr>
            </w:pPr>
            <w:r>
              <w:rPr>
                <w:rFonts w:ascii="Arial" w:cs="Arial" w:eastAsia="Arial" w:hAnsi="Arial"/>
                <w:sz w:val="16"/>
                <w:szCs w:val="16"/>
                <w:b w:val="1"/>
                <w:bCs w:val="1"/>
                <w:color w:val="auto"/>
                <w:w w:val="93"/>
              </w:rPr>
              <w:t>Three Months Ended</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3"/>
        </w:trPr>
        <w:tc>
          <w:tcPr>
            <w:tcW w:w="6540" w:type="dxa"/>
            <w:vAlign w:val="bottom"/>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740" w:type="dxa"/>
            <w:vAlign w:val="bottom"/>
            <w:tcBorders>
              <w:bottom w:val="single" w:sz="8" w:color="auto"/>
            </w:tcBorders>
            <w:gridSpan w:val="2"/>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1"/>
        </w:trPr>
        <w:tc>
          <w:tcPr>
            <w:tcW w:w="654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1620" w:type="dxa"/>
            <w:vAlign w:val="bottom"/>
            <w:gridSpan w:val="2"/>
          </w:tcPr>
          <w:p>
            <w:pPr>
              <w:ind w:left="300"/>
              <w:spacing w:after="0"/>
              <w:rPr>
                <w:sz w:val="20"/>
                <w:szCs w:val="20"/>
                <w:color w:val="auto"/>
              </w:rPr>
            </w:pPr>
            <w:r>
              <w:rPr>
                <w:rFonts w:ascii="Arial" w:cs="Arial" w:eastAsia="Arial" w:hAnsi="Arial"/>
                <w:sz w:val="16"/>
                <w:szCs w:val="16"/>
                <w:b w:val="1"/>
                <w:bCs w:val="1"/>
                <w:color w:val="auto"/>
              </w:rPr>
              <w:t>July 29, 2017</w:t>
            </w:r>
          </w:p>
        </w:tc>
        <w:tc>
          <w:tcPr>
            <w:tcW w:w="1740" w:type="dxa"/>
            <w:vAlign w:val="bottom"/>
            <w:gridSpan w:val="2"/>
          </w:tcPr>
          <w:p>
            <w:pPr>
              <w:jc w:val="center"/>
              <w:ind w:right="120"/>
              <w:spacing w:after="0"/>
              <w:rPr>
                <w:sz w:val="20"/>
                <w:szCs w:val="20"/>
                <w:color w:val="auto"/>
              </w:rPr>
            </w:pPr>
            <w:r>
              <w:rPr>
                <w:rFonts w:ascii="Arial" w:cs="Arial" w:eastAsia="Arial" w:hAnsi="Arial"/>
                <w:sz w:val="16"/>
                <w:szCs w:val="16"/>
                <w:b w:val="1"/>
                <w:bCs w:val="1"/>
                <w:color w:val="auto"/>
                <w:w w:val="94"/>
              </w:rPr>
              <w:t>April 29, 2017</w:t>
            </w:r>
          </w:p>
        </w:tc>
        <w:tc>
          <w:tcPr>
            <w:tcW w:w="1520" w:type="dxa"/>
            <w:vAlign w:val="bottom"/>
          </w:tcPr>
          <w:p>
            <w:pPr>
              <w:jc w:val="right"/>
              <w:ind w:right="239"/>
              <w:spacing w:after="0"/>
              <w:rPr>
                <w:sz w:val="20"/>
                <w:szCs w:val="20"/>
                <w:color w:val="auto"/>
              </w:rPr>
            </w:pPr>
            <w:r>
              <w:rPr>
                <w:rFonts w:ascii="Arial" w:cs="Arial" w:eastAsia="Arial" w:hAnsi="Arial"/>
                <w:sz w:val="16"/>
                <w:szCs w:val="16"/>
                <w:b w:val="1"/>
                <w:bCs w:val="1"/>
                <w:color w:val="auto"/>
              </w:rPr>
              <w:t>July 30, 2016</w:t>
            </w:r>
          </w:p>
        </w:tc>
        <w:tc>
          <w:tcPr>
            <w:tcW w:w="0" w:type="dxa"/>
            <w:vAlign w:val="bottom"/>
          </w:tcPr>
          <w:p>
            <w:pPr>
              <w:spacing w:after="0"/>
              <w:rPr>
                <w:sz w:val="1"/>
                <w:szCs w:val="1"/>
                <w:color w:val="auto"/>
              </w:rPr>
            </w:pPr>
          </w:p>
        </w:tc>
      </w:tr>
      <w:tr>
        <w:trPr>
          <w:trHeight w:val="33"/>
        </w:trPr>
        <w:tc>
          <w:tcPr>
            <w:tcW w:w="6540" w:type="dxa"/>
            <w:vAlign w:val="bottom"/>
            <w:vMerge w:val="restart"/>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5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17"/>
        </w:trPr>
        <w:tc>
          <w:tcPr>
            <w:tcW w:w="6540" w:type="dxa"/>
            <w:vAlign w:val="bottom"/>
            <w:vMerge w:val="continue"/>
          </w:tcPr>
          <w:p>
            <w:pPr>
              <w:spacing w:after="0"/>
              <w:rPr>
                <w:sz w:val="18"/>
                <w:szCs w:val="18"/>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52%</w:t>
            </w:r>
          </w:p>
        </w:tc>
        <w:tc>
          <w:tcPr>
            <w:tcW w:w="100" w:type="dxa"/>
            <w:vAlign w:val="bottom"/>
          </w:tcPr>
          <w:p>
            <w:pPr>
              <w:spacing w:after="0"/>
              <w:rPr>
                <w:sz w:val="18"/>
                <w:szCs w:val="18"/>
                <w:color w:val="auto"/>
              </w:rPr>
            </w:pPr>
          </w:p>
        </w:tc>
        <w:tc>
          <w:tcPr>
            <w:tcW w:w="1620" w:type="dxa"/>
            <w:vAlign w:val="bottom"/>
          </w:tcPr>
          <w:p>
            <w:pPr>
              <w:jc w:val="right"/>
              <w:spacing w:after="0"/>
              <w:rPr>
                <w:sz w:val="20"/>
                <w:szCs w:val="20"/>
                <w:color w:val="auto"/>
              </w:rPr>
            </w:pPr>
            <w:r>
              <w:rPr>
                <w:rFonts w:ascii="Arial" w:cs="Arial" w:eastAsia="Arial" w:hAnsi="Arial"/>
                <w:sz w:val="16"/>
                <w:szCs w:val="16"/>
                <w:color w:val="auto"/>
              </w:rPr>
              <w:t>53%</w:t>
            </w:r>
          </w:p>
        </w:tc>
        <w:tc>
          <w:tcPr>
            <w:tcW w:w="120" w:type="dxa"/>
            <w:vAlign w:val="bottom"/>
          </w:tcPr>
          <w:p>
            <w:pPr>
              <w:spacing w:after="0"/>
              <w:rPr>
                <w:sz w:val="18"/>
                <w:szCs w:val="18"/>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46%</w:t>
            </w:r>
          </w:p>
        </w:tc>
        <w:tc>
          <w:tcPr>
            <w:tcW w:w="0" w:type="dxa"/>
            <w:vAlign w:val="bottom"/>
          </w:tcPr>
          <w:p>
            <w:pPr>
              <w:spacing w:after="0"/>
              <w:rPr>
                <w:sz w:val="1"/>
                <w:szCs w:val="1"/>
                <w:color w:val="auto"/>
              </w:rPr>
            </w:pPr>
          </w:p>
        </w:tc>
      </w:tr>
      <w:tr>
        <w:trPr>
          <w:trHeight w:val="33"/>
        </w:trPr>
        <w:tc>
          <w:tcPr>
            <w:tcW w:w="6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100" w:type="dxa"/>
            <w:vAlign w:val="bottom"/>
            <w:tcBorders>
              <w:bottom w:val="single" w:sz="8" w:color="CCEEFF"/>
            </w:tcBorders>
            <w:shd w:val="clear" w:color="auto" w:fill="CCEEFF"/>
          </w:tcPr>
          <w:p>
            <w:pPr>
              <w:spacing w:after="0"/>
              <w:rPr>
                <w:sz w:val="21"/>
                <w:szCs w:val="21"/>
                <w:color w:val="auto"/>
              </w:rPr>
            </w:pPr>
          </w:p>
        </w:tc>
        <w:tc>
          <w:tcPr>
            <w:tcW w:w="16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25%</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26%</w:t>
            </w:r>
          </w:p>
        </w:tc>
        <w:tc>
          <w:tcPr>
            <w:tcW w:w="0" w:type="dxa"/>
            <w:vAlign w:val="bottom"/>
          </w:tcPr>
          <w:p>
            <w:pPr>
              <w:spacing w:after="0"/>
              <w:rPr>
                <w:sz w:val="1"/>
                <w:szCs w:val="1"/>
                <w:color w:val="auto"/>
              </w:rPr>
            </w:pPr>
          </w:p>
        </w:tc>
      </w:tr>
      <w:tr>
        <w:trPr>
          <w:trHeight w:val="237"/>
        </w:trPr>
        <w:tc>
          <w:tcPr>
            <w:tcW w:w="6540" w:type="dxa"/>
            <w:vAlign w:val="bottom"/>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1520" w:type="dxa"/>
            <w:vAlign w:val="bottom"/>
          </w:tcPr>
          <w:p>
            <w:pPr>
              <w:jc w:val="right"/>
              <w:spacing w:after="0"/>
              <w:rPr>
                <w:sz w:val="20"/>
                <w:szCs w:val="20"/>
                <w:color w:val="auto"/>
              </w:rPr>
            </w:pPr>
            <w:r>
              <w:rPr>
                <w:rFonts w:ascii="Arial" w:cs="Arial" w:eastAsia="Arial" w:hAnsi="Arial"/>
                <w:sz w:val="16"/>
                <w:szCs w:val="16"/>
                <w:color w:val="auto"/>
              </w:rPr>
              <w:t>16%</w:t>
            </w:r>
          </w:p>
        </w:tc>
        <w:tc>
          <w:tcPr>
            <w:tcW w:w="100" w:type="dxa"/>
            <w:vAlign w:val="bottom"/>
          </w:tcPr>
          <w:p>
            <w:pPr>
              <w:spacing w:after="0"/>
              <w:rPr>
                <w:sz w:val="20"/>
                <w:szCs w:val="20"/>
                <w:color w:val="auto"/>
              </w:rPr>
            </w:pPr>
          </w:p>
        </w:tc>
        <w:tc>
          <w:tcPr>
            <w:tcW w:w="1620" w:type="dxa"/>
            <w:vAlign w:val="bottom"/>
          </w:tcPr>
          <w:p>
            <w:pPr>
              <w:jc w:val="right"/>
              <w:spacing w:after="0"/>
              <w:rPr>
                <w:sz w:val="20"/>
                <w:szCs w:val="20"/>
                <w:color w:val="auto"/>
              </w:rPr>
            </w:pPr>
            <w:r>
              <w:rPr>
                <w:rFonts w:ascii="Arial" w:cs="Arial" w:eastAsia="Arial" w:hAnsi="Arial"/>
                <w:sz w:val="16"/>
                <w:szCs w:val="16"/>
                <w:color w:val="auto"/>
              </w:rPr>
              <w:t>13%</w:t>
            </w:r>
          </w:p>
        </w:tc>
        <w:tc>
          <w:tcPr>
            <w:tcW w:w="12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16%</w:t>
            </w:r>
          </w:p>
        </w:tc>
        <w:tc>
          <w:tcPr>
            <w:tcW w:w="0" w:type="dxa"/>
            <w:vAlign w:val="bottom"/>
          </w:tcPr>
          <w:p>
            <w:pPr>
              <w:spacing w:after="0"/>
              <w:rPr>
                <w:sz w:val="1"/>
                <w:szCs w:val="1"/>
                <w:color w:val="auto"/>
              </w:rPr>
            </w:pPr>
          </w:p>
        </w:tc>
      </w:tr>
      <w:tr>
        <w:trPr>
          <w:trHeight w:val="33"/>
        </w:trPr>
        <w:tc>
          <w:tcPr>
            <w:tcW w:w="654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654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6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91%</w:t>
            </w:r>
          </w:p>
        </w:tc>
        <w:tc>
          <w:tcPr>
            <w:tcW w:w="120" w:type="dxa"/>
            <w:vAlign w:val="bottom"/>
            <w:tcBorders>
              <w:bottom w:val="single" w:sz="8" w:color="CCEEFF"/>
            </w:tcBorders>
            <w:shd w:val="clear" w:color="auto" w:fill="CCEEFF"/>
          </w:tcPr>
          <w:p>
            <w:pPr>
              <w:spacing w:after="0"/>
              <w:rPr>
                <w:sz w:val="20"/>
                <w:szCs w:val="20"/>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88%</w:t>
            </w:r>
          </w:p>
        </w:tc>
        <w:tc>
          <w:tcPr>
            <w:tcW w:w="0" w:type="dxa"/>
            <w:vAlign w:val="bottom"/>
          </w:tcPr>
          <w:p>
            <w:pPr>
              <w:spacing w:after="0"/>
              <w:rPr>
                <w:sz w:val="1"/>
                <w:szCs w:val="1"/>
                <w:color w:val="auto"/>
              </w:rPr>
            </w:pPr>
          </w:p>
        </w:tc>
      </w:tr>
      <w:tr>
        <w:trPr>
          <w:trHeight w:val="237"/>
        </w:trPr>
        <w:tc>
          <w:tcPr>
            <w:tcW w:w="654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152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620" w:type="dxa"/>
            <w:vAlign w:val="bottom"/>
          </w:tcPr>
          <w:p>
            <w:pPr>
              <w:jc w:val="right"/>
              <w:spacing w:after="0"/>
              <w:rPr>
                <w:sz w:val="20"/>
                <w:szCs w:val="20"/>
                <w:color w:val="auto"/>
              </w:rPr>
            </w:pPr>
            <w:r>
              <w:rPr>
                <w:rFonts w:ascii="Arial" w:cs="Arial" w:eastAsia="Arial" w:hAnsi="Arial"/>
                <w:sz w:val="16"/>
                <w:szCs w:val="16"/>
                <w:color w:val="auto"/>
              </w:rPr>
              <w:t>9%</w:t>
            </w:r>
          </w:p>
        </w:tc>
        <w:tc>
          <w:tcPr>
            <w:tcW w:w="12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6"/>
                <w:szCs w:val="16"/>
                <w:color w:val="auto"/>
              </w:rPr>
              <w:t>12%</w:t>
            </w:r>
          </w:p>
        </w:tc>
        <w:tc>
          <w:tcPr>
            <w:tcW w:w="0" w:type="dxa"/>
            <w:vAlign w:val="bottom"/>
          </w:tcPr>
          <w:p>
            <w:pPr>
              <w:spacing w:after="0"/>
              <w:rPr>
                <w:sz w:val="1"/>
                <w:szCs w:val="1"/>
                <w:color w:val="auto"/>
              </w:rPr>
            </w:pPr>
          </w:p>
        </w:tc>
      </w:tr>
      <w:tr>
        <w:trPr>
          <w:trHeight w:val="33"/>
        </w:trPr>
        <w:tc>
          <w:tcPr>
            <w:tcW w:w="654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5"/>
        </w:trPr>
        <w:tc>
          <w:tcPr>
            <w:tcW w:w="65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6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0" w:type="dxa"/>
            <w:vAlign w:val="bottom"/>
          </w:tcPr>
          <w:p>
            <w:pPr>
              <w:spacing w:after="0"/>
              <w:rPr>
                <w:sz w:val="1"/>
                <w:szCs w:val="1"/>
                <w:color w:val="auto"/>
              </w:rPr>
            </w:pPr>
          </w:p>
        </w:tc>
      </w:tr>
      <w:tr>
        <w:trPr>
          <w:trHeight w:val="20"/>
        </w:trPr>
        <w:tc>
          <w:tcPr>
            <w:tcW w:w="654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SSD Controllers and Enterprise Storage Solutions.</w:t>
      </w:r>
    </w:p>
    <w:p>
      <w:pPr>
        <w:spacing w:after="0" w:line="63" w:lineRule="exact"/>
        <w:rPr>
          <w:rFonts w:ascii="Arial" w:cs="Arial" w:eastAsia="Arial" w:hAnsi="Arial"/>
          <w:sz w:val="18"/>
          <w:szCs w:val="18"/>
          <w:i w:val="1"/>
          <w:iCs w:val="1"/>
          <w:color w:val="auto"/>
        </w:rPr>
      </w:pPr>
    </w:p>
    <w:p>
      <w:pPr>
        <w:ind w:left="40" w:right="40" w:hanging="5"/>
        <w:spacing w:after="0" w:line="277" w:lineRule="auto"/>
        <w:tabs>
          <w:tab w:leader="none" w:pos="295"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Embedded ARM Processors and Automotive Ethernet, as well as a few legacy product lines in which we no longer invest, but will generate revenue for several years.</w:t>
      </w:r>
    </w:p>
    <w:p>
      <w:pPr>
        <w:spacing w:after="0" w:line="8"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7"/>
          <w:szCs w:val="17"/>
          <w:i w:val="1"/>
          <w:iCs w:val="1"/>
          <w:color w:val="auto"/>
        </w:rPr>
      </w:pPr>
      <w:r>
        <w:rPr>
          <w:rFonts w:ascii="Arial" w:cs="Arial" w:eastAsia="Arial" w:hAnsi="Arial"/>
          <w:sz w:val="17"/>
          <w:szCs w:val="17"/>
          <w:color w:val="auto"/>
        </w:rPr>
        <w:t>Connectivity products are comprised primarily of WiFi solutions including WiFi only, WiFi/Bluetooth combos and WiFi Microcontroller combos.</w:t>
      </w:r>
    </w:p>
    <w:p>
      <w:pPr>
        <w:spacing w:after="0" w:line="74" w:lineRule="exact"/>
        <w:rPr>
          <w:rFonts w:ascii="Arial" w:cs="Arial" w:eastAsia="Arial" w:hAnsi="Arial"/>
          <w:sz w:val="17"/>
          <w:szCs w:val="17"/>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Excludes the revenue of certain non-strategic businesses that were classified as discontinued operations.</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2019-12-06T09:10:00Z</dcterms:created>
  <dcterms:modified xsi:type="dcterms:W3CDTF">2019-12-06T09:10:00Z</dcterms:modified>
</cp:coreProperties>
</file>