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Pursuant to Section 13 or 15(d)</w:t>
      </w:r>
    </w:p>
    <w:p>
      <w:pPr>
        <w:jc w:val="center"/>
        <w:ind w:right="-5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Date of Report (Date of earliest event reported): June 15, 2017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30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820" w:space="720"/>
            <w:col w:w="2900" w:space="720"/>
            <w:col w:w="2200"/>
          </w:cols>
          <w:pgMar w:left="240" w:top="368" w:right="29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20"/>
          </w:cols>
          <w:pgMar w:left="240" w:top="368" w:right="299" w:bottom="1440" w:gutter="0" w:footer="0" w:header="0"/>
          <w:type w:val="continuous"/>
        </w:sectPr>
      </w:pPr>
    </w:p>
    <w:p>
      <w:pPr>
        <w:spacing w:after="0" w:line="6"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ind w:right="6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8" w:lineRule="exact"/>
        <w:rPr>
          <w:sz w:val="24"/>
          <w:szCs w:val="24"/>
          <w:color w:val="auto"/>
        </w:rPr>
      </w:pPr>
    </w:p>
    <w:p>
      <w:pPr>
        <w:spacing w:after="0" w:line="207" w:lineRule="exact"/>
        <w:rPr>
          <w:sz w:val="20"/>
          <w:szCs w:val="20"/>
          <w:color w:val="auto"/>
        </w:rPr>
      </w:pPr>
      <w:r>
        <w:rPr>
          <w:rFonts w:ascii="Arial" w:cs="Arial" w:eastAsia="Arial" w:hAnsi="Arial"/>
          <w:sz w:val="18"/>
          <w:szCs w:val="18"/>
          <w:color w:val="auto"/>
        </w:rPr>
        <w:t xml:space="preserve">Emerging growth company </w:t>
      </w:r>
      <w:r>
        <w:rPr>
          <w:rFonts w:ascii="MS PGothic" w:cs="MS PGothic" w:eastAsia="MS PGothic" w:hAnsi="MS PGothic"/>
          <w:sz w:val="18"/>
          <w:szCs w:val="18"/>
          <w:color w:val="auto"/>
        </w:rPr>
        <w:t>☐</w:t>
      </w:r>
    </w:p>
    <w:p>
      <w:pPr>
        <w:spacing w:after="0" w:line="258" w:lineRule="exact"/>
        <w:rPr>
          <w:sz w:val="24"/>
          <w:szCs w:val="24"/>
          <w:color w:val="auto"/>
        </w:rPr>
      </w:pPr>
    </w:p>
    <w:p>
      <w:pPr>
        <w:ind w:right="8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133350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176530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type w:val="continuous"/>
        </w:sectPr>
      </w:pPr>
    </w:p>
    <w:bookmarkStart w:id="1" w:name="page2"/>
    <w:bookmarkEnd w:id="1"/>
    <w:p>
      <w:pPr>
        <w:spacing w:after="0"/>
        <w:tabs>
          <w:tab w:leader="none" w:pos="13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5.07</w:t>
      </w:r>
      <w:r>
        <w:rPr>
          <w:sz w:val="20"/>
          <w:szCs w:val="20"/>
          <w:color w:val="auto"/>
        </w:rPr>
        <w:tab/>
      </w:r>
      <w:r>
        <w:rPr>
          <w:rFonts w:ascii="Arial" w:cs="Arial" w:eastAsia="Arial" w:hAnsi="Arial"/>
          <w:sz w:val="16"/>
          <w:szCs w:val="16"/>
          <w:b w:val="1"/>
          <w:bCs w:val="1"/>
          <w:color w:val="auto"/>
        </w:rPr>
        <w:t>Submission of Matters to a Vote of Security Holders.</w:t>
      </w:r>
    </w:p>
    <w:p>
      <w:pPr>
        <w:spacing w:after="0" w:line="121"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At the Annual General Meeting of Shareholders held on June 15, 2017 for Marvell Technology Group Ltd. (the “Company”), shareholders voted on the matters as set forth below. Each issued common share was entitled to one vote on the proposals voted on at the meeting.</w:t>
      </w:r>
    </w:p>
    <w:p>
      <w:pPr>
        <w:spacing w:after="0" w:line="315" w:lineRule="exact"/>
        <w:rPr>
          <w:sz w:val="20"/>
          <w:szCs w:val="20"/>
          <w:color w:val="auto"/>
        </w:rPr>
      </w:pPr>
    </w:p>
    <w:p>
      <w:pPr>
        <w:ind w:left="460" w:right="120" w:hanging="452"/>
        <w:spacing w:after="0" w:line="282" w:lineRule="auto"/>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b w:val="1"/>
          <w:bCs w:val="1"/>
          <w:color w:val="auto"/>
        </w:rPr>
        <w:t>The nominees for election to the Board were elected, each for a one-year term until the 2018 annual general meeting of shareholders, based upon the following votes:</w:t>
      </w:r>
    </w:p>
    <w:p>
      <w:pPr>
        <w:spacing w:after="0" w:line="17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8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960" w:type="dxa"/>
            <w:vAlign w:val="bottom"/>
            <w:gridSpan w:val="2"/>
          </w:tcPr>
          <w:p>
            <w:pPr>
              <w:ind w:left="80"/>
              <w:spacing w:after="0"/>
              <w:rPr>
                <w:sz w:val="20"/>
                <w:szCs w:val="20"/>
                <w:color w:val="auto"/>
              </w:rPr>
            </w:pPr>
            <w:r>
              <w:rPr>
                <w:rFonts w:ascii="Arial" w:cs="Arial" w:eastAsia="Arial" w:hAnsi="Arial"/>
                <w:sz w:val="14"/>
                <w:szCs w:val="14"/>
                <w:color w:val="auto"/>
              </w:rPr>
              <w:t>Broker Non-</w:t>
            </w:r>
          </w:p>
        </w:tc>
      </w:tr>
      <w:tr>
        <w:trPr>
          <w:trHeight w:val="167"/>
        </w:trPr>
        <w:tc>
          <w:tcPr>
            <w:tcW w:w="6080" w:type="dxa"/>
            <w:vAlign w:val="bottom"/>
          </w:tcPr>
          <w:p>
            <w:pPr>
              <w:spacing w:after="0"/>
              <w:rPr>
                <w:sz w:val="14"/>
                <w:szCs w:val="14"/>
                <w:color w:val="auto"/>
              </w:rPr>
            </w:pPr>
          </w:p>
        </w:tc>
        <w:tc>
          <w:tcPr>
            <w:tcW w:w="1240" w:type="dxa"/>
            <w:vAlign w:val="bottom"/>
            <w:gridSpan w:val="2"/>
          </w:tcPr>
          <w:p>
            <w:pPr>
              <w:ind w:left="400"/>
              <w:spacing w:after="0"/>
              <w:rPr>
                <w:sz w:val="20"/>
                <w:szCs w:val="20"/>
                <w:color w:val="auto"/>
              </w:rPr>
            </w:pPr>
            <w:r>
              <w:rPr>
                <w:rFonts w:ascii="Arial" w:cs="Arial" w:eastAsia="Arial" w:hAnsi="Arial"/>
                <w:sz w:val="14"/>
                <w:szCs w:val="14"/>
                <w:color w:val="auto"/>
              </w:rPr>
              <w:t>For</w:t>
            </w:r>
          </w:p>
        </w:tc>
        <w:tc>
          <w:tcPr>
            <w:tcW w:w="1160" w:type="dxa"/>
            <w:vAlign w:val="bottom"/>
            <w:gridSpan w:val="2"/>
          </w:tcPr>
          <w:p>
            <w:pPr>
              <w:ind w:left="220"/>
              <w:spacing w:after="0"/>
              <w:rPr>
                <w:sz w:val="20"/>
                <w:szCs w:val="20"/>
                <w:color w:val="auto"/>
              </w:rPr>
            </w:pPr>
            <w:r>
              <w:rPr>
                <w:rFonts w:ascii="Arial" w:cs="Arial" w:eastAsia="Arial" w:hAnsi="Arial"/>
                <w:sz w:val="14"/>
                <w:szCs w:val="14"/>
                <w:color w:val="auto"/>
              </w:rPr>
              <w:t>Against</w:t>
            </w:r>
          </w:p>
        </w:tc>
        <w:tc>
          <w:tcPr>
            <w:tcW w:w="1060" w:type="dxa"/>
            <w:vAlign w:val="bottom"/>
            <w:gridSpan w:val="2"/>
          </w:tcPr>
          <w:p>
            <w:pPr>
              <w:jc w:val="right"/>
              <w:ind w:right="440"/>
              <w:spacing w:after="0"/>
              <w:rPr>
                <w:sz w:val="20"/>
                <w:szCs w:val="20"/>
                <w:color w:val="auto"/>
              </w:rPr>
            </w:pPr>
            <w:r>
              <w:rPr>
                <w:rFonts w:ascii="Arial" w:cs="Arial" w:eastAsia="Arial" w:hAnsi="Arial"/>
                <w:sz w:val="14"/>
                <w:szCs w:val="14"/>
                <w:color w:val="auto"/>
              </w:rPr>
              <w:t>Abstain</w:t>
            </w:r>
          </w:p>
        </w:tc>
        <w:tc>
          <w:tcPr>
            <w:tcW w:w="960" w:type="dxa"/>
            <w:vAlign w:val="bottom"/>
            <w:gridSpan w:val="2"/>
          </w:tcPr>
          <w:p>
            <w:pPr>
              <w:ind w:left="280"/>
              <w:spacing w:after="0"/>
              <w:rPr>
                <w:sz w:val="20"/>
                <w:szCs w:val="20"/>
                <w:color w:val="auto"/>
              </w:rPr>
            </w:pPr>
            <w:r>
              <w:rPr>
                <w:rFonts w:ascii="Arial" w:cs="Arial" w:eastAsia="Arial" w:hAnsi="Arial"/>
                <w:sz w:val="14"/>
                <w:szCs w:val="14"/>
                <w:color w:val="auto"/>
              </w:rPr>
              <w:t>Votes</w:t>
            </w:r>
          </w:p>
        </w:tc>
      </w:tr>
      <w:tr>
        <w:trPr>
          <w:trHeight w:val="210"/>
        </w:trPr>
        <w:tc>
          <w:tcPr>
            <w:tcW w:w="60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William Tudor Brown</w:t>
            </w: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7"/>
              </w:rPr>
              <w:t>320,701,467</w:t>
            </w:r>
          </w:p>
        </w:tc>
        <w:tc>
          <w:tcPr>
            <w:tcW w:w="240" w:type="dxa"/>
            <w:vAlign w:val="bottom"/>
            <w:tcBorders>
              <w:top w:val="single" w:sz="8" w:color="CCEEFF"/>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6,179,739</w:t>
            </w:r>
          </w:p>
        </w:tc>
        <w:tc>
          <w:tcPr>
            <w:tcW w:w="26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811,360</w:t>
            </w:r>
          </w:p>
        </w:tc>
        <w:tc>
          <w:tcPr>
            <w:tcW w:w="260" w:type="dxa"/>
            <w:vAlign w:val="bottom"/>
            <w:tcBorders>
              <w:top w:val="single" w:sz="8" w:color="CCEEFF"/>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ind w:left="80"/>
              <w:spacing w:after="0"/>
              <w:rPr>
                <w:sz w:val="20"/>
                <w:szCs w:val="20"/>
                <w:color w:val="auto"/>
              </w:rPr>
            </w:pPr>
            <w:r>
              <w:rPr>
                <w:rFonts w:ascii="Arial" w:cs="Arial" w:eastAsia="Arial" w:hAnsi="Arial"/>
                <w:sz w:val="18"/>
                <w:szCs w:val="18"/>
                <w:color w:val="auto"/>
                <w:w w:val="88"/>
              </w:rPr>
              <w:t>67,784,030</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6080" w:type="dxa"/>
            <w:vAlign w:val="bottom"/>
          </w:tcPr>
          <w:p>
            <w:pPr>
              <w:spacing w:after="0"/>
              <w:rPr>
                <w:sz w:val="20"/>
                <w:szCs w:val="20"/>
                <w:color w:val="auto"/>
              </w:rPr>
            </w:pPr>
            <w:r>
              <w:rPr>
                <w:rFonts w:ascii="Arial" w:cs="Arial" w:eastAsia="Arial" w:hAnsi="Arial"/>
                <w:sz w:val="18"/>
                <w:szCs w:val="18"/>
                <w:color w:val="auto"/>
              </w:rPr>
              <w:t>Peter A. Feld</w:t>
            </w:r>
          </w:p>
        </w:tc>
        <w:tc>
          <w:tcPr>
            <w:tcW w:w="1240" w:type="dxa"/>
            <w:vAlign w:val="bottom"/>
            <w:gridSpan w:val="2"/>
          </w:tcPr>
          <w:p>
            <w:pPr>
              <w:jc w:val="right"/>
              <w:ind w:right="240"/>
              <w:spacing w:after="0"/>
              <w:rPr>
                <w:sz w:val="20"/>
                <w:szCs w:val="20"/>
                <w:color w:val="auto"/>
              </w:rPr>
            </w:pPr>
            <w:r>
              <w:rPr>
                <w:rFonts w:ascii="Arial" w:cs="Arial" w:eastAsia="Arial" w:hAnsi="Arial"/>
                <w:sz w:val="18"/>
                <w:szCs w:val="18"/>
                <w:color w:val="auto"/>
                <w:w w:val="97"/>
              </w:rPr>
              <w:t>311,865,870</w:t>
            </w:r>
          </w:p>
        </w:tc>
        <w:tc>
          <w:tcPr>
            <w:tcW w:w="1160" w:type="dxa"/>
            <w:vAlign w:val="bottom"/>
            <w:gridSpan w:val="2"/>
          </w:tcPr>
          <w:p>
            <w:pPr>
              <w:jc w:val="right"/>
              <w:ind w:right="260"/>
              <w:spacing w:after="0"/>
              <w:rPr>
                <w:sz w:val="20"/>
                <w:szCs w:val="20"/>
                <w:color w:val="auto"/>
              </w:rPr>
            </w:pPr>
            <w:r>
              <w:rPr>
                <w:rFonts w:ascii="Arial" w:cs="Arial" w:eastAsia="Arial" w:hAnsi="Arial"/>
                <w:sz w:val="18"/>
                <w:szCs w:val="18"/>
                <w:color w:val="auto"/>
                <w:w w:val="97"/>
              </w:rPr>
              <w:t>15,017,131</w:t>
            </w:r>
          </w:p>
        </w:tc>
        <w:tc>
          <w:tcPr>
            <w:tcW w:w="1060" w:type="dxa"/>
            <w:vAlign w:val="bottom"/>
            <w:gridSpan w:val="2"/>
          </w:tcPr>
          <w:p>
            <w:pPr>
              <w:jc w:val="right"/>
              <w:ind w:right="260"/>
              <w:spacing w:after="0"/>
              <w:rPr>
                <w:sz w:val="20"/>
                <w:szCs w:val="20"/>
                <w:color w:val="auto"/>
              </w:rPr>
            </w:pPr>
            <w:r>
              <w:rPr>
                <w:rFonts w:ascii="Arial" w:cs="Arial" w:eastAsia="Arial" w:hAnsi="Arial"/>
                <w:sz w:val="18"/>
                <w:szCs w:val="18"/>
                <w:color w:val="auto"/>
              </w:rPr>
              <w:t>809,565</w:t>
            </w:r>
          </w:p>
        </w:tc>
        <w:tc>
          <w:tcPr>
            <w:tcW w:w="960" w:type="dxa"/>
            <w:vAlign w:val="bottom"/>
            <w:gridSpan w:val="2"/>
          </w:tcPr>
          <w:p>
            <w:pPr>
              <w:ind w:left="80"/>
              <w:spacing w:after="0"/>
              <w:rPr>
                <w:sz w:val="20"/>
                <w:szCs w:val="20"/>
                <w:color w:val="auto"/>
              </w:rPr>
            </w:pPr>
            <w:r>
              <w:rPr>
                <w:rFonts w:ascii="Arial" w:cs="Arial" w:eastAsia="Arial" w:hAnsi="Arial"/>
                <w:sz w:val="18"/>
                <w:szCs w:val="18"/>
                <w:color w:val="auto"/>
                <w:w w:val="95"/>
              </w:rPr>
              <w:t>67,784,030</w:t>
            </w:r>
          </w:p>
        </w:tc>
      </w:tr>
      <w:tr>
        <w:trPr>
          <w:trHeight w:val="216"/>
        </w:trPr>
        <w:tc>
          <w:tcPr>
            <w:tcW w:w="6080" w:type="dxa"/>
            <w:vAlign w:val="bottom"/>
            <w:shd w:val="clear" w:color="auto" w:fill="CCEEFF"/>
          </w:tcPr>
          <w:p>
            <w:pPr>
              <w:spacing w:after="0"/>
              <w:rPr>
                <w:sz w:val="20"/>
                <w:szCs w:val="20"/>
                <w:color w:val="auto"/>
              </w:rPr>
            </w:pPr>
            <w:r>
              <w:rPr>
                <w:rFonts w:ascii="Arial" w:cs="Arial" w:eastAsia="Arial" w:hAnsi="Arial"/>
                <w:sz w:val="18"/>
                <w:szCs w:val="18"/>
                <w:color w:val="auto"/>
              </w:rPr>
              <w:t>Richard S. Hill</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276,345,615</w:t>
            </w:r>
          </w:p>
        </w:tc>
        <w:tc>
          <w:tcPr>
            <w:tcW w:w="2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7"/>
              </w:rPr>
              <w:t>48,378,961</w:t>
            </w:r>
          </w:p>
        </w:tc>
        <w:tc>
          <w:tcPr>
            <w:tcW w:w="10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7"/>
              </w:rPr>
              <w:t>2,967,990</w:t>
            </w:r>
          </w:p>
        </w:tc>
        <w:tc>
          <w:tcPr>
            <w:tcW w:w="96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5"/>
              </w:rPr>
              <w:t>67,784,030</w:t>
            </w:r>
          </w:p>
        </w:tc>
      </w:tr>
      <w:tr>
        <w:trPr>
          <w:trHeight w:val="216"/>
        </w:trPr>
        <w:tc>
          <w:tcPr>
            <w:tcW w:w="6080" w:type="dxa"/>
            <w:vAlign w:val="bottom"/>
          </w:tcPr>
          <w:p>
            <w:pPr>
              <w:spacing w:after="0"/>
              <w:rPr>
                <w:sz w:val="20"/>
                <w:szCs w:val="20"/>
                <w:color w:val="auto"/>
              </w:rPr>
            </w:pPr>
            <w:r>
              <w:rPr>
                <w:rFonts w:ascii="Arial" w:cs="Arial" w:eastAsia="Arial" w:hAnsi="Arial"/>
                <w:sz w:val="18"/>
                <w:szCs w:val="18"/>
                <w:color w:val="auto"/>
              </w:rPr>
              <w:t>Oleg Khaykin</w:t>
            </w:r>
          </w:p>
        </w:tc>
        <w:tc>
          <w:tcPr>
            <w:tcW w:w="1000" w:type="dxa"/>
            <w:vAlign w:val="bottom"/>
          </w:tcPr>
          <w:p>
            <w:pPr>
              <w:jc w:val="right"/>
              <w:spacing w:after="0"/>
              <w:rPr>
                <w:sz w:val="20"/>
                <w:szCs w:val="20"/>
                <w:color w:val="auto"/>
              </w:rPr>
            </w:pPr>
            <w:r>
              <w:rPr>
                <w:rFonts w:ascii="Arial" w:cs="Arial" w:eastAsia="Arial" w:hAnsi="Arial"/>
                <w:sz w:val="18"/>
                <w:szCs w:val="18"/>
                <w:color w:val="auto"/>
                <w:w w:val="97"/>
              </w:rPr>
              <w:t>319,914,656</w:t>
            </w:r>
          </w:p>
        </w:tc>
        <w:tc>
          <w:tcPr>
            <w:tcW w:w="240" w:type="dxa"/>
            <w:vAlign w:val="bottom"/>
          </w:tcPr>
          <w:p>
            <w:pPr>
              <w:spacing w:after="0"/>
              <w:rPr>
                <w:sz w:val="18"/>
                <w:szCs w:val="18"/>
                <w:color w:val="auto"/>
              </w:rPr>
            </w:pPr>
          </w:p>
        </w:tc>
        <w:tc>
          <w:tcPr>
            <w:tcW w:w="1160" w:type="dxa"/>
            <w:vAlign w:val="bottom"/>
            <w:gridSpan w:val="2"/>
          </w:tcPr>
          <w:p>
            <w:pPr>
              <w:jc w:val="right"/>
              <w:ind w:right="260"/>
              <w:spacing w:after="0"/>
              <w:rPr>
                <w:sz w:val="20"/>
                <w:szCs w:val="20"/>
                <w:color w:val="auto"/>
              </w:rPr>
            </w:pPr>
            <w:r>
              <w:rPr>
                <w:rFonts w:ascii="Arial" w:cs="Arial" w:eastAsia="Arial" w:hAnsi="Arial"/>
                <w:sz w:val="18"/>
                <w:szCs w:val="18"/>
                <w:color w:val="auto"/>
              </w:rPr>
              <w:t>6,969,423</w:t>
            </w:r>
          </w:p>
        </w:tc>
        <w:tc>
          <w:tcPr>
            <w:tcW w:w="1060" w:type="dxa"/>
            <w:vAlign w:val="bottom"/>
            <w:gridSpan w:val="2"/>
          </w:tcPr>
          <w:p>
            <w:pPr>
              <w:jc w:val="right"/>
              <w:ind w:right="260"/>
              <w:spacing w:after="0"/>
              <w:rPr>
                <w:sz w:val="20"/>
                <w:szCs w:val="20"/>
                <w:color w:val="auto"/>
              </w:rPr>
            </w:pPr>
            <w:r>
              <w:rPr>
                <w:rFonts w:ascii="Arial" w:cs="Arial" w:eastAsia="Arial" w:hAnsi="Arial"/>
                <w:sz w:val="18"/>
                <w:szCs w:val="18"/>
                <w:color w:val="auto"/>
              </w:rPr>
              <w:t>808,487</w:t>
            </w:r>
          </w:p>
        </w:tc>
        <w:tc>
          <w:tcPr>
            <w:tcW w:w="960" w:type="dxa"/>
            <w:vAlign w:val="bottom"/>
            <w:gridSpan w:val="2"/>
          </w:tcPr>
          <w:p>
            <w:pPr>
              <w:ind w:left="80"/>
              <w:spacing w:after="0"/>
              <w:rPr>
                <w:sz w:val="20"/>
                <w:szCs w:val="20"/>
                <w:color w:val="auto"/>
              </w:rPr>
            </w:pPr>
            <w:r>
              <w:rPr>
                <w:rFonts w:ascii="Arial" w:cs="Arial" w:eastAsia="Arial" w:hAnsi="Arial"/>
                <w:sz w:val="18"/>
                <w:szCs w:val="18"/>
                <w:color w:val="auto"/>
                <w:w w:val="95"/>
              </w:rPr>
              <w:t>67,784,030</w:t>
            </w:r>
          </w:p>
        </w:tc>
      </w:tr>
      <w:tr>
        <w:trPr>
          <w:trHeight w:val="216"/>
        </w:trPr>
        <w:tc>
          <w:tcPr>
            <w:tcW w:w="6080" w:type="dxa"/>
            <w:vAlign w:val="bottom"/>
            <w:shd w:val="clear" w:color="auto" w:fill="CCEEFF"/>
          </w:tcPr>
          <w:p>
            <w:pPr>
              <w:spacing w:after="0"/>
              <w:rPr>
                <w:sz w:val="20"/>
                <w:szCs w:val="20"/>
                <w:color w:val="auto"/>
              </w:rPr>
            </w:pPr>
            <w:r>
              <w:rPr>
                <w:rFonts w:ascii="Arial" w:cs="Arial" w:eastAsia="Arial" w:hAnsi="Arial"/>
                <w:sz w:val="18"/>
                <w:szCs w:val="18"/>
                <w:color w:val="auto"/>
              </w:rPr>
              <w:t>Matthew J. Murphy</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325,247,551</w:t>
            </w:r>
          </w:p>
        </w:tc>
        <w:tc>
          <w:tcPr>
            <w:tcW w:w="2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1,669,693</w:t>
            </w:r>
          </w:p>
        </w:tc>
        <w:tc>
          <w:tcPr>
            <w:tcW w:w="10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775,322</w:t>
            </w:r>
          </w:p>
        </w:tc>
        <w:tc>
          <w:tcPr>
            <w:tcW w:w="96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5"/>
              </w:rPr>
              <w:t>67,784,030</w:t>
            </w:r>
          </w:p>
        </w:tc>
      </w:tr>
      <w:tr>
        <w:trPr>
          <w:trHeight w:val="216"/>
        </w:trPr>
        <w:tc>
          <w:tcPr>
            <w:tcW w:w="6080" w:type="dxa"/>
            <w:vAlign w:val="bottom"/>
          </w:tcPr>
          <w:p>
            <w:pPr>
              <w:spacing w:after="0"/>
              <w:rPr>
                <w:sz w:val="20"/>
                <w:szCs w:val="20"/>
                <w:color w:val="auto"/>
              </w:rPr>
            </w:pPr>
            <w:r>
              <w:rPr>
                <w:rFonts w:ascii="Arial" w:cs="Arial" w:eastAsia="Arial" w:hAnsi="Arial"/>
                <w:sz w:val="18"/>
                <w:szCs w:val="18"/>
                <w:color w:val="auto"/>
              </w:rPr>
              <w:t>Michael Strachan</w:t>
            </w:r>
          </w:p>
        </w:tc>
        <w:tc>
          <w:tcPr>
            <w:tcW w:w="1000" w:type="dxa"/>
            <w:vAlign w:val="bottom"/>
          </w:tcPr>
          <w:p>
            <w:pPr>
              <w:jc w:val="right"/>
              <w:spacing w:after="0"/>
              <w:rPr>
                <w:sz w:val="20"/>
                <w:szCs w:val="20"/>
                <w:color w:val="auto"/>
              </w:rPr>
            </w:pPr>
            <w:r>
              <w:rPr>
                <w:rFonts w:ascii="Arial" w:cs="Arial" w:eastAsia="Arial" w:hAnsi="Arial"/>
                <w:sz w:val="18"/>
                <w:szCs w:val="18"/>
                <w:color w:val="auto"/>
                <w:w w:val="97"/>
              </w:rPr>
              <w:t>322,870,433</w:t>
            </w:r>
          </w:p>
        </w:tc>
        <w:tc>
          <w:tcPr>
            <w:tcW w:w="240" w:type="dxa"/>
            <w:vAlign w:val="bottom"/>
          </w:tcPr>
          <w:p>
            <w:pPr>
              <w:spacing w:after="0"/>
              <w:rPr>
                <w:sz w:val="18"/>
                <w:szCs w:val="18"/>
                <w:color w:val="auto"/>
              </w:rPr>
            </w:pPr>
          </w:p>
        </w:tc>
        <w:tc>
          <w:tcPr>
            <w:tcW w:w="1160" w:type="dxa"/>
            <w:vAlign w:val="bottom"/>
            <w:gridSpan w:val="2"/>
          </w:tcPr>
          <w:p>
            <w:pPr>
              <w:jc w:val="right"/>
              <w:ind w:right="260"/>
              <w:spacing w:after="0"/>
              <w:rPr>
                <w:sz w:val="20"/>
                <w:szCs w:val="20"/>
                <w:color w:val="auto"/>
              </w:rPr>
            </w:pPr>
            <w:r>
              <w:rPr>
                <w:rFonts w:ascii="Arial" w:cs="Arial" w:eastAsia="Arial" w:hAnsi="Arial"/>
                <w:sz w:val="18"/>
                <w:szCs w:val="18"/>
                <w:color w:val="auto"/>
              </w:rPr>
              <w:t>4,012,338</w:t>
            </w:r>
          </w:p>
        </w:tc>
        <w:tc>
          <w:tcPr>
            <w:tcW w:w="1060" w:type="dxa"/>
            <w:vAlign w:val="bottom"/>
            <w:gridSpan w:val="2"/>
          </w:tcPr>
          <w:p>
            <w:pPr>
              <w:jc w:val="right"/>
              <w:ind w:right="260"/>
              <w:spacing w:after="0"/>
              <w:rPr>
                <w:sz w:val="20"/>
                <w:szCs w:val="20"/>
                <w:color w:val="auto"/>
              </w:rPr>
            </w:pPr>
            <w:r>
              <w:rPr>
                <w:rFonts w:ascii="Arial" w:cs="Arial" w:eastAsia="Arial" w:hAnsi="Arial"/>
                <w:sz w:val="18"/>
                <w:szCs w:val="18"/>
                <w:color w:val="auto"/>
              </w:rPr>
              <w:t>809,795</w:t>
            </w:r>
          </w:p>
        </w:tc>
        <w:tc>
          <w:tcPr>
            <w:tcW w:w="960" w:type="dxa"/>
            <w:vAlign w:val="bottom"/>
            <w:gridSpan w:val="2"/>
          </w:tcPr>
          <w:p>
            <w:pPr>
              <w:ind w:left="80"/>
              <w:spacing w:after="0"/>
              <w:rPr>
                <w:sz w:val="20"/>
                <w:szCs w:val="20"/>
                <w:color w:val="auto"/>
              </w:rPr>
            </w:pPr>
            <w:r>
              <w:rPr>
                <w:rFonts w:ascii="Arial" w:cs="Arial" w:eastAsia="Arial" w:hAnsi="Arial"/>
                <w:sz w:val="18"/>
                <w:szCs w:val="18"/>
                <w:color w:val="auto"/>
                <w:w w:val="95"/>
              </w:rPr>
              <w:t>67,784,030</w:t>
            </w:r>
          </w:p>
        </w:tc>
      </w:tr>
      <w:tr>
        <w:trPr>
          <w:trHeight w:val="216"/>
        </w:trPr>
        <w:tc>
          <w:tcPr>
            <w:tcW w:w="6080" w:type="dxa"/>
            <w:vAlign w:val="bottom"/>
            <w:shd w:val="clear" w:color="auto" w:fill="CCEEFF"/>
          </w:tcPr>
          <w:p>
            <w:pPr>
              <w:spacing w:after="0"/>
              <w:rPr>
                <w:sz w:val="20"/>
                <w:szCs w:val="20"/>
                <w:color w:val="auto"/>
              </w:rPr>
            </w:pPr>
            <w:r>
              <w:rPr>
                <w:rFonts w:ascii="Arial" w:cs="Arial" w:eastAsia="Arial" w:hAnsi="Arial"/>
                <w:sz w:val="18"/>
                <w:szCs w:val="18"/>
                <w:color w:val="auto"/>
              </w:rPr>
              <w:t>Robert E. Switz</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321,728,590</w:t>
            </w:r>
          </w:p>
        </w:tc>
        <w:tc>
          <w:tcPr>
            <w:tcW w:w="2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5,153,206</w:t>
            </w:r>
          </w:p>
        </w:tc>
        <w:tc>
          <w:tcPr>
            <w:tcW w:w="10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810,770</w:t>
            </w:r>
          </w:p>
        </w:tc>
        <w:tc>
          <w:tcPr>
            <w:tcW w:w="96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5"/>
              </w:rPr>
              <w:t>67,784,030</w:t>
            </w:r>
          </w:p>
        </w:tc>
      </w:tr>
      <w:tr>
        <w:trPr>
          <w:trHeight w:val="230"/>
        </w:trPr>
        <w:tc>
          <w:tcPr>
            <w:tcW w:w="6080" w:type="dxa"/>
            <w:vAlign w:val="bottom"/>
          </w:tcPr>
          <w:p>
            <w:pPr>
              <w:spacing w:after="0"/>
              <w:rPr>
                <w:sz w:val="20"/>
                <w:szCs w:val="20"/>
                <w:color w:val="auto"/>
              </w:rPr>
            </w:pPr>
            <w:r>
              <w:rPr>
                <w:rFonts w:ascii="Arial" w:cs="Arial" w:eastAsia="Arial" w:hAnsi="Arial"/>
                <w:sz w:val="18"/>
                <w:szCs w:val="18"/>
                <w:color w:val="auto"/>
              </w:rPr>
              <w:t>Randhir Thakur, Ph.D.</w:t>
            </w:r>
          </w:p>
        </w:tc>
        <w:tc>
          <w:tcPr>
            <w:tcW w:w="1000" w:type="dxa"/>
            <w:vAlign w:val="bottom"/>
          </w:tcPr>
          <w:p>
            <w:pPr>
              <w:jc w:val="right"/>
              <w:spacing w:after="0"/>
              <w:rPr>
                <w:sz w:val="20"/>
                <w:szCs w:val="20"/>
                <w:color w:val="auto"/>
              </w:rPr>
            </w:pPr>
            <w:r>
              <w:rPr>
                <w:rFonts w:ascii="Arial" w:cs="Arial" w:eastAsia="Arial" w:hAnsi="Arial"/>
                <w:sz w:val="18"/>
                <w:szCs w:val="18"/>
                <w:color w:val="auto"/>
                <w:w w:val="97"/>
              </w:rPr>
              <w:t>323,615,153</w:t>
            </w:r>
          </w:p>
        </w:tc>
        <w:tc>
          <w:tcPr>
            <w:tcW w:w="240" w:type="dxa"/>
            <w:vAlign w:val="bottom"/>
          </w:tcPr>
          <w:p>
            <w:pPr>
              <w:spacing w:after="0"/>
              <w:rPr>
                <w:sz w:val="20"/>
                <w:szCs w:val="20"/>
                <w:color w:val="auto"/>
              </w:rPr>
            </w:pPr>
          </w:p>
        </w:tc>
        <w:tc>
          <w:tcPr>
            <w:tcW w:w="1160" w:type="dxa"/>
            <w:vAlign w:val="bottom"/>
            <w:gridSpan w:val="2"/>
          </w:tcPr>
          <w:p>
            <w:pPr>
              <w:jc w:val="right"/>
              <w:ind w:right="260"/>
              <w:spacing w:after="0"/>
              <w:rPr>
                <w:sz w:val="20"/>
                <w:szCs w:val="20"/>
                <w:color w:val="auto"/>
              </w:rPr>
            </w:pPr>
            <w:r>
              <w:rPr>
                <w:rFonts w:ascii="Arial" w:cs="Arial" w:eastAsia="Arial" w:hAnsi="Arial"/>
                <w:sz w:val="18"/>
                <w:szCs w:val="18"/>
                <w:color w:val="auto"/>
              </w:rPr>
              <w:t>3,267,559</w:t>
            </w:r>
          </w:p>
        </w:tc>
        <w:tc>
          <w:tcPr>
            <w:tcW w:w="1060" w:type="dxa"/>
            <w:vAlign w:val="bottom"/>
            <w:gridSpan w:val="2"/>
          </w:tcPr>
          <w:p>
            <w:pPr>
              <w:jc w:val="right"/>
              <w:ind w:right="260"/>
              <w:spacing w:after="0"/>
              <w:rPr>
                <w:sz w:val="20"/>
                <w:szCs w:val="20"/>
                <w:color w:val="auto"/>
              </w:rPr>
            </w:pPr>
            <w:r>
              <w:rPr>
                <w:rFonts w:ascii="Arial" w:cs="Arial" w:eastAsia="Arial" w:hAnsi="Arial"/>
                <w:sz w:val="18"/>
                <w:szCs w:val="18"/>
                <w:color w:val="auto"/>
              </w:rPr>
              <w:t>809,854</w:t>
            </w:r>
          </w:p>
        </w:tc>
        <w:tc>
          <w:tcPr>
            <w:tcW w:w="960" w:type="dxa"/>
            <w:vAlign w:val="bottom"/>
            <w:gridSpan w:val="2"/>
          </w:tcPr>
          <w:p>
            <w:pPr>
              <w:ind w:left="80"/>
              <w:spacing w:after="0"/>
              <w:rPr>
                <w:sz w:val="20"/>
                <w:szCs w:val="20"/>
                <w:color w:val="auto"/>
              </w:rPr>
            </w:pPr>
            <w:r>
              <w:rPr>
                <w:rFonts w:ascii="Arial" w:cs="Arial" w:eastAsia="Arial" w:hAnsi="Arial"/>
                <w:sz w:val="18"/>
                <w:szCs w:val="18"/>
                <w:color w:val="auto"/>
                <w:w w:val="95"/>
              </w:rPr>
              <w:t>67,784,030</w:t>
            </w:r>
          </w:p>
        </w:tc>
      </w:tr>
    </w:tbl>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With respect to the election of each director, an “abstain” vote had the same effect as an “against” vote.</w:t>
      </w:r>
    </w:p>
    <w:p>
      <w:pPr>
        <w:spacing w:after="0" w:line="370" w:lineRule="exact"/>
        <w:rPr>
          <w:sz w:val="20"/>
          <w:szCs w:val="20"/>
          <w:color w:val="auto"/>
        </w:rPr>
      </w:pPr>
    </w:p>
    <w:p>
      <w:pPr>
        <w:ind w:left="460" w:hanging="452"/>
        <w:spacing w:after="0" w:line="282" w:lineRule="auto"/>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b w:val="1"/>
          <w:bCs w:val="1"/>
          <w:color w:val="auto"/>
        </w:rPr>
        <w:t>The proposal to approve, on an advisory and non-binding basis, the compensation of the Company’s named executive officers, was approved based upon the following votes:</w:t>
      </w:r>
    </w:p>
    <w:p>
      <w:pPr>
        <w:spacing w:after="0" w:line="188" w:lineRule="exact"/>
        <w:rPr>
          <w:sz w:val="20"/>
          <w:szCs w:val="20"/>
          <w:color w:val="auto"/>
        </w:rPr>
      </w:pPr>
    </w:p>
    <w:tbl>
      <w:tblPr>
        <w:tblLayout w:type="fixed"/>
        <w:tblInd w:w="920" w:type="dxa"/>
        <w:tblCellMar>
          <w:top w:w="0" w:type="dxa"/>
          <w:left w:w="0" w:type="dxa"/>
          <w:bottom w:w="0" w:type="dxa"/>
          <w:right w:w="0" w:type="dxa"/>
        </w:tblCellMar>
      </w:tblPr>
      <w:tr>
        <w:trPr>
          <w:trHeight w:val="181"/>
        </w:trPr>
        <w:tc>
          <w:tcPr>
            <w:tcW w:w="2420" w:type="dxa"/>
            <w:vAlign w:val="bottom"/>
            <w:gridSpan w:val="2"/>
          </w:tcPr>
          <w:p>
            <w:pPr>
              <w:jc w:val="center"/>
              <w:ind w:right="100"/>
              <w:spacing w:after="0"/>
              <w:rPr>
                <w:sz w:val="20"/>
                <w:szCs w:val="20"/>
                <w:color w:val="auto"/>
              </w:rPr>
            </w:pPr>
            <w:r>
              <w:rPr>
                <w:rFonts w:ascii="Arial" w:cs="Arial" w:eastAsia="Arial" w:hAnsi="Arial"/>
                <w:sz w:val="14"/>
                <w:szCs w:val="14"/>
                <w:color w:val="auto"/>
                <w:w w:val="95"/>
              </w:rPr>
              <w:t>For</w:t>
            </w:r>
          </w:p>
        </w:tc>
        <w:tc>
          <w:tcPr>
            <w:tcW w:w="2380" w:type="dxa"/>
            <w:vAlign w:val="bottom"/>
            <w:gridSpan w:val="2"/>
          </w:tcPr>
          <w:p>
            <w:pPr>
              <w:jc w:val="center"/>
              <w:ind w:right="100"/>
              <w:spacing w:after="0"/>
              <w:rPr>
                <w:sz w:val="20"/>
                <w:szCs w:val="20"/>
                <w:color w:val="auto"/>
              </w:rPr>
            </w:pPr>
            <w:r>
              <w:rPr>
                <w:rFonts w:ascii="Arial" w:cs="Arial" w:eastAsia="Arial" w:hAnsi="Arial"/>
                <w:sz w:val="14"/>
                <w:szCs w:val="14"/>
                <w:color w:val="auto"/>
                <w:w w:val="94"/>
              </w:rPr>
              <w:t>Against</w:t>
            </w:r>
          </w:p>
        </w:tc>
        <w:tc>
          <w:tcPr>
            <w:tcW w:w="2480" w:type="dxa"/>
            <w:vAlign w:val="bottom"/>
            <w:gridSpan w:val="2"/>
          </w:tcPr>
          <w:p>
            <w:pPr>
              <w:jc w:val="center"/>
              <w:ind w:right="80"/>
              <w:spacing w:after="0"/>
              <w:rPr>
                <w:sz w:val="20"/>
                <w:szCs w:val="20"/>
                <w:color w:val="auto"/>
              </w:rPr>
            </w:pPr>
            <w:r>
              <w:rPr>
                <w:rFonts w:ascii="Arial" w:cs="Arial" w:eastAsia="Arial" w:hAnsi="Arial"/>
                <w:sz w:val="14"/>
                <w:szCs w:val="14"/>
                <w:color w:val="auto"/>
                <w:w w:val="94"/>
              </w:rPr>
              <w:t>Abstain</w:t>
            </w:r>
          </w:p>
        </w:tc>
        <w:tc>
          <w:tcPr>
            <w:tcW w:w="2300" w:type="dxa"/>
            <w:vAlign w:val="bottom"/>
          </w:tcPr>
          <w:p>
            <w:pPr>
              <w:jc w:val="center"/>
              <w:spacing w:after="0"/>
              <w:rPr>
                <w:sz w:val="20"/>
                <w:szCs w:val="20"/>
                <w:color w:val="auto"/>
              </w:rPr>
            </w:pPr>
            <w:r>
              <w:rPr>
                <w:rFonts w:ascii="Arial" w:cs="Arial" w:eastAsia="Arial" w:hAnsi="Arial"/>
                <w:sz w:val="14"/>
                <w:szCs w:val="14"/>
                <w:color w:val="auto"/>
                <w:w w:val="95"/>
              </w:rPr>
              <w:t>Broker Non-Votes</w:t>
            </w:r>
          </w:p>
        </w:tc>
      </w:tr>
      <w:tr>
        <w:trPr>
          <w:trHeight w:val="210"/>
        </w:trPr>
        <w:tc>
          <w:tcPr>
            <w:tcW w:w="2300" w:type="dxa"/>
            <w:vAlign w:val="bottom"/>
            <w:tcBorders>
              <w:top w:val="single" w:sz="8" w:color="auto"/>
            </w:tcBorders>
            <w:shd w:val="clear" w:color="auto" w:fill="CCEEFF"/>
          </w:tcPr>
          <w:p>
            <w:pPr>
              <w:jc w:val="right"/>
              <w:ind w:right="619"/>
              <w:spacing w:after="0"/>
              <w:rPr>
                <w:sz w:val="20"/>
                <w:szCs w:val="20"/>
                <w:color w:val="auto"/>
              </w:rPr>
            </w:pPr>
            <w:r>
              <w:rPr>
                <w:rFonts w:ascii="Arial" w:cs="Arial" w:eastAsia="Arial" w:hAnsi="Arial"/>
                <w:sz w:val="18"/>
                <w:szCs w:val="18"/>
                <w:color w:val="auto"/>
              </w:rPr>
              <w:t>310,728,149</w:t>
            </w:r>
          </w:p>
        </w:tc>
        <w:tc>
          <w:tcPr>
            <w:tcW w:w="120" w:type="dxa"/>
            <w:vAlign w:val="bottom"/>
            <w:tcBorders>
              <w:top w:val="single" w:sz="8" w:color="CCEEFF"/>
            </w:tcBorders>
            <w:shd w:val="clear" w:color="auto" w:fill="CCEEFF"/>
          </w:tcPr>
          <w:p>
            <w:pPr>
              <w:spacing w:after="0"/>
              <w:rPr>
                <w:sz w:val="18"/>
                <w:szCs w:val="18"/>
                <w:color w:val="auto"/>
              </w:rPr>
            </w:pPr>
          </w:p>
        </w:tc>
        <w:tc>
          <w:tcPr>
            <w:tcW w:w="2280" w:type="dxa"/>
            <w:vAlign w:val="bottom"/>
            <w:tcBorders>
              <w:top w:val="single" w:sz="8" w:color="auto"/>
            </w:tcBorders>
            <w:shd w:val="clear" w:color="auto" w:fill="CCEEFF"/>
          </w:tcPr>
          <w:p>
            <w:pPr>
              <w:jc w:val="right"/>
              <w:ind w:right="659"/>
              <w:spacing w:after="0"/>
              <w:rPr>
                <w:sz w:val="20"/>
                <w:szCs w:val="20"/>
                <w:color w:val="auto"/>
              </w:rPr>
            </w:pPr>
            <w:r>
              <w:rPr>
                <w:rFonts w:ascii="Arial" w:cs="Arial" w:eastAsia="Arial" w:hAnsi="Arial"/>
                <w:sz w:val="18"/>
                <w:szCs w:val="18"/>
                <w:color w:val="auto"/>
              </w:rPr>
              <w:t>16,115,144</w:t>
            </w:r>
          </w:p>
        </w:tc>
        <w:tc>
          <w:tcPr>
            <w:tcW w:w="100" w:type="dxa"/>
            <w:vAlign w:val="bottom"/>
            <w:tcBorders>
              <w:top w:val="single" w:sz="8" w:color="CCEEFF"/>
            </w:tcBorders>
            <w:shd w:val="clear" w:color="auto" w:fill="CCEEFF"/>
          </w:tcPr>
          <w:p>
            <w:pPr>
              <w:spacing w:after="0"/>
              <w:rPr>
                <w:sz w:val="18"/>
                <w:szCs w:val="18"/>
                <w:color w:val="auto"/>
              </w:rPr>
            </w:pPr>
          </w:p>
        </w:tc>
        <w:tc>
          <w:tcPr>
            <w:tcW w:w="2400" w:type="dxa"/>
            <w:vAlign w:val="bottom"/>
            <w:tcBorders>
              <w:top w:val="single" w:sz="8" w:color="auto"/>
            </w:tcBorders>
            <w:shd w:val="clear" w:color="auto" w:fill="CCEEFF"/>
          </w:tcPr>
          <w:p>
            <w:pPr>
              <w:jc w:val="right"/>
              <w:ind w:right="839"/>
              <w:spacing w:after="0"/>
              <w:rPr>
                <w:sz w:val="20"/>
                <w:szCs w:val="20"/>
                <w:color w:val="auto"/>
              </w:rPr>
            </w:pPr>
            <w:r>
              <w:rPr>
                <w:rFonts w:ascii="Arial" w:cs="Arial" w:eastAsia="Arial" w:hAnsi="Arial"/>
                <w:sz w:val="18"/>
                <w:szCs w:val="18"/>
                <w:color w:val="auto"/>
              </w:rPr>
              <w:t>849,273</w:t>
            </w:r>
          </w:p>
        </w:tc>
        <w:tc>
          <w:tcPr>
            <w:tcW w:w="80" w:type="dxa"/>
            <w:vAlign w:val="bottom"/>
            <w:tcBorders>
              <w:top w:val="single" w:sz="8" w:color="CCEEFF"/>
            </w:tcBorders>
            <w:shd w:val="clear" w:color="auto" w:fill="CCEEFF"/>
          </w:tcPr>
          <w:p>
            <w:pPr>
              <w:spacing w:after="0"/>
              <w:rPr>
                <w:sz w:val="18"/>
                <w:szCs w:val="18"/>
                <w:color w:val="auto"/>
              </w:rPr>
            </w:pPr>
          </w:p>
        </w:tc>
        <w:tc>
          <w:tcPr>
            <w:tcW w:w="2300" w:type="dxa"/>
            <w:vAlign w:val="bottom"/>
            <w:tcBorders>
              <w:top w:val="single" w:sz="8" w:color="auto"/>
            </w:tcBorders>
            <w:shd w:val="clear" w:color="auto" w:fill="CCEEFF"/>
          </w:tcPr>
          <w:p>
            <w:pPr>
              <w:jc w:val="right"/>
              <w:ind w:right="659"/>
              <w:spacing w:after="0"/>
              <w:rPr>
                <w:sz w:val="20"/>
                <w:szCs w:val="20"/>
                <w:color w:val="auto"/>
              </w:rPr>
            </w:pPr>
            <w:r>
              <w:rPr>
                <w:rFonts w:ascii="Arial" w:cs="Arial" w:eastAsia="Arial" w:hAnsi="Arial"/>
                <w:sz w:val="18"/>
                <w:szCs w:val="18"/>
                <w:color w:val="auto"/>
              </w:rPr>
              <w:t>67,784,030</w:t>
            </w:r>
          </w:p>
        </w:tc>
      </w:tr>
    </w:tbl>
    <w:p>
      <w:pPr>
        <w:spacing w:after="0" w:line="346" w:lineRule="exact"/>
        <w:rPr>
          <w:sz w:val="20"/>
          <w:szCs w:val="20"/>
          <w:color w:val="auto"/>
        </w:rPr>
      </w:pPr>
    </w:p>
    <w:p>
      <w:pPr>
        <w:ind w:left="460" w:right="160" w:hanging="452"/>
        <w:spacing w:after="0" w:line="282" w:lineRule="auto"/>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t>The proposal to approve the frequency of a shareholder vote to approve the compensation of the Company’s named executive officers, was approved based upon the following votes:</w:t>
      </w:r>
    </w:p>
    <w:p>
      <w:pPr>
        <w:spacing w:after="0" w:line="188" w:lineRule="exact"/>
        <w:rPr>
          <w:sz w:val="20"/>
          <w:szCs w:val="20"/>
          <w:color w:val="auto"/>
        </w:rPr>
      </w:pPr>
    </w:p>
    <w:tbl>
      <w:tblPr>
        <w:tblLayout w:type="fixed"/>
        <w:tblInd w:w="460" w:type="dxa"/>
        <w:tblCellMar>
          <w:top w:w="0" w:type="dxa"/>
          <w:left w:w="0" w:type="dxa"/>
          <w:bottom w:w="0" w:type="dxa"/>
          <w:right w:w="0" w:type="dxa"/>
        </w:tblCellMar>
      </w:tblPr>
      <w:tr>
        <w:trPr>
          <w:trHeight w:val="181"/>
        </w:trPr>
        <w:tc>
          <w:tcPr>
            <w:tcW w:w="2060" w:type="dxa"/>
            <w:vAlign w:val="bottom"/>
            <w:gridSpan w:val="2"/>
          </w:tcPr>
          <w:p>
            <w:pPr>
              <w:jc w:val="center"/>
              <w:ind w:right="180"/>
              <w:spacing w:after="0"/>
              <w:rPr>
                <w:sz w:val="20"/>
                <w:szCs w:val="20"/>
                <w:color w:val="auto"/>
              </w:rPr>
            </w:pPr>
            <w:r>
              <w:rPr>
                <w:rFonts w:ascii="Arial" w:cs="Arial" w:eastAsia="Arial" w:hAnsi="Arial"/>
                <w:sz w:val="14"/>
                <w:szCs w:val="14"/>
                <w:color w:val="auto"/>
                <w:w w:val="87"/>
              </w:rPr>
              <w:t>1 Year</w:t>
            </w:r>
          </w:p>
        </w:tc>
        <w:tc>
          <w:tcPr>
            <w:tcW w:w="2080" w:type="dxa"/>
            <w:vAlign w:val="bottom"/>
            <w:gridSpan w:val="2"/>
          </w:tcPr>
          <w:p>
            <w:pPr>
              <w:jc w:val="center"/>
              <w:ind w:right="100"/>
              <w:spacing w:after="0"/>
              <w:rPr>
                <w:sz w:val="20"/>
                <w:szCs w:val="20"/>
                <w:color w:val="auto"/>
              </w:rPr>
            </w:pPr>
            <w:r>
              <w:rPr>
                <w:rFonts w:ascii="Arial" w:cs="Arial" w:eastAsia="Arial" w:hAnsi="Arial"/>
                <w:sz w:val="14"/>
                <w:szCs w:val="14"/>
                <w:color w:val="auto"/>
                <w:w w:val="86"/>
              </w:rPr>
              <w:t>2 Years</w:t>
            </w:r>
          </w:p>
        </w:tc>
        <w:tc>
          <w:tcPr>
            <w:tcW w:w="2180" w:type="dxa"/>
            <w:vAlign w:val="bottom"/>
            <w:gridSpan w:val="2"/>
          </w:tcPr>
          <w:p>
            <w:pPr>
              <w:jc w:val="center"/>
              <w:ind w:right="80"/>
              <w:spacing w:after="0"/>
              <w:rPr>
                <w:sz w:val="20"/>
                <w:szCs w:val="20"/>
                <w:color w:val="auto"/>
              </w:rPr>
            </w:pPr>
            <w:r>
              <w:rPr>
                <w:rFonts w:ascii="Arial" w:cs="Arial" w:eastAsia="Arial" w:hAnsi="Arial"/>
                <w:sz w:val="14"/>
                <w:szCs w:val="14"/>
                <w:color w:val="auto"/>
                <w:w w:val="86"/>
              </w:rPr>
              <w:t>3 Years</w:t>
            </w:r>
          </w:p>
        </w:tc>
        <w:tc>
          <w:tcPr>
            <w:tcW w:w="2200" w:type="dxa"/>
            <w:vAlign w:val="bottom"/>
            <w:gridSpan w:val="2"/>
          </w:tcPr>
          <w:p>
            <w:pPr>
              <w:jc w:val="center"/>
              <w:ind w:right="80"/>
              <w:spacing w:after="0"/>
              <w:rPr>
                <w:sz w:val="20"/>
                <w:szCs w:val="20"/>
                <w:color w:val="auto"/>
              </w:rPr>
            </w:pPr>
            <w:r>
              <w:rPr>
                <w:rFonts w:ascii="Arial" w:cs="Arial" w:eastAsia="Arial" w:hAnsi="Arial"/>
                <w:sz w:val="14"/>
                <w:szCs w:val="14"/>
                <w:color w:val="auto"/>
                <w:w w:val="94"/>
              </w:rPr>
              <w:t>Abstain</w:t>
            </w:r>
          </w:p>
        </w:tc>
        <w:tc>
          <w:tcPr>
            <w:tcW w:w="1980" w:type="dxa"/>
            <w:vAlign w:val="bottom"/>
          </w:tcPr>
          <w:p>
            <w:pPr>
              <w:jc w:val="center"/>
              <w:spacing w:after="0"/>
              <w:rPr>
                <w:sz w:val="20"/>
                <w:szCs w:val="20"/>
                <w:color w:val="auto"/>
              </w:rPr>
            </w:pPr>
            <w:r>
              <w:rPr>
                <w:rFonts w:ascii="Arial" w:cs="Arial" w:eastAsia="Arial" w:hAnsi="Arial"/>
                <w:sz w:val="14"/>
                <w:szCs w:val="14"/>
                <w:color w:val="auto"/>
                <w:w w:val="95"/>
              </w:rPr>
              <w:t>Broker Non-Votes</w:t>
            </w:r>
          </w:p>
        </w:tc>
      </w:tr>
      <w:tr>
        <w:trPr>
          <w:trHeight w:val="210"/>
        </w:trPr>
        <w:tc>
          <w:tcPr>
            <w:tcW w:w="1880" w:type="dxa"/>
            <w:vAlign w:val="bottom"/>
            <w:tcBorders>
              <w:top w:val="single" w:sz="8" w:color="auto"/>
            </w:tcBorders>
            <w:shd w:val="clear" w:color="auto" w:fill="CCEEFF"/>
          </w:tcPr>
          <w:p>
            <w:pPr>
              <w:jc w:val="right"/>
              <w:ind w:right="399"/>
              <w:spacing w:after="0"/>
              <w:rPr>
                <w:sz w:val="20"/>
                <w:szCs w:val="20"/>
                <w:color w:val="auto"/>
              </w:rPr>
            </w:pPr>
            <w:r>
              <w:rPr>
                <w:rFonts w:ascii="Arial" w:cs="Arial" w:eastAsia="Arial" w:hAnsi="Arial"/>
                <w:sz w:val="18"/>
                <w:szCs w:val="18"/>
                <w:color w:val="auto"/>
              </w:rPr>
              <w:t>297,563,337</w:t>
            </w:r>
          </w:p>
        </w:tc>
        <w:tc>
          <w:tcPr>
            <w:tcW w:w="180" w:type="dxa"/>
            <w:vAlign w:val="bottom"/>
            <w:tcBorders>
              <w:top w:val="single" w:sz="8" w:color="CCEEFF"/>
            </w:tcBorders>
            <w:shd w:val="clear" w:color="auto" w:fill="CCEEFF"/>
          </w:tcPr>
          <w:p>
            <w:pPr>
              <w:spacing w:after="0"/>
              <w:rPr>
                <w:sz w:val="18"/>
                <w:szCs w:val="18"/>
                <w:color w:val="auto"/>
              </w:rPr>
            </w:pPr>
          </w:p>
        </w:tc>
        <w:tc>
          <w:tcPr>
            <w:tcW w:w="1980" w:type="dxa"/>
            <w:vAlign w:val="bottom"/>
            <w:tcBorders>
              <w:top w:val="single" w:sz="8" w:color="auto"/>
            </w:tcBorders>
            <w:shd w:val="clear" w:color="auto" w:fill="CCEEFF"/>
          </w:tcPr>
          <w:p>
            <w:pPr>
              <w:jc w:val="right"/>
              <w:ind w:right="619"/>
              <w:spacing w:after="0"/>
              <w:rPr>
                <w:sz w:val="20"/>
                <w:szCs w:val="20"/>
                <w:color w:val="auto"/>
              </w:rPr>
            </w:pPr>
            <w:r>
              <w:rPr>
                <w:rFonts w:ascii="Arial" w:cs="Arial" w:eastAsia="Arial" w:hAnsi="Arial"/>
                <w:sz w:val="18"/>
                <w:szCs w:val="18"/>
                <w:color w:val="auto"/>
              </w:rPr>
              <w:t>315,375</w:t>
            </w:r>
          </w:p>
        </w:tc>
        <w:tc>
          <w:tcPr>
            <w:tcW w:w="100" w:type="dxa"/>
            <w:vAlign w:val="bottom"/>
            <w:tcBorders>
              <w:top w:val="single" w:sz="8" w:color="CCEEFF"/>
            </w:tcBorders>
            <w:shd w:val="clear" w:color="auto" w:fill="CCEEFF"/>
          </w:tcPr>
          <w:p>
            <w:pPr>
              <w:spacing w:after="0"/>
              <w:rPr>
                <w:sz w:val="18"/>
                <w:szCs w:val="18"/>
                <w:color w:val="auto"/>
              </w:rPr>
            </w:pPr>
          </w:p>
        </w:tc>
        <w:tc>
          <w:tcPr>
            <w:tcW w:w="2100" w:type="dxa"/>
            <w:vAlign w:val="bottom"/>
            <w:tcBorders>
              <w:top w:val="single" w:sz="8" w:color="auto"/>
            </w:tcBorders>
            <w:shd w:val="clear" w:color="auto" w:fill="CCEEFF"/>
          </w:tcPr>
          <w:p>
            <w:pPr>
              <w:jc w:val="right"/>
              <w:ind w:right="559"/>
              <w:spacing w:after="0"/>
              <w:rPr>
                <w:sz w:val="20"/>
                <w:szCs w:val="20"/>
                <w:color w:val="auto"/>
              </w:rPr>
            </w:pPr>
            <w:r>
              <w:rPr>
                <w:rFonts w:ascii="Arial" w:cs="Arial" w:eastAsia="Arial" w:hAnsi="Arial"/>
                <w:sz w:val="18"/>
                <w:szCs w:val="18"/>
                <w:color w:val="auto"/>
              </w:rPr>
              <w:t>29,031,600</w:t>
            </w:r>
          </w:p>
        </w:tc>
        <w:tc>
          <w:tcPr>
            <w:tcW w:w="80" w:type="dxa"/>
            <w:vAlign w:val="bottom"/>
            <w:tcBorders>
              <w:top w:val="single" w:sz="8" w:color="CCEEFF"/>
            </w:tcBorders>
            <w:shd w:val="clear" w:color="auto" w:fill="CCEEFF"/>
          </w:tcPr>
          <w:p>
            <w:pPr>
              <w:spacing w:after="0"/>
              <w:rPr>
                <w:sz w:val="18"/>
                <w:szCs w:val="18"/>
                <w:color w:val="auto"/>
              </w:rPr>
            </w:pPr>
          </w:p>
        </w:tc>
        <w:tc>
          <w:tcPr>
            <w:tcW w:w="2100" w:type="dxa"/>
            <w:vAlign w:val="bottom"/>
            <w:tcBorders>
              <w:top w:val="single" w:sz="8" w:color="auto"/>
            </w:tcBorders>
            <w:shd w:val="clear" w:color="auto" w:fill="CCEEFF"/>
          </w:tcPr>
          <w:p>
            <w:pPr>
              <w:jc w:val="right"/>
              <w:ind w:right="679"/>
              <w:spacing w:after="0"/>
              <w:rPr>
                <w:sz w:val="20"/>
                <w:szCs w:val="20"/>
                <w:color w:val="auto"/>
              </w:rPr>
            </w:pPr>
            <w:r>
              <w:rPr>
                <w:rFonts w:ascii="Arial" w:cs="Arial" w:eastAsia="Arial" w:hAnsi="Arial"/>
                <w:sz w:val="18"/>
                <w:szCs w:val="18"/>
                <w:color w:val="auto"/>
              </w:rPr>
              <w:t>782,254</w:t>
            </w:r>
          </w:p>
        </w:tc>
        <w:tc>
          <w:tcPr>
            <w:tcW w:w="100" w:type="dxa"/>
            <w:vAlign w:val="bottom"/>
            <w:tcBorders>
              <w:top w:val="single" w:sz="8" w:color="CCEEFF"/>
            </w:tcBorders>
            <w:shd w:val="clear" w:color="auto" w:fill="CCEEFF"/>
          </w:tcPr>
          <w:p>
            <w:pPr>
              <w:spacing w:after="0"/>
              <w:rPr>
                <w:sz w:val="18"/>
                <w:szCs w:val="18"/>
                <w:color w:val="auto"/>
              </w:rPr>
            </w:pPr>
          </w:p>
        </w:tc>
        <w:tc>
          <w:tcPr>
            <w:tcW w:w="1980" w:type="dxa"/>
            <w:vAlign w:val="bottom"/>
            <w:tcBorders>
              <w:top w:val="single" w:sz="8" w:color="auto"/>
            </w:tcBorders>
            <w:shd w:val="clear" w:color="auto" w:fill="CCEEFF"/>
          </w:tcPr>
          <w:p>
            <w:pPr>
              <w:jc w:val="right"/>
              <w:ind w:right="499"/>
              <w:spacing w:after="0"/>
              <w:rPr>
                <w:sz w:val="20"/>
                <w:szCs w:val="20"/>
                <w:color w:val="auto"/>
              </w:rPr>
            </w:pPr>
            <w:r>
              <w:rPr>
                <w:rFonts w:ascii="Arial" w:cs="Arial" w:eastAsia="Arial" w:hAnsi="Arial"/>
                <w:sz w:val="18"/>
                <w:szCs w:val="18"/>
                <w:color w:val="auto"/>
              </w:rPr>
              <w:t>67,784,030</w:t>
            </w:r>
          </w:p>
        </w:tc>
      </w:tr>
    </w:tbl>
    <w:p>
      <w:pPr>
        <w:spacing w:after="0" w:line="346" w:lineRule="exact"/>
        <w:rPr>
          <w:sz w:val="20"/>
          <w:szCs w:val="20"/>
          <w:color w:val="auto"/>
        </w:rPr>
      </w:pPr>
    </w:p>
    <w:p>
      <w:pPr>
        <w:ind w:left="460" w:right="440" w:hanging="452"/>
        <w:spacing w:after="0" w:line="261" w:lineRule="auto"/>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t>The proposal to appoint Deloitte &amp; Touche LLP as the Company’s auditors and independent registered public accounting firm, and authorization of the audit committee, acting on behalf of the Company’s board of directors, to fix the remuneration of the auditors and independent registered public accounting firm, in both cases for the fiscal year ending February 3, 2018, was approved based upon the following votes: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81"/>
        </w:trPr>
        <w:tc>
          <w:tcPr>
            <w:tcW w:w="3060" w:type="dxa"/>
            <w:vAlign w:val="bottom"/>
            <w:gridSpan w:val="2"/>
          </w:tcPr>
          <w:p>
            <w:pPr>
              <w:jc w:val="center"/>
              <w:ind w:right="100"/>
              <w:spacing w:after="0"/>
              <w:rPr>
                <w:sz w:val="20"/>
                <w:szCs w:val="20"/>
                <w:color w:val="auto"/>
              </w:rPr>
            </w:pPr>
            <w:r>
              <w:rPr>
                <w:rFonts w:ascii="Arial" w:cs="Arial" w:eastAsia="Arial" w:hAnsi="Arial"/>
                <w:sz w:val="14"/>
                <w:szCs w:val="14"/>
                <w:color w:val="auto"/>
                <w:w w:val="95"/>
              </w:rPr>
              <w:t>For</w:t>
            </w:r>
          </w:p>
        </w:tc>
        <w:tc>
          <w:tcPr>
            <w:tcW w:w="2840" w:type="dxa"/>
            <w:vAlign w:val="bottom"/>
            <w:gridSpan w:val="2"/>
          </w:tcPr>
          <w:p>
            <w:pPr>
              <w:jc w:val="center"/>
              <w:ind w:right="80"/>
              <w:spacing w:after="0"/>
              <w:rPr>
                <w:sz w:val="20"/>
                <w:szCs w:val="20"/>
                <w:color w:val="auto"/>
              </w:rPr>
            </w:pPr>
            <w:r>
              <w:rPr>
                <w:rFonts w:ascii="Arial" w:cs="Arial" w:eastAsia="Arial" w:hAnsi="Arial"/>
                <w:sz w:val="14"/>
                <w:szCs w:val="14"/>
                <w:color w:val="auto"/>
                <w:w w:val="94"/>
              </w:rPr>
              <w:t>Against</w:t>
            </w:r>
          </w:p>
        </w:tc>
        <w:tc>
          <w:tcPr>
            <w:tcW w:w="2780" w:type="dxa"/>
            <w:vAlign w:val="bottom"/>
          </w:tcPr>
          <w:p>
            <w:pPr>
              <w:jc w:val="center"/>
              <w:spacing w:after="0"/>
              <w:rPr>
                <w:sz w:val="20"/>
                <w:szCs w:val="20"/>
                <w:color w:val="auto"/>
              </w:rPr>
            </w:pPr>
            <w:r>
              <w:rPr>
                <w:rFonts w:ascii="Arial" w:cs="Arial" w:eastAsia="Arial" w:hAnsi="Arial"/>
                <w:sz w:val="14"/>
                <w:szCs w:val="14"/>
                <w:color w:val="auto"/>
                <w:w w:val="94"/>
              </w:rPr>
              <w:t>Abstain</w:t>
            </w:r>
          </w:p>
        </w:tc>
      </w:tr>
      <w:tr>
        <w:trPr>
          <w:trHeight w:val="210"/>
        </w:trPr>
        <w:tc>
          <w:tcPr>
            <w:tcW w:w="2940" w:type="dxa"/>
            <w:vAlign w:val="bottom"/>
            <w:tcBorders>
              <w:top w:val="single" w:sz="8" w:color="auto"/>
            </w:tcBorders>
            <w:shd w:val="clear" w:color="auto" w:fill="CCEEFF"/>
          </w:tcPr>
          <w:p>
            <w:pPr>
              <w:jc w:val="right"/>
              <w:ind w:right="939"/>
              <w:spacing w:after="0"/>
              <w:rPr>
                <w:sz w:val="20"/>
                <w:szCs w:val="20"/>
                <w:color w:val="auto"/>
              </w:rPr>
            </w:pPr>
            <w:r>
              <w:rPr>
                <w:rFonts w:ascii="Arial" w:cs="Arial" w:eastAsia="Arial" w:hAnsi="Arial"/>
                <w:sz w:val="18"/>
                <w:szCs w:val="18"/>
                <w:color w:val="auto"/>
              </w:rPr>
              <w:t>394,255,089</w:t>
            </w:r>
          </w:p>
        </w:tc>
        <w:tc>
          <w:tcPr>
            <w:tcW w:w="120" w:type="dxa"/>
            <w:vAlign w:val="bottom"/>
            <w:tcBorders>
              <w:top w:val="single" w:sz="8" w:color="CCEEFF"/>
            </w:tcBorders>
            <w:shd w:val="clear" w:color="auto" w:fill="CCEEFF"/>
          </w:tcPr>
          <w:p>
            <w:pPr>
              <w:spacing w:after="0"/>
              <w:rPr>
                <w:sz w:val="18"/>
                <w:szCs w:val="18"/>
                <w:color w:val="auto"/>
              </w:rPr>
            </w:pPr>
          </w:p>
        </w:tc>
        <w:tc>
          <w:tcPr>
            <w:tcW w:w="2760" w:type="dxa"/>
            <w:vAlign w:val="bottom"/>
            <w:tcBorders>
              <w:top w:val="single" w:sz="8" w:color="auto"/>
            </w:tcBorders>
            <w:shd w:val="clear" w:color="auto" w:fill="CCEEFF"/>
          </w:tcPr>
          <w:p>
            <w:pPr>
              <w:jc w:val="right"/>
              <w:ind w:right="1019"/>
              <w:spacing w:after="0"/>
              <w:rPr>
                <w:sz w:val="20"/>
                <w:szCs w:val="20"/>
                <w:color w:val="auto"/>
              </w:rPr>
            </w:pPr>
            <w:r>
              <w:rPr>
                <w:rFonts w:ascii="Arial" w:cs="Arial" w:eastAsia="Arial" w:hAnsi="Arial"/>
                <w:sz w:val="18"/>
                <w:szCs w:val="18"/>
                <w:color w:val="auto"/>
              </w:rPr>
              <w:t>359,159</w:t>
            </w:r>
          </w:p>
        </w:tc>
        <w:tc>
          <w:tcPr>
            <w:tcW w:w="80" w:type="dxa"/>
            <w:vAlign w:val="bottom"/>
            <w:tcBorders>
              <w:top w:val="single" w:sz="8" w:color="CCEEFF"/>
            </w:tcBorders>
            <w:shd w:val="clear" w:color="auto" w:fill="CCEEFF"/>
          </w:tcPr>
          <w:p>
            <w:pPr>
              <w:spacing w:after="0"/>
              <w:rPr>
                <w:sz w:val="18"/>
                <w:szCs w:val="18"/>
                <w:color w:val="auto"/>
              </w:rPr>
            </w:pPr>
          </w:p>
        </w:tc>
        <w:tc>
          <w:tcPr>
            <w:tcW w:w="2780" w:type="dxa"/>
            <w:vAlign w:val="bottom"/>
            <w:tcBorders>
              <w:top w:val="single" w:sz="8" w:color="auto"/>
            </w:tcBorders>
            <w:shd w:val="clear" w:color="auto" w:fill="CCEEFF"/>
          </w:tcPr>
          <w:p>
            <w:pPr>
              <w:jc w:val="right"/>
              <w:ind w:right="1019"/>
              <w:spacing w:after="0"/>
              <w:rPr>
                <w:sz w:val="20"/>
                <w:szCs w:val="20"/>
                <w:color w:val="auto"/>
              </w:rPr>
            </w:pPr>
            <w:r>
              <w:rPr>
                <w:rFonts w:ascii="Arial" w:cs="Arial" w:eastAsia="Arial" w:hAnsi="Arial"/>
                <w:sz w:val="18"/>
                <w:szCs w:val="18"/>
                <w:color w:val="auto"/>
              </w:rPr>
              <w:t>862,348</w:t>
            </w:r>
          </w:p>
        </w:tc>
      </w:tr>
    </w:tbl>
    <w:p>
      <w:pPr>
        <w:spacing w:after="0" w:line="346" w:lineRule="exact"/>
        <w:rPr>
          <w:sz w:val="20"/>
          <w:szCs w:val="20"/>
          <w:color w:val="auto"/>
        </w:rPr>
      </w:pPr>
    </w:p>
    <w:p>
      <w:pPr>
        <w:spacing w:after="0"/>
        <w:tabs>
          <w:tab w:leader="none" w:pos="136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Items.</w:t>
      </w:r>
    </w:p>
    <w:p>
      <w:pPr>
        <w:spacing w:after="0" w:line="121"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In response to the shareholder vote in Item 5.07 above regarding the frequency of a shareholder vote on executive compensation, on June 16, 2017 the Company’s board of directors determined that the Company would continue to hold a shareholder advisory nonbinding vote regarding the compensation of the Company’s named executive officers every year.</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220"/>
          </w:cols>
          <w:pgMar w:left="240" w:top="270" w:right="43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June 19, 2017</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Mitchell 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245110</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380"/>
        <w:spacing w:after="0"/>
        <w:rPr>
          <w:sz w:val="20"/>
          <w:szCs w:val="20"/>
          <w:color w:val="auto"/>
        </w:rPr>
      </w:pPr>
      <w:r>
        <w:rPr>
          <w:rFonts w:ascii="Arial" w:cs="Arial" w:eastAsia="Arial" w:hAnsi="Arial"/>
          <w:sz w:val="18"/>
          <w:szCs w:val="18"/>
          <w:color w:val="auto"/>
        </w:rPr>
        <w:t>Mitchell L. Gaynor</w:t>
      </w:r>
    </w:p>
    <w:p>
      <w:pPr>
        <w:spacing w:after="0" w:line="23"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Chief Administration and Legal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sectPr>
      <w:pgSz w:w="11900" w:h="16838" w:orient="portrait"/>
      <w:cols w:equalWidth="0" w:num="1">
        <w:col w:w="11420"/>
      </w:cols>
      <w:pgMar w:left="240" w:top="27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9495CFF"/>
    <w:multiLevelType w:val="hybridMultilevel"/>
    <w:lvl w:ilvl="0">
      <w:lvlJc w:val="left"/>
      <w:lvlText w:val="☐"/>
      <w:numFmt w:val="bullet"/>
      <w:start w:val="1"/>
    </w:lvl>
  </w:abstractNum>
  <w:abstractNum w:abstractNumId="1">
    <w:nsid w:val="2AE8944A"/>
    <w:multiLevelType w:val="hybridMultilevel"/>
    <w:lvl w:ilvl="0">
      <w:lvlJc w:val="left"/>
      <w:lvlText w:val="%1."/>
      <w:numFmt w:val="decimal"/>
      <w:start w:val="1"/>
    </w:lvl>
  </w:abstractNum>
  <w:abstractNum w:abstractNumId="2">
    <w:nsid w:val="625558EC"/>
    <w:multiLevelType w:val="hybridMultilevel"/>
    <w:lvl w:ilvl="0">
      <w:lvlJc w:val="left"/>
      <w:lvlText w:val="%1."/>
      <w:numFmt w:val="decimal"/>
      <w:start w:val="2"/>
    </w:lvl>
  </w:abstractNum>
  <w:abstractNum w:abstractNumId="3">
    <w:nsid w:val="238E1F29"/>
    <w:multiLevelType w:val="hybridMultilevel"/>
    <w:lvl w:ilvl="0">
      <w:lvlJc w:val="left"/>
      <w:lvlText w:val="%1."/>
      <w:numFmt w:val="decimal"/>
      <w:start w:val="3"/>
    </w:lvl>
  </w:abstractNum>
  <w:abstractNum w:abstractNumId="4">
    <w:nsid w:val="46E87CCD"/>
    <w:multiLevelType w:val="hybridMultilevel"/>
    <w:lvl w:ilvl="0">
      <w:lvlJc w:val="left"/>
      <w:lvlText w:val="%1."/>
      <w:numFmt w:val="decimal"/>
      <w:start w:val="4"/>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2019-12-06T08:28:35Z</dcterms:created>
  <dcterms:modified xsi:type="dcterms:W3CDTF">2019-12-06T08:28:35Z</dcterms:modified>
</cp:coreProperties>
</file>