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9"/>
          <w:szCs w:val="29"/>
          <w:b w:val="1"/>
          <w:bCs w:val="1"/>
          <w:color w:val="auto"/>
        </w:rPr>
        <w:drawing>
          <wp:anchor simplePos="0" relativeHeight="251657728" behindDoc="1" locked="0" layoutInCell="0" allowOverlap="1">
            <wp:simplePos x="0" y="0"/>
            <wp:positionH relativeFrom="page">
              <wp:posOffset>157480</wp:posOffset>
            </wp:positionH>
            <wp:positionV relativeFrom="page">
              <wp:posOffset>328930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243205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126"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1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70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8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Exchange Act of 1934</w:t>
      </w:r>
    </w:p>
    <w:p>
      <w:pPr>
        <w:spacing w:after="0" w:line="36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Report: November 28, 2017</w:t>
      </w:r>
    </w:p>
    <w:p>
      <w:pPr>
        <w:spacing w:after="0" w:line="58"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8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6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91" w:lineRule="exact"/>
        <w:rPr>
          <w:sz w:val="24"/>
          <w:szCs w:val="24"/>
          <w:color w:val="auto"/>
        </w:rPr>
      </w:pPr>
    </w:p>
    <w:tbl>
      <w:tblPr>
        <w:tblLayout w:type="fixed"/>
        <w:tblInd w:w="1020" w:type="dxa"/>
        <w:tblCellMar>
          <w:top w:w="0" w:type="dxa"/>
          <w:left w:w="0" w:type="dxa"/>
          <w:bottom w:w="0" w:type="dxa"/>
          <w:right w:w="0" w:type="dxa"/>
        </w:tblCellMar>
      </w:tblPr>
      <w:tr>
        <w:trPr>
          <w:trHeight w:val="234"/>
        </w:trPr>
        <w:tc>
          <w:tcPr>
            <w:tcW w:w="2340" w:type="dxa"/>
            <w:vAlign w:val="bottom"/>
          </w:tcPr>
          <w:p>
            <w:pPr>
              <w:jc w:val="center"/>
              <w:ind w:right="462"/>
              <w:spacing w:after="0"/>
              <w:rPr>
                <w:sz w:val="20"/>
                <w:szCs w:val="20"/>
                <w:color w:val="auto"/>
              </w:rPr>
            </w:pPr>
            <w:r>
              <w:rPr>
                <w:rFonts w:ascii="Arial" w:cs="Arial" w:eastAsia="Arial" w:hAnsi="Arial"/>
                <w:sz w:val="18"/>
                <w:szCs w:val="18"/>
                <w:b w:val="1"/>
                <w:bCs w:val="1"/>
                <w:color w:val="auto"/>
                <w:w w:val="92"/>
              </w:rPr>
              <w:t>Bermuda</w:t>
            </w: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80" w:type="dxa"/>
            <w:vAlign w:val="bottom"/>
          </w:tcPr>
          <w:p>
            <w:pPr>
              <w:jc w:val="right"/>
              <w:ind w:right="519"/>
              <w:spacing w:after="0"/>
              <w:rPr>
                <w:sz w:val="20"/>
                <w:szCs w:val="20"/>
                <w:color w:val="auto"/>
              </w:rPr>
            </w:pPr>
            <w:r>
              <w:rPr>
                <w:rFonts w:ascii="Arial" w:cs="Arial" w:eastAsia="Arial" w:hAnsi="Arial"/>
                <w:sz w:val="18"/>
                <w:szCs w:val="18"/>
                <w:b w:val="1"/>
                <w:bCs w:val="1"/>
                <w:color w:val="auto"/>
              </w:rPr>
              <w:t>77-0481679</w:t>
            </w:r>
          </w:p>
        </w:tc>
      </w:tr>
      <w:tr>
        <w:trPr>
          <w:trHeight w:val="234"/>
        </w:trPr>
        <w:tc>
          <w:tcPr>
            <w:tcW w:w="2340" w:type="dxa"/>
            <w:vAlign w:val="bottom"/>
          </w:tcPr>
          <w:p>
            <w:pPr>
              <w:jc w:val="center"/>
              <w:ind w:right="462"/>
              <w:spacing w:after="0"/>
              <w:rPr>
                <w:sz w:val="20"/>
                <w:szCs w:val="20"/>
                <w:color w:val="auto"/>
              </w:rPr>
            </w:pPr>
            <w:r>
              <w:rPr>
                <w:rFonts w:ascii="Arial" w:cs="Arial" w:eastAsia="Arial" w:hAnsi="Arial"/>
                <w:sz w:val="14"/>
                <w:szCs w:val="14"/>
                <w:b w:val="1"/>
                <w:bCs w:val="1"/>
                <w:color w:val="auto"/>
                <w:w w:val="93"/>
              </w:rPr>
              <w:t>(State or other jurisdiction of</w:t>
            </w: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80" w:type="dxa"/>
            <w:vAlign w:val="bottom"/>
          </w:tcPr>
          <w:p>
            <w:pPr>
              <w:jc w:val="center"/>
              <w:ind w:left="39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40" w:type="dxa"/>
            <w:vAlign w:val="bottom"/>
          </w:tcPr>
          <w:p>
            <w:pPr>
              <w:jc w:val="center"/>
              <w:ind w:right="482"/>
              <w:spacing w:after="0"/>
              <w:rPr>
                <w:sz w:val="20"/>
                <w:szCs w:val="20"/>
                <w:color w:val="auto"/>
              </w:rPr>
            </w:pPr>
            <w:r>
              <w:rPr>
                <w:rFonts w:ascii="Arial" w:cs="Arial" w:eastAsia="Arial" w:hAnsi="Arial"/>
                <w:sz w:val="14"/>
                <w:szCs w:val="14"/>
                <w:b w:val="1"/>
                <w:bCs w:val="1"/>
                <w:color w:val="auto"/>
                <w:w w:val="94"/>
              </w:rPr>
              <w:t>incorporation)</w:t>
            </w:r>
          </w:p>
        </w:tc>
        <w:tc>
          <w:tcPr>
            <w:tcW w:w="4680" w:type="dxa"/>
            <w:vAlign w:val="bottom"/>
          </w:tcPr>
          <w:p>
            <w:pPr>
              <w:spacing w:after="0"/>
              <w:rPr>
                <w:sz w:val="16"/>
                <w:szCs w:val="16"/>
                <w:color w:val="auto"/>
              </w:rPr>
            </w:pPr>
          </w:p>
        </w:tc>
        <w:tc>
          <w:tcPr>
            <w:tcW w:w="2580" w:type="dxa"/>
            <w:vAlign w:val="bottom"/>
          </w:tcPr>
          <w:p>
            <w:pPr>
              <w:spacing w:after="0"/>
              <w:rPr>
                <w:sz w:val="16"/>
                <w:szCs w:val="16"/>
                <w:color w:val="auto"/>
              </w:rPr>
            </w:pPr>
          </w:p>
        </w:tc>
      </w:tr>
      <w:tr>
        <w:trPr>
          <w:trHeight w:val="453"/>
        </w:trPr>
        <w:tc>
          <w:tcPr>
            <w:tcW w:w="2340" w:type="dxa"/>
            <w:vAlign w:val="bottom"/>
          </w:tcPr>
          <w:p>
            <w:pPr>
              <w:spacing w:after="0"/>
              <w:rPr>
                <w:sz w:val="24"/>
                <w:szCs w:val="24"/>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Canon’s Court</w:t>
            </w:r>
          </w:p>
        </w:tc>
        <w:tc>
          <w:tcPr>
            <w:tcW w:w="2580" w:type="dxa"/>
            <w:vAlign w:val="bottom"/>
          </w:tcPr>
          <w:p>
            <w:pPr>
              <w:spacing w:after="0"/>
              <w:rPr>
                <w:sz w:val="24"/>
                <w:szCs w:val="24"/>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1"/>
              </w:rPr>
              <w:t>22 Victoria Street</w:t>
            </w:r>
          </w:p>
        </w:tc>
        <w:tc>
          <w:tcPr>
            <w:tcW w:w="2580" w:type="dxa"/>
            <w:vAlign w:val="bottom"/>
          </w:tcPr>
          <w:p>
            <w:pPr>
              <w:spacing w:after="0"/>
              <w:rPr>
                <w:sz w:val="18"/>
                <w:szCs w:val="18"/>
                <w:color w:val="auto"/>
              </w:rPr>
            </w:pPr>
          </w:p>
        </w:tc>
      </w:tr>
      <w:tr>
        <w:trPr>
          <w:trHeight w:val="216"/>
        </w:trPr>
        <w:tc>
          <w:tcPr>
            <w:tcW w:w="2340" w:type="dxa"/>
            <w:vAlign w:val="bottom"/>
          </w:tcPr>
          <w:p>
            <w:pPr>
              <w:spacing w:after="0"/>
              <w:rPr>
                <w:sz w:val="18"/>
                <w:szCs w:val="18"/>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6"/>
              </w:rPr>
              <w:t>Hamilton HM 12</w:t>
            </w:r>
          </w:p>
        </w:tc>
        <w:tc>
          <w:tcPr>
            <w:tcW w:w="2580" w:type="dxa"/>
            <w:vAlign w:val="bottom"/>
          </w:tcPr>
          <w:p>
            <w:pPr>
              <w:spacing w:after="0"/>
              <w:rPr>
                <w:sz w:val="18"/>
                <w:szCs w:val="18"/>
                <w:color w:val="auto"/>
              </w:rPr>
            </w:pPr>
          </w:p>
        </w:tc>
      </w:tr>
      <w:tr>
        <w:trPr>
          <w:trHeight w:val="234"/>
        </w:trPr>
        <w:tc>
          <w:tcPr>
            <w:tcW w:w="2340" w:type="dxa"/>
            <w:vAlign w:val="bottom"/>
          </w:tcPr>
          <w:p>
            <w:pPr>
              <w:spacing w:after="0"/>
              <w:rPr>
                <w:sz w:val="20"/>
                <w:szCs w:val="20"/>
                <w:color w:val="auto"/>
              </w:rPr>
            </w:pPr>
          </w:p>
        </w:tc>
        <w:tc>
          <w:tcPr>
            <w:tcW w:w="468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80" w:type="dxa"/>
            <w:vAlign w:val="bottom"/>
          </w:tcPr>
          <w:p>
            <w:pPr>
              <w:spacing w:after="0"/>
              <w:rPr>
                <w:sz w:val="20"/>
                <w:szCs w:val="20"/>
                <w:color w:val="auto"/>
              </w:rPr>
            </w:pPr>
          </w:p>
        </w:tc>
      </w:tr>
      <w:tr>
        <w:trPr>
          <w:trHeight w:val="191"/>
        </w:trPr>
        <w:tc>
          <w:tcPr>
            <w:tcW w:w="2340" w:type="dxa"/>
            <w:vAlign w:val="bottom"/>
          </w:tcPr>
          <w:p>
            <w:pPr>
              <w:spacing w:after="0"/>
              <w:rPr>
                <w:sz w:val="16"/>
                <w:szCs w:val="16"/>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80" w:type="dxa"/>
            <w:vAlign w:val="bottom"/>
          </w:tcPr>
          <w:p>
            <w:pPr>
              <w:spacing w:after="0"/>
              <w:rPr>
                <w:sz w:val="16"/>
                <w:szCs w:val="16"/>
                <w:color w:val="auto"/>
              </w:rPr>
            </w:pPr>
          </w:p>
        </w:tc>
      </w:tr>
      <w:tr>
        <w:trPr>
          <w:trHeight w:val="417"/>
        </w:trPr>
        <w:tc>
          <w:tcPr>
            <w:tcW w:w="2340" w:type="dxa"/>
            <w:vAlign w:val="bottom"/>
          </w:tcPr>
          <w:p>
            <w:pPr>
              <w:spacing w:after="0"/>
              <w:rPr>
                <w:sz w:val="24"/>
                <w:szCs w:val="24"/>
                <w:color w:val="auto"/>
              </w:rPr>
            </w:pPr>
          </w:p>
        </w:tc>
        <w:tc>
          <w:tcPr>
            <w:tcW w:w="4680" w:type="dxa"/>
            <w:vAlign w:val="bottom"/>
          </w:tcPr>
          <w:p>
            <w:pPr>
              <w:jc w:val="right"/>
              <w:ind w:right="1675"/>
              <w:spacing w:after="0"/>
              <w:rPr>
                <w:sz w:val="20"/>
                <w:szCs w:val="20"/>
                <w:color w:val="auto"/>
              </w:rPr>
            </w:pPr>
            <w:r>
              <w:rPr>
                <w:rFonts w:ascii="Arial" w:cs="Arial" w:eastAsia="Arial" w:hAnsi="Arial"/>
                <w:sz w:val="18"/>
                <w:szCs w:val="18"/>
                <w:b w:val="1"/>
                <w:bCs w:val="1"/>
                <w:color w:val="auto"/>
              </w:rPr>
              <w:t>(441) 296-6395</w:t>
            </w:r>
          </w:p>
        </w:tc>
        <w:tc>
          <w:tcPr>
            <w:tcW w:w="2580" w:type="dxa"/>
            <w:vAlign w:val="bottom"/>
          </w:tcPr>
          <w:p>
            <w:pPr>
              <w:spacing w:after="0"/>
              <w:rPr>
                <w:sz w:val="24"/>
                <w:szCs w:val="24"/>
                <w:color w:val="auto"/>
              </w:rPr>
            </w:pPr>
          </w:p>
        </w:tc>
      </w:tr>
      <w:tr>
        <w:trPr>
          <w:trHeight w:val="204"/>
        </w:trPr>
        <w:tc>
          <w:tcPr>
            <w:tcW w:w="2340" w:type="dxa"/>
            <w:vAlign w:val="bottom"/>
          </w:tcPr>
          <w:p>
            <w:pPr>
              <w:spacing w:after="0"/>
              <w:rPr>
                <w:sz w:val="17"/>
                <w:szCs w:val="17"/>
                <w:color w:val="auto"/>
              </w:rPr>
            </w:pPr>
          </w:p>
        </w:tc>
        <w:tc>
          <w:tcPr>
            <w:tcW w:w="468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80" w:type="dxa"/>
            <w:vAlign w:val="bottom"/>
          </w:tcPr>
          <w:p>
            <w:pPr>
              <w:spacing w:after="0"/>
              <w:rPr>
                <w:sz w:val="17"/>
                <w:szCs w:val="17"/>
                <w:color w:val="auto"/>
              </w:rPr>
            </w:pPr>
          </w:p>
        </w:tc>
      </w:tr>
      <w:tr>
        <w:trPr>
          <w:trHeight w:val="255"/>
        </w:trPr>
        <w:tc>
          <w:tcPr>
            <w:tcW w:w="2340" w:type="dxa"/>
            <w:vAlign w:val="bottom"/>
          </w:tcPr>
          <w:p>
            <w:pPr>
              <w:spacing w:after="0"/>
              <w:rPr>
                <w:sz w:val="22"/>
                <w:szCs w:val="22"/>
                <w:color w:val="auto"/>
              </w:rPr>
            </w:pPr>
          </w:p>
        </w:tc>
        <w:tc>
          <w:tcPr>
            <w:tcW w:w="4680" w:type="dxa"/>
            <w:vAlign w:val="bottom"/>
          </w:tcPr>
          <w:p>
            <w:pPr>
              <w:jc w:val="right"/>
              <w:ind w:right="1115"/>
              <w:spacing w:after="0"/>
              <w:rPr>
                <w:sz w:val="20"/>
                <w:szCs w:val="20"/>
                <w:color w:val="auto"/>
              </w:rPr>
            </w:pPr>
            <w:r>
              <w:rPr>
                <w:rFonts w:ascii="Arial" w:cs="Arial" w:eastAsia="Arial" w:hAnsi="Arial"/>
                <w:sz w:val="18"/>
                <w:szCs w:val="18"/>
                <w:color w:val="auto"/>
              </w:rPr>
              <w:t>_________________________</w:t>
            </w:r>
          </w:p>
        </w:tc>
        <w:tc>
          <w:tcPr>
            <w:tcW w:w="2580" w:type="dxa"/>
            <w:vAlign w:val="bottom"/>
          </w:tcPr>
          <w:p>
            <w:pPr>
              <w:spacing w:after="0"/>
              <w:rPr>
                <w:sz w:val="22"/>
                <w:szCs w:val="22"/>
                <w:color w:val="auto"/>
              </w:rPr>
            </w:pPr>
          </w:p>
        </w:tc>
      </w:tr>
    </w:tbl>
    <w:p>
      <w:pPr>
        <w:spacing w:after="0" w:line="188" w:lineRule="exact"/>
        <w:rPr>
          <w:sz w:val="24"/>
          <w:szCs w:val="24"/>
          <w:color w:val="auto"/>
        </w:rPr>
      </w:pPr>
    </w:p>
    <w:p>
      <w:pPr>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211" w:lineRule="exact"/>
        <w:rPr>
          <w:sz w:val="24"/>
          <w:szCs w:val="24"/>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00" w:lineRule="exact"/>
        <w:rPr>
          <w:rFonts w:ascii="MS PGothic" w:cs="MS PGothic" w:eastAsia="MS PGothic" w:hAnsi="MS PGothic"/>
          <w:sz w:val="18"/>
          <w:szCs w:val="18"/>
          <w:color w:val="auto"/>
        </w:rPr>
      </w:pPr>
    </w:p>
    <w:p>
      <w:pPr>
        <w:ind w:left="500" w:hanging="357"/>
        <w:spacing w:after="0"/>
        <w:tabs>
          <w:tab w:leader="none" w:pos="50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ectPr>
          <w:pgSz w:w="11900" w:h="16838" w:orient="portrait"/>
          <w:cols w:equalWidth="0" w:num="1">
            <w:col w:w="11300"/>
          </w:cols>
          <w:pgMar w:left="240" w:top="702" w:right="359" w:bottom="1440" w:gutter="0" w:footer="0" w:header="0"/>
        </w:sectPr>
      </w:pPr>
    </w:p>
    <w:bookmarkStart w:id="1" w:name="page2"/>
    <w:bookmarkEnd w:id="1"/>
    <w:p>
      <w:pPr>
        <w:ind w:left="500" w:hanging="357"/>
        <w:spacing w:after="0"/>
        <w:tabs>
          <w:tab w:leader="none" w:pos="50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 chapter)</w:t>
      </w:r>
    </w:p>
    <w:p>
      <w:pPr>
        <w:spacing w:after="0" w:line="41" w:lineRule="exact"/>
        <w:rPr>
          <w:sz w:val="20"/>
          <w:szCs w:val="20"/>
          <w:color w:val="auto"/>
        </w:rPr>
      </w:pPr>
    </w:p>
    <w:p>
      <w:pPr>
        <w:spacing w:after="0" w:line="207" w:lineRule="exact"/>
        <w:tabs>
          <w:tab w:leader="none" w:pos="6880" w:val="left"/>
          <w:tab w:leader="none" w:pos="902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75" w:lineRule="exact"/>
        <w:rPr>
          <w:sz w:val="20"/>
          <w:szCs w:val="20"/>
          <w:color w:val="auto"/>
        </w:rPr>
      </w:pPr>
    </w:p>
    <w:p>
      <w:pPr>
        <w:ind w:right="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236220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150495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530" w:right="29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29" w:lineRule="exact"/>
        <w:rPr>
          <w:sz w:val="20"/>
          <w:szCs w:val="20"/>
          <w:color w:val="auto"/>
        </w:rPr>
      </w:pPr>
    </w:p>
    <w:p>
      <w:pPr>
        <w:ind w:firstLine="648"/>
        <w:spacing w:after="0" w:line="302"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20" w:firstLine="648"/>
        <w:spacing w:after="0" w:line="342" w:lineRule="auto"/>
        <w:rPr>
          <w:sz w:val="20"/>
          <w:szCs w:val="20"/>
          <w:color w:val="auto"/>
        </w:rPr>
      </w:pPr>
      <w:r>
        <w:rPr>
          <w:rFonts w:ascii="Arial" w:cs="Arial" w:eastAsia="Arial" w:hAnsi="Arial"/>
          <w:sz w:val="16"/>
          <w:szCs w:val="16"/>
          <w:color w:val="auto"/>
        </w:rPr>
        <w:t>On November 28, 2017, Marvell Technology Group Ltd. (“Marvell”) issued a press release reporting its financial results for the third quarter of fiscal 2018 ended October 28, 2017. A copy of the press release is furnished herewith as Exhibit 99.1 and is incorporated by reference herein.</w:t>
      </w:r>
    </w:p>
    <w:p>
      <w:pPr>
        <w:spacing w:after="0" w:line="232"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 xml:space="preserve">Marvell will conduct a conference call on Tuesday, November 28, 2017 at 1:45 p.m. Pacific Time to discuss results for the third quarter of fiscal 2018. Interested parties may join the conference call by dialing 1-844-647-5488 or 1-615-247-0258, pass-code </w:t>
      </w:r>
      <w:r>
        <w:rPr>
          <w:rFonts w:ascii="Arial" w:cs="Arial" w:eastAsia="Arial" w:hAnsi="Arial"/>
          <w:sz w:val="18"/>
          <w:szCs w:val="18"/>
          <w:b w:val="1"/>
          <w:bCs w:val="1"/>
          <w:color w:val="auto"/>
        </w:rPr>
        <w:t>4999449</w:t>
      </w:r>
      <w:r>
        <w:rPr>
          <w:rFonts w:ascii="Arial" w:cs="Arial" w:eastAsia="Arial" w:hAnsi="Arial"/>
          <w:sz w:val="18"/>
          <w:szCs w:val="18"/>
          <w:color w:val="auto"/>
        </w:rPr>
        <w:t>. The call will be webcast by Thomson Reuters and can be accessed at the Marvell Investor Relations website at http://investor.marvell.com/ with a replay available following the call until Wednesday, December 6, 2017.</w:t>
      </w:r>
    </w:p>
    <w:p>
      <w:pPr>
        <w:spacing w:after="0" w:line="399"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660"/>
        <w:spacing w:after="0"/>
        <w:tabs>
          <w:tab w:leader="none" w:pos="10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7"/>
          <w:szCs w:val="17"/>
          <w:color w:val="auto"/>
        </w:rPr>
        <w:t>Exhibits.</w:t>
      </w:r>
    </w:p>
    <w:p>
      <w:pPr>
        <w:spacing w:after="0" w:line="225" w:lineRule="exact"/>
        <w:rPr>
          <w:sz w:val="20"/>
          <w:szCs w:val="20"/>
          <w:color w:val="auto"/>
        </w:rPr>
      </w:pPr>
    </w:p>
    <w:p>
      <w:pPr>
        <w:ind w:left="1960" w:right="580" w:hanging="647"/>
        <w:spacing w:after="0" w:line="277" w:lineRule="auto"/>
        <w:tabs>
          <w:tab w:leader="none" w:pos="194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8"/>
          <w:szCs w:val="18"/>
          <w:color w:val="auto"/>
        </w:rPr>
        <w:t>Press Release dated November 28, 2017, titled “Marvell Technology Group Ltd. Reports Third Quarter of Fiscal Year 2018 Financial Results”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844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580" w:right="239" w:bottom="1440" w:gutter="0" w:footer="0" w:header="0"/>
        </w:sectPr>
      </w:pPr>
    </w:p>
    <w:bookmarkStart w:id="3" w:name="page4"/>
    <w:bookmarkEnd w:id="3"/>
    <w:p>
      <w:pPr>
        <w:ind w:left="4260"/>
        <w:spacing w:after="0"/>
        <w:rPr>
          <w:sz w:val="20"/>
          <w:szCs w:val="20"/>
          <w:color w:val="auto"/>
        </w:rPr>
      </w:pPr>
      <w:r>
        <w:rPr>
          <w:rFonts w:ascii="Arial" w:cs="Arial" w:eastAsia="Arial" w:hAnsi="Arial"/>
          <w:sz w:val="18"/>
          <w:szCs w:val="18"/>
          <w:b w:val="1"/>
          <w:bCs w:val="1"/>
          <w:color w:val="auto"/>
        </w:rPr>
        <w:t>EXHIBIT INDEX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920" w:type="dxa"/>
            <w:vAlign w:val="bottom"/>
          </w:tcPr>
          <w:p>
            <w:pPr>
              <w:jc w:val="right"/>
              <w:ind w:right="990"/>
              <w:spacing w:after="0"/>
              <w:rPr>
                <w:sz w:val="20"/>
                <w:szCs w:val="20"/>
                <w:color w:val="auto"/>
              </w:rPr>
            </w:pPr>
            <w:r>
              <w:rPr>
                <w:rFonts w:ascii="Arial" w:cs="Arial" w:eastAsia="Arial" w:hAnsi="Arial"/>
                <w:sz w:val="18"/>
                <w:szCs w:val="18"/>
                <w:color w:val="auto"/>
                <w:w w:val="94"/>
              </w:rPr>
              <w:t>Exhibit No.</w:t>
            </w:r>
          </w:p>
        </w:tc>
        <w:tc>
          <w:tcPr>
            <w:tcW w:w="5800" w:type="dxa"/>
            <w:vAlign w:val="bottom"/>
            <w:gridSpan w:val="2"/>
          </w:tcPr>
          <w:p>
            <w:pPr>
              <w:spacing w:after="0"/>
              <w:rPr>
                <w:sz w:val="20"/>
                <w:szCs w:val="20"/>
                <w:color w:val="auto"/>
              </w:rPr>
            </w:pPr>
            <w:r>
              <w:rPr>
                <w:rFonts w:ascii="Arial" w:cs="Arial" w:eastAsia="Arial" w:hAnsi="Arial"/>
                <w:sz w:val="18"/>
                <w:szCs w:val="18"/>
                <w:color w:val="auto"/>
              </w:rPr>
              <w:t>Description</w:t>
            </w:r>
          </w:p>
        </w:tc>
      </w:tr>
      <w:tr>
        <w:trPr>
          <w:trHeight w:val="527"/>
        </w:trPr>
        <w:tc>
          <w:tcPr>
            <w:tcW w:w="1920" w:type="dxa"/>
            <w:vAlign w:val="bottom"/>
          </w:tcPr>
          <w:p>
            <w:pPr>
              <w:jc w:val="right"/>
              <w:ind w:right="1210"/>
              <w:spacing w:after="0"/>
              <w:rPr>
                <w:sz w:val="20"/>
                <w:szCs w:val="20"/>
                <w:color w:val="auto"/>
              </w:rPr>
            </w:pPr>
            <w:r>
              <w:rPr>
                <w:rFonts w:ascii="Arial" w:cs="Arial" w:eastAsia="Arial" w:hAnsi="Arial"/>
                <w:sz w:val="18"/>
                <w:szCs w:val="18"/>
                <w:color w:val="auto"/>
              </w:rPr>
              <w:t>99.1</w:t>
            </w:r>
          </w:p>
        </w:tc>
        <w:tc>
          <w:tcPr>
            <w:tcW w:w="5800" w:type="dxa"/>
            <w:vAlign w:val="bottom"/>
            <w:tcBorders>
              <w:bottom w:val="single" w:sz="8" w:color="0000FF"/>
            </w:tcBorders>
            <w:gridSpan w:val="2"/>
          </w:tcPr>
          <w:p>
            <w:pPr>
              <w:spacing w:after="0"/>
              <w:rPr>
                <w:rFonts w:ascii="Arial" w:cs="Arial" w:eastAsia="Arial" w:hAnsi="Arial"/>
                <w:sz w:val="18"/>
                <w:szCs w:val="18"/>
                <w:color w:val="0000FF"/>
                <w:w w:val="90"/>
              </w:rPr>
            </w:pPr>
            <w:hyperlink w:anchor="page6">
              <w:r>
                <w:rPr>
                  <w:rFonts w:ascii="Arial" w:cs="Arial" w:eastAsia="Arial" w:hAnsi="Arial"/>
                  <w:sz w:val="18"/>
                  <w:szCs w:val="18"/>
                  <w:color w:val="0000FF"/>
                  <w:w w:val="90"/>
                </w:rPr>
                <w:t>Press Release dated November 28, 2017, titled “Marvell Technology Group Ltd.</w:t>
              </w:r>
            </w:hyperlink>
          </w:p>
        </w:tc>
      </w:tr>
      <w:tr>
        <w:trPr>
          <w:trHeight w:val="196"/>
        </w:trPr>
        <w:tc>
          <w:tcPr>
            <w:tcW w:w="1920" w:type="dxa"/>
            <w:vAlign w:val="bottom"/>
          </w:tcPr>
          <w:p>
            <w:pPr>
              <w:spacing w:after="0"/>
              <w:rPr>
                <w:sz w:val="17"/>
                <w:szCs w:val="17"/>
                <w:color w:val="auto"/>
              </w:rPr>
            </w:pPr>
          </w:p>
        </w:tc>
        <w:tc>
          <w:tcPr>
            <w:tcW w:w="5800" w:type="dxa"/>
            <w:vAlign w:val="bottom"/>
            <w:gridSpan w:val="2"/>
          </w:tcPr>
          <w:p>
            <w:pPr>
              <w:spacing w:after="0" w:line="196" w:lineRule="exact"/>
              <w:rPr>
                <w:rFonts w:ascii="Arial" w:cs="Arial" w:eastAsia="Arial" w:hAnsi="Arial"/>
                <w:sz w:val="18"/>
                <w:szCs w:val="18"/>
                <w:color w:val="0000FF"/>
              </w:rPr>
            </w:pPr>
            <w:hyperlink w:anchor="page6">
              <w:r>
                <w:rPr>
                  <w:rFonts w:ascii="Arial" w:cs="Arial" w:eastAsia="Arial" w:hAnsi="Arial"/>
                  <w:sz w:val="18"/>
                  <w:szCs w:val="18"/>
                  <w:color w:val="0000FF"/>
                </w:rPr>
                <w:t>Reports Third Quarter of Fiscal Year 2018 Financial Results”</w:t>
              </w:r>
            </w:hyperlink>
          </w:p>
        </w:tc>
      </w:tr>
      <w:tr>
        <w:trPr>
          <w:trHeight w:val="20"/>
        </w:trPr>
        <w:tc>
          <w:tcPr>
            <w:tcW w:w="1920" w:type="dxa"/>
            <w:vAlign w:val="bottom"/>
          </w:tcPr>
          <w:p>
            <w:pPr>
              <w:spacing w:after="0" w:line="20" w:lineRule="exact"/>
              <w:rPr>
                <w:sz w:val="1"/>
                <w:szCs w:val="1"/>
                <w:color w:val="auto"/>
              </w:rPr>
            </w:pPr>
          </w:p>
        </w:tc>
        <w:tc>
          <w:tcPr>
            <w:tcW w:w="4420" w:type="dxa"/>
            <w:vAlign w:val="bottom"/>
            <w:shd w:val="clear" w:color="auto" w:fill="0000FF"/>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r>
    </w:tbl>
    <w:p>
      <w:pPr>
        <w:sectPr>
          <w:pgSz w:w="11900" w:h="16838" w:orient="portrait"/>
          <w:cols w:equalWidth="0" w:num="1">
            <w:col w:w="9459"/>
          </w:cols>
          <w:pgMar w:left="1000" w:top="688" w:right="1440"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387" w:lineRule="exact"/>
        <w:rPr>
          <w:sz w:val="20"/>
          <w:szCs w:val="20"/>
          <w:color w:val="auto"/>
        </w:rPr>
      </w:pPr>
    </w:p>
    <w:p>
      <w:pPr>
        <w:ind w:left="860"/>
        <w:spacing w:after="0"/>
        <w:tabs>
          <w:tab w:leader="none" w:pos="6600" w:val="left"/>
        </w:tabs>
        <w:rPr>
          <w:sz w:val="20"/>
          <w:szCs w:val="20"/>
          <w:color w:val="auto"/>
        </w:rPr>
      </w:pPr>
      <w:r>
        <w:rPr>
          <w:rFonts w:ascii="Arial" w:cs="Arial" w:eastAsia="Arial" w:hAnsi="Arial"/>
          <w:sz w:val="18"/>
          <w:szCs w:val="18"/>
          <w:color w:val="auto"/>
        </w:rPr>
        <w:t>Date: November 28, 2017</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4438650</wp:posOffset>
            </wp:positionH>
            <wp:positionV relativeFrom="paragraph">
              <wp:posOffset>31750</wp:posOffset>
            </wp:positionV>
            <wp:extent cx="228981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89810" cy="8890"/>
                    </a:xfrm>
                    <a:prstGeom prst="rect">
                      <a:avLst/>
                    </a:prstGeom>
                    <a:noFill/>
                  </pic:spPr>
                </pic:pic>
              </a:graphicData>
            </a:graphic>
          </wp:anchor>
        </w:drawing>
      </w:r>
    </w:p>
    <w:p>
      <w:pPr>
        <w:spacing w:after="0" w:line="53" w:lineRule="exact"/>
        <w:rPr>
          <w:sz w:val="20"/>
          <w:szCs w:val="20"/>
          <w:color w:val="auto"/>
        </w:rPr>
      </w:pPr>
    </w:p>
    <w:p>
      <w:pPr>
        <w:ind w:left="7020"/>
        <w:spacing w:after="0"/>
        <w:rPr>
          <w:sz w:val="20"/>
          <w:szCs w:val="20"/>
          <w:color w:val="auto"/>
        </w:rPr>
      </w:pPr>
      <w:r>
        <w:rPr>
          <w:rFonts w:ascii="Arial" w:cs="Arial" w:eastAsia="Arial" w:hAnsi="Arial"/>
          <w:sz w:val="18"/>
          <w:szCs w:val="18"/>
          <w:b w:val="1"/>
          <w:bCs w:val="1"/>
          <w:color w:val="auto"/>
        </w:rPr>
        <w:t>Jean Hu</w:t>
      </w:r>
    </w:p>
    <w:p>
      <w:pPr>
        <w:spacing w:after="0" w:line="67" w:lineRule="exact"/>
        <w:rPr>
          <w:sz w:val="20"/>
          <w:szCs w:val="20"/>
          <w:color w:val="auto"/>
        </w:rPr>
      </w:pPr>
    </w:p>
    <w:p>
      <w:pPr>
        <w:ind w:left="70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380"/>
          </w:cols>
          <w:pgMar w:left="240" w:top="580" w:right="27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Third Quarter of Fiscal Year 2018</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38" w:lineRule="exact"/>
        <w:rPr>
          <w:sz w:val="20"/>
          <w:szCs w:val="20"/>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Q3 Revenue: $616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Q3 Gross Margin: 61.3% GAAP gross margin; 61.6% non-GAAP gross margin</w:t>
      </w:r>
    </w:p>
    <w:p>
      <w:pPr>
        <w:spacing w:after="0" w:line="9" w:lineRule="exact"/>
        <w:rPr>
          <w:rFonts w:ascii="Arial" w:cs="Arial" w:eastAsia="Arial" w:hAnsi="Arial"/>
          <w:sz w:val="18"/>
          <w:szCs w:val="18"/>
          <w:color w:val="auto"/>
        </w:rPr>
      </w:pPr>
    </w:p>
    <w:p>
      <w:pPr>
        <w:ind w:left="660" w:hanging="328"/>
        <w:spacing w:after="0" w:line="250" w:lineRule="auto"/>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Q3 Diluted earnings per share: $0.30 GAAP diluted earnings per share from continuing operations; $0.34 non-GAAP diluted earnings per share from continuing operations</w:t>
      </w:r>
    </w:p>
    <w:p>
      <w:pPr>
        <w:ind w:left="660" w:hanging="328"/>
        <w:spacing w:after="0"/>
        <w:tabs>
          <w:tab w:leader="none" w:pos="660" w:val="left"/>
        </w:tabs>
        <w:numPr>
          <w:ilvl w:val="0"/>
          <w:numId w:val="3"/>
        </w:numPr>
        <w:rPr>
          <w:rFonts w:ascii="Arial" w:cs="Arial" w:eastAsia="Arial" w:hAnsi="Arial"/>
          <w:sz w:val="18"/>
          <w:szCs w:val="18"/>
          <w:color w:val="auto"/>
        </w:rPr>
      </w:pPr>
      <w:r>
        <w:rPr>
          <w:rFonts w:ascii="Arial" w:cs="Arial" w:eastAsia="Arial" w:hAnsi="Arial"/>
          <w:sz w:val="18"/>
          <w:szCs w:val="18"/>
          <w:color w:val="auto"/>
        </w:rPr>
        <w:t>Cash and short-term investments: $1.7 billion</w:t>
      </w:r>
    </w:p>
    <w:p>
      <w:pPr>
        <w:spacing w:after="0" w:line="328"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 xml:space="preserve">Santa Clara, Calif. (November 28, 2017) </w:t>
      </w:r>
      <w:r>
        <w:rPr>
          <w:rFonts w:ascii="Arial" w:cs="Arial" w:eastAsia="Arial" w:hAnsi="Arial"/>
          <w:sz w:val="18"/>
          <w:szCs w:val="18"/>
          <w:color w:val="auto"/>
        </w:rPr>
        <w:t>- Marvell Technology Group Ltd. (NASDAQ: MRVL), a leader in storage, networking and connectivity</w:t>
      </w:r>
      <w:r>
        <w:rPr>
          <w:rFonts w:ascii="Arial" w:cs="Arial" w:eastAsia="Arial" w:hAnsi="Arial"/>
          <w:sz w:val="18"/>
          <w:szCs w:val="18"/>
          <w:b w:val="1"/>
          <w:bCs w:val="1"/>
          <w:color w:val="auto"/>
        </w:rPr>
        <w:t xml:space="preserve"> </w:t>
      </w:r>
      <w:r>
        <w:rPr>
          <w:rFonts w:ascii="Arial" w:cs="Arial" w:eastAsia="Arial" w:hAnsi="Arial"/>
          <w:sz w:val="18"/>
          <w:szCs w:val="18"/>
          <w:color w:val="auto"/>
        </w:rPr>
        <w:t>semiconductor solutions, today reported financial results for the third fiscal quarter of fiscal year 2018. Revenue for the third quarter of fiscal 2018 was $616 million, which exceeded the midpoint of the Company’s guidance provided on August 24, 2017.</w:t>
      </w:r>
    </w:p>
    <w:p>
      <w:pPr>
        <w:spacing w:after="0" w:line="72" w:lineRule="exact"/>
        <w:rPr>
          <w:sz w:val="20"/>
          <w:szCs w:val="20"/>
          <w:color w:val="auto"/>
        </w:rPr>
      </w:pPr>
    </w:p>
    <w:p>
      <w:pPr>
        <w:ind w:right="320"/>
        <w:spacing w:after="0" w:line="256" w:lineRule="auto"/>
        <w:rPr>
          <w:sz w:val="20"/>
          <w:szCs w:val="20"/>
          <w:color w:val="auto"/>
        </w:rPr>
      </w:pPr>
      <w:r>
        <w:rPr>
          <w:rFonts w:ascii="Arial" w:cs="Arial" w:eastAsia="Arial" w:hAnsi="Arial"/>
          <w:sz w:val="18"/>
          <w:szCs w:val="18"/>
          <w:color w:val="auto"/>
        </w:rPr>
        <w:t>GAAP net income from continuing operations for the third quarter of fiscal 2018 was $149 million, or $0.30 per share. Non-GAAP net income from continuing operations for the third quarter of fiscal 2018 was $172 million, or $0.34 per diluted share. Cash flow from operations for the third quarter was $216 million.</w:t>
      </w:r>
    </w:p>
    <w:p>
      <w:pPr>
        <w:ind w:right="300"/>
        <w:spacing w:after="0" w:line="261" w:lineRule="auto"/>
        <w:rPr>
          <w:sz w:val="20"/>
          <w:szCs w:val="20"/>
          <w:color w:val="auto"/>
        </w:rPr>
      </w:pPr>
      <w:r>
        <w:rPr>
          <w:rFonts w:ascii="Arial" w:cs="Arial" w:eastAsia="Arial" w:hAnsi="Arial"/>
          <w:sz w:val="18"/>
          <w:szCs w:val="18"/>
          <w:color w:val="auto"/>
        </w:rPr>
        <w:t>“Our strong performance in the third quarter is a direct result of growth in our core businesses and improved execution across the company, enabling us to continue to unlock the earnings power of Marvell,” said Matt Murphy, Marvell President and CEO.</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Fourth Quarter of Fiscal 2018 Financial Outlook</w:t>
      </w:r>
    </w:p>
    <w:p>
      <w:pPr>
        <w:spacing w:after="0" w:line="135"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Revenue is expected to be $595 million to $625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and non-GAAP gross margins are expected to be approximately 62%.</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operating expenses are expected to be $240 million to $246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operating expenses are expected to be $215 million to $220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GAAP diluted EPS from continuing operations is expected to be in the range of $0.23 to $0.29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Non-GAAP diluted EPS from continuing operations is expected to be in the range of $0.29 to $0.33 per share.</w:t>
      </w:r>
    </w:p>
    <w:p>
      <w:pPr>
        <w:sectPr>
          <w:pgSz w:w="11900" w:h="16838" w:orient="portrait"/>
          <w:cols w:equalWidth="0" w:num="1">
            <w:col w:w="11420"/>
          </w:cols>
          <w:pgMar w:left="240" w:top="121" w:right="239" w:bottom="1440" w:gutter="0" w:footer="0" w:header="0"/>
        </w:sectPr>
      </w:pPr>
    </w:p>
    <w:bookmarkStart w:id="6" w:name="page7"/>
    <w:bookmarkEnd w:id="6"/>
    <w:p>
      <w:pPr>
        <w:ind w:right="40"/>
        <w:spacing w:after="0" w:line="259" w:lineRule="auto"/>
        <w:rPr>
          <w:sz w:val="20"/>
          <w:szCs w:val="20"/>
          <w:color w:val="auto"/>
        </w:rPr>
      </w:pPr>
      <w:r>
        <w:rPr>
          <w:rFonts w:ascii="Arial" w:cs="Arial" w:eastAsia="Arial" w:hAnsi="Arial"/>
          <w:sz w:val="18"/>
          <w:szCs w:val="18"/>
          <w:color w:val="auto"/>
        </w:rPr>
        <w:t>On November 20, 2017, Marvell Technology Group Ltd. announced a definitive agreement to acquire all outstanding shares of the common stock of Cavium, Inc. The transaction is expected to close in mid-calendar 2018, subject to regulatory approval as well as other customary closing conditions, including the adoption by Cavium shareholders of the merger agreement and the approval by Marvell shareholders of the issuance of Marvell common shares in the transaction. For further information visit http://MarvellCavium.transactionannouncement.com.</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ind w:right="420"/>
        <w:spacing w:after="0" w:line="259" w:lineRule="auto"/>
        <w:rPr>
          <w:sz w:val="20"/>
          <w:szCs w:val="20"/>
          <w:color w:val="auto"/>
        </w:rPr>
      </w:pPr>
      <w:r>
        <w:rPr>
          <w:rFonts w:ascii="Arial" w:cs="Arial" w:eastAsia="Arial" w:hAnsi="Arial"/>
          <w:sz w:val="18"/>
          <w:szCs w:val="18"/>
          <w:color w:val="auto"/>
        </w:rPr>
        <w:t>Marvell will conduct a conference call on Tuesday, November 28, 2017 at 1:45 p.m. Pacific Time to discuss results for the third quarter of fiscal 2018. Interested parties may join the conference call by dialing 1-844-647-5488 or 1-615-247-0258, pass-code 4999449. The call will be webcast by Thomson Reuters and can be accessed at the Marvell Investor Relations website at http://investor.marvell.com/ with a replay available following the call until Wednesday, December 6, 2017.</w:t>
      </w:r>
    </w:p>
    <w:p>
      <w:pPr>
        <w:spacing w:after="0" w:line="1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40"/>
        <w:spacing w:after="0" w:line="264" w:lineRule="auto"/>
        <w:rPr>
          <w:sz w:val="20"/>
          <w:szCs w:val="20"/>
          <w:color w:val="auto"/>
        </w:rPr>
      </w:pPr>
      <w:r>
        <w:rPr>
          <w:rFonts w:ascii="Arial" w:cs="Arial" w:eastAsia="Arial" w:hAnsi="Arial"/>
          <w:sz w:val="18"/>
          <w:szCs w:val="18"/>
          <w:color w:val="auto"/>
        </w:rPr>
        <w:t>Non-GAAP financial measures exclude the effect of share-based compensation expense, amortization and write-off of acquired intangible assets, acquisition-related costs, restructuring and other related charges, litigation settlement, and certain expenses and benefits that are driven primarily by discrete events that management does not consider to be directly related to Marvell’s core business.</w:t>
      </w:r>
    </w:p>
    <w:p>
      <w:pPr>
        <w:spacing w:after="0" w:line="73"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In fiscal 2018, Marvell began using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third quarter of fiscal 2018, a non-GAAP tax rate of 4% has been applied to the non-GAAP financial results.</w:t>
      </w:r>
    </w:p>
    <w:p>
      <w:pPr>
        <w:spacing w:after="0" w:line="70"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diluted net income per share from continuing operations is calculated by dividing non-GAAP net income from continuing operations by non-GAAP weighted average shares outstanding (diluted). For purposes of calculating non-GAAP diluted net income per share, the GAAP weighted average shares outstanding (diluted) is adjusted to exclude the potential benefits of share-based compensation expected to be incurred in future periods but not yet recognized in the financial statements. The expected compensation costs are treated as additional proceeds assumed to be used to repurchase shares under the GAAP treasury stock method.</w:t>
      </w:r>
    </w:p>
    <w:p>
      <w:pPr>
        <w:spacing w:after="0" w:line="188"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78" w:lineRule="exact"/>
        <w:rPr>
          <w:sz w:val="20"/>
          <w:szCs w:val="20"/>
          <w:color w:val="auto"/>
        </w:rPr>
      </w:pPr>
    </w:p>
    <w:p>
      <w:pPr>
        <w:ind w:right="78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47"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140" w:hanging="328"/>
        <w:spacing w:after="0" w:line="261"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ectPr>
          <w:pgSz w:w="11900" w:h="16838" w:orient="portrait"/>
          <w:cols w:equalWidth="0" w:num="1">
            <w:col w:w="11400"/>
          </w:cols>
          <w:pgMar w:left="240" w:top="530" w:right="259" w:bottom="1440" w:gutter="0" w:footer="0" w:header="0"/>
        </w:sectPr>
      </w:pPr>
    </w:p>
    <w:bookmarkStart w:id="7" w:name="page8"/>
    <w:bookmarkEnd w:id="7"/>
    <w:p>
      <w:pPr>
        <w:spacing w:after="0" w:line="279" w:lineRule="auto"/>
        <w:rPr>
          <w:sz w:val="20"/>
          <w:szCs w:val="20"/>
          <w:color w:val="auto"/>
        </w:rPr>
      </w:pPr>
      <w:r>
        <w:rPr>
          <w:rFonts w:ascii="Arial" w:cs="Arial" w:eastAsia="Arial" w:hAnsi="Arial"/>
          <w:sz w:val="17"/>
          <w:szCs w:val="17"/>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Marvell expects to continue to incur expenses similar to the non-GAAP adjustments described above, and exclusion of these items from Marvell’s non-GAAP net income should not be construed as an inference that these costs are unusual, infrequent or non-recurring.</w:t>
      </w:r>
    </w:p>
    <w:p>
      <w:pPr>
        <w:sectPr>
          <w:pgSz w:w="11900" w:h="16838" w:orient="portrait"/>
          <w:cols w:equalWidth="0" w:num="1">
            <w:col w:w="11400"/>
          </w:cols>
          <w:pgMar w:left="240" w:top="368" w:right="2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including: the transaction between Marvell and Cavium, including statements regarding the anticipated timing of the transaction; Marvell’s expectations regarding its fourth quarter of fiscal 2018 financial outlook; and Marvell’s use of non-GAAP financial measures as important supplemental information.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but not limited to: the risk that the Cavium transaction may not be completed in a timely manner or at all, which may adversely affect Cavium’s business and the price of its common stock and/or Marvell’s business and the price of its common shares;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the failure of Marvell to obtain the necessary financing pursuant to the arrangements set forth in the debt commitment letters delivered pursuant to the merger agreement or otherwise; the occurrence of any event, change or other circumstance that could give rise to the termination of the merger agreement; the effect of the announcement or pendency of the transaction on Cavium’s business relationships, operating results, and business generally; risks that the proposed transaction disrupts current plans and operations of Cavium or Marvell and potential difficulties in Cavium employee retention as a result of the transaction; risks related to diverting management’s attention from Cavium’s ongoing business operations; the outcome of any legal proceedings that may be instituted against Marvell or against Cavium related to the merger agreement or the transaction; the ability of Marvell to successfully integrate Cavium’s operations and product lines; 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the risk of downturns in the highly cyclical semiconductor industry; Marvell’s dependence upon the storage, networking and connectivity markets, which are highly cyclical and intensely competitive; the outcome of pending or future litigation and legal and regulatory proceedings; Marvell’s dependence on a small number of customers; severe financial hardship or bankruptcy of one or more of Marvell’s major customers; Marvell’s ability and the ability of its customers to successfully compete in the markets in which it serves; Marvell’s reliance on independent foundries and subcontractors for the manufacture, assembly and testing of its products; Marvell’s ability and its customers’ ability to develop new and enhanced products and the adoption of those products in the market; decreases in gross margin and results of operations in the future due to a number of factors; Marvell’s ability to estimate customer demand and future sales accurately; Marvell’s ability to scale its operations in response to changes in demand for existing or new products and services; the impact of international conflict and continued economic volatility in either domestic or foreign markets; the effects of transitioning to smaller geometry process technologies; the risks associated with manufacturing and selling a majority of products and customers’ products outside of the United States; risks associated with acquisition and consolidation activity in the semiconductor industry; the impact of any change in the income tax laws in jurisdictions where Marvell operates and the loss of any beneficial tax treatment that Marvell currently enjoys; the effects of any potential acquisitions or investments; Marvell’s ability to protect its intellectual property; the impact and costs associated with changes in international financial and regulatory conditions; Marvell’s maintenance of an effective system of internal controls; and other risks detailed in Marvell’s SEC filings from time to time. For other factors that could cause Marvell’s results to vary from expectations, please see the risk factors identified in Marvell’s Quarterly Report on Form 10-Q for the fiscal quarter ended July 29, 2017 as filed with the SEC on August 31, 2017, and other factors detailed from time to time in Marvell’s filings with the SEC. Marvell undertakes no obligation to revise or update publicly any forward-looking statements.</w:t>
      </w:r>
    </w:p>
    <w:p>
      <w:pPr>
        <w:sectPr>
          <w:pgSz w:w="11900" w:h="16838" w:orient="portrait"/>
          <w:cols w:equalWidth="0" w:num="1">
            <w:col w:w="11400"/>
          </w:cols>
          <w:pgMar w:left="240" w:top="364" w:right="25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first revolutionized the digital storage industry by moving information at speeds never thought possible. Today, that same breakthrough innovation remains at the heart of the Company’s storage, networking and connectivity solutions. With leading intellectual property and deep system-level knowledge, Marvell’s semiconductor solutions continue to transform the enterprise, cloud, automotive, industrial, and consumer markets. To learn more, visit: www.marvell.com.</w:t>
      </w:r>
    </w:p>
    <w:p>
      <w:pPr>
        <w:spacing w:after="0" w:line="29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25"/>
          <w:szCs w:val="25"/>
          <w:i w:val="1"/>
          <w:iCs w:val="1"/>
          <w:color w:val="auto"/>
          <w:vertAlign w:val="superscript"/>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200"/>
          </w:cols>
          <w:pgMar w:left="240" w:top="580" w:right="45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46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46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34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2340" w:type="dxa"/>
            <w:vAlign w:val="bottom"/>
            <w:tcBorders>
              <w:bottom w:val="single" w:sz="8" w:color="auto"/>
            </w:tcBorders>
            <w:gridSpan w:val="4"/>
          </w:tcPr>
          <w:p>
            <w:pPr>
              <w:jc w:val="right"/>
              <w:ind w:right="59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264"/>
        </w:trPr>
        <w:tc>
          <w:tcPr>
            <w:tcW w:w="44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280" w:type="dxa"/>
            <w:vAlign w:val="bottom"/>
            <w:gridSpan w:val="2"/>
          </w:tcPr>
          <w:p>
            <w:pPr>
              <w:spacing w:after="0"/>
              <w:rPr>
                <w:sz w:val="20"/>
                <w:szCs w:val="20"/>
                <w:color w:val="auto"/>
              </w:rPr>
            </w:pPr>
            <w:r>
              <w:rPr>
                <w:rFonts w:ascii="Arial" w:cs="Arial" w:eastAsia="Arial" w:hAnsi="Arial"/>
                <w:sz w:val="14"/>
                <w:szCs w:val="14"/>
                <w:b w:val="1"/>
                <w:bCs w:val="1"/>
                <w:color w:val="auto"/>
              </w:rPr>
              <w:t>October 28, 2017</w:t>
            </w:r>
          </w:p>
        </w:tc>
        <w:tc>
          <w:tcPr>
            <w:tcW w:w="200" w:type="dxa"/>
            <w:vAlign w:val="bottom"/>
          </w:tcPr>
          <w:p>
            <w:pPr>
              <w:spacing w:after="0"/>
              <w:rPr>
                <w:sz w:val="22"/>
                <w:szCs w:val="22"/>
                <w:color w:val="auto"/>
              </w:rPr>
            </w:pPr>
          </w:p>
        </w:tc>
        <w:tc>
          <w:tcPr>
            <w:tcW w:w="1260" w:type="dxa"/>
            <w:vAlign w:val="bottom"/>
            <w:gridSpan w:val="2"/>
          </w:tcPr>
          <w:p>
            <w:pPr>
              <w:ind w:left="80"/>
              <w:spacing w:after="0"/>
              <w:rPr>
                <w:sz w:val="20"/>
                <w:szCs w:val="20"/>
                <w:color w:val="auto"/>
              </w:rPr>
            </w:pPr>
            <w:r>
              <w:rPr>
                <w:rFonts w:ascii="Arial" w:cs="Arial" w:eastAsia="Arial" w:hAnsi="Arial"/>
                <w:sz w:val="14"/>
                <w:szCs w:val="14"/>
                <w:b w:val="1"/>
                <w:bCs w:val="1"/>
                <w:color w:val="auto"/>
              </w:rPr>
              <w:t>July 29, 2017</w:t>
            </w:r>
          </w:p>
        </w:tc>
        <w:tc>
          <w:tcPr>
            <w:tcW w:w="1480" w:type="dxa"/>
            <w:vAlign w:val="bottom"/>
            <w:gridSpan w:val="3"/>
          </w:tcPr>
          <w:p>
            <w:pPr>
              <w:ind w:left="120"/>
              <w:spacing w:after="0"/>
              <w:rPr>
                <w:sz w:val="20"/>
                <w:szCs w:val="20"/>
                <w:color w:val="auto"/>
              </w:rPr>
            </w:pPr>
            <w:r>
              <w:rPr>
                <w:rFonts w:ascii="Arial" w:cs="Arial" w:eastAsia="Arial" w:hAnsi="Arial"/>
                <w:sz w:val="14"/>
                <w:szCs w:val="14"/>
                <w:b w:val="1"/>
                <w:bCs w:val="1"/>
                <w:color w:val="auto"/>
              </w:rPr>
              <w:t>October 29, 2016</w:t>
            </w:r>
          </w:p>
        </w:tc>
        <w:tc>
          <w:tcPr>
            <w:tcW w:w="1360" w:type="dxa"/>
            <w:vAlign w:val="bottom"/>
            <w:gridSpan w:val="3"/>
          </w:tcPr>
          <w:p>
            <w:pPr>
              <w:ind w:left="100"/>
              <w:spacing w:after="0"/>
              <w:rPr>
                <w:sz w:val="20"/>
                <w:szCs w:val="20"/>
                <w:color w:val="auto"/>
              </w:rPr>
            </w:pPr>
            <w:r>
              <w:rPr>
                <w:rFonts w:ascii="Arial" w:cs="Arial" w:eastAsia="Arial" w:hAnsi="Arial"/>
                <w:sz w:val="14"/>
                <w:szCs w:val="14"/>
                <w:b w:val="1"/>
                <w:bCs w:val="1"/>
                <w:color w:val="auto"/>
              </w:rPr>
              <w:t>October 28, 2017</w:t>
            </w:r>
          </w:p>
        </w:tc>
        <w:tc>
          <w:tcPr>
            <w:tcW w:w="1260" w:type="dxa"/>
            <w:vAlign w:val="bottom"/>
            <w:gridSpan w:val="2"/>
          </w:tcPr>
          <w:p>
            <w:pPr>
              <w:jc w:val="right"/>
              <w:ind w:right="10"/>
              <w:spacing w:after="0"/>
              <w:rPr>
                <w:sz w:val="20"/>
                <w:szCs w:val="20"/>
                <w:color w:val="auto"/>
              </w:rPr>
            </w:pPr>
            <w:r>
              <w:rPr>
                <w:rFonts w:ascii="Arial" w:cs="Arial" w:eastAsia="Arial" w:hAnsi="Arial"/>
                <w:sz w:val="14"/>
                <w:szCs w:val="14"/>
                <w:b w:val="1"/>
                <w:bCs w:val="1"/>
                <w:color w:val="auto"/>
              </w:rPr>
              <w:t>October 29, 2016</w:t>
            </w:r>
          </w:p>
        </w:tc>
        <w:tc>
          <w:tcPr>
            <w:tcW w:w="0" w:type="dxa"/>
            <w:vAlign w:val="bottom"/>
          </w:tcPr>
          <w:p>
            <w:pPr>
              <w:spacing w:after="0"/>
              <w:rPr>
                <w:sz w:val="1"/>
                <w:szCs w:val="1"/>
                <w:color w:val="auto"/>
              </w:rPr>
            </w:pPr>
          </w:p>
        </w:tc>
      </w:tr>
      <w:tr>
        <w:trPr>
          <w:trHeight w:val="250"/>
        </w:trPr>
        <w:tc>
          <w:tcPr>
            <w:tcW w:w="446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revenue</w:t>
            </w: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616,302</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top w:val="single" w:sz="8" w:color="auto"/>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604,750</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340" w:type="dxa"/>
            <w:vAlign w:val="bottom"/>
            <w:tcBorders>
              <w:top w:val="single" w:sz="8" w:color="auto"/>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623,651</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1,793,761</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1,734,630</w:t>
            </w: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Cost of goods sold</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238,533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239,572</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266,757</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705,303</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777,117</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Gross profit</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377,769</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365,178</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356,894</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1,088,458</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957,513</w:t>
            </w:r>
          </w:p>
        </w:tc>
        <w:tc>
          <w:tcPr>
            <w:tcW w:w="0" w:type="dxa"/>
            <w:vAlign w:val="bottom"/>
          </w:tcPr>
          <w:p>
            <w:pPr>
              <w:spacing w:after="0"/>
              <w:rPr>
                <w:sz w:val="1"/>
                <w:szCs w:val="1"/>
                <w:color w:val="auto"/>
              </w:rPr>
            </w:pPr>
          </w:p>
        </w:tc>
      </w:tr>
      <w:tr>
        <w:trPr>
          <w:trHeight w:val="318"/>
        </w:trPr>
        <w:tc>
          <w:tcPr>
            <w:tcW w:w="4460" w:type="dxa"/>
            <w:vAlign w:val="bottom"/>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116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16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92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980" w:type="dxa"/>
            <w:vAlign w:val="bottom"/>
            <w:tcBorders>
              <w:top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9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Operating expenses:</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Research and development</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165,477</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180,871</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202,416</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534,444</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629,767</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Selling, general and administrative</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59,112</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55,659</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60,088</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169,875</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192,052</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Restructuring related charges</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3,284</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4,285</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1,164</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8,455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6,326</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operating expenses</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227,873</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240,815</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263,668</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712,774</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828,145</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Operating income from continuing operations</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149,896</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124,363</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93,226</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375,684</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129,368</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Interest and other income, net</w:t>
            </w: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7,188</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5,470</w:t>
            </w:r>
          </w:p>
        </w:tc>
        <w:tc>
          <w:tcPr>
            <w:tcW w:w="2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16,721</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13,242</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w w:val="99"/>
              </w:rPr>
              <w:t>Income from continuing operations before income taxes</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156,096</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131,551</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98,696</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392,405</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142,610</w:t>
            </w: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Provision (benefit) for income taxes</w:t>
            </w: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6,759</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(3,899)</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spacing w:after="0"/>
              <w:rPr>
                <w:sz w:val="23"/>
                <w:szCs w:val="23"/>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15,523</w:t>
            </w:r>
          </w:p>
        </w:tc>
        <w:tc>
          <w:tcPr>
            <w:tcW w:w="2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8,026</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spacing w:after="0"/>
              <w:rPr>
                <w:sz w:val="23"/>
                <w:szCs w:val="23"/>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4,263</w:t>
            </w:r>
          </w:p>
        </w:tc>
        <w:tc>
          <w:tcPr>
            <w:tcW w:w="0" w:type="dxa"/>
            <w:vAlign w:val="bottom"/>
          </w:tcPr>
          <w:p>
            <w:pPr>
              <w:spacing w:after="0"/>
              <w:rPr>
                <w:sz w:val="1"/>
                <w:szCs w:val="1"/>
                <w:color w:val="auto"/>
              </w:rPr>
            </w:pPr>
          </w:p>
        </w:tc>
      </w:tr>
      <w:tr>
        <w:trPr>
          <w:trHeight w:val="237"/>
        </w:trPr>
        <w:tc>
          <w:tcPr>
            <w:tcW w:w="4460" w:type="dxa"/>
            <w:vAlign w:val="bottom"/>
          </w:tcPr>
          <w:p>
            <w:pPr>
              <w:ind w:left="40"/>
              <w:spacing w:after="0"/>
              <w:rPr>
                <w:sz w:val="20"/>
                <w:szCs w:val="20"/>
                <w:color w:val="auto"/>
              </w:rPr>
            </w:pPr>
            <w:r>
              <w:rPr>
                <w:rFonts w:ascii="Arial" w:cs="Arial" w:eastAsia="Arial" w:hAnsi="Arial"/>
                <w:sz w:val="18"/>
                <w:szCs w:val="18"/>
                <w:color w:val="auto"/>
              </w:rPr>
              <w:t>Income from continuing operations, net of tax</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149,337</w:t>
            </w:r>
          </w:p>
        </w:tc>
        <w:tc>
          <w:tcPr>
            <w:tcW w:w="1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135,450</w:t>
            </w:r>
          </w:p>
        </w:tc>
        <w:tc>
          <w:tcPr>
            <w:tcW w:w="100" w:type="dxa"/>
            <w:vAlign w:val="bottom"/>
          </w:tcPr>
          <w:p>
            <w:pPr>
              <w:spacing w:after="0"/>
              <w:rPr>
                <w:sz w:val="20"/>
                <w:szCs w:val="20"/>
                <w:color w:val="auto"/>
              </w:rPr>
            </w:pPr>
          </w:p>
        </w:tc>
        <w:tc>
          <w:tcPr>
            <w:tcW w:w="34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83,173</w:t>
            </w:r>
          </w:p>
        </w:tc>
        <w:tc>
          <w:tcPr>
            <w:tcW w:w="22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384,379</w:t>
            </w:r>
          </w:p>
        </w:tc>
        <w:tc>
          <w:tcPr>
            <w:tcW w:w="100" w:type="dxa"/>
            <w:vAlign w:val="bottom"/>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98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138,347</w:t>
            </w:r>
          </w:p>
        </w:tc>
        <w:tc>
          <w:tcPr>
            <w:tcW w:w="0" w:type="dxa"/>
            <w:vAlign w:val="bottom"/>
          </w:tcPr>
          <w:p>
            <w:pPr>
              <w:spacing w:after="0"/>
              <w:rPr>
                <w:sz w:val="1"/>
                <w:szCs w:val="1"/>
                <w:color w:val="auto"/>
              </w:rPr>
            </w:pPr>
          </w:p>
        </w:tc>
      </w:tr>
      <w:tr>
        <w:trPr>
          <w:trHeight w:val="27"/>
        </w:trPr>
        <w:tc>
          <w:tcPr>
            <w:tcW w:w="446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34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Income (loss) from discontinued operations, net of tax</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50,851</w:t>
            </w:r>
          </w:p>
        </w:tc>
        <w:tc>
          <w:tcPr>
            <w:tcW w:w="1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29,809</w:t>
            </w:r>
          </w:p>
        </w:tc>
        <w:tc>
          <w:tcPr>
            <w:tcW w:w="100" w:type="dxa"/>
            <w:vAlign w:val="bottom"/>
            <w:tcBorders>
              <w:bottom w:val="single" w:sz="8" w:color="CCEEFF"/>
            </w:tcBorders>
            <w:shd w:val="clear" w:color="auto" w:fill="CCEEFF"/>
          </w:tcPr>
          <w:p>
            <w:pPr>
              <w:spacing w:after="0"/>
              <w:rPr>
                <w:sz w:val="22"/>
                <w:szCs w:val="22"/>
                <w:color w:val="auto"/>
              </w:rPr>
            </w:pPr>
          </w:p>
        </w:tc>
        <w:tc>
          <w:tcPr>
            <w:tcW w:w="34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(10,557)</w:t>
            </w:r>
          </w:p>
        </w:tc>
        <w:tc>
          <w:tcPr>
            <w:tcW w:w="22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87,689</w:t>
            </w:r>
          </w:p>
        </w:tc>
        <w:tc>
          <w:tcPr>
            <w:tcW w:w="100" w:type="dxa"/>
            <w:vAlign w:val="bottom"/>
            <w:tcBorders>
              <w:bottom w:val="single" w:sz="8" w:color="CCEEFF"/>
            </w:tcBorders>
            <w:shd w:val="clear" w:color="auto" w:fill="CCEEFF"/>
          </w:tcPr>
          <w:p>
            <w:pPr>
              <w:spacing w:after="0"/>
              <w:rPr>
                <w:sz w:val="22"/>
                <w:szCs w:val="22"/>
                <w:color w:val="auto"/>
              </w:rPr>
            </w:pPr>
          </w:p>
        </w:tc>
        <w:tc>
          <w:tcPr>
            <w:tcW w:w="280" w:type="dxa"/>
            <w:vAlign w:val="bottom"/>
            <w:tcBorders>
              <w:bottom w:val="single" w:sz="8" w:color="CCEEFF"/>
            </w:tcBorders>
            <w:shd w:val="clear" w:color="auto" w:fill="CCEEFF"/>
          </w:tcPr>
          <w:p>
            <w:pPr>
              <w:spacing w:after="0"/>
              <w:rPr>
                <w:sz w:val="22"/>
                <w:szCs w:val="22"/>
                <w:color w:val="auto"/>
              </w:rPr>
            </w:pP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(37,105)</w:t>
            </w:r>
          </w:p>
        </w:tc>
        <w:tc>
          <w:tcPr>
            <w:tcW w:w="0" w:type="dxa"/>
            <w:vAlign w:val="bottom"/>
          </w:tcPr>
          <w:p>
            <w:pPr>
              <w:spacing w:after="0"/>
              <w:rPr>
                <w:sz w:val="1"/>
                <w:szCs w:val="1"/>
                <w:color w:val="auto"/>
              </w:rPr>
            </w:pPr>
          </w:p>
        </w:tc>
      </w:tr>
      <w:tr>
        <w:trPr>
          <w:trHeight w:val="297"/>
        </w:trPr>
        <w:tc>
          <w:tcPr>
            <w:tcW w:w="4460" w:type="dxa"/>
            <w:vAlign w:val="bottom"/>
            <w:tcBorders>
              <w:bottom w:val="single" w:sz="8" w:color="CCEEFF"/>
            </w:tcBorders>
          </w:tcPr>
          <w:p>
            <w:pPr>
              <w:ind w:left="40"/>
              <w:spacing w:after="0"/>
              <w:rPr>
                <w:sz w:val="20"/>
                <w:szCs w:val="20"/>
                <w:color w:val="auto"/>
              </w:rPr>
            </w:pPr>
            <w:r>
              <w:rPr>
                <w:rFonts w:ascii="Arial" w:cs="Arial" w:eastAsia="Arial" w:hAnsi="Arial"/>
                <w:sz w:val="18"/>
                <w:szCs w:val="18"/>
                <w:color w:val="auto"/>
              </w:rPr>
              <w:t>Net income</w:t>
            </w: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200,188</w:t>
            </w:r>
          </w:p>
        </w:tc>
        <w:tc>
          <w:tcPr>
            <w:tcW w:w="120" w:type="dxa"/>
            <w:vAlign w:val="bottom"/>
            <w:tcBorders>
              <w:bottom w:val="single" w:sz="8" w:color="CCEEFF"/>
            </w:tcBorders>
          </w:tcPr>
          <w:p>
            <w:pPr>
              <w:spacing w:after="0"/>
              <w:rPr>
                <w:sz w:val="24"/>
                <w:szCs w:val="24"/>
                <w:color w:val="auto"/>
              </w:rPr>
            </w:pPr>
          </w:p>
        </w:tc>
        <w:tc>
          <w:tcPr>
            <w:tcW w:w="20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top w:val="single" w:sz="8" w:color="auto"/>
              <w:bottom w:val="single" w:sz="8" w:color="auto"/>
            </w:tcBorders>
          </w:tcPr>
          <w:p>
            <w:pPr>
              <w:jc w:val="right"/>
              <w:ind w:right="11"/>
              <w:spacing w:after="0"/>
              <w:rPr>
                <w:sz w:val="20"/>
                <w:szCs w:val="20"/>
                <w:color w:val="auto"/>
              </w:rPr>
            </w:pPr>
            <w:r>
              <w:rPr>
                <w:rFonts w:ascii="Arial" w:cs="Arial" w:eastAsia="Arial" w:hAnsi="Arial"/>
                <w:sz w:val="18"/>
                <w:szCs w:val="18"/>
                <w:color w:val="auto"/>
              </w:rPr>
              <w:t>165,259</w:t>
            </w:r>
          </w:p>
        </w:tc>
        <w:tc>
          <w:tcPr>
            <w:tcW w:w="100" w:type="dxa"/>
            <w:vAlign w:val="bottom"/>
            <w:tcBorders>
              <w:bottom w:val="single" w:sz="8" w:color="CCEEFF"/>
            </w:tcBorders>
          </w:tcPr>
          <w:p>
            <w:pPr>
              <w:spacing w:after="0"/>
              <w:rPr>
                <w:sz w:val="24"/>
                <w:szCs w:val="24"/>
                <w:color w:val="auto"/>
              </w:rPr>
            </w:pPr>
          </w:p>
        </w:tc>
        <w:tc>
          <w:tcPr>
            <w:tcW w:w="340" w:type="dxa"/>
            <w:vAlign w:val="bottom"/>
            <w:tcBorders>
              <w:top w:val="single" w:sz="8" w:color="auto"/>
              <w:bottom w:val="single" w:sz="8" w:color="auto"/>
            </w:tcBorders>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72,616</w:t>
            </w:r>
          </w:p>
        </w:tc>
        <w:tc>
          <w:tcPr>
            <w:tcW w:w="22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auto"/>
            </w:tcBorders>
          </w:tcPr>
          <w:p>
            <w:pPr>
              <w:jc w:val="right"/>
              <w:ind w:right="31"/>
              <w:spacing w:after="0"/>
              <w:rPr>
                <w:sz w:val="20"/>
                <w:szCs w:val="20"/>
                <w:color w:val="auto"/>
              </w:rPr>
            </w:pPr>
            <w:r>
              <w:rPr>
                <w:rFonts w:ascii="Arial" w:cs="Arial" w:eastAsia="Arial" w:hAnsi="Arial"/>
                <w:sz w:val="18"/>
                <w:szCs w:val="18"/>
                <w:color w:val="auto"/>
              </w:rPr>
              <w:t>472,068</w:t>
            </w:r>
          </w:p>
        </w:tc>
        <w:tc>
          <w:tcPr>
            <w:tcW w:w="100" w:type="dxa"/>
            <w:vAlign w:val="bottom"/>
            <w:tcBorders>
              <w:bottom w:val="single" w:sz="8" w:color="CCEEFF"/>
            </w:tcBorders>
          </w:tcPr>
          <w:p>
            <w:pPr>
              <w:spacing w:after="0"/>
              <w:rPr>
                <w:sz w:val="24"/>
                <w:szCs w:val="24"/>
                <w:color w:val="auto"/>
              </w:rPr>
            </w:pPr>
          </w:p>
        </w:tc>
        <w:tc>
          <w:tcPr>
            <w:tcW w:w="280" w:type="dxa"/>
            <w:vAlign w:val="bottom"/>
            <w:tcBorders>
              <w:top w:val="single" w:sz="8" w:color="auto"/>
              <w:bottom w:val="single" w:sz="8" w:color="auto"/>
            </w:tcBorders>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top w:val="single" w:sz="8" w:color="auto"/>
              <w:bottom w:val="single" w:sz="8" w:color="auto"/>
            </w:tcBorders>
          </w:tcPr>
          <w:p>
            <w:pPr>
              <w:jc w:val="right"/>
              <w:ind w:right="10"/>
              <w:spacing w:after="0"/>
              <w:rPr>
                <w:sz w:val="20"/>
                <w:szCs w:val="20"/>
                <w:color w:val="auto"/>
              </w:rPr>
            </w:pPr>
            <w:r>
              <w:rPr>
                <w:rFonts w:ascii="Arial" w:cs="Arial" w:eastAsia="Arial" w:hAnsi="Arial"/>
                <w:sz w:val="18"/>
                <w:szCs w:val="18"/>
                <w:color w:val="auto"/>
              </w:rPr>
              <w:t>101,242</w:t>
            </w:r>
          </w:p>
        </w:tc>
        <w:tc>
          <w:tcPr>
            <w:tcW w:w="0" w:type="dxa"/>
            <w:vAlign w:val="bottom"/>
          </w:tcPr>
          <w:p>
            <w:pPr>
              <w:spacing w:after="0"/>
              <w:rPr>
                <w:sz w:val="1"/>
                <w:szCs w:val="1"/>
                <w:color w:val="auto"/>
              </w:rPr>
            </w:pPr>
          </w:p>
        </w:tc>
      </w:tr>
      <w:tr>
        <w:trPr>
          <w:trHeight w:val="284"/>
        </w:trPr>
        <w:tc>
          <w:tcPr>
            <w:tcW w:w="44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Net income (loss) per share — Basic:</w:t>
            </w:r>
          </w:p>
        </w:tc>
        <w:tc>
          <w:tcPr>
            <w:tcW w:w="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5"/>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Continuing operations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0.30</w:t>
            </w:r>
          </w:p>
        </w:tc>
        <w:tc>
          <w:tcPr>
            <w:tcW w:w="1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0.27</w:t>
            </w:r>
          </w:p>
        </w:tc>
        <w:tc>
          <w:tcPr>
            <w:tcW w:w="100" w:type="dxa"/>
            <w:vAlign w:val="bottom"/>
            <w:tcBorders>
              <w:bottom w:val="single" w:sz="8" w:color="CCEEFF"/>
            </w:tcBorders>
            <w:shd w:val="clear" w:color="auto" w:fill="CCEEFF"/>
          </w:tcPr>
          <w:p>
            <w:pPr>
              <w:spacing w:after="0"/>
              <w:rPr>
                <w:sz w:val="23"/>
                <w:szCs w:val="23"/>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0.16</w:t>
            </w:r>
          </w:p>
        </w:tc>
        <w:tc>
          <w:tcPr>
            <w:tcW w:w="22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0.77</w:t>
            </w:r>
          </w:p>
        </w:tc>
        <w:tc>
          <w:tcPr>
            <w:tcW w:w="100" w:type="dxa"/>
            <w:vAlign w:val="bottom"/>
            <w:tcBorders>
              <w:bottom w:val="single" w:sz="8" w:color="CCEEFF"/>
            </w:tcBorders>
            <w:shd w:val="clear" w:color="auto" w:fill="CCEEFF"/>
          </w:tcPr>
          <w:p>
            <w:pPr>
              <w:spacing w:after="0"/>
              <w:rPr>
                <w:sz w:val="23"/>
                <w:szCs w:val="23"/>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60"/>
              <w:spacing w:after="0"/>
              <w:rPr>
                <w:sz w:val="20"/>
                <w:szCs w:val="20"/>
                <w:color w:val="auto"/>
              </w:rPr>
            </w:pPr>
            <w:r>
              <w:rPr>
                <w:rFonts w:ascii="Arial" w:cs="Arial" w:eastAsia="Arial" w:hAnsi="Arial"/>
                <w:sz w:val="18"/>
                <w:szCs w:val="18"/>
                <w:color w:val="auto"/>
              </w:rPr>
              <w:t>Discontinued operations</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0.11</w:t>
            </w:r>
          </w:p>
        </w:tc>
        <w:tc>
          <w:tcPr>
            <w:tcW w:w="120" w:type="dxa"/>
            <w:vAlign w:val="bottom"/>
          </w:tcPr>
          <w:p>
            <w:pPr>
              <w:spacing w:after="0"/>
              <w:rPr>
                <w:sz w:val="19"/>
                <w:szCs w:val="19"/>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0.17</w:t>
            </w:r>
          </w:p>
        </w:tc>
        <w:tc>
          <w:tcPr>
            <w:tcW w:w="10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Net income per share - Basic</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0.41</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0.33</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0.14</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0.94</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4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46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 (loss) per share — Diluted:</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Continuing operations</w:t>
            </w: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0.30</w:t>
            </w:r>
          </w:p>
        </w:tc>
        <w:tc>
          <w:tcPr>
            <w:tcW w:w="120" w:type="dxa"/>
            <w:vAlign w:val="bottom"/>
          </w:tcPr>
          <w:p>
            <w:pPr>
              <w:spacing w:after="0"/>
              <w:rPr>
                <w:sz w:val="21"/>
                <w:szCs w:val="21"/>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0.26</w:t>
            </w:r>
          </w:p>
        </w:tc>
        <w:tc>
          <w:tcPr>
            <w:tcW w:w="100" w:type="dxa"/>
            <w:vAlign w:val="bottom"/>
          </w:tcPr>
          <w:p>
            <w:pPr>
              <w:spacing w:after="0"/>
              <w:rPr>
                <w:sz w:val="21"/>
                <w:szCs w:val="21"/>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0.16</w:t>
            </w:r>
          </w:p>
        </w:tc>
        <w:tc>
          <w:tcPr>
            <w:tcW w:w="220" w:type="dxa"/>
            <w:vAlign w:val="bottom"/>
          </w:tcPr>
          <w:p>
            <w:pPr>
              <w:spacing w:after="0"/>
              <w:rPr>
                <w:sz w:val="21"/>
                <w:szCs w:val="21"/>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0.75</w:t>
            </w:r>
          </w:p>
        </w:tc>
        <w:tc>
          <w:tcPr>
            <w:tcW w:w="100" w:type="dxa"/>
            <w:vAlign w:val="bottom"/>
          </w:tcPr>
          <w:p>
            <w:pPr>
              <w:spacing w:after="0"/>
              <w:rPr>
                <w:sz w:val="21"/>
                <w:szCs w:val="21"/>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460" w:type="dxa"/>
            <w:vAlign w:val="bottom"/>
            <w:tcBorders>
              <w:bottom w:val="single" w:sz="8" w:color="CCEEFF"/>
            </w:tcBorders>
            <w:shd w:val="clear" w:color="auto" w:fill="CCEEFF"/>
          </w:tcPr>
          <w:p>
            <w:pPr>
              <w:ind w:left="460"/>
              <w:spacing w:after="0" w:line="196" w:lineRule="exact"/>
              <w:rPr>
                <w:sz w:val="20"/>
                <w:szCs w:val="20"/>
                <w:color w:val="auto"/>
              </w:rPr>
            </w:pPr>
            <w:r>
              <w:rPr>
                <w:rFonts w:ascii="Arial" w:cs="Arial" w:eastAsia="Arial" w:hAnsi="Arial"/>
                <w:sz w:val="18"/>
                <w:szCs w:val="18"/>
                <w:color w:val="auto"/>
              </w:rPr>
              <w:t>Discontinued operations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0.10</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0.06</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0.17</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(0.07)</w:t>
            </w:r>
          </w:p>
        </w:tc>
        <w:tc>
          <w:tcPr>
            <w:tcW w:w="0" w:type="dxa"/>
            <w:vAlign w:val="bottom"/>
          </w:tcPr>
          <w:p>
            <w:pPr>
              <w:spacing w:after="0"/>
              <w:rPr>
                <w:sz w:val="1"/>
                <w:szCs w:val="1"/>
                <w:color w:val="auto"/>
              </w:rPr>
            </w:pPr>
          </w:p>
        </w:tc>
      </w:tr>
      <w:tr>
        <w:trPr>
          <w:trHeight w:val="20"/>
        </w:trPr>
        <w:tc>
          <w:tcPr>
            <w:tcW w:w="446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Net income per share - Diluted</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460" w:type="dxa"/>
            <w:vAlign w:val="bottom"/>
            <w:vMerge w:val="continue"/>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0.40</w:t>
            </w:r>
          </w:p>
        </w:tc>
        <w:tc>
          <w:tcPr>
            <w:tcW w:w="120" w:type="dxa"/>
            <w:vAlign w:val="bottom"/>
          </w:tcPr>
          <w:p>
            <w:pPr>
              <w:spacing w:after="0"/>
              <w:rPr>
                <w:sz w:val="19"/>
                <w:szCs w:val="19"/>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0.32</w:t>
            </w:r>
          </w:p>
        </w:tc>
        <w:tc>
          <w:tcPr>
            <w:tcW w:w="100" w:type="dxa"/>
            <w:vAlign w:val="bottom"/>
          </w:tcPr>
          <w:p>
            <w:pPr>
              <w:spacing w:after="0"/>
              <w:rPr>
                <w:sz w:val="19"/>
                <w:szCs w:val="19"/>
                <w:color w:val="auto"/>
              </w:rPr>
            </w:pPr>
          </w:p>
        </w:tc>
        <w:tc>
          <w:tcPr>
            <w:tcW w:w="340" w:type="dxa"/>
            <w:vAlign w:val="bottom"/>
          </w:tcPr>
          <w:p>
            <w:pPr>
              <w:jc w:val="right"/>
              <w:ind w:right="132"/>
              <w:spacing w:after="0"/>
              <w:rPr>
                <w:sz w:val="20"/>
                <w:szCs w:val="20"/>
                <w:color w:val="auto"/>
              </w:rPr>
            </w:pPr>
            <w:r>
              <w:rPr>
                <w:rFonts w:ascii="Arial" w:cs="Arial" w:eastAsia="Arial" w:hAnsi="Arial"/>
                <w:sz w:val="18"/>
                <w:szCs w:val="18"/>
                <w:color w:val="auto"/>
                <w:w w:val="99"/>
              </w:rPr>
              <w:t>$</w:t>
            </w: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0.14</w:t>
            </w:r>
          </w:p>
        </w:tc>
        <w:tc>
          <w:tcPr>
            <w:tcW w:w="22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0.92</w:t>
            </w:r>
          </w:p>
        </w:tc>
        <w:tc>
          <w:tcPr>
            <w:tcW w:w="100" w:type="dxa"/>
            <w:vAlign w:val="bottom"/>
          </w:tcPr>
          <w:p>
            <w:pPr>
              <w:spacing w:after="0"/>
              <w:rPr>
                <w:sz w:val="19"/>
                <w:szCs w:val="19"/>
                <w:color w:val="auto"/>
              </w:rPr>
            </w:pPr>
          </w:p>
        </w:tc>
        <w:tc>
          <w:tcPr>
            <w:tcW w:w="280" w:type="dxa"/>
            <w:vAlign w:val="bottom"/>
          </w:tcPr>
          <w:p>
            <w:pPr>
              <w:jc w:val="right"/>
              <w:ind w:right="72"/>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67"/>
        </w:trPr>
        <w:tc>
          <w:tcPr>
            <w:tcW w:w="446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20" w:type="dxa"/>
            <w:vAlign w:val="bottom"/>
            <w:tcBorders>
              <w:bottom w:val="single" w:sz="8" w:color="CCEEFF"/>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34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100" w:type="dxa"/>
            <w:vAlign w:val="bottom"/>
            <w:tcBorders>
              <w:bottom w:val="single" w:sz="8" w:color="CCEEFF"/>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98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78"/>
        </w:trPr>
        <w:tc>
          <w:tcPr>
            <w:tcW w:w="44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34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100" w:type="dxa"/>
            <w:vAlign w:val="bottom"/>
            <w:shd w:val="clear" w:color="auto" w:fill="CCEEFF"/>
          </w:tcPr>
          <w:p>
            <w:pPr>
              <w:spacing w:after="0"/>
              <w:rPr>
                <w:sz w:val="24"/>
                <w:szCs w:val="24"/>
                <w:color w:val="auto"/>
              </w:rPr>
            </w:pPr>
          </w:p>
        </w:tc>
        <w:tc>
          <w:tcPr>
            <w:tcW w:w="280" w:type="dxa"/>
            <w:vAlign w:val="bottom"/>
            <w:shd w:val="clear" w:color="auto" w:fill="CCEEFF"/>
          </w:tcPr>
          <w:p>
            <w:pPr>
              <w:spacing w:after="0"/>
              <w:rPr>
                <w:sz w:val="24"/>
                <w:szCs w:val="24"/>
                <w:color w:val="auto"/>
              </w:rPr>
            </w:pPr>
          </w:p>
        </w:tc>
        <w:tc>
          <w:tcPr>
            <w:tcW w:w="98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460" w:type="dxa"/>
            <w:vAlign w:val="bottom"/>
          </w:tcPr>
          <w:p>
            <w:pPr>
              <w:ind w:left="40"/>
              <w:spacing w:after="0"/>
              <w:rPr>
                <w:sz w:val="20"/>
                <w:szCs w:val="20"/>
                <w:color w:val="auto"/>
              </w:rPr>
            </w:pPr>
            <w:r>
              <w:rPr>
                <w:rFonts w:ascii="Arial" w:cs="Arial" w:eastAsia="Arial" w:hAnsi="Arial"/>
                <w:sz w:val="18"/>
                <w:szCs w:val="18"/>
                <w:color w:val="auto"/>
              </w:rPr>
              <w:t>Weighted average shares:</w:t>
            </w:r>
          </w:p>
        </w:tc>
        <w:tc>
          <w:tcPr>
            <w:tcW w:w="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46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46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Basic</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494,096</w:t>
            </w: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500,817</w:t>
            </w:r>
          </w:p>
        </w:tc>
        <w:tc>
          <w:tcPr>
            <w:tcW w:w="10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511,090</w:t>
            </w:r>
          </w:p>
        </w:tc>
        <w:tc>
          <w:tcPr>
            <w:tcW w:w="2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499,568</w:t>
            </w:r>
          </w:p>
        </w:tc>
        <w:tc>
          <w:tcPr>
            <w:tcW w:w="10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CCEEFF"/>
            </w:tcBorders>
            <w:shd w:val="clear" w:color="auto" w:fill="CCEEFF"/>
          </w:tcPr>
          <w:p>
            <w:pPr>
              <w:spacing w:after="0"/>
              <w:rPr>
                <w:sz w:val="21"/>
                <w:szCs w:val="21"/>
                <w:color w:val="auto"/>
              </w:rPr>
            </w:pPr>
          </w:p>
        </w:tc>
        <w:tc>
          <w:tcPr>
            <w:tcW w:w="98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510,373</w:t>
            </w:r>
          </w:p>
        </w:tc>
        <w:tc>
          <w:tcPr>
            <w:tcW w:w="0" w:type="dxa"/>
            <w:vAlign w:val="bottom"/>
          </w:tcPr>
          <w:p>
            <w:pPr>
              <w:spacing w:after="0"/>
              <w:rPr>
                <w:sz w:val="1"/>
                <w:szCs w:val="1"/>
                <w:color w:val="auto"/>
              </w:rPr>
            </w:pPr>
          </w:p>
        </w:tc>
      </w:tr>
      <w:tr>
        <w:trPr>
          <w:trHeight w:val="243"/>
        </w:trPr>
        <w:tc>
          <w:tcPr>
            <w:tcW w:w="4460" w:type="dxa"/>
            <w:vAlign w:val="bottom"/>
          </w:tcPr>
          <w:p>
            <w:pPr>
              <w:ind w:left="460"/>
              <w:spacing w:after="0"/>
              <w:rPr>
                <w:sz w:val="20"/>
                <w:szCs w:val="20"/>
                <w:color w:val="auto"/>
              </w:rPr>
            </w:pPr>
            <w:r>
              <w:rPr>
                <w:rFonts w:ascii="Arial" w:cs="Arial" w:eastAsia="Arial" w:hAnsi="Arial"/>
                <w:sz w:val="18"/>
                <w:szCs w:val="18"/>
                <w:color w:val="auto"/>
              </w:rPr>
              <w:t>Diluted</w:t>
            </w:r>
          </w:p>
        </w:tc>
        <w:tc>
          <w:tcPr>
            <w:tcW w:w="12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504,903</w:t>
            </w:r>
          </w:p>
        </w:tc>
        <w:tc>
          <w:tcPr>
            <w:tcW w:w="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60" w:type="dxa"/>
            <w:vAlign w:val="bottom"/>
          </w:tcPr>
          <w:p>
            <w:pPr>
              <w:jc w:val="right"/>
              <w:ind w:right="11"/>
              <w:spacing w:after="0"/>
              <w:rPr>
                <w:sz w:val="20"/>
                <w:szCs w:val="20"/>
                <w:color w:val="auto"/>
              </w:rPr>
            </w:pPr>
            <w:r>
              <w:rPr>
                <w:rFonts w:ascii="Arial" w:cs="Arial" w:eastAsia="Arial" w:hAnsi="Arial"/>
                <w:sz w:val="18"/>
                <w:szCs w:val="18"/>
                <w:color w:val="auto"/>
              </w:rPr>
              <w:t>510,309</w:t>
            </w:r>
          </w:p>
        </w:tc>
        <w:tc>
          <w:tcPr>
            <w:tcW w:w="10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920" w:type="dxa"/>
            <w:vAlign w:val="bottom"/>
          </w:tcPr>
          <w:p>
            <w:pPr>
              <w:jc w:val="right"/>
              <w:ind w:right="10"/>
              <w:spacing w:after="0"/>
              <w:rPr>
                <w:sz w:val="20"/>
                <w:szCs w:val="20"/>
                <w:color w:val="auto"/>
              </w:rPr>
            </w:pPr>
            <w:r>
              <w:rPr>
                <w:rFonts w:ascii="Arial" w:cs="Arial" w:eastAsia="Arial" w:hAnsi="Arial"/>
                <w:sz w:val="18"/>
                <w:szCs w:val="18"/>
                <w:color w:val="auto"/>
              </w:rPr>
              <w:t>522,091</w:t>
            </w:r>
          </w:p>
        </w:tc>
        <w:tc>
          <w:tcPr>
            <w:tcW w:w="22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31"/>
              <w:spacing w:after="0"/>
              <w:rPr>
                <w:sz w:val="20"/>
                <w:szCs w:val="20"/>
                <w:color w:val="auto"/>
              </w:rPr>
            </w:pPr>
            <w:r>
              <w:rPr>
                <w:rFonts w:ascii="Arial" w:cs="Arial" w:eastAsia="Arial" w:hAnsi="Arial"/>
                <w:sz w:val="18"/>
                <w:szCs w:val="18"/>
                <w:color w:val="auto"/>
              </w:rPr>
              <w:t>510,935</w:t>
            </w:r>
          </w:p>
        </w:tc>
        <w:tc>
          <w:tcPr>
            <w:tcW w:w="10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980" w:type="dxa"/>
            <w:vAlign w:val="bottom"/>
          </w:tcPr>
          <w:p>
            <w:pPr>
              <w:jc w:val="right"/>
              <w:ind w:right="10"/>
              <w:spacing w:after="0"/>
              <w:rPr>
                <w:sz w:val="20"/>
                <w:szCs w:val="20"/>
                <w:color w:val="auto"/>
              </w:rPr>
            </w:pPr>
            <w:r>
              <w:rPr>
                <w:rFonts w:ascii="Arial" w:cs="Arial" w:eastAsia="Arial" w:hAnsi="Arial"/>
                <w:sz w:val="18"/>
                <w:szCs w:val="18"/>
                <w:color w:val="auto"/>
              </w:rPr>
              <w:t>516,476</w:t>
            </w:r>
          </w:p>
        </w:tc>
        <w:tc>
          <w:tcPr>
            <w:tcW w:w="0" w:type="dxa"/>
            <w:vAlign w:val="bottom"/>
          </w:tcPr>
          <w:p>
            <w:pPr>
              <w:spacing w:after="0"/>
              <w:rPr>
                <w:sz w:val="1"/>
                <w:szCs w:val="1"/>
                <w:color w:val="auto"/>
              </w:rPr>
            </w:pPr>
          </w:p>
        </w:tc>
      </w:tr>
    </w:tbl>
    <w:p>
      <w:pPr>
        <w:sectPr>
          <w:pgSz w:w="11900" w:h="16838" w:orient="portrait"/>
          <w:cols w:equalWidth="0" w:num="1">
            <w:col w:w="11420"/>
          </w:cols>
          <w:pgMar w:left="240" w:top="364" w:right="2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79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600" w:type="dxa"/>
            <w:vAlign w:val="bottom"/>
            <w:gridSpan w:val="2"/>
          </w:tcPr>
          <w:p>
            <w:pPr>
              <w:ind w:left="80"/>
              <w:spacing w:after="0"/>
              <w:rPr>
                <w:sz w:val="20"/>
                <w:szCs w:val="20"/>
                <w:color w:val="auto"/>
              </w:rPr>
            </w:pPr>
            <w:r>
              <w:rPr>
                <w:rFonts w:ascii="Arial" w:cs="Arial" w:eastAsia="Arial" w:hAnsi="Arial"/>
                <w:sz w:val="14"/>
                <w:szCs w:val="14"/>
                <w:b w:val="1"/>
                <w:bCs w:val="1"/>
                <w:color w:val="auto"/>
              </w:rPr>
              <w:t>October 28, 2017</w:t>
            </w:r>
          </w:p>
        </w:tc>
        <w:tc>
          <w:tcPr>
            <w:tcW w:w="200" w:type="dxa"/>
            <w:vAlign w:val="bottom"/>
          </w:tcPr>
          <w:p>
            <w:pPr>
              <w:spacing w:after="0"/>
              <w:rPr>
                <w:sz w:val="16"/>
                <w:szCs w:val="16"/>
                <w:color w:val="auto"/>
              </w:rPr>
            </w:pPr>
          </w:p>
        </w:tc>
        <w:tc>
          <w:tcPr>
            <w:tcW w:w="1380" w:type="dxa"/>
            <w:vAlign w:val="bottom"/>
          </w:tcPr>
          <w:p>
            <w:pPr>
              <w:jc w:val="right"/>
              <w:ind w:right="171"/>
              <w:spacing w:after="0"/>
              <w:rPr>
                <w:sz w:val="20"/>
                <w:szCs w:val="20"/>
                <w:color w:val="auto"/>
              </w:rPr>
            </w:pPr>
            <w:r>
              <w:rPr>
                <w:rFonts w:ascii="Arial" w:cs="Arial" w:eastAsia="Arial" w:hAnsi="Arial"/>
                <w:sz w:val="14"/>
                <w:szCs w:val="14"/>
                <w:b w:val="1"/>
                <w:bCs w:val="1"/>
                <w:color w:val="auto"/>
                <w:w w:val="98"/>
              </w:rPr>
              <w:t>January 28, 2017</w:t>
            </w:r>
          </w:p>
        </w:tc>
      </w:tr>
      <w:tr>
        <w:trPr>
          <w:trHeight w:val="250"/>
        </w:trPr>
        <w:tc>
          <w:tcPr>
            <w:tcW w:w="79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Assets</w:t>
            </w: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CCEEFF"/>
            </w:tcBorders>
            <w:shd w:val="clear" w:color="auto" w:fill="CCEEFF"/>
          </w:tcPr>
          <w:p>
            <w:pPr>
              <w:spacing w:after="0"/>
              <w:rPr>
                <w:sz w:val="21"/>
                <w:szCs w:val="21"/>
                <w:color w:val="auto"/>
              </w:rPr>
            </w:pP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Cash and cash equivalents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800,099</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Short-term investments</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931,976</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854,268</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receivable, net</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366,114</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335,384</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Inventories</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173,741</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170,842</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Prepaid expenses and other current assets</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49,920</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58,771</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Assets held for sale</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36,571</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57,077</w:t>
            </w:r>
          </w:p>
        </w:tc>
      </w:tr>
      <w:tr>
        <w:trPr>
          <w:trHeight w:val="27"/>
        </w:trPr>
        <w:tc>
          <w:tcPr>
            <w:tcW w:w="79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44"/>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current assets</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2,358,421</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2,290,434</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198,173</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243,397</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Goodwill and acquired intangible assets, net</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1,993,668</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1,996,880</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Other non-current assets</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131,942</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117,939</w:t>
            </w:r>
          </w:p>
        </w:tc>
      </w:tr>
      <w:tr>
        <w:trPr>
          <w:trHeight w:val="27"/>
        </w:trPr>
        <w:tc>
          <w:tcPr>
            <w:tcW w:w="79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69"/>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assets</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4,682,204</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79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r>
      <w:tr>
        <w:trPr>
          <w:trHeight w:val="264"/>
        </w:trPr>
        <w:tc>
          <w:tcPr>
            <w:tcW w:w="79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380" w:type="dxa"/>
            <w:vAlign w:val="bottom"/>
          </w:tcPr>
          <w:p>
            <w:pPr>
              <w:spacing w:after="0"/>
              <w:rPr>
                <w:sz w:val="22"/>
                <w:szCs w:val="22"/>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Liabilities and Shareholders’ Equity</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spacing w:after="0"/>
              <w:rPr>
                <w:sz w:val="21"/>
                <w:szCs w:val="21"/>
                <w:color w:val="auto"/>
              </w:rPr>
            </w:pP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Accounts payable</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166,096</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143,484</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Accrued liabilities</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108,007</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143,491</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129,035</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139,647</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Deferred income</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74,943</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63,976</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7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Liabilities held for sale</w:t>
            </w:r>
          </w:p>
        </w:tc>
        <w:tc>
          <w:tcPr>
            <w:tcW w:w="2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5,818</w:t>
            </w:r>
          </w:p>
        </w:tc>
      </w:tr>
      <w:tr>
        <w:trPr>
          <w:trHeight w:val="237"/>
        </w:trPr>
        <w:tc>
          <w:tcPr>
            <w:tcW w:w="7920" w:type="dxa"/>
            <w:vAlign w:val="bottom"/>
          </w:tcPr>
          <w:p>
            <w:pPr>
              <w:ind w:left="900"/>
              <w:spacing w:after="0"/>
              <w:rPr>
                <w:sz w:val="20"/>
                <w:szCs w:val="20"/>
                <w:color w:val="auto"/>
              </w:rPr>
            </w:pPr>
            <w:r>
              <w:rPr>
                <w:rFonts w:ascii="Arial" w:cs="Arial" w:eastAsia="Arial" w:hAnsi="Arial"/>
                <w:sz w:val="18"/>
                <w:szCs w:val="18"/>
                <w:color w:val="auto"/>
              </w:rPr>
              <w:t>Total current liabilities</w:t>
            </w:r>
          </w:p>
        </w:tc>
        <w:tc>
          <w:tcPr>
            <w:tcW w:w="200" w:type="dxa"/>
            <w:vAlign w:val="bottom"/>
            <w:tcBorders>
              <w:top w:val="single" w:sz="8" w:color="auto"/>
            </w:tcBorders>
          </w:tcPr>
          <w:p>
            <w:pPr>
              <w:spacing w:after="0"/>
              <w:rPr>
                <w:sz w:val="20"/>
                <w:szCs w:val="20"/>
                <w:color w:val="auto"/>
              </w:rPr>
            </w:pP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478,081</w:t>
            </w:r>
          </w:p>
        </w:tc>
        <w:tc>
          <w:tcPr>
            <w:tcW w:w="2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496,416</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Non-current income taxes payable</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56,641</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60,646</w:t>
            </w:r>
          </w:p>
        </w:tc>
      </w:tr>
      <w:tr>
        <w:trPr>
          <w:trHeight w:val="243"/>
        </w:trPr>
        <w:tc>
          <w:tcPr>
            <w:tcW w:w="7920" w:type="dxa"/>
            <w:vAlign w:val="bottom"/>
          </w:tcPr>
          <w:p>
            <w:pPr>
              <w:ind w:left="20"/>
              <w:spacing w:after="0"/>
              <w:rPr>
                <w:sz w:val="20"/>
                <w:szCs w:val="20"/>
                <w:color w:val="auto"/>
              </w:rPr>
            </w:pPr>
            <w:r>
              <w:rPr>
                <w:rFonts w:ascii="Arial" w:cs="Arial" w:eastAsia="Arial" w:hAnsi="Arial"/>
                <w:sz w:val="18"/>
                <w:szCs w:val="18"/>
                <w:color w:val="auto"/>
              </w:rPr>
              <w:t>Other non-current liabilities</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86,533</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63,937</w:t>
            </w:r>
          </w:p>
        </w:tc>
      </w:tr>
      <w:tr>
        <w:trPr>
          <w:trHeight w:val="27"/>
        </w:trPr>
        <w:tc>
          <w:tcPr>
            <w:tcW w:w="79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64"/>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w:t>
            </w:r>
          </w:p>
        </w:tc>
        <w:tc>
          <w:tcPr>
            <w:tcW w:w="200" w:type="dxa"/>
            <w:vAlign w:val="bottom"/>
            <w:tcBorders>
              <w:bottom w:val="single" w:sz="8" w:color="CCEEFF"/>
            </w:tcBorders>
            <w:shd w:val="clear" w:color="auto" w:fill="CCEEFF"/>
          </w:tcPr>
          <w:p>
            <w:pPr>
              <w:spacing w:after="0"/>
              <w:rPr>
                <w:sz w:val="22"/>
                <w:szCs w:val="22"/>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621,255</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spacing w:after="0"/>
              <w:rPr>
                <w:sz w:val="22"/>
                <w:szCs w:val="22"/>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620,999</w:t>
            </w:r>
          </w:p>
        </w:tc>
      </w:tr>
      <w:tr>
        <w:trPr>
          <w:trHeight w:val="277"/>
        </w:trPr>
        <w:tc>
          <w:tcPr>
            <w:tcW w:w="79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380" w:type="dxa"/>
            <w:vAlign w:val="bottom"/>
            <w:tcBorders>
              <w:top w:val="single" w:sz="8" w:color="auto"/>
            </w:tcBorders>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Borders>
              <w:top w:val="single" w:sz="8" w:color="auto"/>
            </w:tcBorders>
          </w:tcPr>
          <w:p>
            <w:pPr>
              <w:spacing w:after="0"/>
              <w:rPr>
                <w:sz w:val="24"/>
                <w:szCs w:val="24"/>
                <w:color w:val="auto"/>
              </w:rPr>
            </w:pPr>
          </w:p>
        </w:tc>
        <w:tc>
          <w:tcPr>
            <w:tcW w:w="1380" w:type="dxa"/>
            <w:vAlign w:val="bottom"/>
            <w:tcBorders>
              <w:top w:val="single" w:sz="8" w:color="auto"/>
            </w:tcBorders>
          </w:tcPr>
          <w:p>
            <w:pPr>
              <w:spacing w:after="0"/>
              <w:rPr>
                <w:sz w:val="24"/>
                <w:szCs w:val="24"/>
                <w:color w:val="auto"/>
              </w:rPr>
            </w:pPr>
          </w:p>
        </w:tc>
      </w:tr>
      <w:tr>
        <w:trPr>
          <w:trHeight w:val="250"/>
        </w:trPr>
        <w:tc>
          <w:tcPr>
            <w:tcW w:w="79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Shareholders’ equity:</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spacing w:after="0"/>
              <w:rPr>
                <w:sz w:val="21"/>
                <w:szCs w:val="21"/>
                <w:color w:val="auto"/>
              </w:rPr>
            </w:pP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Common stock</w:t>
            </w: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982</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1,012</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5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Additional paid-in capital</w:t>
            </w: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2,669,775</w:t>
            </w:r>
          </w:p>
        </w:tc>
        <w:tc>
          <w:tcPr>
            <w:tcW w:w="2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3,016,775</w:t>
            </w:r>
          </w:p>
        </w:tc>
      </w:tr>
      <w:tr>
        <w:trPr>
          <w:trHeight w:val="243"/>
        </w:trPr>
        <w:tc>
          <w:tcPr>
            <w:tcW w:w="7920" w:type="dxa"/>
            <w:vAlign w:val="bottom"/>
          </w:tcPr>
          <w:p>
            <w:pPr>
              <w:ind w:left="460"/>
              <w:spacing w:after="0"/>
              <w:rPr>
                <w:sz w:val="20"/>
                <w:szCs w:val="20"/>
                <w:color w:val="auto"/>
              </w:rPr>
            </w:pPr>
            <w:r>
              <w:rPr>
                <w:rFonts w:ascii="Arial" w:cs="Arial" w:eastAsia="Arial" w:hAnsi="Arial"/>
                <w:sz w:val="18"/>
                <w:szCs w:val="18"/>
                <w:color w:val="auto"/>
              </w:rPr>
              <w:t>Accumulated other comprehensive income</w:t>
            </w:r>
          </w:p>
        </w:tc>
        <w:tc>
          <w:tcPr>
            <w:tcW w:w="200" w:type="dxa"/>
            <w:vAlign w:val="bottom"/>
          </w:tcPr>
          <w:p>
            <w:pPr>
              <w:spacing w:after="0"/>
              <w:rPr>
                <w:sz w:val="21"/>
                <w:szCs w:val="21"/>
                <w:color w:val="auto"/>
              </w:rPr>
            </w:pPr>
          </w:p>
        </w:tc>
        <w:tc>
          <w:tcPr>
            <w:tcW w:w="1380" w:type="dxa"/>
            <w:vAlign w:val="bottom"/>
          </w:tcPr>
          <w:p>
            <w:pPr>
              <w:jc w:val="right"/>
              <w:spacing w:after="0"/>
              <w:rPr>
                <w:sz w:val="20"/>
                <w:szCs w:val="20"/>
                <w:color w:val="auto"/>
              </w:rPr>
            </w:pPr>
            <w:r>
              <w:rPr>
                <w:rFonts w:ascii="Arial" w:cs="Arial" w:eastAsia="Arial" w:hAnsi="Arial"/>
                <w:sz w:val="18"/>
                <w:szCs w:val="18"/>
                <w:color w:val="auto"/>
              </w:rPr>
              <w:t>(192)</w:t>
            </w:r>
          </w:p>
        </w:tc>
        <w:tc>
          <w:tcPr>
            <w:tcW w:w="2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380" w:type="dxa"/>
            <w:vAlign w:val="bottom"/>
          </w:tcPr>
          <w:p>
            <w:pPr>
              <w:jc w:val="right"/>
              <w:ind w:right="11"/>
              <w:spacing w:after="0"/>
              <w:rPr>
                <w:sz w:val="20"/>
                <w:szCs w:val="20"/>
                <w:color w:val="auto"/>
              </w:rPr>
            </w:pPr>
            <w:r>
              <w:rPr>
                <w:rFonts w:ascii="Arial" w:cs="Arial" w:eastAsia="Arial" w:hAnsi="Arial"/>
                <w:sz w:val="18"/>
                <w:szCs w:val="18"/>
                <w:color w:val="auto"/>
              </w:rPr>
              <w:t>23</w:t>
            </w:r>
          </w:p>
        </w:tc>
      </w:tr>
      <w:tr>
        <w:trPr>
          <w:trHeight w:val="27"/>
        </w:trPr>
        <w:tc>
          <w:tcPr>
            <w:tcW w:w="79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380" w:type="dxa"/>
            <w:vAlign w:val="bottom"/>
          </w:tcPr>
          <w:p>
            <w:pPr>
              <w:spacing w:after="0"/>
              <w:rPr>
                <w:sz w:val="2"/>
                <w:szCs w:val="2"/>
                <w:color w:val="auto"/>
              </w:rPr>
            </w:pPr>
          </w:p>
        </w:tc>
      </w:tr>
      <w:tr>
        <w:trPr>
          <w:trHeight w:val="270"/>
        </w:trPr>
        <w:tc>
          <w:tcPr>
            <w:tcW w:w="79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Retained earnings</w:t>
            </w:r>
          </w:p>
        </w:tc>
        <w:tc>
          <w:tcPr>
            <w:tcW w:w="2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1,390,384</w:t>
            </w:r>
          </w:p>
        </w:tc>
        <w:tc>
          <w:tcPr>
            <w:tcW w:w="220" w:type="dxa"/>
            <w:vAlign w:val="bottom"/>
            <w:tcBorders>
              <w:bottom w:val="single" w:sz="8" w:color="CCEEFF"/>
            </w:tcBorders>
            <w:shd w:val="clear" w:color="auto" w:fill="CCEEFF"/>
          </w:tcPr>
          <w:p>
            <w:pPr>
              <w:spacing w:after="0"/>
              <w:rPr>
                <w:sz w:val="23"/>
                <w:szCs w:val="23"/>
                <w:color w:val="auto"/>
              </w:rPr>
            </w:pPr>
          </w:p>
        </w:tc>
        <w:tc>
          <w:tcPr>
            <w:tcW w:w="20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1,009,841</w:t>
            </w:r>
          </w:p>
        </w:tc>
      </w:tr>
      <w:tr>
        <w:trPr>
          <w:trHeight w:val="237"/>
        </w:trPr>
        <w:tc>
          <w:tcPr>
            <w:tcW w:w="7920" w:type="dxa"/>
            <w:vAlign w:val="bottom"/>
          </w:tcPr>
          <w:p>
            <w:pPr>
              <w:ind w:left="900"/>
              <w:spacing w:after="0"/>
              <w:rPr>
                <w:sz w:val="20"/>
                <w:szCs w:val="20"/>
                <w:color w:val="auto"/>
              </w:rPr>
            </w:pPr>
            <w:r>
              <w:rPr>
                <w:rFonts w:ascii="Arial" w:cs="Arial" w:eastAsia="Arial" w:hAnsi="Arial"/>
                <w:sz w:val="18"/>
                <w:szCs w:val="18"/>
                <w:color w:val="auto"/>
              </w:rPr>
              <w:t>Total shareholders’ equity</w:t>
            </w:r>
          </w:p>
        </w:tc>
        <w:tc>
          <w:tcPr>
            <w:tcW w:w="200" w:type="dxa"/>
            <w:vAlign w:val="bottom"/>
            <w:tcBorders>
              <w:top w:val="single" w:sz="8" w:color="auto"/>
            </w:tcBorders>
          </w:tcPr>
          <w:p>
            <w:pPr>
              <w:spacing w:after="0"/>
              <w:rPr>
                <w:sz w:val="20"/>
                <w:szCs w:val="20"/>
                <w:color w:val="auto"/>
              </w:rPr>
            </w:pP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4,060,949</w:t>
            </w:r>
          </w:p>
        </w:tc>
        <w:tc>
          <w:tcPr>
            <w:tcW w:w="220" w:type="dxa"/>
            <w:vAlign w:val="bottom"/>
          </w:tcPr>
          <w:p>
            <w:pPr>
              <w:spacing w:after="0"/>
              <w:rPr>
                <w:sz w:val="20"/>
                <w:szCs w:val="20"/>
                <w:color w:val="auto"/>
              </w:rPr>
            </w:pPr>
          </w:p>
        </w:tc>
        <w:tc>
          <w:tcPr>
            <w:tcW w:w="200" w:type="dxa"/>
            <w:vAlign w:val="bottom"/>
            <w:tcBorders>
              <w:top w:val="single" w:sz="8" w:color="auto"/>
            </w:tcBorders>
          </w:tcPr>
          <w:p>
            <w:pPr>
              <w:spacing w:after="0"/>
              <w:rPr>
                <w:sz w:val="20"/>
                <w:szCs w:val="20"/>
                <w:color w:val="auto"/>
              </w:rPr>
            </w:pPr>
          </w:p>
        </w:tc>
        <w:tc>
          <w:tcPr>
            <w:tcW w:w="138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4,027,651</w:t>
            </w:r>
          </w:p>
        </w:tc>
      </w:tr>
      <w:tr>
        <w:trPr>
          <w:trHeight w:val="27"/>
        </w:trPr>
        <w:tc>
          <w:tcPr>
            <w:tcW w:w="79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80" w:type="dxa"/>
            <w:vAlign w:val="bottom"/>
            <w:tcBorders>
              <w:bottom w:val="single" w:sz="8" w:color="auto"/>
            </w:tcBorders>
          </w:tcPr>
          <w:p>
            <w:pPr>
              <w:spacing w:after="0"/>
              <w:rPr>
                <w:sz w:val="2"/>
                <w:szCs w:val="2"/>
                <w:color w:val="auto"/>
              </w:rPr>
            </w:pPr>
          </w:p>
        </w:tc>
      </w:tr>
      <w:tr>
        <w:trPr>
          <w:trHeight w:val="269"/>
        </w:trPr>
        <w:tc>
          <w:tcPr>
            <w:tcW w:w="79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Total liabilities and shareholders’ equity</w:t>
            </w: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4,682,204</w:t>
            </w:r>
          </w:p>
        </w:tc>
        <w:tc>
          <w:tcPr>
            <w:tcW w:w="220" w:type="dxa"/>
            <w:vAlign w:val="bottom"/>
            <w:tcBorders>
              <w:bottom w:val="single" w:sz="8" w:color="CCEEFF"/>
            </w:tcBorders>
            <w:shd w:val="clear" w:color="auto" w:fill="CCEEFF"/>
          </w:tcPr>
          <w:p>
            <w:pPr>
              <w:spacing w:after="0"/>
              <w:rPr>
                <w:sz w:val="22"/>
                <w:szCs w:val="22"/>
                <w:color w:val="auto"/>
              </w:rPr>
            </w:pPr>
          </w:p>
        </w:tc>
        <w:tc>
          <w:tcPr>
            <w:tcW w:w="2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38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4,648,650</w:t>
            </w:r>
          </w:p>
        </w:tc>
      </w:tr>
      <w:tr>
        <w:trPr>
          <w:trHeight w:val="20"/>
        </w:trPr>
        <w:tc>
          <w:tcPr>
            <w:tcW w:w="79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380" w:type="dxa"/>
            <w:vAlign w:val="bottom"/>
            <w:tcBorders>
              <w:top w:val="single" w:sz="8" w:color="auto"/>
              <w:bottom w:val="single" w:sz="8" w:color="auto"/>
            </w:tcBorders>
          </w:tcPr>
          <w:p>
            <w:pPr>
              <w:spacing w:after="0" w:line="20" w:lineRule="exact"/>
              <w:rPr>
                <w:sz w:val="1"/>
                <w:szCs w:val="1"/>
                <w:color w:val="auto"/>
              </w:rPr>
            </w:pPr>
          </w:p>
        </w:tc>
      </w:tr>
    </w:tbl>
    <w:p>
      <w:pPr>
        <w:sectPr>
          <w:pgSz w:w="11900" w:h="16838" w:orient="portrait"/>
          <w:cols w:equalWidth="0" w:num="1">
            <w:col w:w="11300"/>
          </w:cols>
          <w:pgMar w:left="300" w:top="364" w:right="29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62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20" w:type="dxa"/>
            <w:vAlign w:val="bottom"/>
            <w:tcBorders>
              <w:bottom w:val="single" w:sz="8" w:color="auto"/>
            </w:tcBorders>
            <w:gridSpan w:val="4"/>
          </w:tcPr>
          <w:p>
            <w:pPr>
              <w:jc w:val="right"/>
              <w:ind w:right="67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2700" w:type="dxa"/>
            <w:vAlign w:val="bottom"/>
            <w:tcBorders>
              <w:bottom w:val="single" w:sz="8" w:color="auto"/>
            </w:tcBorders>
            <w:gridSpan w:val="4"/>
          </w:tcPr>
          <w:p>
            <w:pPr>
              <w:jc w:val="right"/>
              <w:ind w:right="690"/>
              <w:spacing w:after="0"/>
              <w:rPr>
                <w:sz w:val="20"/>
                <w:szCs w:val="20"/>
                <w:color w:val="auto"/>
              </w:rPr>
            </w:pPr>
            <w:r>
              <w:rPr>
                <w:rFonts w:ascii="Arial" w:cs="Arial" w:eastAsia="Arial" w:hAnsi="Arial"/>
                <w:sz w:val="14"/>
                <w:szCs w:val="14"/>
                <w:b w:val="1"/>
                <w:bCs w:val="1"/>
                <w:color w:val="auto"/>
              </w:rPr>
              <w:t>Nine Months Ended</w:t>
            </w:r>
          </w:p>
        </w:tc>
      </w:tr>
      <w:tr>
        <w:trPr>
          <w:trHeight w:val="263"/>
        </w:trPr>
        <w:tc>
          <w:tcPr>
            <w:tcW w:w="56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136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28, 2017</w:t>
            </w:r>
          </w:p>
        </w:tc>
        <w:tc>
          <w:tcPr>
            <w:tcW w:w="140" w:type="dxa"/>
            <w:vAlign w:val="bottom"/>
          </w:tcPr>
          <w:p>
            <w:pPr>
              <w:spacing w:after="0"/>
              <w:rPr>
                <w:sz w:val="22"/>
                <w:szCs w:val="22"/>
                <w:color w:val="auto"/>
              </w:rPr>
            </w:pPr>
          </w:p>
        </w:tc>
        <w:tc>
          <w:tcPr>
            <w:tcW w:w="132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29, 2016</w:t>
            </w:r>
          </w:p>
        </w:tc>
        <w:tc>
          <w:tcPr>
            <w:tcW w:w="140" w:type="dxa"/>
            <w:vAlign w:val="bottom"/>
          </w:tcPr>
          <w:p>
            <w:pPr>
              <w:spacing w:after="0"/>
              <w:rPr>
                <w:sz w:val="22"/>
                <w:szCs w:val="22"/>
                <w:color w:val="auto"/>
              </w:rPr>
            </w:pPr>
          </w:p>
        </w:tc>
        <w:tc>
          <w:tcPr>
            <w:tcW w:w="134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28, 2017</w:t>
            </w:r>
          </w:p>
        </w:tc>
        <w:tc>
          <w:tcPr>
            <w:tcW w:w="140" w:type="dxa"/>
            <w:vAlign w:val="bottom"/>
          </w:tcPr>
          <w:p>
            <w:pPr>
              <w:spacing w:after="0"/>
              <w:rPr>
                <w:sz w:val="22"/>
                <w:szCs w:val="22"/>
                <w:color w:val="auto"/>
              </w:rPr>
            </w:pPr>
          </w:p>
        </w:tc>
        <w:tc>
          <w:tcPr>
            <w:tcW w:w="1220" w:type="dxa"/>
            <w:vAlign w:val="bottom"/>
          </w:tcPr>
          <w:p>
            <w:pPr>
              <w:jc w:val="right"/>
              <w:ind w:right="70"/>
              <w:spacing w:after="0"/>
              <w:rPr>
                <w:sz w:val="20"/>
                <w:szCs w:val="20"/>
                <w:color w:val="auto"/>
              </w:rPr>
            </w:pPr>
            <w:r>
              <w:rPr>
                <w:rFonts w:ascii="Arial" w:cs="Arial" w:eastAsia="Arial" w:hAnsi="Arial"/>
                <w:sz w:val="14"/>
                <w:szCs w:val="14"/>
                <w:b w:val="1"/>
                <w:bCs w:val="1"/>
                <w:color w:val="auto"/>
                <w:w w:val="92"/>
              </w:rPr>
              <w:t>October 29, 2016</w:t>
            </w:r>
          </w:p>
        </w:tc>
      </w:tr>
      <w:tr>
        <w:trPr>
          <w:trHeight w:val="230"/>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operating activities:</w:t>
            </w:r>
          </w:p>
        </w:tc>
        <w:tc>
          <w:tcPr>
            <w:tcW w:w="1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r>
      <w:tr>
        <w:trPr>
          <w:trHeight w:val="54"/>
        </w:trPr>
        <w:tc>
          <w:tcPr>
            <w:tcW w:w="56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40" w:type="dxa"/>
            <w:vAlign w:val="bottom"/>
          </w:tcPr>
          <w:p>
            <w:pPr>
              <w:spacing w:after="0"/>
              <w:rPr>
                <w:sz w:val="4"/>
                <w:szCs w:val="4"/>
                <w:color w:val="auto"/>
              </w:rPr>
            </w:pPr>
          </w:p>
        </w:tc>
        <w:tc>
          <w:tcPr>
            <w:tcW w:w="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0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40" w:type="dxa"/>
            <w:vAlign w:val="bottom"/>
          </w:tcPr>
          <w:p>
            <w:pPr>
              <w:spacing w:after="0"/>
              <w:rPr>
                <w:sz w:val="4"/>
                <w:szCs w:val="4"/>
                <w:color w:val="auto"/>
              </w:rPr>
            </w:pPr>
          </w:p>
        </w:tc>
        <w:tc>
          <w:tcPr>
            <w:tcW w:w="1220" w:type="dxa"/>
            <w:vAlign w:val="bottom"/>
          </w:tcPr>
          <w:p>
            <w:pPr>
              <w:spacing w:after="0"/>
              <w:rPr>
                <w:sz w:val="4"/>
                <w:szCs w:val="4"/>
                <w:color w:val="auto"/>
              </w:rPr>
            </w:pPr>
          </w:p>
        </w:tc>
      </w:tr>
      <w:tr>
        <w:trPr>
          <w:trHeight w:val="25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Net income</w:t>
            </w: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200,188</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72,616</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472,068</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101,242</w:t>
            </w:r>
          </w:p>
        </w:tc>
      </w:tr>
      <w:tr>
        <w:trPr>
          <w:trHeight w:val="229"/>
        </w:trPr>
        <w:tc>
          <w:tcPr>
            <w:tcW w:w="5620" w:type="dxa"/>
            <w:vAlign w:val="bottom"/>
          </w:tcPr>
          <w:p>
            <w:pPr>
              <w:ind w:left="40"/>
              <w:spacing w:after="0"/>
              <w:rPr>
                <w:sz w:val="20"/>
                <w:szCs w:val="20"/>
                <w:color w:val="auto"/>
              </w:rPr>
            </w:pPr>
            <w:r>
              <w:rPr>
                <w:rFonts w:ascii="Arial" w:cs="Arial" w:eastAsia="Arial" w:hAnsi="Arial"/>
                <w:sz w:val="18"/>
                <w:szCs w:val="18"/>
                <w:color w:val="auto"/>
              </w:rPr>
              <w:t>Adjustments to reconcile net income to net cash provided by (used in)</w:t>
            </w:r>
          </w:p>
        </w:tc>
        <w:tc>
          <w:tcPr>
            <w:tcW w:w="1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30"/>
        </w:trPr>
        <w:tc>
          <w:tcPr>
            <w:tcW w:w="5620" w:type="dxa"/>
            <w:vAlign w:val="bottom"/>
          </w:tcPr>
          <w:p>
            <w:pPr>
              <w:ind w:left="260"/>
              <w:spacing w:after="0"/>
              <w:rPr>
                <w:sz w:val="20"/>
                <w:szCs w:val="20"/>
                <w:color w:val="auto"/>
              </w:rPr>
            </w:pPr>
            <w:r>
              <w:rPr>
                <w:rFonts w:ascii="Arial" w:cs="Arial" w:eastAsia="Arial" w:hAnsi="Arial"/>
                <w:sz w:val="18"/>
                <w:szCs w:val="18"/>
                <w:color w:val="auto"/>
              </w:rPr>
              <w:t>operating activities:</w:t>
            </w:r>
          </w:p>
        </w:tc>
        <w:tc>
          <w:tcPr>
            <w:tcW w:w="140" w:type="dxa"/>
            <w:vAlign w:val="bottom"/>
          </w:tcPr>
          <w:p>
            <w:pPr>
              <w:spacing w:after="0"/>
              <w:rPr>
                <w:sz w:val="20"/>
                <w:szCs w:val="20"/>
                <w:color w:val="auto"/>
              </w:rPr>
            </w:pPr>
          </w:p>
        </w:tc>
        <w:tc>
          <w:tcPr>
            <w:tcW w:w="12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spacing w:after="0"/>
              <w:rPr>
                <w:sz w:val="20"/>
                <w:szCs w:val="20"/>
                <w:color w:val="auto"/>
              </w:rPr>
            </w:pP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Depreciation and amortization</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21,383</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27,188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62,569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81,168</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18,873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28,263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65,312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89,912</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Amortization and write-off of acquired intangible assets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1,076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2,784</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3,212</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8,676</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Restructuring related impairment charges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1,056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(402)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2,081</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from investments in privately-held companies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(1,751)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(2,501)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29"/>
        </w:trPr>
        <w:tc>
          <w:tcPr>
            <w:tcW w:w="5620" w:type="dxa"/>
            <w:vAlign w:val="bottom"/>
          </w:tcPr>
          <w:p>
            <w:pPr>
              <w:ind w:left="460"/>
              <w:spacing w:after="0"/>
              <w:rPr>
                <w:sz w:val="20"/>
                <w:szCs w:val="20"/>
                <w:color w:val="auto"/>
              </w:rPr>
            </w:pPr>
            <w:r>
              <w:rPr>
                <w:rFonts w:ascii="Arial" w:cs="Arial" w:eastAsia="Arial" w:hAnsi="Arial"/>
                <w:sz w:val="18"/>
                <w:szCs w:val="18"/>
                <w:color w:val="auto"/>
              </w:rPr>
              <w:t>Amortization (accretion) of premium /discount on available-for-</w:t>
            </w:r>
          </w:p>
        </w:tc>
        <w:tc>
          <w:tcPr>
            <w:tcW w:w="1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220" w:type="dxa"/>
            <w:vAlign w:val="bottom"/>
          </w:tcPr>
          <w:p>
            <w:pPr>
              <w:spacing w:after="0"/>
              <w:rPr>
                <w:sz w:val="19"/>
                <w:szCs w:val="19"/>
                <w:color w:val="auto"/>
              </w:rPr>
            </w:pPr>
          </w:p>
        </w:tc>
      </w:tr>
      <w:tr>
        <w:trPr>
          <w:trHeight w:val="230"/>
        </w:trPr>
        <w:tc>
          <w:tcPr>
            <w:tcW w:w="5620" w:type="dxa"/>
            <w:vAlign w:val="bottom"/>
          </w:tcPr>
          <w:p>
            <w:pPr>
              <w:ind w:left="680"/>
              <w:spacing w:after="0"/>
              <w:rPr>
                <w:sz w:val="20"/>
                <w:szCs w:val="20"/>
                <w:color w:val="auto"/>
              </w:rPr>
            </w:pPr>
            <w:r>
              <w:rPr>
                <w:rFonts w:ascii="Arial" w:cs="Arial" w:eastAsia="Arial" w:hAnsi="Arial"/>
                <w:sz w:val="18"/>
                <w:szCs w:val="18"/>
                <w:color w:val="auto"/>
              </w:rPr>
              <w:t>sale securities</w:t>
            </w:r>
          </w:p>
        </w:tc>
        <w:tc>
          <w:tcPr>
            <w:tcW w:w="14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(200)</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(679)</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603</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1,697</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non-cash expense (income), net</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2,755</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1,331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(677)</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Deferred income taxes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201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2,797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(2,222)</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property and equipment</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(190)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(473)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Gain on sale of discontinued operations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(46,219)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(88,406)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Gain on sale of business</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(5,254)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Accounts receivable</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5,583</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(13,512)</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(30,730)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(38,895)</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Inventories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(1,327)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3,710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(16,039)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10,944</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Prepaid expenses and other assets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5,268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6,256</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13,122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(356)</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Accounts payable</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16,119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(29,818)</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20,087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10,541</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Accrued liabilities and other non-current liabilities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(7,046)</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6,508</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(40,462)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(23,735)</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w w:val="99"/>
              </w:rPr>
              <w:t xml:space="preserve">Carnegie Mellon University accrued litigation settlement </w:t>
            </w:r>
            <w:r>
              <w:rPr>
                <w:rFonts w:ascii="Arial" w:cs="Arial" w:eastAsia="Arial" w:hAnsi="Arial"/>
                <w:sz w:val="18"/>
                <w:szCs w:val="18"/>
                <w:i w:val="1"/>
                <w:iCs w:val="1"/>
                <w:color w:val="auto"/>
                <w:w w:val="99"/>
              </w:rPr>
              <w:t>(a)</w:t>
            </w:r>
          </w:p>
        </w:tc>
        <w:tc>
          <w:tcPr>
            <w:tcW w:w="140" w:type="dxa"/>
            <w:vAlign w:val="bottom"/>
            <w:tcBorders>
              <w:bottom w:val="single" w:sz="8" w:color="CCEEFF"/>
            </w:tcBorders>
            <w:shd w:val="clear" w:color="auto" w:fill="CCEEFF"/>
          </w:tcPr>
          <w:p>
            <w:pPr>
              <w:spacing w:after="0"/>
              <w:rPr>
                <w:sz w:val="21"/>
                <w:szCs w:val="21"/>
                <w:color w:val="auto"/>
              </w:rPr>
            </w:pPr>
          </w:p>
        </w:tc>
        <w:tc>
          <w:tcPr>
            <w:tcW w:w="136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34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(736,000)</w:t>
            </w:r>
          </w:p>
        </w:tc>
      </w:tr>
      <w:tr>
        <w:trPr>
          <w:trHeight w:val="243"/>
        </w:trPr>
        <w:tc>
          <w:tcPr>
            <w:tcW w:w="5620" w:type="dxa"/>
            <w:vAlign w:val="bottom"/>
          </w:tcPr>
          <w:p>
            <w:pPr>
              <w:ind w:left="900"/>
              <w:spacing w:after="0"/>
              <w:rPr>
                <w:sz w:val="20"/>
                <w:szCs w:val="20"/>
                <w:color w:val="auto"/>
              </w:rPr>
            </w:pPr>
            <w:r>
              <w:rPr>
                <w:rFonts w:ascii="Arial" w:cs="Arial" w:eastAsia="Arial" w:hAnsi="Arial"/>
                <w:sz w:val="18"/>
                <w:szCs w:val="18"/>
                <w:color w:val="auto"/>
              </w:rPr>
              <w:t>Accrued employee compensation</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(2,237)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25,537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(10,612)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10,419</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900"/>
              <w:spacing w:after="0"/>
              <w:rPr>
                <w:sz w:val="20"/>
                <w:szCs w:val="20"/>
                <w:color w:val="auto"/>
              </w:rPr>
            </w:pPr>
            <w:r>
              <w:rPr>
                <w:rFonts w:ascii="Arial" w:cs="Arial" w:eastAsia="Arial" w:hAnsi="Arial"/>
                <w:sz w:val="18"/>
                <w:szCs w:val="18"/>
                <w:color w:val="auto"/>
              </w:rPr>
              <w:t>Deferred income</w:t>
            </w:r>
          </w:p>
        </w:tc>
        <w:tc>
          <w:tcPr>
            <w:tcW w:w="1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3,865</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(8,393)</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5,149</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7,934</w:t>
            </w:r>
          </w:p>
        </w:tc>
      </w:tr>
      <w:tr>
        <w:trPr>
          <w:trHeight w:val="237"/>
        </w:trPr>
        <w:tc>
          <w:tcPr>
            <w:tcW w:w="5620" w:type="dxa"/>
            <w:vAlign w:val="bottom"/>
          </w:tcPr>
          <w:p>
            <w:pPr>
              <w:ind w:left="1340"/>
              <w:spacing w:after="0"/>
              <w:rPr>
                <w:sz w:val="20"/>
                <w:szCs w:val="20"/>
                <w:color w:val="auto"/>
              </w:rPr>
            </w:pPr>
            <w:r>
              <w:rPr>
                <w:rFonts w:ascii="Arial" w:cs="Arial" w:eastAsia="Arial" w:hAnsi="Arial"/>
                <w:sz w:val="18"/>
                <w:szCs w:val="18"/>
                <w:color w:val="auto"/>
              </w:rPr>
              <w:t>Net cash provided by (used in) operating activities</w:t>
            </w: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216,191</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121,461</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451,371</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(477,281)</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44"/>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b w:val="1"/>
                <w:bCs w:val="1"/>
                <w:color w:val="auto"/>
              </w:rPr>
              <w:t>Cash flows from investing activities: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spacing w:after="0"/>
              <w:rPr>
                <w:sz w:val="21"/>
                <w:szCs w:val="21"/>
                <w:color w:val="auto"/>
              </w:rPr>
            </w:pP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available-for-sale securities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(296,659)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(140,087)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(672,887)</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(343,810)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Sales of available-for-sale securities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167,451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118,649</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284,151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458,744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Maturities of available-for-sale securities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136,090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51,823</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305,702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198,293</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Return of investment from privately-held companies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3,701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274</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6,089</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274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time deposits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(75,000)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(75,000)</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(225,000)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(200,000)</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Maturities of time deposits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75,000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50,000</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225,000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50,000</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Purchases of technology licenses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(3,555)</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(394)</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(5,256)</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(8,439)</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Purchases of property and equipment</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(10,613)</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(13,347)</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(25,156)</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(37,724)</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Proceeds from sales of property and equipment</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249</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1,988</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Net proceeds from sale of discontinued operations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93,735</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20" w:type="dxa"/>
            <w:vAlign w:val="bottom"/>
            <w:tcBorders>
              <w:bottom w:val="single" w:sz="8" w:color="CCEEFF"/>
            </w:tcBorders>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165,940</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Net proceeds from sale of business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2,402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2,402</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provided by (used in) investing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92,801</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(8,082)</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62,973</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117,338</w:t>
            </w:r>
          </w:p>
        </w:tc>
      </w:tr>
      <w:tr>
        <w:trPr>
          <w:trHeight w:val="223"/>
        </w:trPr>
        <w:tc>
          <w:tcPr>
            <w:tcW w:w="5620" w:type="dxa"/>
            <w:vAlign w:val="bottom"/>
          </w:tcPr>
          <w:p>
            <w:pPr>
              <w:ind w:left="40"/>
              <w:spacing w:after="0"/>
              <w:rPr>
                <w:sz w:val="20"/>
                <w:szCs w:val="20"/>
                <w:color w:val="auto"/>
              </w:rPr>
            </w:pPr>
            <w:r>
              <w:rPr>
                <w:rFonts w:ascii="Arial" w:cs="Arial" w:eastAsia="Arial" w:hAnsi="Arial"/>
                <w:sz w:val="18"/>
                <w:szCs w:val="18"/>
                <w:b w:val="1"/>
                <w:bCs w:val="1"/>
                <w:color w:val="auto"/>
              </w:rPr>
              <w:t>Cash flows from financing activities:</w:t>
            </w:r>
          </w:p>
        </w:tc>
        <w:tc>
          <w:tcPr>
            <w:tcW w:w="140" w:type="dxa"/>
            <w:vAlign w:val="bottom"/>
            <w:tcBorders>
              <w:top w:val="single" w:sz="8" w:color="auto"/>
            </w:tcBorders>
          </w:tcPr>
          <w:p>
            <w:pPr>
              <w:spacing w:after="0"/>
              <w:rPr>
                <w:sz w:val="19"/>
                <w:szCs w:val="19"/>
                <w:color w:val="auto"/>
              </w:rPr>
            </w:pPr>
          </w:p>
        </w:tc>
        <w:tc>
          <w:tcPr>
            <w:tcW w:w="12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r>
      <w:tr>
        <w:trPr>
          <w:trHeight w:val="41"/>
        </w:trPr>
        <w:tc>
          <w:tcPr>
            <w:tcW w:w="56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4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tcPr>
          <w:p>
            <w:pPr>
              <w:spacing w:after="0"/>
              <w:rPr>
                <w:sz w:val="3"/>
                <w:szCs w:val="3"/>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Repurchases of common stock</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(140,017)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(56,531)</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(527,574)</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(56,531)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Proceeds from employee stock plans</w:t>
            </w:r>
          </w:p>
        </w:tc>
        <w:tc>
          <w:tcPr>
            <w:tcW w:w="140" w:type="dxa"/>
            <w:vAlign w:val="bottom"/>
          </w:tcPr>
          <w:p>
            <w:pPr>
              <w:spacing w:after="0"/>
              <w:rPr>
                <w:sz w:val="21"/>
                <w:szCs w:val="21"/>
                <w:color w:val="auto"/>
              </w:rPr>
            </w:pPr>
          </w:p>
        </w:tc>
        <w:tc>
          <w:tcPr>
            <w:tcW w:w="1240" w:type="dxa"/>
            <w:vAlign w:val="bottom"/>
          </w:tcPr>
          <w:p>
            <w:pPr>
              <w:jc w:val="right"/>
              <w:ind w:right="11"/>
              <w:spacing w:after="0"/>
              <w:rPr>
                <w:sz w:val="20"/>
                <w:szCs w:val="20"/>
                <w:color w:val="auto"/>
              </w:rPr>
            </w:pPr>
            <w:r>
              <w:rPr>
                <w:rFonts w:ascii="Arial" w:cs="Arial" w:eastAsia="Arial" w:hAnsi="Arial"/>
                <w:sz w:val="18"/>
                <w:szCs w:val="18"/>
                <w:color w:val="auto"/>
              </w:rPr>
              <w:t>39,614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11,277</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1"/>
              <w:spacing w:after="0"/>
              <w:rPr>
                <w:sz w:val="20"/>
                <w:szCs w:val="20"/>
                <w:color w:val="auto"/>
              </w:rPr>
            </w:pPr>
            <w:r>
              <w:rPr>
                <w:rFonts w:ascii="Arial" w:cs="Arial" w:eastAsia="Arial" w:hAnsi="Arial"/>
                <w:sz w:val="18"/>
                <w:szCs w:val="18"/>
                <w:color w:val="auto"/>
              </w:rPr>
              <w:t>137,424</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11,836</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29"/>
        </w:trPr>
        <w:tc>
          <w:tcPr>
            <w:tcW w:w="5620" w:type="dxa"/>
            <w:vAlign w:val="bottom"/>
            <w:shd w:val="clear" w:color="auto" w:fill="CCEEFF"/>
          </w:tcPr>
          <w:p>
            <w:pPr>
              <w:ind w:left="460"/>
              <w:spacing w:after="0"/>
              <w:rPr>
                <w:sz w:val="20"/>
                <w:szCs w:val="20"/>
                <w:color w:val="auto"/>
              </w:rPr>
            </w:pPr>
            <w:r>
              <w:rPr>
                <w:rFonts w:ascii="Arial" w:cs="Arial" w:eastAsia="Arial" w:hAnsi="Arial"/>
                <w:sz w:val="18"/>
                <w:szCs w:val="18"/>
                <w:color w:val="auto"/>
              </w:rPr>
              <w:t>Minimum tax withholding paid on behalf of employees for net</w:t>
            </w:r>
          </w:p>
        </w:tc>
        <w:tc>
          <w:tcPr>
            <w:tcW w:w="14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220" w:type="dxa"/>
            <w:vAlign w:val="bottom"/>
            <w:shd w:val="clear" w:color="auto" w:fill="CCEEFF"/>
          </w:tcPr>
          <w:p>
            <w:pPr>
              <w:spacing w:after="0"/>
              <w:rPr>
                <w:sz w:val="19"/>
                <w:szCs w:val="19"/>
                <w:color w:val="auto"/>
              </w:rPr>
            </w:pPr>
          </w:p>
        </w:tc>
      </w:tr>
      <w:tr>
        <w:trPr>
          <w:trHeight w:val="237"/>
        </w:trPr>
        <w:tc>
          <w:tcPr>
            <w:tcW w:w="5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share settlement</w:t>
            </w:r>
          </w:p>
        </w:tc>
        <w:tc>
          <w:tcPr>
            <w:tcW w:w="14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(1,120)</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(899)</w:t>
            </w: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(25,934)</w:t>
            </w:r>
          </w:p>
        </w:tc>
        <w:tc>
          <w:tcPr>
            <w:tcW w:w="12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(16,281)</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Dividend payments to shareholders</w:t>
            </w:r>
          </w:p>
        </w:tc>
        <w:tc>
          <w:tcPr>
            <w:tcW w:w="14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(29,470)</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(30,699)</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(89,556)</w:t>
            </w:r>
          </w:p>
        </w:tc>
        <w:tc>
          <w:tcPr>
            <w:tcW w:w="1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(91,835)</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50"/>
        </w:trPr>
        <w:tc>
          <w:tcPr>
            <w:tcW w:w="562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Payments on technology license obligations</w:t>
            </w:r>
          </w:p>
        </w:tc>
        <w:tc>
          <w:tcPr>
            <w:tcW w:w="14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(8,401)</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(3,696)</w:t>
            </w:r>
          </w:p>
        </w:tc>
        <w:tc>
          <w:tcPr>
            <w:tcW w:w="1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(22,697)</w:t>
            </w:r>
          </w:p>
        </w:tc>
        <w:tc>
          <w:tcPr>
            <w:tcW w:w="12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(13,848)</w:t>
            </w:r>
          </w:p>
        </w:tc>
      </w:tr>
      <w:tr>
        <w:trPr>
          <w:trHeight w:val="243"/>
        </w:trPr>
        <w:tc>
          <w:tcPr>
            <w:tcW w:w="5620" w:type="dxa"/>
            <w:vAlign w:val="bottom"/>
          </w:tcPr>
          <w:p>
            <w:pPr>
              <w:ind w:left="460"/>
              <w:spacing w:after="0"/>
              <w:rPr>
                <w:sz w:val="20"/>
                <w:szCs w:val="20"/>
                <w:color w:val="auto"/>
              </w:rPr>
            </w:pPr>
            <w:r>
              <w:rPr>
                <w:rFonts w:ascii="Arial" w:cs="Arial" w:eastAsia="Arial" w:hAnsi="Arial"/>
                <w:sz w:val="18"/>
                <w:szCs w:val="18"/>
                <w:color w:val="auto"/>
              </w:rPr>
              <w:t>Excess tax benefits from share-based compensation</w:t>
            </w:r>
          </w:p>
        </w:tc>
        <w:tc>
          <w:tcPr>
            <w:tcW w:w="140" w:type="dxa"/>
            <w:vAlign w:val="bottom"/>
          </w:tcPr>
          <w:p>
            <w:pPr>
              <w:spacing w:after="0"/>
              <w:rPr>
                <w:sz w:val="21"/>
                <w:szCs w:val="21"/>
                <w:color w:val="auto"/>
              </w:rPr>
            </w:pPr>
          </w:p>
        </w:tc>
        <w:tc>
          <w:tcPr>
            <w:tcW w:w="136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30"/>
              <w:spacing w:after="0"/>
              <w:rPr>
                <w:sz w:val="20"/>
                <w:szCs w:val="20"/>
                <w:color w:val="auto"/>
              </w:rPr>
            </w:pPr>
            <w:r>
              <w:rPr>
                <w:rFonts w:ascii="Arial" w:cs="Arial" w:eastAsia="Arial" w:hAnsi="Arial"/>
                <w:sz w:val="18"/>
                <w:szCs w:val="18"/>
                <w:color w:val="auto"/>
              </w:rPr>
              <w:t>5</w:t>
            </w:r>
          </w:p>
        </w:tc>
        <w:tc>
          <w:tcPr>
            <w:tcW w:w="1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4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21"/>
                <w:szCs w:val="21"/>
                <w:color w:val="auto"/>
              </w:rPr>
            </w:pPr>
          </w:p>
        </w:tc>
        <w:tc>
          <w:tcPr>
            <w:tcW w:w="1220" w:type="dxa"/>
            <w:vAlign w:val="bottom"/>
          </w:tcPr>
          <w:p>
            <w:pPr>
              <w:jc w:val="right"/>
              <w:ind w:right="10"/>
              <w:spacing w:after="0"/>
              <w:rPr>
                <w:sz w:val="20"/>
                <w:szCs w:val="20"/>
                <w:color w:val="auto"/>
              </w:rPr>
            </w:pPr>
            <w:r>
              <w:rPr>
                <w:rFonts w:ascii="Arial" w:cs="Arial" w:eastAsia="Arial" w:hAnsi="Arial"/>
                <w:sz w:val="18"/>
                <w:szCs w:val="18"/>
                <w:color w:val="auto"/>
              </w:rPr>
              <w:t>10</w:t>
            </w:r>
          </w:p>
        </w:tc>
      </w:tr>
      <w:tr>
        <w:trPr>
          <w:trHeight w:val="27"/>
        </w:trPr>
        <w:tc>
          <w:tcPr>
            <w:tcW w:w="56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64"/>
        </w:trPr>
        <w:tc>
          <w:tcPr>
            <w:tcW w:w="5620" w:type="dxa"/>
            <w:vAlign w:val="bottom"/>
            <w:tcBorders>
              <w:bottom w:val="single" w:sz="8" w:color="CCEEFF"/>
            </w:tcBorders>
            <w:shd w:val="clear" w:color="auto" w:fill="CCEEFF"/>
          </w:tcPr>
          <w:p>
            <w:pPr>
              <w:ind w:left="1340"/>
              <w:spacing w:after="0"/>
              <w:rPr>
                <w:sz w:val="20"/>
                <w:szCs w:val="20"/>
                <w:color w:val="auto"/>
              </w:rPr>
            </w:pPr>
            <w:r>
              <w:rPr>
                <w:rFonts w:ascii="Arial" w:cs="Arial" w:eastAsia="Arial" w:hAnsi="Arial"/>
                <w:sz w:val="18"/>
                <w:szCs w:val="18"/>
                <w:color w:val="auto"/>
              </w:rPr>
              <w:t>Net cash used in financing activities</w:t>
            </w:r>
          </w:p>
        </w:tc>
        <w:tc>
          <w:tcPr>
            <w:tcW w:w="14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(139,394)</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(80,543)</w:t>
            </w:r>
          </w:p>
        </w:tc>
        <w:tc>
          <w:tcPr>
            <w:tcW w:w="1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(528,337)</w:t>
            </w:r>
          </w:p>
        </w:tc>
        <w:tc>
          <w:tcPr>
            <w:tcW w:w="12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(166,649)</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Net increase (decrease) in cash and cash equivalents</w:t>
            </w:r>
          </w:p>
        </w:tc>
        <w:tc>
          <w:tcPr>
            <w:tcW w:w="140" w:type="dxa"/>
            <w:vAlign w:val="bottom"/>
            <w:tcBorders>
              <w:top w:val="single" w:sz="8" w:color="auto"/>
            </w:tcBorders>
          </w:tcPr>
          <w:p>
            <w:pPr>
              <w:spacing w:after="0"/>
              <w:rPr>
                <w:sz w:val="20"/>
                <w:szCs w:val="20"/>
                <w:color w:val="auto"/>
              </w:rPr>
            </w:pP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169,598</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32,836</w:t>
            </w:r>
          </w:p>
        </w:tc>
        <w:tc>
          <w:tcPr>
            <w:tcW w:w="10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(13,993)</w:t>
            </w:r>
          </w:p>
        </w:tc>
        <w:tc>
          <w:tcPr>
            <w:tcW w:w="120" w:type="dxa"/>
            <w:vAlign w:val="bottom"/>
          </w:tcPr>
          <w:p>
            <w:pPr>
              <w:spacing w:after="0"/>
              <w:rPr>
                <w:sz w:val="20"/>
                <w:szCs w:val="20"/>
                <w:color w:val="auto"/>
              </w:rPr>
            </w:pPr>
          </w:p>
        </w:tc>
        <w:tc>
          <w:tcPr>
            <w:tcW w:w="14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(526,592)</w:t>
            </w:r>
          </w:p>
        </w:tc>
      </w:tr>
      <w:tr>
        <w:trPr>
          <w:trHeight w:val="27"/>
        </w:trPr>
        <w:tc>
          <w:tcPr>
            <w:tcW w:w="56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1220" w:type="dxa"/>
            <w:vAlign w:val="bottom"/>
          </w:tcPr>
          <w:p>
            <w:pPr>
              <w:spacing w:after="0"/>
              <w:rPr>
                <w:sz w:val="2"/>
                <w:szCs w:val="2"/>
                <w:color w:val="auto"/>
              </w:rPr>
            </w:pPr>
          </w:p>
        </w:tc>
      </w:tr>
      <w:tr>
        <w:trPr>
          <w:trHeight w:val="270"/>
        </w:trPr>
        <w:tc>
          <w:tcPr>
            <w:tcW w:w="562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Cash and cash equivalents at beginning of period</w:t>
            </w:r>
          </w:p>
        </w:tc>
        <w:tc>
          <w:tcPr>
            <w:tcW w:w="14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630,501</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718,752</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1"/>
              <w:spacing w:after="0"/>
              <w:rPr>
                <w:sz w:val="20"/>
                <w:szCs w:val="20"/>
                <w:color w:val="auto"/>
              </w:rPr>
            </w:pPr>
            <w:r>
              <w:rPr>
                <w:rFonts w:ascii="Arial" w:cs="Arial" w:eastAsia="Arial" w:hAnsi="Arial"/>
                <w:sz w:val="18"/>
                <w:szCs w:val="18"/>
                <w:color w:val="auto"/>
              </w:rPr>
              <w:t>814,092</w:t>
            </w:r>
          </w:p>
        </w:tc>
        <w:tc>
          <w:tcPr>
            <w:tcW w:w="12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1,278,180</w:t>
            </w:r>
          </w:p>
        </w:tc>
      </w:tr>
      <w:tr>
        <w:trPr>
          <w:trHeight w:val="237"/>
        </w:trPr>
        <w:tc>
          <w:tcPr>
            <w:tcW w:w="5620" w:type="dxa"/>
            <w:vAlign w:val="bottom"/>
          </w:tcPr>
          <w:p>
            <w:pPr>
              <w:ind w:left="40"/>
              <w:spacing w:after="0"/>
              <w:rPr>
                <w:sz w:val="20"/>
                <w:szCs w:val="20"/>
                <w:color w:val="auto"/>
              </w:rPr>
            </w:pPr>
            <w:r>
              <w:rPr>
                <w:rFonts w:ascii="Arial" w:cs="Arial" w:eastAsia="Arial" w:hAnsi="Arial"/>
                <w:sz w:val="18"/>
                <w:szCs w:val="18"/>
                <w:color w:val="auto"/>
              </w:rPr>
              <w:t>Cash and cash equivalents at end of period</w:t>
            </w: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4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800,099</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751,588</w:t>
            </w:r>
          </w:p>
        </w:tc>
        <w:tc>
          <w:tcPr>
            <w:tcW w:w="1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1"/>
              <w:spacing w:after="0"/>
              <w:rPr>
                <w:sz w:val="20"/>
                <w:szCs w:val="20"/>
                <w:color w:val="auto"/>
              </w:rPr>
            </w:pPr>
            <w:r>
              <w:rPr>
                <w:rFonts w:ascii="Arial" w:cs="Arial" w:eastAsia="Arial" w:hAnsi="Arial"/>
                <w:sz w:val="18"/>
                <w:szCs w:val="18"/>
                <w:color w:val="auto"/>
              </w:rPr>
              <w:t>800,099</w:t>
            </w:r>
          </w:p>
        </w:tc>
        <w:tc>
          <w:tcPr>
            <w:tcW w:w="12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2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751,588</w:t>
            </w:r>
          </w:p>
        </w:tc>
      </w:tr>
      <w:tr>
        <w:trPr>
          <w:trHeight w:val="27"/>
        </w:trPr>
        <w:tc>
          <w:tcPr>
            <w:tcW w:w="56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r>
      <w:tr>
        <w:trPr>
          <w:trHeight w:val="20"/>
        </w:trPr>
        <w:tc>
          <w:tcPr>
            <w:tcW w:w="56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715" w:right="239" w:bottom="76" w:gutter="0" w:footer="0" w:header="0"/>
        </w:sectPr>
      </w:pPr>
    </w:p>
    <w:bookmarkStart w:id="13" w:name="page14"/>
    <w:bookmarkEnd w:id="13"/>
    <w:p>
      <w:pPr>
        <w:ind w:left="465" w:hanging="465"/>
        <w:spacing w:after="0"/>
        <w:tabs>
          <w:tab w:leader="none" w:pos="465"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The Company paid $750.0 million to Carnegie Mellon University in connection with a litigation settlement agreement reached in February 2016.</w:t>
      </w:r>
    </w:p>
    <w:p>
      <w:pPr>
        <w:sectPr>
          <w:pgSz w:w="11900" w:h="16838" w:orient="portrait"/>
          <w:cols w:equalWidth="0" w:num="1">
            <w:col w:w="10905"/>
          </w:cols>
          <w:pgMar w:left="275" w:top="125" w:right="719" w:bottom="1440" w:gutter="0" w:footer="0" w:header="0"/>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88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500" w:type="dxa"/>
            <w:vAlign w:val="bottom"/>
            <w:tcBorders>
              <w:bottom w:val="single" w:sz="8" w:color="auto"/>
            </w:tcBorders>
            <w:gridSpan w:val="3"/>
          </w:tcPr>
          <w:p>
            <w:pPr>
              <w:spacing w:after="0"/>
              <w:rPr>
                <w:sz w:val="20"/>
                <w:szCs w:val="20"/>
                <w:color w:val="auto"/>
              </w:rPr>
            </w:pPr>
            <w:r>
              <w:rPr>
                <w:rFonts w:ascii="Arial" w:cs="Arial" w:eastAsia="Arial" w:hAnsi="Arial"/>
                <w:sz w:val="14"/>
                <w:szCs w:val="14"/>
                <w:b w:val="1"/>
                <w:bCs w:val="1"/>
                <w:color w:val="auto"/>
              </w:rPr>
              <w:t>Three Months Ended</w:t>
            </w:r>
          </w:p>
        </w:tc>
        <w:tc>
          <w:tcPr>
            <w:tcW w:w="1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760" w:type="dxa"/>
            <w:vAlign w:val="bottom"/>
            <w:tcBorders>
              <w:bottom w:val="single" w:sz="8" w:color="auto"/>
            </w:tcBorders>
            <w:gridSpan w:val="4"/>
          </w:tcPr>
          <w:p>
            <w:pPr>
              <w:jc w:val="right"/>
              <w:ind w:right="731"/>
              <w:spacing w:after="0"/>
              <w:rPr>
                <w:sz w:val="20"/>
                <w:szCs w:val="20"/>
                <w:color w:val="auto"/>
              </w:rPr>
            </w:pPr>
            <w:r>
              <w:rPr>
                <w:rFonts w:ascii="Arial" w:cs="Arial" w:eastAsia="Arial" w:hAnsi="Arial"/>
                <w:sz w:val="14"/>
                <w:szCs w:val="14"/>
                <w:b w:val="1"/>
                <w:bCs w:val="1"/>
                <w:color w:val="auto"/>
              </w:rPr>
              <w:t>Nine Months Ended</w:t>
            </w:r>
          </w:p>
        </w:tc>
      </w:tr>
      <w:tr>
        <w:trPr>
          <w:trHeight w:val="264"/>
        </w:trPr>
        <w:tc>
          <w:tcPr>
            <w:tcW w:w="38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40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28, 2017</w:t>
            </w:r>
          </w:p>
        </w:tc>
        <w:tc>
          <w:tcPr>
            <w:tcW w:w="180" w:type="dxa"/>
            <w:vAlign w:val="bottom"/>
          </w:tcPr>
          <w:p>
            <w:pPr>
              <w:spacing w:after="0"/>
              <w:rPr>
                <w:sz w:val="22"/>
                <w:szCs w:val="22"/>
                <w:color w:val="auto"/>
              </w:rPr>
            </w:pPr>
          </w:p>
        </w:tc>
        <w:tc>
          <w:tcPr>
            <w:tcW w:w="1320" w:type="dxa"/>
            <w:vAlign w:val="bottom"/>
            <w:gridSpan w:val="2"/>
          </w:tcPr>
          <w:p>
            <w:pPr>
              <w:ind w:left="60"/>
              <w:spacing w:after="0"/>
              <w:rPr>
                <w:sz w:val="20"/>
                <w:szCs w:val="20"/>
                <w:color w:val="auto"/>
              </w:rPr>
            </w:pPr>
            <w:r>
              <w:rPr>
                <w:rFonts w:ascii="Arial" w:cs="Arial" w:eastAsia="Arial" w:hAnsi="Arial"/>
                <w:sz w:val="14"/>
                <w:szCs w:val="14"/>
                <w:b w:val="1"/>
                <w:bCs w:val="1"/>
                <w:color w:val="auto"/>
              </w:rPr>
              <w:t>July 29, 2017</w:t>
            </w:r>
          </w:p>
        </w:tc>
        <w:tc>
          <w:tcPr>
            <w:tcW w:w="140" w:type="dxa"/>
            <w:vAlign w:val="bottom"/>
          </w:tcPr>
          <w:p>
            <w:pPr>
              <w:spacing w:after="0"/>
              <w:rPr>
                <w:sz w:val="22"/>
                <w:szCs w:val="22"/>
                <w:color w:val="auto"/>
              </w:rPr>
            </w:pPr>
          </w:p>
        </w:tc>
        <w:tc>
          <w:tcPr>
            <w:tcW w:w="1380" w:type="dxa"/>
            <w:vAlign w:val="bottom"/>
            <w:gridSpan w:val="2"/>
          </w:tcPr>
          <w:p>
            <w:pPr>
              <w:spacing w:after="0"/>
              <w:rPr>
                <w:sz w:val="20"/>
                <w:szCs w:val="20"/>
                <w:color w:val="auto"/>
              </w:rPr>
            </w:pPr>
            <w:r>
              <w:rPr>
                <w:rFonts w:ascii="Arial" w:cs="Arial" w:eastAsia="Arial" w:hAnsi="Arial"/>
                <w:sz w:val="14"/>
                <w:szCs w:val="14"/>
                <w:b w:val="1"/>
                <w:bCs w:val="1"/>
                <w:color w:val="auto"/>
              </w:rPr>
              <w:t>October 29, 2016</w:t>
            </w:r>
          </w:p>
        </w:tc>
        <w:tc>
          <w:tcPr>
            <w:tcW w:w="160" w:type="dxa"/>
            <w:vAlign w:val="bottom"/>
          </w:tcPr>
          <w:p>
            <w:pPr>
              <w:spacing w:after="0"/>
              <w:rPr>
                <w:sz w:val="22"/>
                <w:szCs w:val="22"/>
                <w:color w:val="auto"/>
              </w:rPr>
            </w:pPr>
          </w:p>
        </w:tc>
        <w:tc>
          <w:tcPr>
            <w:tcW w:w="1460" w:type="dxa"/>
            <w:vAlign w:val="bottom"/>
            <w:gridSpan w:val="2"/>
          </w:tcPr>
          <w:p>
            <w:pPr>
              <w:ind w:left="20"/>
              <w:spacing w:after="0"/>
              <w:rPr>
                <w:sz w:val="20"/>
                <w:szCs w:val="20"/>
                <w:color w:val="auto"/>
              </w:rPr>
            </w:pPr>
            <w:r>
              <w:rPr>
                <w:rFonts w:ascii="Arial" w:cs="Arial" w:eastAsia="Arial" w:hAnsi="Arial"/>
                <w:sz w:val="14"/>
                <w:szCs w:val="14"/>
                <w:b w:val="1"/>
                <w:bCs w:val="1"/>
                <w:color w:val="auto"/>
              </w:rPr>
              <w:t>October 28, 2017</w:t>
            </w:r>
          </w:p>
        </w:tc>
        <w:tc>
          <w:tcPr>
            <w:tcW w:w="120" w:type="dxa"/>
            <w:vAlign w:val="bottom"/>
          </w:tcPr>
          <w:p>
            <w:pPr>
              <w:spacing w:after="0"/>
              <w:rPr>
                <w:sz w:val="22"/>
                <w:szCs w:val="22"/>
                <w:color w:val="auto"/>
              </w:rPr>
            </w:pPr>
          </w:p>
        </w:tc>
        <w:tc>
          <w:tcPr>
            <w:tcW w:w="1180" w:type="dxa"/>
            <w:vAlign w:val="bottom"/>
          </w:tcPr>
          <w:p>
            <w:pPr>
              <w:jc w:val="right"/>
              <w:ind w:right="31"/>
              <w:spacing w:after="0"/>
              <w:rPr>
                <w:sz w:val="20"/>
                <w:szCs w:val="20"/>
                <w:color w:val="auto"/>
              </w:rPr>
            </w:pPr>
            <w:r>
              <w:rPr>
                <w:rFonts w:ascii="Arial" w:cs="Arial" w:eastAsia="Arial" w:hAnsi="Arial"/>
                <w:sz w:val="14"/>
                <w:szCs w:val="14"/>
                <w:b w:val="1"/>
                <w:bCs w:val="1"/>
                <w:color w:val="auto"/>
                <w:w w:val="92"/>
              </w:rPr>
              <w:t>October 29, 2016</w:t>
            </w:r>
          </w:p>
        </w:tc>
      </w:tr>
      <w:tr>
        <w:trPr>
          <w:trHeight w:val="250"/>
        </w:trPr>
        <w:tc>
          <w:tcPr>
            <w:tcW w:w="3880" w:type="dxa"/>
            <w:vAlign w:val="bottom"/>
            <w:tcBorders>
              <w:top w:val="single" w:sz="8" w:color="CCEEFF"/>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gross profit:</w:t>
            </w: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377,769</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365,178</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356,894</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6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1,088,458</w:t>
            </w:r>
          </w:p>
        </w:tc>
        <w:tc>
          <w:tcPr>
            <w:tcW w:w="2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957,513</w:t>
            </w:r>
          </w:p>
        </w:tc>
      </w:tr>
      <w:tr>
        <w:trPr>
          <w:trHeight w:val="243"/>
        </w:trPr>
        <w:tc>
          <w:tcPr>
            <w:tcW w:w="38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38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1,747</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1,810</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2,189</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4,983</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6,693</w:t>
            </w:r>
          </w:p>
        </w:tc>
      </w:tr>
      <w:tr>
        <w:trPr>
          <w:trHeight w:val="243"/>
        </w:trPr>
        <w:tc>
          <w:tcPr>
            <w:tcW w:w="3880" w:type="dxa"/>
            <w:vAlign w:val="bottom"/>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20" w:type="dxa"/>
            <w:vAlign w:val="bottom"/>
          </w:tcPr>
          <w:p>
            <w:pPr>
              <w:spacing w:after="0"/>
              <w:rPr>
                <w:sz w:val="21"/>
                <w:szCs w:val="21"/>
                <w:color w:val="auto"/>
              </w:rPr>
            </w:pPr>
          </w:p>
        </w:tc>
        <w:tc>
          <w:tcPr>
            <w:tcW w:w="140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120" w:type="dxa"/>
            <w:vAlign w:val="bottom"/>
          </w:tcPr>
          <w:p>
            <w:pPr>
              <w:jc w:val="right"/>
              <w:ind w:right="111"/>
              <w:spacing w:after="0"/>
              <w:rPr>
                <w:sz w:val="20"/>
                <w:szCs w:val="20"/>
                <w:color w:val="auto"/>
              </w:rPr>
            </w:pPr>
            <w:r>
              <w:rPr>
                <w:rFonts w:ascii="Arial" w:cs="Arial" w:eastAsia="Arial" w:hAnsi="Arial"/>
                <w:sz w:val="18"/>
                <w:szCs w:val="18"/>
                <w:color w:val="auto"/>
              </w:rPr>
              <w:t>3,000</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40" w:type="dxa"/>
            <w:vAlign w:val="bottom"/>
          </w:tcPr>
          <w:p>
            <w:pPr>
              <w:jc w:val="right"/>
              <w:ind w:right="92"/>
              <w:spacing w:after="0"/>
              <w:rPr>
                <w:sz w:val="20"/>
                <w:szCs w:val="20"/>
                <w:color w:val="auto"/>
              </w:rPr>
            </w:pPr>
            <w:r>
              <w:rPr>
                <w:rFonts w:ascii="Arial" w:cs="Arial" w:eastAsia="Arial" w:hAnsi="Arial"/>
                <w:sz w:val="18"/>
                <w:szCs w:val="18"/>
                <w:color w:val="auto"/>
              </w:rPr>
              <w:t>3,000</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ind w:right="91"/>
              <w:spacing w:after="0"/>
              <w:rPr>
                <w:sz w:val="20"/>
                <w:szCs w:val="20"/>
                <w:color w:val="auto"/>
              </w:rPr>
            </w:pPr>
            <w:r>
              <w:rPr>
                <w:rFonts w:ascii="Arial" w:cs="Arial" w:eastAsia="Arial" w:hAnsi="Arial"/>
                <w:sz w:val="18"/>
                <w:szCs w:val="18"/>
                <w:color w:val="auto"/>
              </w:rPr>
              <w:t>—</w:t>
            </w:r>
          </w:p>
        </w:tc>
      </w:tr>
      <w:tr>
        <w:trPr>
          <w:trHeight w:val="27"/>
        </w:trPr>
        <w:tc>
          <w:tcPr>
            <w:tcW w:w="38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3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1,747</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4,810</w:t>
            </w:r>
          </w:p>
        </w:tc>
        <w:tc>
          <w:tcPr>
            <w:tcW w:w="2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2,189</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7,983</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6,693</w:t>
            </w:r>
          </w:p>
        </w:tc>
      </w:tr>
      <w:tr>
        <w:trPr>
          <w:trHeight w:val="237"/>
        </w:trPr>
        <w:tc>
          <w:tcPr>
            <w:tcW w:w="3880" w:type="dxa"/>
            <w:vAlign w:val="bottom"/>
          </w:tcPr>
          <w:p>
            <w:pPr>
              <w:ind w:left="40"/>
              <w:spacing w:after="0"/>
              <w:rPr>
                <w:sz w:val="20"/>
                <w:szCs w:val="20"/>
                <w:color w:val="auto"/>
              </w:rPr>
            </w:pPr>
            <w:r>
              <w:rPr>
                <w:rFonts w:ascii="Arial" w:cs="Arial" w:eastAsia="Arial" w:hAnsi="Arial"/>
                <w:sz w:val="18"/>
                <w:szCs w:val="18"/>
                <w:color w:val="auto"/>
              </w:rPr>
              <w:t>Non-GAAP gross profit</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379,516</w:t>
            </w:r>
          </w:p>
        </w:tc>
        <w:tc>
          <w:tcPr>
            <w:tcW w:w="220" w:type="dxa"/>
            <w:vAlign w:val="bottom"/>
          </w:tcPr>
          <w:p>
            <w:pPr>
              <w:spacing w:after="0"/>
              <w:rPr>
                <w:sz w:val="20"/>
                <w:szCs w:val="20"/>
                <w:color w:val="auto"/>
              </w:rPr>
            </w:pPr>
          </w:p>
        </w:tc>
        <w:tc>
          <w:tcPr>
            <w:tcW w:w="1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369,988</w:t>
            </w:r>
          </w:p>
        </w:tc>
        <w:tc>
          <w:tcPr>
            <w:tcW w:w="2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359,083</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1,096,441</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964,206</w:t>
            </w:r>
          </w:p>
        </w:tc>
      </w:tr>
      <w:tr>
        <w:trPr>
          <w:trHeight w:val="67"/>
        </w:trPr>
        <w:tc>
          <w:tcPr>
            <w:tcW w:w="388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2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r>
      <w:tr>
        <w:trPr>
          <w:trHeight w:val="251"/>
        </w:trPr>
        <w:tc>
          <w:tcPr>
            <w:tcW w:w="388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1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2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r>
      <w:tr>
        <w:trPr>
          <w:trHeight w:val="243"/>
        </w:trPr>
        <w:tc>
          <w:tcPr>
            <w:tcW w:w="3880" w:type="dxa"/>
            <w:vAlign w:val="bottom"/>
          </w:tcPr>
          <w:p>
            <w:pPr>
              <w:ind w:left="40"/>
              <w:spacing w:after="0"/>
              <w:rPr>
                <w:sz w:val="20"/>
                <w:szCs w:val="20"/>
                <w:color w:val="auto"/>
              </w:rPr>
            </w:pPr>
            <w:r>
              <w:rPr>
                <w:rFonts w:ascii="Arial" w:cs="Arial" w:eastAsia="Arial" w:hAnsi="Arial"/>
                <w:sz w:val="18"/>
                <w:szCs w:val="18"/>
                <w:color w:val="auto"/>
              </w:rPr>
              <w:t>GAAP gross margin</w:t>
            </w: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61.3%</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60.4%</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57.2%</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60.7%</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55.2%</w:t>
            </w:r>
          </w:p>
        </w:tc>
      </w:tr>
      <w:tr>
        <w:trPr>
          <w:trHeight w:val="67"/>
        </w:trPr>
        <w:tc>
          <w:tcPr>
            <w:tcW w:w="388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2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r>
      <w:tr>
        <w:trPr>
          <w:trHeight w:val="256"/>
        </w:trPr>
        <w:tc>
          <w:tcPr>
            <w:tcW w:w="388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Non-GAAP gross margin</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61.6%</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61.2%</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57.6%</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61.1%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55.6%</w:t>
            </w:r>
          </w:p>
        </w:tc>
      </w:tr>
      <w:tr>
        <w:trPr>
          <w:trHeight w:val="20"/>
        </w:trPr>
        <w:tc>
          <w:tcPr>
            <w:tcW w:w="388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1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2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80" w:type="dxa"/>
            <w:vAlign w:val="bottom"/>
            <w:tcBorders>
              <w:top w:val="single" w:sz="8" w:color="auto"/>
              <w:bottom w:val="single" w:sz="8" w:color="auto"/>
            </w:tcBorders>
          </w:tcPr>
          <w:p>
            <w:pPr>
              <w:spacing w:after="0" w:line="20" w:lineRule="exact"/>
              <w:rPr>
                <w:sz w:val="1"/>
                <w:szCs w:val="1"/>
                <w:color w:val="auto"/>
              </w:rPr>
            </w:pPr>
          </w:p>
        </w:tc>
      </w:tr>
      <w:tr>
        <w:trPr>
          <w:trHeight w:val="305"/>
        </w:trPr>
        <w:tc>
          <w:tcPr>
            <w:tcW w:w="3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324"/>
        </w:trPr>
        <w:tc>
          <w:tcPr>
            <w:tcW w:w="38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70"/>
        </w:trPr>
        <w:tc>
          <w:tcPr>
            <w:tcW w:w="38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1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24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r>
      <w:tr>
        <w:trPr>
          <w:trHeight w:val="250"/>
        </w:trPr>
        <w:tc>
          <w:tcPr>
            <w:tcW w:w="3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GAAP operating expenses</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227,873</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CCEEFF"/>
            </w:tcBorders>
            <w:shd w:val="clear" w:color="auto" w:fill="CCEEFF"/>
          </w:tcPr>
          <w:p>
            <w:pPr>
              <w:jc w:val="right"/>
              <w:ind w:right="111"/>
              <w:spacing w:after="0"/>
              <w:rPr>
                <w:sz w:val="20"/>
                <w:szCs w:val="20"/>
                <w:color w:val="auto"/>
              </w:rPr>
            </w:pPr>
            <w:r>
              <w:rPr>
                <w:rFonts w:ascii="Arial" w:cs="Arial" w:eastAsia="Arial" w:hAnsi="Arial"/>
                <w:sz w:val="18"/>
                <w:szCs w:val="18"/>
                <w:color w:val="auto"/>
              </w:rPr>
              <w:t>240,815</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263,668</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bottom w:val="single" w:sz="8" w:color="CCEEFF"/>
            </w:tcBorders>
            <w:shd w:val="clear" w:color="auto" w:fill="CCEEFF"/>
          </w:tcPr>
          <w:p>
            <w:pPr>
              <w:jc w:val="right"/>
              <w:ind w:right="92"/>
              <w:spacing w:after="0"/>
              <w:rPr>
                <w:sz w:val="20"/>
                <w:szCs w:val="20"/>
                <w:color w:val="auto"/>
              </w:rPr>
            </w:pPr>
            <w:r>
              <w:rPr>
                <w:rFonts w:ascii="Arial" w:cs="Arial" w:eastAsia="Arial" w:hAnsi="Arial"/>
                <w:sz w:val="18"/>
                <w:szCs w:val="18"/>
                <w:color w:val="auto"/>
              </w:rPr>
              <w:t>712,774</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CCEEFF"/>
            </w:tcBorders>
            <w:shd w:val="clear" w:color="auto" w:fill="CCEEFF"/>
          </w:tcPr>
          <w:p>
            <w:pPr>
              <w:jc w:val="right"/>
              <w:ind w:right="91"/>
              <w:spacing w:after="0"/>
              <w:rPr>
                <w:sz w:val="20"/>
                <w:szCs w:val="20"/>
                <w:color w:val="auto"/>
              </w:rPr>
            </w:pPr>
            <w:r>
              <w:rPr>
                <w:rFonts w:ascii="Arial" w:cs="Arial" w:eastAsia="Arial" w:hAnsi="Arial"/>
                <w:sz w:val="18"/>
                <w:szCs w:val="18"/>
                <w:color w:val="auto"/>
              </w:rPr>
              <w:t>828,145</w:t>
            </w:r>
          </w:p>
        </w:tc>
      </w:tr>
      <w:tr>
        <w:trPr>
          <w:trHeight w:val="243"/>
        </w:trPr>
        <w:tc>
          <w:tcPr>
            <w:tcW w:w="388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38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(18,892)</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(19,557)</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(23,041)</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(58,762)</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(73,044)</w:t>
            </w:r>
          </w:p>
        </w:tc>
      </w:tr>
      <w:tr>
        <w:trPr>
          <w:trHeight w:val="243"/>
        </w:trPr>
        <w:tc>
          <w:tcPr>
            <w:tcW w:w="3880" w:type="dxa"/>
            <w:vAlign w:val="bottom"/>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20" w:type="dxa"/>
            <w:vAlign w:val="bottom"/>
          </w:tcPr>
          <w:p>
            <w:pPr>
              <w:spacing w:after="0"/>
              <w:rPr>
                <w:sz w:val="21"/>
                <w:szCs w:val="21"/>
                <w:color w:val="auto"/>
              </w:rPr>
            </w:pP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(3,284)</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51"/>
              <w:spacing w:after="0"/>
              <w:rPr>
                <w:sz w:val="20"/>
                <w:szCs w:val="20"/>
                <w:color w:val="auto"/>
              </w:rPr>
            </w:pPr>
            <w:r>
              <w:rPr>
                <w:rFonts w:ascii="Arial" w:cs="Arial" w:eastAsia="Arial" w:hAnsi="Arial"/>
                <w:sz w:val="18"/>
                <w:szCs w:val="18"/>
                <w:color w:val="auto"/>
              </w:rPr>
              <w:t>(4,285)</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(1,164)</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(8,455)</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(6,326)</w:t>
            </w: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29"/>
        </w:trPr>
        <w:tc>
          <w:tcPr>
            <w:tcW w:w="3880" w:type="dxa"/>
            <w:vAlign w:val="bottom"/>
            <w:shd w:val="clear" w:color="auto" w:fill="CCEEFF"/>
          </w:tcPr>
          <w:p>
            <w:pPr>
              <w:ind w:left="460"/>
              <w:spacing w:after="0"/>
              <w:rPr>
                <w:sz w:val="20"/>
                <w:szCs w:val="20"/>
                <w:color w:val="auto"/>
              </w:rPr>
            </w:pPr>
            <w:r>
              <w:rPr>
                <w:rFonts w:ascii="Arial" w:cs="Arial" w:eastAsia="Arial" w:hAnsi="Arial"/>
                <w:sz w:val="18"/>
                <w:szCs w:val="18"/>
                <w:color w:val="auto"/>
              </w:rPr>
              <w:t>Amortization of and write-off acquired</w:t>
            </w:r>
          </w:p>
        </w:tc>
        <w:tc>
          <w:tcPr>
            <w:tcW w:w="1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2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r>
      <w:tr>
        <w:trPr>
          <w:trHeight w:val="237"/>
        </w:trPr>
        <w:tc>
          <w:tcPr>
            <w:tcW w:w="388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intangible assets</w:t>
            </w:r>
          </w:p>
        </w:tc>
        <w:tc>
          <w:tcPr>
            <w:tcW w:w="1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(1,076)</w:t>
            </w:r>
          </w:p>
        </w:tc>
        <w:tc>
          <w:tcPr>
            <w:tcW w:w="220" w:type="dxa"/>
            <w:vAlign w:val="bottom"/>
            <w:tcBorders>
              <w:bottom w:val="single" w:sz="8" w:color="CCEEFF"/>
            </w:tcBorders>
            <w:shd w:val="clear" w:color="auto" w:fill="CCEEFF"/>
          </w:tcPr>
          <w:p>
            <w:pPr>
              <w:spacing w:after="0"/>
              <w:rPr>
                <w:sz w:val="20"/>
                <w:szCs w:val="20"/>
                <w:color w:val="auto"/>
              </w:rPr>
            </w:pPr>
          </w:p>
        </w:tc>
        <w:tc>
          <w:tcPr>
            <w:tcW w:w="180" w:type="dxa"/>
            <w:vAlign w:val="bottom"/>
            <w:tcBorders>
              <w:bottom w:val="single" w:sz="8" w:color="CCEEFF"/>
            </w:tcBorders>
            <w:shd w:val="clear" w:color="auto" w:fill="CCEEFF"/>
          </w:tcPr>
          <w:p>
            <w:pPr>
              <w:spacing w:after="0"/>
              <w:rPr>
                <w:sz w:val="20"/>
                <w:szCs w:val="20"/>
                <w:color w:val="auto"/>
              </w:rPr>
            </w:pPr>
          </w:p>
        </w:tc>
        <w:tc>
          <w:tcPr>
            <w:tcW w:w="112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(1,065)</w:t>
            </w:r>
          </w:p>
        </w:tc>
        <w:tc>
          <w:tcPr>
            <w:tcW w:w="2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spacing w:after="0"/>
              <w:rPr>
                <w:sz w:val="20"/>
                <w:szCs w:val="20"/>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(2,299)</w:t>
            </w:r>
          </w:p>
        </w:tc>
        <w:tc>
          <w:tcPr>
            <w:tcW w:w="2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CCEEFF"/>
            </w:tcBorders>
            <w:shd w:val="clear" w:color="auto" w:fill="CCEEFF"/>
          </w:tcPr>
          <w:p>
            <w:pPr>
              <w:spacing w:after="0"/>
              <w:rPr>
                <w:sz w:val="20"/>
                <w:szCs w:val="20"/>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(3,212)</w:t>
            </w:r>
          </w:p>
        </w:tc>
        <w:tc>
          <w:tcPr>
            <w:tcW w:w="220" w:type="dxa"/>
            <w:vAlign w:val="bottom"/>
            <w:tcBorders>
              <w:bottom w:val="single" w:sz="8" w:color="CCEEFF"/>
            </w:tcBorders>
            <w:shd w:val="clear" w:color="auto" w:fill="CCEEFF"/>
          </w:tcPr>
          <w:p>
            <w:pPr>
              <w:spacing w:after="0"/>
              <w:rPr>
                <w:sz w:val="20"/>
                <w:szCs w:val="20"/>
                <w:color w:val="auto"/>
              </w:rPr>
            </w:pPr>
          </w:p>
        </w:tc>
        <w:tc>
          <w:tcPr>
            <w:tcW w:w="120" w:type="dxa"/>
            <w:vAlign w:val="bottom"/>
            <w:tcBorders>
              <w:bottom w:val="single" w:sz="8" w:color="CCEEFF"/>
            </w:tcBorders>
            <w:shd w:val="clear" w:color="auto" w:fill="CCEEFF"/>
          </w:tcPr>
          <w:p>
            <w:pPr>
              <w:spacing w:after="0"/>
              <w:rPr>
                <w:sz w:val="20"/>
                <w:szCs w:val="20"/>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(6,896)</w:t>
            </w:r>
          </w:p>
        </w:tc>
      </w:tr>
      <w:tr>
        <w:trPr>
          <w:trHeight w:val="243"/>
        </w:trPr>
        <w:tc>
          <w:tcPr>
            <w:tcW w:w="3880" w:type="dxa"/>
            <w:vAlign w:val="bottom"/>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20" w:type="dxa"/>
            <w:vAlign w:val="bottom"/>
          </w:tcPr>
          <w:p>
            <w:pPr>
              <w:spacing w:after="0"/>
              <w:rPr>
                <w:sz w:val="21"/>
                <w:szCs w:val="21"/>
                <w:color w:val="auto"/>
              </w:rPr>
            </w:pP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(120)</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ind w:right="51"/>
              <w:spacing w:after="0"/>
              <w:rPr>
                <w:sz w:val="20"/>
                <w:szCs w:val="20"/>
                <w:color w:val="auto"/>
              </w:rPr>
            </w:pPr>
            <w:r>
              <w:rPr>
                <w:rFonts w:ascii="Arial" w:cs="Arial" w:eastAsia="Arial" w:hAnsi="Arial"/>
                <w:sz w:val="18"/>
                <w:szCs w:val="18"/>
                <w:color w:val="auto"/>
              </w:rPr>
              <w:t>(1,687)</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380" w:type="dxa"/>
            <w:vAlign w:val="bottom"/>
            <w:gridSpan w:val="2"/>
          </w:tcPr>
          <w:p>
            <w:pPr>
              <w:jc w:val="right"/>
              <w:ind w:right="4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21"/>
                <w:szCs w:val="21"/>
                <w:color w:val="auto"/>
              </w:rPr>
            </w:pPr>
          </w:p>
        </w:tc>
        <w:tc>
          <w:tcPr>
            <w:tcW w:w="1240" w:type="dxa"/>
            <w:vAlign w:val="bottom"/>
          </w:tcPr>
          <w:p>
            <w:pPr>
              <w:jc w:val="right"/>
              <w:ind w:right="32"/>
              <w:spacing w:after="0"/>
              <w:rPr>
                <w:sz w:val="20"/>
                <w:szCs w:val="20"/>
                <w:color w:val="auto"/>
              </w:rPr>
            </w:pPr>
            <w:r>
              <w:rPr>
                <w:rFonts w:ascii="Arial" w:cs="Arial" w:eastAsia="Arial" w:hAnsi="Arial"/>
                <w:sz w:val="18"/>
                <w:szCs w:val="18"/>
                <w:color w:val="auto"/>
              </w:rPr>
              <w:t>(4,110)</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ind w:right="31"/>
              <w:spacing w:after="0"/>
              <w:rPr>
                <w:sz w:val="20"/>
                <w:szCs w:val="20"/>
                <w:color w:val="auto"/>
              </w:rPr>
            </w:pPr>
            <w:r>
              <w:rPr>
                <w:rFonts w:ascii="Arial" w:cs="Arial" w:eastAsia="Arial" w:hAnsi="Arial"/>
                <w:sz w:val="18"/>
                <w:szCs w:val="18"/>
                <w:color w:val="auto"/>
              </w:rPr>
              <w:t>(1,229)</w:t>
            </w:r>
          </w:p>
        </w:tc>
      </w:tr>
      <w:tr>
        <w:trPr>
          <w:trHeight w:val="27"/>
        </w:trPr>
        <w:tc>
          <w:tcPr>
            <w:tcW w:w="388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r>
      <w:tr>
        <w:trPr>
          <w:trHeight w:val="264"/>
        </w:trPr>
        <w:tc>
          <w:tcPr>
            <w:tcW w:w="38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special items</w:t>
            </w: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(23,372)</w:t>
            </w:r>
          </w:p>
        </w:tc>
        <w:tc>
          <w:tcPr>
            <w:tcW w:w="220" w:type="dxa"/>
            <w:vAlign w:val="bottom"/>
            <w:tcBorders>
              <w:bottom w:val="single" w:sz="8" w:color="CCEEFF"/>
            </w:tcBorders>
            <w:shd w:val="clear" w:color="auto" w:fill="CCEEFF"/>
          </w:tcPr>
          <w:p>
            <w:pPr>
              <w:spacing w:after="0"/>
              <w:rPr>
                <w:sz w:val="22"/>
                <w:szCs w:val="22"/>
                <w:color w:val="auto"/>
              </w:rPr>
            </w:pPr>
          </w:p>
        </w:tc>
        <w:tc>
          <w:tcPr>
            <w:tcW w:w="180" w:type="dxa"/>
            <w:vAlign w:val="bottom"/>
            <w:tcBorders>
              <w:bottom w:val="single" w:sz="8" w:color="CCEEFF"/>
            </w:tcBorders>
            <w:shd w:val="clear" w:color="auto" w:fill="CCEEFF"/>
          </w:tcPr>
          <w:p>
            <w:pPr>
              <w:spacing w:after="0"/>
              <w:rPr>
                <w:sz w:val="22"/>
                <w:szCs w:val="22"/>
                <w:color w:val="auto"/>
              </w:rPr>
            </w:pPr>
          </w:p>
        </w:tc>
        <w:tc>
          <w:tcPr>
            <w:tcW w:w="1120" w:type="dxa"/>
            <w:vAlign w:val="bottom"/>
            <w:tcBorders>
              <w:bottom w:val="single" w:sz="8" w:color="CCEEFF"/>
            </w:tcBorders>
            <w:shd w:val="clear" w:color="auto" w:fill="CCEEFF"/>
          </w:tcPr>
          <w:p>
            <w:pPr>
              <w:jc w:val="right"/>
              <w:ind w:right="51"/>
              <w:spacing w:after="0"/>
              <w:rPr>
                <w:sz w:val="20"/>
                <w:szCs w:val="20"/>
                <w:color w:val="auto"/>
              </w:rPr>
            </w:pPr>
            <w:r>
              <w:rPr>
                <w:rFonts w:ascii="Arial" w:cs="Arial" w:eastAsia="Arial" w:hAnsi="Arial"/>
                <w:sz w:val="18"/>
                <w:szCs w:val="18"/>
                <w:color w:val="auto"/>
              </w:rPr>
              <w:t>(26,594)</w:t>
            </w:r>
          </w:p>
        </w:tc>
        <w:tc>
          <w:tcPr>
            <w:tcW w:w="200" w:type="dxa"/>
            <w:vAlign w:val="bottom"/>
            <w:tcBorders>
              <w:bottom w:val="single" w:sz="8" w:color="CCEEFF"/>
            </w:tcBorders>
            <w:shd w:val="clear" w:color="auto" w:fill="CCEEFF"/>
          </w:tcPr>
          <w:p>
            <w:pPr>
              <w:spacing w:after="0"/>
              <w:rPr>
                <w:sz w:val="22"/>
                <w:szCs w:val="22"/>
                <w:color w:val="auto"/>
              </w:rPr>
            </w:pPr>
          </w:p>
        </w:tc>
        <w:tc>
          <w:tcPr>
            <w:tcW w:w="14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(26,504)</w:t>
            </w:r>
          </w:p>
        </w:tc>
        <w:tc>
          <w:tcPr>
            <w:tcW w:w="22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240" w:type="dxa"/>
            <w:vAlign w:val="bottom"/>
            <w:tcBorders>
              <w:bottom w:val="single" w:sz="8" w:color="CCEEFF"/>
            </w:tcBorders>
            <w:shd w:val="clear" w:color="auto" w:fill="CCEEFF"/>
          </w:tcPr>
          <w:p>
            <w:pPr>
              <w:jc w:val="right"/>
              <w:ind w:right="32"/>
              <w:spacing w:after="0"/>
              <w:rPr>
                <w:sz w:val="20"/>
                <w:szCs w:val="20"/>
                <w:color w:val="auto"/>
              </w:rPr>
            </w:pPr>
            <w:r>
              <w:rPr>
                <w:rFonts w:ascii="Arial" w:cs="Arial" w:eastAsia="Arial" w:hAnsi="Arial"/>
                <w:sz w:val="18"/>
                <w:szCs w:val="18"/>
                <w:color w:val="auto"/>
              </w:rPr>
              <w:t>(74,539)</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1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(87,495)</w:t>
            </w:r>
          </w:p>
        </w:tc>
      </w:tr>
      <w:tr>
        <w:trPr>
          <w:trHeight w:val="237"/>
        </w:trPr>
        <w:tc>
          <w:tcPr>
            <w:tcW w:w="3880" w:type="dxa"/>
            <w:vAlign w:val="bottom"/>
          </w:tcPr>
          <w:p>
            <w:pPr>
              <w:ind w:left="40"/>
              <w:spacing w:after="0"/>
              <w:rPr>
                <w:sz w:val="20"/>
                <w:szCs w:val="20"/>
                <w:color w:val="auto"/>
              </w:rPr>
            </w:pPr>
            <w:r>
              <w:rPr>
                <w:rFonts w:ascii="Arial" w:cs="Arial" w:eastAsia="Arial" w:hAnsi="Arial"/>
                <w:sz w:val="18"/>
                <w:szCs w:val="18"/>
                <w:color w:val="auto"/>
              </w:rPr>
              <w:t>Total non-GAAP operating expenses</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204,501</w:t>
            </w:r>
          </w:p>
        </w:tc>
        <w:tc>
          <w:tcPr>
            <w:tcW w:w="220" w:type="dxa"/>
            <w:vAlign w:val="bottom"/>
          </w:tcPr>
          <w:p>
            <w:pPr>
              <w:spacing w:after="0"/>
              <w:rPr>
                <w:sz w:val="20"/>
                <w:szCs w:val="20"/>
                <w:color w:val="auto"/>
              </w:rPr>
            </w:pPr>
          </w:p>
        </w:tc>
        <w:tc>
          <w:tcPr>
            <w:tcW w:w="180" w:type="dxa"/>
            <w:vAlign w:val="bottom"/>
            <w:tcBorders>
              <w:top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top w:val="single" w:sz="8" w:color="auto"/>
            </w:tcBorders>
          </w:tcPr>
          <w:p>
            <w:pPr>
              <w:jc w:val="right"/>
              <w:ind w:right="111"/>
              <w:spacing w:after="0"/>
              <w:rPr>
                <w:sz w:val="20"/>
                <w:szCs w:val="20"/>
                <w:color w:val="auto"/>
              </w:rPr>
            </w:pPr>
            <w:r>
              <w:rPr>
                <w:rFonts w:ascii="Arial" w:cs="Arial" w:eastAsia="Arial" w:hAnsi="Arial"/>
                <w:sz w:val="18"/>
                <w:szCs w:val="18"/>
                <w:color w:val="auto"/>
              </w:rPr>
              <w:t>214,221</w:t>
            </w:r>
          </w:p>
        </w:tc>
        <w:tc>
          <w:tcPr>
            <w:tcW w:w="200" w:type="dxa"/>
            <w:vAlign w:val="bottom"/>
          </w:tcPr>
          <w:p>
            <w:pPr>
              <w:spacing w:after="0"/>
              <w:rPr>
                <w:sz w:val="20"/>
                <w:szCs w:val="20"/>
                <w:color w:val="auto"/>
              </w:rPr>
            </w:pPr>
          </w:p>
        </w:tc>
        <w:tc>
          <w:tcPr>
            <w:tcW w:w="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237,164</w:t>
            </w:r>
          </w:p>
        </w:tc>
        <w:tc>
          <w:tcPr>
            <w:tcW w:w="22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240" w:type="dxa"/>
            <w:vAlign w:val="bottom"/>
            <w:tcBorders>
              <w:top w:val="single" w:sz="8" w:color="auto"/>
            </w:tcBorders>
          </w:tcPr>
          <w:p>
            <w:pPr>
              <w:jc w:val="right"/>
              <w:ind w:right="92"/>
              <w:spacing w:after="0"/>
              <w:rPr>
                <w:sz w:val="20"/>
                <w:szCs w:val="20"/>
                <w:color w:val="auto"/>
              </w:rPr>
            </w:pPr>
            <w:r>
              <w:rPr>
                <w:rFonts w:ascii="Arial" w:cs="Arial" w:eastAsia="Arial" w:hAnsi="Arial"/>
                <w:sz w:val="18"/>
                <w:szCs w:val="18"/>
                <w:color w:val="auto"/>
              </w:rPr>
              <w:t>638,235</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80" w:type="dxa"/>
            <w:vAlign w:val="bottom"/>
            <w:tcBorders>
              <w:top w:val="single" w:sz="8" w:color="auto"/>
            </w:tcBorders>
          </w:tcPr>
          <w:p>
            <w:pPr>
              <w:jc w:val="right"/>
              <w:ind w:right="91"/>
              <w:spacing w:after="0"/>
              <w:rPr>
                <w:sz w:val="20"/>
                <w:szCs w:val="20"/>
                <w:color w:val="auto"/>
              </w:rPr>
            </w:pPr>
            <w:r>
              <w:rPr>
                <w:rFonts w:ascii="Arial" w:cs="Arial" w:eastAsia="Arial" w:hAnsi="Arial"/>
                <w:sz w:val="18"/>
                <w:szCs w:val="18"/>
                <w:color w:val="auto"/>
              </w:rPr>
              <w:t>740,650</w:t>
            </w:r>
          </w:p>
        </w:tc>
      </w:tr>
      <w:tr>
        <w:trPr>
          <w:trHeight w:val="67"/>
        </w:trPr>
        <w:tc>
          <w:tcPr>
            <w:tcW w:w="388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120" w:type="dxa"/>
            <w:vAlign w:val="bottom"/>
            <w:tcBorders>
              <w:bottom w:val="single" w:sz="8" w:color="auto"/>
            </w:tcBorders>
          </w:tcPr>
          <w:p>
            <w:pPr>
              <w:spacing w:after="0"/>
              <w:rPr>
                <w:sz w:val="5"/>
                <w:szCs w:val="5"/>
                <w:color w:val="auto"/>
              </w:rPr>
            </w:pPr>
          </w:p>
        </w:tc>
        <w:tc>
          <w:tcPr>
            <w:tcW w:w="200" w:type="dxa"/>
            <w:vAlign w:val="bottom"/>
            <w:tcBorders>
              <w:bottom w:val="single" w:sz="8" w:color="CCEEFF"/>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4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r>
      <w:tr>
        <w:trPr>
          <w:trHeight w:val="251"/>
        </w:trPr>
        <w:tc>
          <w:tcPr>
            <w:tcW w:w="388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80" w:type="dxa"/>
            <w:vAlign w:val="bottom"/>
            <w:shd w:val="clear" w:color="auto" w:fill="CCEEFF"/>
          </w:tcPr>
          <w:p>
            <w:pPr>
              <w:spacing w:after="0"/>
              <w:rPr>
                <w:sz w:val="21"/>
                <w:szCs w:val="21"/>
                <w:color w:val="auto"/>
              </w:rPr>
            </w:pPr>
          </w:p>
        </w:tc>
        <w:tc>
          <w:tcPr>
            <w:tcW w:w="1120" w:type="dxa"/>
            <w:vAlign w:val="bottom"/>
            <w:shd w:val="clear" w:color="auto" w:fill="CCEEFF"/>
          </w:tcPr>
          <w:p>
            <w:pPr>
              <w:spacing w:after="0"/>
              <w:rPr>
                <w:sz w:val="21"/>
                <w:szCs w:val="21"/>
                <w:color w:val="auto"/>
              </w:rPr>
            </w:pPr>
          </w:p>
        </w:tc>
        <w:tc>
          <w:tcPr>
            <w:tcW w:w="20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2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80" w:type="dxa"/>
            <w:vAlign w:val="bottom"/>
            <w:shd w:val="clear" w:color="auto" w:fill="CCEEFF"/>
          </w:tcPr>
          <w:p>
            <w:pPr>
              <w:spacing w:after="0"/>
              <w:rPr>
                <w:sz w:val="21"/>
                <w:szCs w:val="21"/>
                <w:color w:val="auto"/>
              </w:rPr>
            </w:pPr>
          </w:p>
        </w:tc>
      </w:tr>
      <w:tr>
        <w:trPr>
          <w:trHeight w:val="297"/>
        </w:trPr>
        <w:tc>
          <w:tcPr>
            <w:tcW w:w="38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r>
      <w:tr>
        <w:trPr>
          <w:trHeight w:val="297"/>
        </w:trPr>
        <w:tc>
          <w:tcPr>
            <w:tcW w:w="388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12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4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24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80" w:type="dxa"/>
            <w:vAlign w:val="bottom"/>
            <w:shd w:val="clear" w:color="auto" w:fill="CCEEFF"/>
          </w:tcPr>
          <w:p>
            <w:pPr>
              <w:spacing w:after="0"/>
              <w:rPr>
                <w:sz w:val="24"/>
                <w:szCs w:val="24"/>
                <w:color w:val="auto"/>
              </w:rPr>
            </w:pPr>
          </w:p>
        </w:tc>
      </w:tr>
      <w:tr>
        <w:trPr>
          <w:trHeight w:val="243"/>
        </w:trPr>
        <w:tc>
          <w:tcPr>
            <w:tcW w:w="3880" w:type="dxa"/>
            <w:vAlign w:val="bottom"/>
          </w:tcPr>
          <w:p>
            <w:pPr>
              <w:ind w:left="40"/>
              <w:spacing w:after="0"/>
              <w:rPr>
                <w:sz w:val="20"/>
                <w:szCs w:val="20"/>
                <w:color w:val="auto"/>
              </w:rPr>
            </w:pPr>
            <w:r>
              <w:rPr>
                <w:rFonts w:ascii="Arial" w:cs="Arial" w:eastAsia="Arial" w:hAnsi="Arial"/>
                <w:sz w:val="18"/>
                <w:szCs w:val="18"/>
                <w:color w:val="auto"/>
              </w:rPr>
              <w:t>GAAP operating margin</w:t>
            </w: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24.3%</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20.6%</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14.9%</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20.9%</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w:t>
            </w: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38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cost of goods sold </w:t>
            </w:r>
            <w:r>
              <w:rPr>
                <w:rFonts w:ascii="Arial" w:cs="Arial" w:eastAsia="Arial" w:hAnsi="Arial"/>
                <w:sz w:val="18"/>
                <w:szCs w:val="18"/>
                <w:i w:val="1"/>
                <w:iCs w:val="1"/>
                <w:color w:val="auto"/>
              </w:rPr>
              <w:t>(a)</w:t>
            </w:r>
          </w:p>
        </w:tc>
        <w:tc>
          <w:tcPr>
            <w:tcW w:w="12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gridSpan w:val="2"/>
            <w:shd w:val="clear" w:color="auto" w:fill="CCEEFF"/>
          </w:tcPr>
          <w:p>
            <w:pPr>
              <w:ind w:left="820"/>
              <w:spacing w:after="0"/>
              <w:rPr>
                <w:sz w:val="20"/>
                <w:szCs w:val="20"/>
                <w:color w:val="auto"/>
              </w:rPr>
            </w:pPr>
            <w:r>
              <w:rPr>
                <w:rFonts w:ascii="Arial" w:cs="Arial" w:eastAsia="Arial" w:hAnsi="Arial"/>
                <w:sz w:val="18"/>
                <w:szCs w:val="18"/>
                <w:color w:val="auto"/>
              </w:rPr>
              <w:t>—%</w:t>
            </w: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43"/>
        </w:trPr>
        <w:tc>
          <w:tcPr>
            <w:tcW w:w="388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3.3%</w:t>
            </w:r>
          </w:p>
        </w:tc>
        <w:tc>
          <w:tcPr>
            <w:tcW w:w="2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3.5%</w:t>
            </w:r>
          </w:p>
        </w:tc>
        <w:tc>
          <w:tcPr>
            <w:tcW w:w="2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4.0%</w:t>
            </w:r>
          </w:p>
        </w:tc>
        <w:tc>
          <w:tcPr>
            <w:tcW w:w="2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3.6%</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50"/>
        </w:trPr>
        <w:tc>
          <w:tcPr>
            <w:tcW w:w="38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2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0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0.2%</w:t>
            </w:r>
          </w:p>
        </w:tc>
        <w:tc>
          <w:tcPr>
            <w:tcW w:w="2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0.4%</w:t>
            </w:r>
          </w:p>
        </w:tc>
      </w:tr>
      <w:tr>
        <w:trPr>
          <w:trHeight w:val="229"/>
        </w:trPr>
        <w:tc>
          <w:tcPr>
            <w:tcW w:w="3880" w:type="dxa"/>
            <w:vAlign w:val="bottom"/>
          </w:tcPr>
          <w:p>
            <w:pPr>
              <w:ind w:left="460"/>
              <w:spacing w:after="0"/>
              <w:rPr>
                <w:sz w:val="20"/>
                <w:szCs w:val="20"/>
                <w:color w:val="auto"/>
              </w:rPr>
            </w:pPr>
            <w:r>
              <w:rPr>
                <w:rFonts w:ascii="Arial" w:cs="Arial" w:eastAsia="Arial" w:hAnsi="Arial"/>
                <w:sz w:val="18"/>
                <w:szCs w:val="18"/>
                <w:color w:val="auto"/>
              </w:rPr>
              <w:t>Amortization and write-off of acquired</w:t>
            </w:r>
          </w:p>
        </w:tc>
        <w:tc>
          <w:tcPr>
            <w:tcW w:w="1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180" w:type="dxa"/>
            <w:vAlign w:val="bottom"/>
          </w:tcPr>
          <w:p>
            <w:pPr>
              <w:spacing w:after="0"/>
              <w:rPr>
                <w:sz w:val="19"/>
                <w:szCs w:val="19"/>
                <w:color w:val="auto"/>
              </w:rPr>
            </w:pPr>
          </w:p>
        </w:tc>
      </w:tr>
      <w:tr>
        <w:trPr>
          <w:trHeight w:val="230"/>
        </w:trPr>
        <w:tc>
          <w:tcPr>
            <w:tcW w:w="3880" w:type="dxa"/>
            <w:vAlign w:val="bottom"/>
          </w:tcPr>
          <w:p>
            <w:pPr>
              <w:ind w:left="680"/>
              <w:spacing w:after="0"/>
              <w:rPr>
                <w:sz w:val="20"/>
                <w:szCs w:val="20"/>
                <w:color w:val="auto"/>
              </w:rPr>
            </w:pPr>
            <w:r>
              <w:rPr>
                <w:rFonts w:ascii="Arial" w:cs="Arial" w:eastAsia="Arial" w:hAnsi="Arial"/>
                <w:sz w:val="18"/>
                <w:szCs w:val="18"/>
                <w:color w:val="auto"/>
              </w:rPr>
              <w:t>intangible assets</w:t>
            </w:r>
          </w:p>
        </w:tc>
        <w:tc>
          <w:tcPr>
            <w:tcW w:w="1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0.4%</w:t>
            </w:r>
          </w:p>
        </w:tc>
        <w:tc>
          <w:tcPr>
            <w:tcW w:w="2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240" w:type="dxa"/>
            <w:vAlign w:val="bottom"/>
          </w:tcPr>
          <w:p>
            <w:pPr>
              <w:jc w:val="right"/>
              <w:spacing w:after="0"/>
              <w:rPr>
                <w:sz w:val="20"/>
                <w:szCs w:val="20"/>
                <w:color w:val="auto"/>
              </w:rPr>
            </w:pPr>
            <w:r>
              <w:rPr>
                <w:rFonts w:ascii="Arial" w:cs="Arial" w:eastAsia="Arial" w:hAnsi="Arial"/>
                <w:sz w:val="18"/>
                <w:szCs w:val="18"/>
                <w:color w:val="auto"/>
              </w:rPr>
              <w:t>0.2%</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0.3%</w:t>
            </w:r>
          </w:p>
        </w:tc>
      </w:tr>
      <w:tr>
        <w:trPr>
          <w:trHeight w:val="27"/>
        </w:trPr>
        <w:tc>
          <w:tcPr>
            <w:tcW w:w="38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2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2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80" w:type="dxa"/>
            <w:vAlign w:val="bottom"/>
          </w:tcPr>
          <w:p>
            <w:pPr>
              <w:spacing w:after="0"/>
              <w:rPr>
                <w:sz w:val="2"/>
                <w:szCs w:val="2"/>
                <w:color w:val="auto"/>
              </w:rPr>
            </w:pPr>
          </w:p>
        </w:tc>
      </w:tr>
      <w:tr>
        <w:trPr>
          <w:trHeight w:val="270"/>
        </w:trPr>
        <w:tc>
          <w:tcPr>
            <w:tcW w:w="388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tcBorders>
              <w:bottom w:val="single" w:sz="8" w:color="CCEEFF"/>
            </w:tcBorders>
            <w:shd w:val="clear" w:color="auto" w:fill="CCEEFF"/>
          </w:tcPr>
          <w:p>
            <w:pPr>
              <w:spacing w:after="0"/>
              <w:rPr>
                <w:sz w:val="23"/>
                <w:szCs w:val="23"/>
                <w:color w:val="auto"/>
              </w:rPr>
            </w:pPr>
          </w:p>
        </w:tc>
        <w:tc>
          <w:tcPr>
            <w:tcW w:w="180" w:type="dxa"/>
            <w:vAlign w:val="bottom"/>
            <w:tcBorders>
              <w:bottom w:val="single" w:sz="8" w:color="CCEEFF"/>
            </w:tcBorders>
            <w:shd w:val="clear" w:color="auto" w:fill="CCEEFF"/>
          </w:tcPr>
          <w:p>
            <w:pPr>
              <w:spacing w:after="0"/>
              <w:rPr>
                <w:sz w:val="23"/>
                <w:szCs w:val="23"/>
                <w:color w:val="auto"/>
              </w:rPr>
            </w:pPr>
          </w:p>
        </w:tc>
        <w:tc>
          <w:tcPr>
            <w:tcW w:w="1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2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380" w:type="dxa"/>
            <w:vAlign w:val="bottom"/>
            <w:tcBorders>
              <w:bottom w:val="single" w:sz="8" w:color="CCEEFF"/>
            </w:tcBorders>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60" w:type="dxa"/>
            <w:vAlign w:val="bottom"/>
            <w:tcBorders>
              <w:bottom w:val="single" w:sz="8" w:color="CCEEFF"/>
            </w:tcBorders>
            <w:shd w:val="clear" w:color="auto" w:fill="CCEEFF"/>
          </w:tcPr>
          <w:p>
            <w:pPr>
              <w:spacing w:after="0"/>
              <w:rPr>
                <w:sz w:val="23"/>
                <w:szCs w:val="23"/>
                <w:color w:val="auto"/>
              </w:rPr>
            </w:pPr>
          </w:p>
        </w:tc>
        <w:tc>
          <w:tcPr>
            <w:tcW w:w="12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220" w:type="dxa"/>
            <w:vAlign w:val="bottom"/>
            <w:tcBorders>
              <w:bottom w:val="single" w:sz="8" w:color="CCEEFF"/>
            </w:tcBorders>
            <w:shd w:val="clear" w:color="auto" w:fill="CCEEFF"/>
          </w:tcPr>
          <w:p>
            <w:pPr>
              <w:spacing w:after="0"/>
              <w:rPr>
                <w:sz w:val="23"/>
                <w:szCs w:val="23"/>
                <w:color w:val="auto"/>
              </w:rPr>
            </w:pPr>
          </w:p>
        </w:tc>
        <w:tc>
          <w:tcPr>
            <w:tcW w:w="120" w:type="dxa"/>
            <w:vAlign w:val="bottom"/>
            <w:tcBorders>
              <w:bottom w:val="single" w:sz="8" w:color="CCEEFF"/>
            </w:tcBorders>
            <w:shd w:val="clear" w:color="auto" w:fill="CCEEFF"/>
          </w:tcPr>
          <w:p>
            <w:pPr>
              <w:spacing w:after="0"/>
              <w:rPr>
                <w:sz w:val="23"/>
                <w:szCs w:val="23"/>
                <w:color w:val="auto"/>
              </w:rPr>
            </w:pPr>
          </w:p>
        </w:tc>
        <w:tc>
          <w:tcPr>
            <w:tcW w:w="11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0.1%</w:t>
            </w:r>
          </w:p>
        </w:tc>
      </w:tr>
      <w:tr>
        <w:trPr>
          <w:trHeight w:val="257"/>
        </w:trPr>
        <w:tc>
          <w:tcPr>
            <w:tcW w:w="3880" w:type="dxa"/>
            <w:vAlign w:val="bottom"/>
          </w:tcPr>
          <w:p>
            <w:pPr>
              <w:ind w:left="40"/>
              <w:spacing w:after="0"/>
              <w:rPr>
                <w:sz w:val="20"/>
                <w:szCs w:val="20"/>
                <w:color w:val="auto"/>
              </w:rPr>
            </w:pPr>
            <w:r>
              <w:rPr>
                <w:rFonts w:ascii="Arial" w:cs="Arial" w:eastAsia="Arial" w:hAnsi="Arial"/>
                <w:sz w:val="18"/>
                <w:szCs w:val="18"/>
                <w:color w:val="auto"/>
              </w:rPr>
              <w:t>Non-GAAP operating margin</w:t>
            </w:r>
          </w:p>
        </w:tc>
        <w:tc>
          <w:tcPr>
            <w:tcW w:w="120" w:type="dxa"/>
            <w:vAlign w:val="bottom"/>
            <w:tcBorders>
              <w:top w:val="single" w:sz="8" w:color="auto"/>
              <w:bottom w:val="single" w:sz="8" w:color="auto"/>
            </w:tcBorders>
          </w:tcPr>
          <w:p>
            <w:pPr>
              <w:spacing w:after="0"/>
              <w:rPr>
                <w:sz w:val="22"/>
                <w:szCs w:val="22"/>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28.4%</w:t>
            </w:r>
          </w:p>
        </w:tc>
        <w:tc>
          <w:tcPr>
            <w:tcW w:w="220" w:type="dxa"/>
            <w:vAlign w:val="bottom"/>
          </w:tcPr>
          <w:p>
            <w:pPr>
              <w:spacing w:after="0"/>
              <w:rPr>
                <w:sz w:val="22"/>
                <w:szCs w:val="22"/>
                <w:color w:val="auto"/>
              </w:rPr>
            </w:pPr>
          </w:p>
        </w:tc>
        <w:tc>
          <w:tcPr>
            <w:tcW w:w="180" w:type="dxa"/>
            <w:vAlign w:val="bottom"/>
            <w:tcBorders>
              <w:top w:val="single" w:sz="8" w:color="auto"/>
              <w:bottom w:val="single" w:sz="8" w:color="auto"/>
            </w:tcBorders>
          </w:tcPr>
          <w:p>
            <w:pPr>
              <w:spacing w:after="0"/>
              <w:rPr>
                <w:sz w:val="22"/>
                <w:szCs w:val="22"/>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25.8%</w:t>
            </w:r>
          </w:p>
        </w:tc>
        <w:tc>
          <w:tcPr>
            <w:tcW w:w="200" w:type="dxa"/>
            <w:vAlign w:val="bottom"/>
          </w:tcPr>
          <w:p>
            <w:pPr>
              <w:spacing w:after="0"/>
              <w:rPr>
                <w:sz w:val="22"/>
                <w:szCs w:val="22"/>
                <w:color w:val="auto"/>
              </w:rPr>
            </w:pPr>
          </w:p>
        </w:tc>
        <w:tc>
          <w:tcPr>
            <w:tcW w:w="140" w:type="dxa"/>
            <w:vAlign w:val="bottom"/>
            <w:tcBorders>
              <w:top w:val="single" w:sz="8" w:color="auto"/>
              <w:bottom w:val="single" w:sz="8" w:color="auto"/>
            </w:tcBorders>
          </w:tcPr>
          <w:p>
            <w:pPr>
              <w:spacing w:after="0"/>
              <w:rPr>
                <w:sz w:val="22"/>
                <w:szCs w:val="22"/>
                <w:color w:val="auto"/>
              </w:rPr>
            </w:pP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19.5%</w:t>
            </w:r>
          </w:p>
        </w:tc>
        <w:tc>
          <w:tcPr>
            <w:tcW w:w="220" w:type="dxa"/>
            <w:vAlign w:val="bottom"/>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12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25.5%</w:t>
            </w:r>
          </w:p>
        </w:tc>
        <w:tc>
          <w:tcPr>
            <w:tcW w:w="220" w:type="dxa"/>
            <w:vAlign w:val="bottom"/>
          </w:tcPr>
          <w:p>
            <w:pPr>
              <w:spacing w:after="0"/>
              <w:rPr>
                <w:sz w:val="22"/>
                <w:szCs w:val="22"/>
                <w:color w:val="auto"/>
              </w:rPr>
            </w:pPr>
          </w:p>
        </w:tc>
        <w:tc>
          <w:tcPr>
            <w:tcW w:w="120" w:type="dxa"/>
            <w:vAlign w:val="bottom"/>
            <w:tcBorders>
              <w:top w:val="single" w:sz="8" w:color="auto"/>
              <w:bottom w:val="single" w:sz="8" w:color="auto"/>
            </w:tcBorders>
          </w:tcPr>
          <w:p>
            <w:pPr>
              <w:spacing w:after="0"/>
              <w:rPr>
                <w:sz w:val="22"/>
                <w:szCs w:val="22"/>
                <w:color w:val="auto"/>
              </w:rPr>
            </w:pP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12.9%</w:t>
            </w:r>
          </w:p>
        </w:tc>
      </w:tr>
      <w:tr>
        <w:trPr>
          <w:trHeight w:val="20"/>
        </w:trPr>
        <w:tc>
          <w:tcPr>
            <w:tcW w:w="38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2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340"/>
          </w:cols>
          <w:pgMar w:left="280" w:top="810" w:right="279" w:bottom="1440" w:gutter="0" w:footer="0" w:header="0"/>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10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gridSpan w:val="4"/>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32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20" w:type="dxa"/>
            <w:vAlign w:val="bottom"/>
            <w:tcBorders>
              <w:bottom w:val="single" w:sz="8" w:color="auto"/>
            </w:tcBorders>
          </w:tcPr>
          <w:p>
            <w:pPr>
              <w:spacing w:after="0"/>
              <w:rPr>
                <w:sz w:val="16"/>
                <w:szCs w:val="16"/>
                <w:color w:val="auto"/>
              </w:rPr>
            </w:pPr>
          </w:p>
        </w:tc>
        <w:tc>
          <w:tcPr>
            <w:tcW w:w="194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Nine Months Ended</w:t>
            </w:r>
          </w:p>
        </w:tc>
        <w:tc>
          <w:tcPr>
            <w:tcW w:w="7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264"/>
        </w:trPr>
        <w:tc>
          <w:tcPr>
            <w:tcW w:w="410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160" w:type="dxa"/>
            <w:vAlign w:val="bottom"/>
            <w:tcBorders>
              <w:bottom w:val="single" w:sz="8" w:color="auto"/>
            </w:tcBorders>
          </w:tcPr>
          <w:p>
            <w:pPr>
              <w:jc w:val="right"/>
              <w:ind w:right="31"/>
              <w:spacing w:after="0"/>
              <w:rPr>
                <w:sz w:val="20"/>
                <w:szCs w:val="20"/>
                <w:color w:val="auto"/>
              </w:rPr>
            </w:pPr>
            <w:r>
              <w:rPr>
                <w:rFonts w:ascii="Arial" w:cs="Arial" w:eastAsia="Arial" w:hAnsi="Arial"/>
                <w:sz w:val="14"/>
                <w:szCs w:val="14"/>
                <w:b w:val="1"/>
                <w:bCs w:val="1"/>
                <w:color w:val="auto"/>
                <w:w w:val="90"/>
              </w:rPr>
              <w:t>October 28, 2017</w:t>
            </w:r>
          </w:p>
        </w:tc>
        <w:tc>
          <w:tcPr>
            <w:tcW w:w="240" w:type="dxa"/>
            <w:vAlign w:val="bottom"/>
            <w:tcBorders>
              <w:bottom w:val="single" w:sz="8" w:color="CCEEFF"/>
            </w:tcBorders>
          </w:tcPr>
          <w:p>
            <w:pPr>
              <w:spacing w:after="0"/>
              <w:rPr>
                <w:sz w:val="22"/>
                <w:szCs w:val="22"/>
                <w:color w:val="auto"/>
              </w:rPr>
            </w:pPr>
          </w:p>
        </w:tc>
        <w:tc>
          <w:tcPr>
            <w:tcW w:w="160" w:type="dxa"/>
            <w:vAlign w:val="bottom"/>
            <w:tcBorders>
              <w:bottom w:val="single" w:sz="8" w:color="auto"/>
            </w:tcBorders>
          </w:tcPr>
          <w:p>
            <w:pPr>
              <w:spacing w:after="0"/>
              <w:rPr>
                <w:sz w:val="22"/>
                <w:szCs w:val="22"/>
                <w:color w:val="auto"/>
              </w:rPr>
            </w:pPr>
          </w:p>
        </w:tc>
        <w:tc>
          <w:tcPr>
            <w:tcW w:w="1080" w:type="dxa"/>
            <w:vAlign w:val="bottom"/>
            <w:tcBorders>
              <w:bottom w:val="single" w:sz="8" w:color="auto"/>
            </w:tcBorders>
          </w:tcPr>
          <w:p>
            <w:pPr>
              <w:jc w:val="right"/>
              <w:ind w:right="131"/>
              <w:spacing w:after="0"/>
              <w:rPr>
                <w:sz w:val="20"/>
                <w:szCs w:val="20"/>
                <w:color w:val="auto"/>
              </w:rPr>
            </w:pPr>
            <w:r>
              <w:rPr>
                <w:rFonts w:ascii="Arial" w:cs="Arial" w:eastAsia="Arial" w:hAnsi="Arial"/>
                <w:sz w:val="14"/>
                <w:szCs w:val="14"/>
                <w:b w:val="1"/>
                <w:bCs w:val="1"/>
                <w:color w:val="auto"/>
                <w:w w:val="97"/>
              </w:rPr>
              <w:t>July 29, 2017</w:t>
            </w:r>
          </w:p>
        </w:tc>
        <w:tc>
          <w:tcPr>
            <w:tcW w:w="220" w:type="dxa"/>
            <w:vAlign w:val="bottom"/>
            <w:tcBorders>
              <w:bottom w:val="single" w:sz="8" w:color="CCEEFF"/>
            </w:tcBorders>
          </w:tcPr>
          <w:p>
            <w:pPr>
              <w:spacing w:after="0"/>
              <w:rPr>
                <w:sz w:val="22"/>
                <w:szCs w:val="22"/>
                <w:color w:val="auto"/>
              </w:rPr>
            </w:pPr>
          </w:p>
        </w:tc>
        <w:tc>
          <w:tcPr>
            <w:tcW w:w="1240" w:type="dxa"/>
            <w:vAlign w:val="bottom"/>
            <w:tcBorders>
              <w:bottom w:val="single" w:sz="8" w:color="auto"/>
            </w:tcBorders>
            <w:gridSpan w:val="2"/>
          </w:tcPr>
          <w:p>
            <w:pPr>
              <w:jc w:val="right"/>
              <w:ind w:right="10"/>
              <w:spacing w:after="0"/>
              <w:rPr>
                <w:sz w:val="20"/>
                <w:szCs w:val="20"/>
                <w:color w:val="auto"/>
              </w:rPr>
            </w:pPr>
            <w:r>
              <w:rPr>
                <w:rFonts w:ascii="Arial" w:cs="Arial" w:eastAsia="Arial" w:hAnsi="Arial"/>
                <w:sz w:val="14"/>
                <w:szCs w:val="14"/>
                <w:b w:val="1"/>
                <w:bCs w:val="1"/>
                <w:color w:val="auto"/>
                <w:w w:val="99"/>
              </w:rPr>
              <w:t>October 29, 2016</w:t>
            </w:r>
          </w:p>
        </w:tc>
        <w:tc>
          <w:tcPr>
            <w:tcW w:w="220" w:type="dxa"/>
            <w:vAlign w:val="bottom"/>
            <w:tcBorders>
              <w:bottom w:val="single" w:sz="8" w:color="CCEEFF"/>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220" w:type="dxa"/>
            <w:vAlign w:val="bottom"/>
            <w:tcBorders>
              <w:bottom w:val="single" w:sz="8" w:color="auto"/>
            </w:tcBorders>
          </w:tcPr>
          <w:p>
            <w:pPr>
              <w:jc w:val="right"/>
              <w:ind w:right="72"/>
              <w:spacing w:after="0"/>
              <w:rPr>
                <w:sz w:val="20"/>
                <w:szCs w:val="20"/>
                <w:color w:val="auto"/>
              </w:rPr>
            </w:pPr>
            <w:r>
              <w:rPr>
                <w:rFonts w:ascii="Arial" w:cs="Arial" w:eastAsia="Arial" w:hAnsi="Arial"/>
                <w:sz w:val="14"/>
                <w:szCs w:val="14"/>
                <w:b w:val="1"/>
                <w:bCs w:val="1"/>
                <w:color w:val="auto"/>
                <w:w w:val="92"/>
              </w:rPr>
              <w:t>October 28, 2017</w:t>
            </w:r>
          </w:p>
        </w:tc>
        <w:tc>
          <w:tcPr>
            <w:tcW w:w="220" w:type="dxa"/>
            <w:vAlign w:val="bottom"/>
            <w:tcBorders>
              <w:bottom w:val="single" w:sz="8" w:color="CCEEFF"/>
            </w:tcBorders>
          </w:tcPr>
          <w:p>
            <w:pPr>
              <w:spacing w:after="0"/>
              <w:rPr>
                <w:sz w:val="22"/>
                <w:szCs w:val="22"/>
                <w:color w:val="auto"/>
              </w:rPr>
            </w:pPr>
          </w:p>
        </w:tc>
        <w:tc>
          <w:tcPr>
            <w:tcW w:w="1240" w:type="dxa"/>
            <w:vAlign w:val="bottom"/>
            <w:tcBorders>
              <w:bottom w:val="single" w:sz="8" w:color="auto"/>
            </w:tcBorders>
            <w:gridSpan w:val="2"/>
          </w:tcPr>
          <w:p>
            <w:pPr>
              <w:jc w:val="right"/>
              <w:ind w:right="10"/>
              <w:spacing w:after="0"/>
              <w:rPr>
                <w:sz w:val="20"/>
                <w:szCs w:val="20"/>
                <w:color w:val="auto"/>
              </w:rPr>
            </w:pPr>
            <w:r>
              <w:rPr>
                <w:rFonts w:ascii="Arial" w:cs="Arial" w:eastAsia="Arial" w:hAnsi="Arial"/>
                <w:sz w:val="14"/>
                <w:szCs w:val="14"/>
                <w:b w:val="1"/>
                <w:bCs w:val="1"/>
                <w:color w:val="auto"/>
                <w:w w:val="99"/>
              </w:rPr>
              <w:t>October 29, 2016</w:t>
            </w:r>
          </w:p>
        </w:tc>
        <w:tc>
          <w:tcPr>
            <w:tcW w:w="0" w:type="dxa"/>
            <w:vAlign w:val="bottom"/>
          </w:tcPr>
          <w:p>
            <w:pPr>
              <w:spacing w:after="0"/>
              <w:rPr>
                <w:sz w:val="1"/>
                <w:szCs w:val="1"/>
                <w:color w:val="auto"/>
              </w:rPr>
            </w:pPr>
          </w:p>
        </w:tc>
      </w:tr>
      <w:tr>
        <w:trPr>
          <w:trHeight w:val="250"/>
        </w:trPr>
        <w:tc>
          <w:tcPr>
            <w:tcW w:w="4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interest and other income,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6,200</w:t>
            </w:r>
          </w:p>
        </w:tc>
        <w:tc>
          <w:tcPr>
            <w:tcW w:w="4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7,188</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5,470</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16,721</w:t>
            </w:r>
          </w:p>
        </w:tc>
        <w:tc>
          <w:tcPr>
            <w:tcW w:w="22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13,242</w:t>
            </w:r>
          </w:p>
        </w:tc>
        <w:tc>
          <w:tcPr>
            <w:tcW w:w="0" w:type="dxa"/>
            <w:vAlign w:val="bottom"/>
          </w:tcPr>
          <w:p>
            <w:pPr>
              <w:spacing w:after="0"/>
              <w:rPr>
                <w:sz w:val="1"/>
                <w:szCs w:val="1"/>
                <w:color w:val="auto"/>
              </w:rPr>
            </w:pPr>
          </w:p>
        </w:tc>
      </w:tr>
      <w:tr>
        <w:trPr>
          <w:trHeight w:val="243"/>
        </w:trPr>
        <w:tc>
          <w:tcPr>
            <w:tcW w:w="41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2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1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 xml:space="preserve">Restructuring related items </w:t>
            </w:r>
            <w:r>
              <w:rPr>
                <w:rFonts w:ascii="Arial" w:cs="Arial" w:eastAsia="Arial" w:hAnsi="Arial"/>
                <w:sz w:val="18"/>
                <w:szCs w:val="18"/>
                <w:i w:val="1"/>
                <w:iCs w:val="1"/>
                <w:color w:val="auto"/>
              </w:rPr>
              <w:t>(d)</w:t>
            </w: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(2,286)</w:t>
            </w:r>
          </w:p>
        </w:tc>
        <w:tc>
          <w:tcPr>
            <w:tcW w:w="24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(5,371)</w:t>
            </w:r>
          </w:p>
        </w:tc>
        <w:tc>
          <w:tcPr>
            <w:tcW w:w="22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7"/>
        </w:trPr>
        <w:tc>
          <w:tcPr>
            <w:tcW w:w="4100" w:type="dxa"/>
            <w:vAlign w:val="bottom"/>
          </w:tcPr>
          <w:p>
            <w:pPr>
              <w:ind w:left="40"/>
              <w:spacing w:after="0"/>
              <w:rPr>
                <w:sz w:val="20"/>
                <w:szCs w:val="20"/>
                <w:color w:val="auto"/>
              </w:rPr>
            </w:pPr>
            <w:r>
              <w:rPr>
                <w:rFonts w:ascii="Arial" w:cs="Arial" w:eastAsia="Arial" w:hAnsi="Arial"/>
                <w:sz w:val="18"/>
                <w:szCs w:val="18"/>
                <w:color w:val="auto"/>
              </w:rPr>
              <w:t>Total special items</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(2,286)</w:t>
            </w:r>
          </w:p>
        </w:tc>
        <w:tc>
          <w:tcPr>
            <w:tcW w:w="24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(3,085)</w:t>
            </w:r>
          </w:p>
        </w:tc>
        <w:tc>
          <w:tcPr>
            <w:tcW w:w="2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(5,371)</w:t>
            </w:r>
          </w:p>
        </w:tc>
        <w:tc>
          <w:tcPr>
            <w:tcW w:w="220" w:type="dxa"/>
            <w:vAlign w:val="bottom"/>
          </w:tcPr>
          <w:p>
            <w:pPr>
              <w:spacing w:after="0"/>
              <w:rPr>
                <w:sz w:val="20"/>
                <w:szCs w:val="20"/>
                <w:color w:val="auto"/>
              </w:rPr>
            </w:pPr>
          </w:p>
        </w:tc>
        <w:tc>
          <w:tcPr>
            <w:tcW w:w="500" w:type="dxa"/>
            <w:vAlign w:val="bottom"/>
            <w:tcBorders>
              <w:top w:val="single" w:sz="8" w:color="auto"/>
            </w:tcBorders>
          </w:tcPr>
          <w:p>
            <w:pPr>
              <w:spacing w:after="0"/>
              <w:rPr>
                <w:sz w:val="20"/>
                <w:szCs w:val="20"/>
                <w:color w:val="auto"/>
              </w:rPr>
            </w:pPr>
          </w:p>
        </w:tc>
        <w:tc>
          <w:tcPr>
            <w:tcW w:w="7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4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9"/>
        </w:trPr>
        <w:tc>
          <w:tcPr>
            <w:tcW w:w="4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Total non-GAAP interest and other income, net</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3,914</w:t>
            </w:r>
          </w:p>
        </w:tc>
        <w:tc>
          <w:tcPr>
            <w:tcW w:w="4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4,103</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5,470</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11,350</w:t>
            </w:r>
          </w:p>
        </w:tc>
        <w:tc>
          <w:tcPr>
            <w:tcW w:w="220" w:type="dxa"/>
            <w:vAlign w:val="bottom"/>
            <w:tcBorders>
              <w:bottom w:val="single" w:sz="8" w:color="CCEEFF"/>
            </w:tcBorders>
            <w:shd w:val="clear" w:color="auto" w:fill="CCEEFF"/>
          </w:tcPr>
          <w:p>
            <w:pPr>
              <w:spacing w:after="0"/>
              <w:rPr>
                <w:sz w:val="22"/>
                <w:szCs w:val="22"/>
                <w:color w:val="auto"/>
              </w:rPr>
            </w:pPr>
          </w:p>
        </w:tc>
        <w:tc>
          <w:tcPr>
            <w:tcW w:w="500" w:type="dxa"/>
            <w:vAlign w:val="bottom"/>
            <w:tcBorders>
              <w:bottom w:val="single" w:sz="8" w:color="CCEEFF"/>
            </w:tcBorders>
            <w:shd w:val="clear" w:color="auto" w:fill="CCEEFF"/>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13,242</w:t>
            </w:r>
          </w:p>
        </w:tc>
        <w:tc>
          <w:tcPr>
            <w:tcW w:w="0" w:type="dxa"/>
            <w:vAlign w:val="bottom"/>
          </w:tcPr>
          <w:p>
            <w:pPr>
              <w:spacing w:after="0"/>
              <w:rPr>
                <w:sz w:val="1"/>
                <w:szCs w:val="1"/>
                <w:color w:val="auto"/>
              </w:rPr>
            </w:pPr>
          </w:p>
        </w:tc>
      </w:tr>
      <w:tr>
        <w:trPr>
          <w:trHeight w:val="20"/>
        </w:trPr>
        <w:tc>
          <w:tcPr>
            <w:tcW w:w="4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5"/>
        </w:trPr>
        <w:tc>
          <w:tcPr>
            <w:tcW w:w="4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500" w:type="dxa"/>
            <w:vAlign w:val="bottom"/>
            <w:shd w:val="clear" w:color="auto" w:fill="CCEEFF"/>
          </w:tcPr>
          <w:p>
            <w:pPr>
              <w:spacing w:after="0"/>
              <w:rPr>
                <w:sz w:val="24"/>
                <w:szCs w:val="24"/>
                <w:color w:val="auto"/>
              </w:rPr>
            </w:pPr>
          </w:p>
        </w:tc>
        <w:tc>
          <w:tcPr>
            <w:tcW w:w="74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0"/>
        </w:trPr>
        <w:tc>
          <w:tcPr>
            <w:tcW w:w="4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w:t>
            </w: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200,188</w:t>
            </w:r>
          </w:p>
        </w:tc>
        <w:tc>
          <w:tcPr>
            <w:tcW w:w="400" w:type="dxa"/>
            <w:vAlign w:val="bottom"/>
            <w:tcBorders>
              <w:bottom w:val="single" w:sz="8" w:color="CCEEFF"/>
            </w:tcBorders>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165,259</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72,616</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472,068</w:t>
            </w:r>
          </w:p>
        </w:tc>
        <w:tc>
          <w:tcPr>
            <w:tcW w:w="22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5"/>
              </w:rPr>
              <w:t>101,242</w:t>
            </w:r>
          </w:p>
        </w:tc>
        <w:tc>
          <w:tcPr>
            <w:tcW w:w="0" w:type="dxa"/>
            <w:vAlign w:val="bottom"/>
          </w:tcPr>
          <w:p>
            <w:pPr>
              <w:spacing w:after="0"/>
              <w:rPr>
                <w:sz w:val="1"/>
                <w:szCs w:val="1"/>
                <w:color w:val="auto"/>
              </w:rPr>
            </w:pPr>
          </w:p>
        </w:tc>
      </w:tr>
      <w:tr>
        <w:trPr>
          <w:trHeight w:val="229"/>
        </w:trPr>
        <w:tc>
          <w:tcPr>
            <w:tcW w:w="4100" w:type="dxa"/>
            <w:vAlign w:val="bottom"/>
          </w:tcPr>
          <w:p>
            <w:pPr>
              <w:ind w:left="440"/>
              <w:spacing w:after="0"/>
              <w:rPr>
                <w:sz w:val="20"/>
                <w:szCs w:val="20"/>
                <w:color w:val="auto"/>
              </w:rPr>
            </w:pPr>
            <w:r>
              <w:rPr>
                <w:rFonts w:ascii="Arial" w:cs="Arial" w:eastAsia="Arial" w:hAnsi="Arial"/>
                <w:sz w:val="18"/>
                <w:szCs w:val="18"/>
                <w:color w:val="auto"/>
              </w:rPr>
              <w:t>Less: Income (loss) from discontinued</w:t>
            </w:r>
          </w:p>
        </w:tc>
        <w:tc>
          <w:tcPr>
            <w:tcW w:w="1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100" w:type="dxa"/>
            <w:vAlign w:val="bottom"/>
          </w:tcPr>
          <w:p>
            <w:pPr>
              <w:ind w:left="280"/>
              <w:spacing w:after="0"/>
              <w:rPr>
                <w:sz w:val="20"/>
                <w:szCs w:val="20"/>
                <w:color w:val="auto"/>
              </w:rPr>
            </w:pPr>
            <w:r>
              <w:rPr>
                <w:rFonts w:ascii="Arial" w:cs="Arial" w:eastAsia="Arial" w:hAnsi="Arial"/>
                <w:sz w:val="18"/>
                <w:szCs w:val="18"/>
                <w:color w:val="auto"/>
              </w:rPr>
              <w:t>operations, net of tax</w:t>
            </w:r>
          </w:p>
        </w:tc>
        <w:tc>
          <w:tcPr>
            <w:tcW w:w="120" w:type="dxa"/>
            <w:vAlign w:val="bottom"/>
          </w:tcPr>
          <w:p>
            <w:pPr>
              <w:spacing w:after="0"/>
              <w:rPr>
                <w:sz w:val="20"/>
                <w:szCs w:val="20"/>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50,851</w:t>
            </w: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29,809</w:t>
            </w: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(10,557)</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87,689</w:t>
            </w:r>
          </w:p>
        </w:tc>
        <w:tc>
          <w:tcPr>
            <w:tcW w:w="2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(37,105)</w:t>
            </w:r>
          </w:p>
        </w:tc>
        <w:tc>
          <w:tcPr>
            <w:tcW w:w="0" w:type="dxa"/>
            <w:vAlign w:val="bottom"/>
          </w:tcPr>
          <w:p>
            <w:pPr>
              <w:spacing w:after="0"/>
              <w:rPr>
                <w:sz w:val="1"/>
                <w:szCs w:val="1"/>
                <w:color w:val="auto"/>
              </w:rPr>
            </w:pPr>
          </w:p>
        </w:tc>
      </w:tr>
      <w:tr>
        <w:trPr>
          <w:trHeight w:val="27"/>
        </w:trPr>
        <w:tc>
          <w:tcPr>
            <w:tcW w:w="4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10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8"/>
                <w:szCs w:val="18"/>
                <w:color w:val="auto"/>
              </w:rPr>
              <w:t>GAAP net income from continuing operations</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149,337</w:t>
            </w:r>
          </w:p>
        </w:tc>
        <w:tc>
          <w:tcPr>
            <w:tcW w:w="24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135,450</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83,173</w:t>
            </w:r>
          </w:p>
        </w:tc>
        <w:tc>
          <w:tcPr>
            <w:tcW w:w="220" w:type="dxa"/>
            <w:vAlign w:val="bottom"/>
            <w:tcBorders>
              <w:bottom w:val="single" w:sz="8" w:color="CCEEFF"/>
            </w:tcBorders>
            <w:shd w:val="clear" w:color="auto" w:fill="CCEEFF"/>
          </w:tcPr>
          <w:p>
            <w:pPr>
              <w:spacing w:after="0"/>
              <w:rPr>
                <w:sz w:val="22"/>
                <w:szCs w:val="22"/>
                <w:color w:val="auto"/>
              </w:rPr>
            </w:pPr>
          </w:p>
        </w:tc>
        <w:tc>
          <w:tcPr>
            <w:tcW w:w="1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384,379</w:t>
            </w:r>
          </w:p>
        </w:tc>
        <w:tc>
          <w:tcPr>
            <w:tcW w:w="220" w:type="dxa"/>
            <w:vAlign w:val="bottom"/>
            <w:tcBorders>
              <w:bottom w:val="single" w:sz="8" w:color="CCEEFF"/>
            </w:tcBorders>
            <w:shd w:val="clear" w:color="auto" w:fill="CCEEFF"/>
          </w:tcPr>
          <w:p>
            <w:pPr>
              <w:spacing w:after="0"/>
              <w:rPr>
                <w:sz w:val="22"/>
                <w:szCs w:val="22"/>
                <w:color w:val="auto"/>
              </w:rPr>
            </w:pPr>
          </w:p>
        </w:tc>
        <w:tc>
          <w:tcPr>
            <w:tcW w:w="5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5"/>
              </w:rPr>
              <w:t>138,347</w:t>
            </w:r>
          </w:p>
        </w:tc>
        <w:tc>
          <w:tcPr>
            <w:tcW w:w="0" w:type="dxa"/>
            <w:vAlign w:val="bottom"/>
          </w:tcPr>
          <w:p>
            <w:pPr>
              <w:spacing w:after="0"/>
              <w:rPr>
                <w:sz w:val="1"/>
                <w:szCs w:val="1"/>
                <w:color w:val="auto"/>
              </w:rPr>
            </w:pPr>
          </w:p>
        </w:tc>
      </w:tr>
      <w:tr>
        <w:trPr>
          <w:trHeight w:val="223"/>
        </w:trPr>
        <w:tc>
          <w:tcPr>
            <w:tcW w:w="4100" w:type="dxa"/>
            <w:vAlign w:val="bottom"/>
          </w:tcPr>
          <w:p>
            <w:pPr>
              <w:ind w:left="40"/>
              <w:spacing w:after="0"/>
              <w:rPr>
                <w:sz w:val="20"/>
                <w:szCs w:val="20"/>
                <w:color w:val="auto"/>
              </w:rPr>
            </w:pPr>
            <w:r>
              <w:rPr>
                <w:rFonts w:ascii="Arial" w:cs="Arial" w:eastAsia="Arial" w:hAnsi="Arial"/>
                <w:sz w:val="18"/>
                <w:szCs w:val="18"/>
                <w:color w:val="auto"/>
              </w:rPr>
              <w:t>Special items:</w:t>
            </w:r>
          </w:p>
        </w:tc>
        <w:tc>
          <w:tcPr>
            <w:tcW w:w="120" w:type="dxa"/>
            <w:vAlign w:val="bottom"/>
            <w:tcBorders>
              <w:top w:val="single" w:sz="8" w:color="auto"/>
            </w:tcBorders>
          </w:tcPr>
          <w:p>
            <w:pPr>
              <w:spacing w:after="0"/>
              <w:rPr>
                <w:sz w:val="19"/>
                <w:szCs w:val="19"/>
                <w:color w:val="auto"/>
              </w:rPr>
            </w:pPr>
          </w:p>
        </w:tc>
        <w:tc>
          <w:tcPr>
            <w:tcW w:w="1160" w:type="dxa"/>
            <w:vAlign w:val="bottom"/>
            <w:tcBorders>
              <w:top w:val="single" w:sz="8" w:color="auto"/>
            </w:tcBorders>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08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Borders>
              <w:top w:val="single" w:sz="8" w:color="auto"/>
            </w:tcBorders>
          </w:tcPr>
          <w:p>
            <w:pPr>
              <w:spacing w:after="0"/>
              <w:rPr>
                <w:sz w:val="19"/>
                <w:szCs w:val="19"/>
                <w:color w:val="auto"/>
              </w:rPr>
            </w:pPr>
          </w:p>
        </w:tc>
        <w:tc>
          <w:tcPr>
            <w:tcW w:w="92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1220" w:type="dxa"/>
            <w:vAlign w:val="bottom"/>
            <w:tcBorders>
              <w:top w:val="single" w:sz="8" w:color="auto"/>
            </w:tcBorders>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41"/>
        </w:trPr>
        <w:tc>
          <w:tcPr>
            <w:tcW w:w="41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220" w:type="dxa"/>
            <w:vAlign w:val="bottom"/>
          </w:tcPr>
          <w:p>
            <w:pPr>
              <w:spacing w:after="0"/>
              <w:rPr>
                <w:sz w:val="3"/>
                <w:szCs w:val="3"/>
                <w:color w:val="auto"/>
              </w:rPr>
            </w:pPr>
          </w:p>
        </w:tc>
        <w:tc>
          <w:tcPr>
            <w:tcW w:w="320" w:type="dxa"/>
            <w:vAlign w:val="bottom"/>
          </w:tcPr>
          <w:p>
            <w:pPr>
              <w:spacing w:after="0"/>
              <w:rPr>
                <w:sz w:val="3"/>
                <w:szCs w:val="3"/>
                <w:color w:val="auto"/>
              </w:rPr>
            </w:pPr>
          </w:p>
        </w:tc>
        <w:tc>
          <w:tcPr>
            <w:tcW w:w="9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22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0"/>
        </w:trPr>
        <w:tc>
          <w:tcPr>
            <w:tcW w:w="41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Other cost of goods sold (</w:t>
            </w:r>
            <w:r>
              <w:rPr>
                <w:rFonts w:ascii="Arial" w:cs="Arial" w:eastAsia="Arial" w:hAnsi="Arial"/>
                <w:sz w:val="18"/>
                <w:szCs w:val="18"/>
                <w:i w:val="1"/>
                <w:iCs w:val="1"/>
                <w:color w:val="auto"/>
              </w:rPr>
              <w:t>a</w:t>
            </w: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w:t>
            </w:r>
          </w:p>
        </w:tc>
        <w:tc>
          <w:tcPr>
            <w:tcW w:w="2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3,000</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11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3,000</w:t>
            </w:r>
          </w:p>
        </w:tc>
        <w:tc>
          <w:tcPr>
            <w:tcW w:w="22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43"/>
        </w:trPr>
        <w:tc>
          <w:tcPr>
            <w:tcW w:w="4100" w:type="dxa"/>
            <w:vAlign w:val="bottom"/>
          </w:tcPr>
          <w:p>
            <w:pPr>
              <w:ind w:left="460"/>
              <w:spacing w:after="0"/>
              <w:rPr>
                <w:sz w:val="20"/>
                <w:szCs w:val="20"/>
                <w:color w:val="auto"/>
              </w:rPr>
            </w:pPr>
            <w:r>
              <w:rPr>
                <w:rFonts w:ascii="Arial" w:cs="Arial" w:eastAsia="Arial" w:hAnsi="Arial"/>
                <w:sz w:val="18"/>
                <w:szCs w:val="18"/>
                <w:color w:val="auto"/>
              </w:rPr>
              <w:t>Share-based compensation</w:t>
            </w:r>
          </w:p>
        </w:tc>
        <w:tc>
          <w:tcPr>
            <w:tcW w:w="1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20,639</w:t>
            </w:r>
          </w:p>
        </w:tc>
        <w:tc>
          <w:tcPr>
            <w:tcW w:w="2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21,367</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25,230</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63,745</w:t>
            </w:r>
          </w:p>
        </w:tc>
        <w:tc>
          <w:tcPr>
            <w:tcW w:w="22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rPr>
              <w:t>79,737</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41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Restructuring related charges </w:t>
            </w:r>
            <w:r>
              <w:rPr>
                <w:rFonts w:ascii="Arial" w:cs="Arial" w:eastAsia="Arial" w:hAnsi="Arial"/>
                <w:sz w:val="18"/>
                <w:szCs w:val="18"/>
                <w:i w:val="1"/>
                <w:iCs w:val="1"/>
                <w:color w:val="auto"/>
              </w:rPr>
              <w:t>(b)</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998</w:t>
            </w:r>
          </w:p>
        </w:tc>
        <w:tc>
          <w:tcPr>
            <w:tcW w:w="2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1,200</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1,164</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3,084</w:t>
            </w:r>
          </w:p>
        </w:tc>
        <w:tc>
          <w:tcPr>
            <w:tcW w:w="22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6,326</w:t>
            </w:r>
          </w:p>
        </w:tc>
        <w:tc>
          <w:tcPr>
            <w:tcW w:w="0" w:type="dxa"/>
            <w:vAlign w:val="bottom"/>
          </w:tcPr>
          <w:p>
            <w:pPr>
              <w:spacing w:after="0"/>
              <w:rPr>
                <w:sz w:val="1"/>
                <w:szCs w:val="1"/>
                <w:color w:val="auto"/>
              </w:rPr>
            </w:pPr>
          </w:p>
        </w:tc>
      </w:tr>
      <w:tr>
        <w:trPr>
          <w:trHeight w:val="229"/>
        </w:trPr>
        <w:tc>
          <w:tcPr>
            <w:tcW w:w="4100" w:type="dxa"/>
            <w:vAlign w:val="bottom"/>
          </w:tcPr>
          <w:p>
            <w:pPr>
              <w:ind w:left="460"/>
              <w:spacing w:after="0"/>
              <w:rPr>
                <w:sz w:val="20"/>
                <w:szCs w:val="20"/>
                <w:color w:val="auto"/>
              </w:rPr>
            </w:pPr>
            <w:r>
              <w:rPr>
                <w:rFonts w:ascii="Arial" w:cs="Arial" w:eastAsia="Arial" w:hAnsi="Arial"/>
                <w:sz w:val="18"/>
                <w:szCs w:val="18"/>
                <w:color w:val="auto"/>
              </w:rPr>
              <w:t>Amortization of and write-off acquired</w:t>
            </w:r>
          </w:p>
        </w:tc>
        <w:tc>
          <w:tcPr>
            <w:tcW w:w="1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100" w:type="dxa"/>
            <w:vAlign w:val="bottom"/>
          </w:tcPr>
          <w:p>
            <w:pPr>
              <w:ind w:left="680"/>
              <w:spacing w:after="0"/>
              <w:rPr>
                <w:sz w:val="20"/>
                <w:szCs w:val="20"/>
                <w:color w:val="auto"/>
              </w:rPr>
            </w:pPr>
            <w:r>
              <w:rPr>
                <w:rFonts w:ascii="Arial" w:cs="Arial" w:eastAsia="Arial" w:hAnsi="Arial"/>
                <w:sz w:val="18"/>
                <w:szCs w:val="18"/>
                <w:color w:val="auto"/>
              </w:rPr>
              <w:t>intangible assets</w:t>
            </w:r>
          </w:p>
        </w:tc>
        <w:tc>
          <w:tcPr>
            <w:tcW w:w="120" w:type="dxa"/>
            <w:vAlign w:val="bottom"/>
          </w:tcPr>
          <w:p>
            <w:pPr>
              <w:spacing w:after="0"/>
              <w:rPr>
                <w:sz w:val="20"/>
                <w:szCs w:val="20"/>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1,076</w:t>
            </w:r>
          </w:p>
        </w:tc>
        <w:tc>
          <w:tcPr>
            <w:tcW w:w="2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1,065</w:t>
            </w:r>
          </w:p>
        </w:tc>
        <w:tc>
          <w:tcPr>
            <w:tcW w:w="22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2,299</w:t>
            </w: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3,212</w:t>
            </w:r>
          </w:p>
        </w:tc>
        <w:tc>
          <w:tcPr>
            <w:tcW w:w="2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rPr>
              <w:t>6,896</w:t>
            </w:r>
          </w:p>
        </w:tc>
        <w:tc>
          <w:tcPr>
            <w:tcW w:w="0" w:type="dxa"/>
            <w:vAlign w:val="bottom"/>
          </w:tcPr>
          <w:p>
            <w:pPr>
              <w:spacing w:after="0"/>
              <w:rPr>
                <w:sz w:val="1"/>
                <w:szCs w:val="1"/>
                <w:color w:val="auto"/>
              </w:rPr>
            </w:pPr>
          </w:p>
        </w:tc>
      </w:tr>
      <w:tr>
        <w:trPr>
          <w:trHeight w:val="27"/>
        </w:trPr>
        <w:tc>
          <w:tcPr>
            <w:tcW w:w="41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tcPr>
          <w:p>
            <w:pPr>
              <w:spacing w:after="0"/>
              <w:rPr>
                <w:sz w:val="2"/>
                <w:szCs w:val="2"/>
                <w:color w:val="auto"/>
              </w:rPr>
            </w:pPr>
          </w:p>
        </w:tc>
        <w:tc>
          <w:tcPr>
            <w:tcW w:w="220" w:type="dxa"/>
            <w:vAlign w:val="bottom"/>
          </w:tcPr>
          <w:p>
            <w:pPr>
              <w:spacing w:after="0"/>
              <w:rPr>
                <w:sz w:val="2"/>
                <w:szCs w:val="2"/>
                <w:color w:val="auto"/>
              </w:rPr>
            </w:pPr>
          </w:p>
        </w:tc>
        <w:tc>
          <w:tcPr>
            <w:tcW w:w="320" w:type="dxa"/>
            <w:vAlign w:val="bottom"/>
          </w:tcPr>
          <w:p>
            <w:pPr>
              <w:spacing w:after="0"/>
              <w:rPr>
                <w:sz w:val="2"/>
                <w:szCs w:val="2"/>
                <w:color w:val="auto"/>
              </w:rPr>
            </w:pPr>
          </w:p>
        </w:tc>
        <w:tc>
          <w:tcPr>
            <w:tcW w:w="920" w:type="dxa"/>
            <w:vAlign w:val="bottom"/>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220" w:type="dxa"/>
            <w:vAlign w:val="bottom"/>
          </w:tcPr>
          <w:p>
            <w:pPr>
              <w:spacing w:after="0"/>
              <w:rPr>
                <w:sz w:val="2"/>
                <w:szCs w:val="2"/>
                <w:color w:val="auto"/>
              </w:rPr>
            </w:pPr>
          </w:p>
        </w:tc>
        <w:tc>
          <w:tcPr>
            <w:tcW w:w="500" w:type="dxa"/>
            <w:vAlign w:val="bottom"/>
          </w:tcPr>
          <w:p>
            <w:pPr>
              <w:spacing w:after="0"/>
              <w:rPr>
                <w:sz w:val="2"/>
                <w:szCs w:val="2"/>
                <w:color w:val="auto"/>
              </w:rPr>
            </w:pPr>
          </w:p>
        </w:tc>
        <w:tc>
          <w:tcPr>
            <w:tcW w:w="7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0"/>
        </w:trPr>
        <w:tc>
          <w:tcPr>
            <w:tcW w:w="4100" w:type="dxa"/>
            <w:vAlign w:val="bottom"/>
            <w:tcBorders>
              <w:bottom w:val="single" w:sz="8" w:color="CCEEFF"/>
            </w:tcBorders>
            <w:shd w:val="clear" w:color="auto" w:fill="CCEEFF"/>
          </w:tcPr>
          <w:p>
            <w:pPr>
              <w:ind w:left="460"/>
              <w:spacing w:after="0"/>
              <w:rPr>
                <w:sz w:val="20"/>
                <w:szCs w:val="20"/>
                <w:color w:val="auto"/>
              </w:rPr>
            </w:pPr>
            <w:r>
              <w:rPr>
                <w:rFonts w:ascii="Arial" w:cs="Arial" w:eastAsia="Arial" w:hAnsi="Arial"/>
                <w:sz w:val="18"/>
                <w:szCs w:val="18"/>
                <w:color w:val="auto"/>
              </w:rPr>
              <w:t xml:space="preserve">Other operating expenses </w:t>
            </w:r>
            <w:r>
              <w:rPr>
                <w:rFonts w:ascii="Arial" w:cs="Arial" w:eastAsia="Arial" w:hAnsi="Arial"/>
                <w:sz w:val="18"/>
                <w:szCs w:val="18"/>
                <w:i w:val="1"/>
                <w:iCs w:val="1"/>
                <w:color w:val="auto"/>
              </w:rPr>
              <w:t>(c)</w:t>
            </w:r>
          </w:p>
        </w:tc>
        <w:tc>
          <w:tcPr>
            <w:tcW w:w="120" w:type="dxa"/>
            <w:vAlign w:val="bottom"/>
            <w:tcBorders>
              <w:bottom w:val="single" w:sz="8" w:color="CCEEFF"/>
            </w:tcBorders>
            <w:shd w:val="clear" w:color="auto" w:fill="CCEEFF"/>
          </w:tcPr>
          <w:p>
            <w:pPr>
              <w:spacing w:after="0"/>
              <w:rPr>
                <w:sz w:val="23"/>
                <w:szCs w:val="23"/>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120</w:t>
            </w:r>
          </w:p>
        </w:tc>
        <w:tc>
          <w:tcPr>
            <w:tcW w:w="240" w:type="dxa"/>
            <w:vAlign w:val="bottom"/>
            <w:tcBorders>
              <w:bottom w:val="single" w:sz="8" w:color="CCEEFF"/>
            </w:tcBorders>
            <w:shd w:val="clear" w:color="auto" w:fill="CCEEFF"/>
          </w:tcPr>
          <w:p>
            <w:pPr>
              <w:spacing w:after="0"/>
              <w:rPr>
                <w:sz w:val="23"/>
                <w:szCs w:val="23"/>
                <w:color w:val="auto"/>
              </w:rPr>
            </w:pPr>
          </w:p>
        </w:tc>
        <w:tc>
          <w:tcPr>
            <w:tcW w:w="160" w:type="dxa"/>
            <w:vAlign w:val="bottom"/>
            <w:tcBorders>
              <w:bottom w:val="single" w:sz="8" w:color="CCEEFF"/>
            </w:tcBorders>
            <w:shd w:val="clear" w:color="auto" w:fill="CCEEFF"/>
          </w:tcPr>
          <w:p>
            <w:pPr>
              <w:spacing w:after="0"/>
              <w:rPr>
                <w:sz w:val="23"/>
                <w:szCs w:val="23"/>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1,687</w:t>
            </w:r>
          </w:p>
        </w:tc>
        <w:tc>
          <w:tcPr>
            <w:tcW w:w="220" w:type="dxa"/>
            <w:vAlign w:val="bottom"/>
            <w:tcBorders>
              <w:bottom w:val="single" w:sz="8" w:color="CCEEFF"/>
            </w:tcBorders>
            <w:shd w:val="clear" w:color="auto" w:fill="CCEEFF"/>
          </w:tcPr>
          <w:p>
            <w:pPr>
              <w:spacing w:after="0"/>
              <w:rPr>
                <w:sz w:val="23"/>
                <w:szCs w:val="23"/>
                <w:color w:val="auto"/>
              </w:rPr>
            </w:pPr>
          </w:p>
        </w:tc>
        <w:tc>
          <w:tcPr>
            <w:tcW w:w="320" w:type="dxa"/>
            <w:vAlign w:val="bottom"/>
            <w:tcBorders>
              <w:bottom w:val="single" w:sz="8" w:color="CCEEFF"/>
            </w:tcBorders>
            <w:shd w:val="clear" w:color="auto" w:fill="CCEEFF"/>
          </w:tcPr>
          <w:p>
            <w:pPr>
              <w:spacing w:after="0"/>
              <w:rPr>
                <w:sz w:val="23"/>
                <w:szCs w:val="23"/>
                <w:color w:val="auto"/>
              </w:rPr>
            </w:pPr>
          </w:p>
        </w:tc>
        <w:tc>
          <w:tcPr>
            <w:tcW w:w="11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3"/>
                <w:szCs w:val="23"/>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4,110</w:t>
            </w:r>
          </w:p>
        </w:tc>
        <w:tc>
          <w:tcPr>
            <w:tcW w:w="220" w:type="dxa"/>
            <w:vAlign w:val="bottom"/>
            <w:tcBorders>
              <w:bottom w:val="single" w:sz="8" w:color="CCEEFF"/>
            </w:tcBorders>
            <w:shd w:val="clear" w:color="auto" w:fill="CCEEFF"/>
          </w:tcPr>
          <w:p>
            <w:pPr>
              <w:spacing w:after="0"/>
              <w:rPr>
                <w:sz w:val="23"/>
                <w:szCs w:val="23"/>
                <w:color w:val="auto"/>
              </w:rPr>
            </w:pPr>
          </w:p>
        </w:tc>
        <w:tc>
          <w:tcPr>
            <w:tcW w:w="500" w:type="dxa"/>
            <w:vAlign w:val="bottom"/>
            <w:tcBorders>
              <w:bottom w:val="single" w:sz="8" w:color="CCEEFF"/>
            </w:tcBorders>
            <w:shd w:val="clear" w:color="auto" w:fill="CCEEFF"/>
          </w:tcPr>
          <w:p>
            <w:pPr>
              <w:spacing w:after="0"/>
              <w:rPr>
                <w:sz w:val="23"/>
                <w:szCs w:val="23"/>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rPr>
              <w:t>1,229</w:t>
            </w:r>
          </w:p>
        </w:tc>
        <w:tc>
          <w:tcPr>
            <w:tcW w:w="0" w:type="dxa"/>
            <w:vAlign w:val="bottom"/>
          </w:tcPr>
          <w:p>
            <w:pPr>
              <w:spacing w:after="0"/>
              <w:rPr>
                <w:sz w:val="1"/>
                <w:szCs w:val="1"/>
                <w:color w:val="auto"/>
              </w:rPr>
            </w:pPr>
          </w:p>
        </w:tc>
      </w:tr>
      <w:tr>
        <w:trPr>
          <w:trHeight w:val="237"/>
        </w:trPr>
        <w:tc>
          <w:tcPr>
            <w:tcW w:w="4100" w:type="dxa"/>
            <w:vAlign w:val="bottom"/>
          </w:tcPr>
          <w:p>
            <w:pPr>
              <w:ind w:left="40"/>
              <w:spacing w:after="0"/>
              <w:rPr>
                <w:sz w:val="20"/>
                <w:szCs w:val="20"/>
                <w:color w:val="auto"/>
              </w:rPr>
            </w:pPr>
            <w:r>
              <w:rPr>
                <w:rFonts w:ascii="Arial" w:cs="Arial" w:eastAsia="Arial" w:hAnsi="Arial"/>
                <w:sz w:val="18"/>
                <w:szCs w:val="18"/>
                <w:color w:val="auto"/>
              </w:rPr>
              <w:t>Pre-tax total special items</w:t>
            </w:r>
          </w:p>
        </w:tc>
        <w:tc>
          <w:tcPr>
            <w:tcW w:w="120" w:type="dxa"/>
            <w:vAlign w:val="bottom"/>
            <w:tcBorders>
              <w:top w:val="single" w:sz="8" w:color="auto"/>
            </w:tcBorders>
          </w:tcPr>
          <w:p>
            <w:pPr>
              <w:spacing w:after="0"/>
              <w:rPr>
                <w:sz w:val="20"/>
                <w:szCs w:val="20"/>
                <w:color w:val="auto"/>
              </w:rPr>
            </w:pP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22,833</w:t>
            </w:r>
          </w:p>
        </w:tc>
        <w:tc>
          <w:tcPr>
            <w:tcW w:w="240" w:type="dxa"/>
            <w:vAlign w:val="bottom"/>
          </w:tcPr>
          <w:p>
            <w:pPr>
              <w:spacing w:after="0"/>
              <w:rPr>
                <w:sz w:val="20"/>
                <w:szCs w:val="20"/>
                <w:color w:val="auto"/>
              </w:rPr>
            </w:pPr>
          </w:p>
        </w:tc>
        <w:tc>
          <w:tcPr>
            <w:tcW w:w="160" w:type="dxa"/>
            <w:vAlign w:val="bottom"/>
            <w:tcBorders>
              <w:top w:val="single" w:sz="8" w:color="auto"/>
            </w:tcBorders>
          </w:tcPr>
          <w:p>
            <w:pPr>
              <w:spacing w:after="0"/>
              <w:rPr>
                <w:sz w:val="20"/>
                <w:szCs w:val="20"/>
                <w:color w:val="auto"/>
              </w:rPr>
            </w:pP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28,319</w:t>
            </w:r>
          </w:p>
        </w:tc>
        <w:tc>
          <w:tcPr>
            <w:tcW w:w="22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28,693</w:t>
            </w:r>
          </w:p>
        </w:tc>
        <w:tc>
          <w:tcPr>
            <w:tcW w:w="220" w:type="dxa"/>
            <w:vAlign w:val="bottom"/>
          </w:tcPr>
          <w:p>
            <w:pPr>
              <w:spacing w:after="0"/>
              <w:rPr>
                <w:sz w:val="20"/>
                <w:szCs w:val="20"/>
                <w:color w:val="auto"/>
              </w:rPr>
            </w:pPr>
          </w:p>
        </w:tc>
        <w:tc>
          <w:tcPr>
            <w:tcW w:w="120" w:type="dxa"/>
            <w:vAlign w:val="bottom"/>
            <w:tcBorders>
              <w:top w:val="single" w:sz="8" w:color="auto"/>
            </w:tcBorders>
          </w:tcPr>
          <w:p>
            <w:pPr>
              <w:spacing w:after="0"/>
              <w:rPr>
                <w:sz w:val="20"/>
                <w:szCs w:val="20"/>
                <w:color w:val="auto"/>
              </w:rPr>
            </w:pP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77,151</w:t>
            </w:r>
          </w:p>
        </w:tc>
        <w:tc>
          <w:tcPr>
            <w:tcW w:w="220" w:type="dxa"/>
            <w:vAlign w:val="bottom"/>
          </w:tcPr>
          <w:p>
            <w:pPr>
              <w:spacing w:after="0"/>
              <w:rPr>
                <w:sz w:val="20"/>
                <w:szCs w:val="20"/>
                <w:color w:val="auto"/>
              </w:rPr>
            </w:pPr>
          </w:p>
        </w:tc>
        <w:tc>
          <w:tcPr>
            <w:tcW w:w="500" w:type="dxa"/>
            <w:vAlign w:val="bottom"/>
            <w:tcBorders>
              <w:top w:val="single" w:sz="8" w:color="auto"/>
            </w:tcBorders>
          </w:tcPr>
          <w:p>
            <w:pPr>
              <w:spacing w:after="0"/>
              <w:rPr>
                <w:sz w:val="20"/>
                <w:szCs w:val="20"/>
                <w:color w:val="auto"/>
              </w:rPr>
            </w:pPr>
          </w:p>
        </w:tc>
        <w:tc>
          <w:tcPr>
            <w:tcW w:w="7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rPr>
              <w:t>94,188</w:t>
            </w:r>
          </w:p>
        </w:tc>
        <w:tc>
          <w:tcPr>
            <w:tcW w:w="0" w:type="dxa"/>
            <w:vAlign w:val="bottom"/>
          </w:tcPr>
          <w:p>
            <w:pPr>
              <w:spacing w:after="0"/>
              <w:rPr>
                <w:sz w:val="1"/>
                <w:szCs w:val="1"/>
                <w:color w:val="auto"/>
              </w:rPr>
            </w:pPr>
          </w:p>
        </w:tc>
      </w:tr>
      <w:tr>
        <w:trPr>
          <w:trHeight w:val="27"/>
        </w:trPr>
        <w:tc>
          <w:tcPr>
            <w:tcW w:w="410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240" w:type="dxa"/>
            <w:vAlign w:val="bottom"/>
            <w:tcBorders>
              <w:bottom w:val="single" w:sz="8" w:color="CCEEFF"/>
            </w:tcBorders>
          </w:tcPr>
          <w:p>
            <w:pPr>
              <w:spacing w:after="0"/>
              <w:rPr>
                <w:sz w:val="2"/>
                <w:szCs w:val="2"/>
                <w:color w:val="auto"/>
              </w:rPr>
            </w:pPr>
          </w:p>
        </w:tc>
        <w:tc>
          <w:tcPr>
            <w:tcW w:w="160" w:type="dxa"/>
            <w:vAlign w:val="bottom"/>
            <w:tcBorders>
              <w:bottom w:val="single" w:sz="8" w:color="auto"/>
            </w:tcBorders>
          </w:tcPr>
          <w:p>
            <w:pPr>
              <w:spacing w:after="0"/>
              <w:rPr>
                <w:sz w:val="2"/>
                <w:szCs w:val="2"/>
                <w:color w:val="auto"/>
              </w:rPr>
            </w:pPr>
          </w:p>
        </w:tc>
        <w:tc>
          <w:tcPr>
            <w:tcW w:w="108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tcPr>
          <w:p>
            <w:pPr>
              <w:spacing w:after="0"/>
              <w:rPr>
                <w:sz w:val="2"/>
                <w:szCs w:val="2"/>
                <w:color w:val="auto"/>
              </w:rPr>
            </w:pPr>
          </w:p>
        </w:tc>
        <w:tc>
          <w:tcPr>
            <w:tcW w:w="220" w:type="dxa"/>
            <w:vAlign w:val="bottom"/>
            <w:tcBorders>
              <w:bottom w:val="single" w:sz="8" w:color="CCEEFF"/>
            </w:tcBorders>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7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64"/>
        </w:trPr>
        <w:tc>
          <w:tcPr>
            <w:tcW w:w="4100" w:type="dxa"/>
            <w:vAlign w:val="bottom"/>
            <w:tcBorders>
              <w:bottom w:val="single" w:sz="8" w:color="CCEEFF"/>
            </w:tcBorders>
            <w:shd w:val="clear" w:color="auto" w:fill="CCEEFF"/>
          </w:tcPr>
          <w:p>
            <w:pPr>
              <w:ind w:left="440"/>
              <w:spacing w:after="0"/>
              <w:rPr>
                <w:sz w:val="20"/>
                <w:szCs w:val="20"/>
                <w:color w:val="auto"/>
              </w:rPr>
            </w:pPr>
            <w:r>
              <w:rPr>
                <w:rFonts w:ascii="Arial" w:cs="Arial" w:eastAsia="Arial" w:hAnsi="Arial"/>
                <w:sz w:val="18"/>
                <w:szCs w:val="18"/>
                <w:color w:val="auto"/>
              </w:rPr>
              <w:t xml:space="preserve">Other income tax effects and adjustments </w:t>
            </w:r>
            <w:r>
              <w:rPr>
                <w:rFonts w:ascii="Arial" w:cs="Arial" w:eastAsia="Arial" w:hAnsi="Arial"/>
                <w:sz w:val="18"/>
                <w:szCs w:val="18"/>
                <w:i w:val="1"/>
                <w:iCs w:val="1"/>
                <w:color w:val="auto"/>
              </w:rPr>
              <w:t>(e)</w:t>
            </w:r>
          </w:p>
        </w:tc>
        <w:tc>
          <w:tcPr>
            <w:tcW w:w="120" w:type="dxa"/>
            <w:vAlign w:val="bottom"/>
            <w:tcBorders>
              <w:bottom w:val="single" w:sz="8" w:color="CCEEFF"/>
            </w:tcBorders>
            <w:shd w:val="clear" w:color="auto" w:fill="CCEEFF"/>
          </w:tcPr>
          <w:p>
            <w:pPr>
              <w:spacing w:after="0"/>
              <w:rPr>
                <w:sz w:val="22"/>
                <w:szCs w:val="22"/>
                <w:color w:val="auto"/>
              </w:rPr>
            </w:pPr>
          </w:p>
        </w:tc>
        <w:tc>
          <w:tcPr>
            <w:tcW w:w="11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(398)</w:t>
            </w:r>
          </w:p>
        </w:tc>
        <w:tc>
          <w:tcPr>
            <w:tcW w:w="240" w:type="dxa"/>
            <w:vAlign w:val="bottom"/>
            <w:tcBorders>
              <w:bottom w:val="single" w:sz="8" w:color="CCEEFF"/>
            </w:tcBorders>
            <w:shd w:val="clear" w:color="auto" w:fill="CCEEFF"/>
          </w:tcPr>
          <w:p>
            <w:pPr>
              <w:spacing w:after="0"/>
              <w:rPr>
                <w:sz w:val="22"/>
                <w:szCs w:val="22"/>
                <w:color w:val="auto"/>
              </w:rPr>
            </w:pPr>
          </w:p>
        </w:tc>
        <w:tc>
          <w:tcPr>
            <w:tcW w:w="160" w:type="dxa"/>
            <w:vAlign w:val="bottom"/>
            <w:tcBorders>
              <w:bottom w:val="single" w:sz="8" w:color="CCEEFF"/>
            </w:tcBorders>
            <w:shd w:val="clear" w:color="auto" w:fill="CCEEFF"/>
          </w:tcPr>
          <w:p>
            <w:pPr>
              <w:spacing w:after="0"/>
              <w:rPr>
                <w:sz w:val="22"/>
                <w:szCs w:val="22"/>
                <w:color w:val="auto"/>
              </w:rPr>
            </w:pPr>
          </w:p>
        </w:tc>
        <w:tc>
          <w:tcPr>
            <w:tcW w:w="10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(10,298)</w:t>
            </w:r>
          </w:p>
        </w:tc>
        <w:tc>
          <w:tcPr>
            <w:tcW w:w="220" w:type="dxa"/>
            <w:vAlign w:val="bottom"/>
            <w:tcBorders>
              <w:bottom w:val="single" w:sz="8" w:color="CCEEFF"/>
            </w:tcBorders>
            <w:shd w:val="clear" w:color="auto" w:fill="CCEEFF"/>
          </w:tcPr>
          <w:p>
            <w:pPr>
              <w:spacing w:after="0"/>
              <w:rPr>
                <w:sz w:val="22"/>
                <w:szCs w:val="22"/>
                <w:color w:val="auto"/>
              </w:rPr>
            </w:pPr>
          </w:p>
        </w:tc>
        <w:tc>
          <w:tcPr>
            <w:tcW w:w="320" w:type="dxa"/>
            <w:vAlign w:val="bottom"/>
            <w:tcBorders>
              <w:bottom w:val="single" w:sz="8" w:color="CCEEFF"/>
            </w:tcBorders>
            <w:shd w:val="clear" w:color="auto" w:fill="CCEEFF"/>
          </w:tcPr>
          <w:p>
            <w:pPr>
              <w:spacing w:after="0"/>
              <w:rPr>
                <w:sz w:val="22"/>
                <w:szCs w:val="22"/>
                <w:color w:val="auto"/>
              </w:rPr>
            </w:pPr>
          </w:p>
        </w:tc>
        <w:tc>
          <w:tcPr>
            <w:tcW w:w="1140" w:type="dxa"/>
            <w:vAlign w:val="bottom"/>
            <w:tcBorders>
              <w:bottom w:val="single" w:sz="8" w:color="CCEEFF"/>
            </w:tcBorders>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20" w:type="dxa"/>
            <w:vAlign w:val="bottom"/>
            <w:tcBorders>
              <w:bottom w:val="single" w:sz="8" w:color="CCEEFF"/>
            </w:tcBorders>
            <w:shd w:val="clear" w:color="auto" w:fill="CCEEFF"/>
          </w:tcPr>
          <w:p>
            <w:pPr>
              <w:spacing w:after="0"/>
              <w:rPr>
                <w:sz w:val="22"/>
                <w:szCs w:val="22"/>
                <w:color w:val="auto"/>
              </w:rPr>
            </w:pPr>
          </w:p>
        </w:tc>
        <w:tc>
          <w:tcPr>
            <w:tcW w:w="122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(10,760)</w:t>
            </w:r>
          </w:p>
        </w:tc>
        <w:tc>
          <w:tcPr>
            <w:tcW w:w="220" w:type="dxa"/>
            <w:vAlign w:val="bottom"/>
            <w:tcBorders>
              <w:bottom w:val="single" w:sz="8" w:color="CCEEFF"/>
            </w:tcBorders>
            <w:shd w:val="clear" w:color="auto" w:fill="CCEEFF"/>
          </w:tcPr>
          <w:p>
            <w:pPr>
              <w:spacing w:after="0"/>
              <w:rPr>
                <w:sz w:val="22"/>
                <w:szCs w:val="22"/>
                <w:color w:val="auto"/>
              </w:rPr>
            </w:pPr>
          </w:p>
        </w:tc>
        <w:tc>
          <w:tcPr>
            <w:tcW w:w="500" w:type="dxa"/>
            <w:vAlign w:val="bottom"/>
            <w:tcBorders>
              <w:bottom w:val="single" w:sz="8" w:color="CCEEFF"/>
            </w:tcBorders>
            <w:shd w:val="clear" w:color="auto" w:fill="CCEEFF"/>
          </w:tcPr>
          <w:p>
            <w:pPr>
              <w:spacing w:after="0"/>
              <w:rPr>
                <w:sz w:val="22"/>
                <w:szCs w:val="22"/>
                <w:color w:val="auto"/>
              </w:rPr>
            </w:pPr>
          </w:p>
        </w:tc>
        <w:tc>
          <w:tcPr>
            <w:tcW w:w="7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(1,071)</w:t>
            </w:r>
          </w:p>
        </w:tc>
        <w:tc>
          <w:tcPr>
            <w:tcW w:w="0" w:type="dxa"/>
            <w:vAlign w:val="bottom"/>
          </w:tcPr>
          <w:p>
            <w:pPr>
              <w:spacing w:after="0"/>
              <w:rPr>
                <w:sz w:val="1"/>
                <w:szCs w:val="1"/>
                <w:color w:val="auto"/>
              </w:rPr>
            </w:pPr>
          </w:p>
        </w:tc>
      </w:tr>
      <w:tr>
        <w:trPr>
          <w:trHeight w:val="237"/>
        </w:trPr>
        <w:tc>
          <w:tcPr>
            <w:tcW w:w="4100" w:type="dxa"/>
            <w:vAlign w:val="bottom"/>
          </w:tcPr>
          <w:p>
            <w:pPr>
              <w:ind w:left="40"/>
              <w:spacing w:after="0"/>
              <w:rPr>
                <w:sz w:val="20"/>
                <w:szCs w:val="20"/>
                <w:color w:val="auto"/>
              </w:rPr>
            </w:pPr>
            <w:r>
              <w:rPr>
                <w:rFonts w:ascii="Arial" w:cs="Arial" w:eastAsia="Arial" w:hAnsi="Arial"/>
                <w:sz w:val="18"/>
                <w:szCs w:val="18"/>
                <w:color w:val="auto"/>
              </w:rPr>
              <w:t>Non-GAAP net income from continuing operations</w:t>
            </w: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171,772</w:t>
            </w:r>
          </w:p>
        </w:tc>
        <w:tc>
          <w:tcPr>
            <w:tcW w:w="240" w:type="dxa"/>
            <w:vAlign w:val="bottom"/>
          </w:tcPr>
          <w:p>
            <w:pPr>
              <w:spacing w:after="0"/>
              <w:rPr>
                <w:sz w:val="20"/>
                <w:szCs w:val="20"/>
                <w:color w:val="auto"/>
              </w:rPr>
            </w:pPr>
          </w:p>
        </w:tc>
        <w:tc>
          <w:tcPr>
            <w:tcW w:w="1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top w:val="single" w:sz="8" w:color="auto"/>
            </w:tcBorders>
          </w:tcPr>
          <w:p>
            <w:pPr>
              <w:jc w:val="right"/>
              <w:ind w:right="31"/>
              <w:spacing w:after="0"/>
              <w:rPr>
                <w:sz w:val="20"/>
                <w:szCs w:val="20"/>
                <w:color w:val="auto"/>
              </w:rPr>
            </w:pPr>
            <w:r>
              <w:rPr>
                <w:rFonts w:ascii="Arial" w:cs="Arial" w:eastAsia="Arial" w:hAnsi="Arial"/>
                <w:sz w:val="18"/>
                <w:szCs w:val="18"/>
                <w:color w:val="auto"/>
              </w:rPr>
              <w:t>153,471</w:t>
            </w:r>
          </w:p>
        </w:tc>
        <w:tc>
          <w:tcPr>
            <w:tcW w:w="220" w:type="dxa"/>
            <w:vAlign w:val="bottom"/>
          </w:tcPr>
          <w:p>
            <w:pPr>
              <w:spacing w:after="0"/>
              <w:rPr>
                <w:sz w:val="20"/>
                <w:szCs w:val="20"/>
                <w:color w:val="auto"/>
              </w:rPr>
            </w:pPr>
          </w:p>
        </w:tc>
        <w:tc>
          <w:tcPr>
            <w:tcW w:w="320" w:type="dxa"/>
            <w:vAlign w:val="bottom"/>
            <w:tcBorders>
              <w:top w:val="single" w:sz="8" w:color="auto"/>
            </w:tcBorders>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tcBorders>
              <w:top w:val="single" w:sz="8" w:color="auto"/>
            </w:tcBorders>
          </w:tcPr>
          <w:p>
            <w:pPr>
              <w:jc w:val="right"/>
              <w:ind w:right="30"/>
              <w:spacing w:after="0"/>
              <w:rPr>
                <w:sz w:val="20"/>
                <w:szCs w:val="20"/>
                <w:color w:val="auto"/>
              </w:rPr>
            </w:pPr>
            <w:r>
              <w:rPr>
                <w:rFonts w:ascii="Arial" w:cs="Arial" w:eastAsia="Arial" w:hAnsi="Arial"/>
                <w:sz w:val="18"/>
                <w:szCs w:val="18"/>
                <w:color w:val="auto"/>
              </w:rPr>
              <w:t>111,866</w:t>
            </w:r>
          </w:p>
        </w:tc>
        <w:tc>
          <w:tcPr>
            <w:tcW w:w="22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tcPr>
          <w:p>
            <w:pPr>
              <w:jc w:val="right"/>
              <w:ind w:right="12"/>
              <w:spacing w:after="0"/>
              <w:rPr>
                <w:sz w:val="20"/>
                <w:szCs w:val="20"/>
                <w:color w:val="auto"/>
              </w:rPr>
            </w:pPr>
            <w:r>
              <w:rPr>
                <w:rFonts w:ascii="Arial" w:cs="Arial" w:eastAsia="Arial" w:hAnsi="Arial"/>
                <w:sz w:val="18"/>
                <w:szCs w:val="18"/>
                <w:color w:val="auto"/>
              </w:rPr>
              <w:t>450,770</w:t>
            </w:r>
          </w:p>
        </w:tc>
        <w:tc>
          <w:tcPr>
            <w:tcW w:w="220" w:type="dxa"/>
            <w:vAlign w:val="bottom"/>
          </w:tcPr>
          <w:p>
            <w:pPr>
              <w:spacing w:after="0"/>
              <w:rPr>
                <w:sz w:val="20"/>
                <w:szCs w:val="20"/>
                <w:color w:val="auto"/>
              </w:rPr>
            </w:pPr>
          </w:p>
        </w:tc>
        <w:tc>
          <w:tcPr>
            <w:tcW w:w="500" w:type="dxa"/>
            <w:vAlign w:val="bottom"/>
            <w:tcBorders>
              <w:top w:val="single" w:sz="8" w:color="auto"/>
            </w:tcBorders>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ind w:right="10"/>
              <w:spacing w:after="0"/>
              <w:rPr>
                <w:sz w:val="20"/>
                <w:szCs w:val="20"/>
                <w:color w:val="auto"/>
              </w:rPr>
            </w:pPr>
            <w:r>
              <w:rPr>
                <w:rFonts w:ascii="Arial" w:cs="Arial" w:eastAsia="Arial" w:hAnsi="Arial"/>
                <w:sz w:val="18"/>
                <w:szCs w:val="18"/>
                <w:color w:val="auto"/>
                <w:w w:val="95"/>
              </w:rPr>
              <w:t>231,464</w:t>
            </w:r>
          </w:p>
        </w:tc>
        <w:tc>
          <w:tcPr>
            <w:tcW w:w="0" w:type="dxa"/>
            <w:vAlign w:val="bottom"/>
          </w:tcPr>
          <w:p>
            <w:pPr>
              <w:spacing w:after="0"/>
              <w:rPr>
                <w:sz w:val="1"/>
                <w:szCs w:val="1"/>
                <w:color w:val="auto"/>
              </w:rPr>
            </w:pPr>
          </w:p>
        </w:tc>
      </w:tr>
      <w:tr>
        <w:trPr>
          <w:trHeight w:val="67"/>
        </w:trPr>
        <w:tc>
          <w:tcPr>
            <w:tcW w:w="4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50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1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24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2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500" w:type="dxa"/>
            <w:vAlign w:val="bottom"/>
            <w:shd w:val="clear" w:color="auto" w:fill="CCEEFF"/>
          </w:tcPr>
          <w:p>
            <w:pPr>
              <w:spacing w:after="0"/>
              <w:rPr>
                <w:sz w:val="21"/>
                <w:szCs w:val="21"/>
                <w:color w:val="auto"/>
              </w:rPr>
            </w:pPr>
          </w:p>
        </w:tc>
        <w:tc>
          <w:tcPr>
            <w:tcW w:w="74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324"/>
        </w:trPr>
        <w:tc>
          <w:tcPr>
            <w:tcW w:w="4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410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160" w:type="dxa"/>
            <w:vAlign w:val="bottom"/>
            <w:shd w:val="clear" w:color="auto" w:fill="CCEEFF"/>
          </w:tcPr>
          <w:p>
            <w:pPr>
              <w:spacing w:after="0"/>
              <w:rPr>
                <w:sz w:val="24"/>
                <w:szCs w:val="24"/>
                <w:color w:val="auto"/>
              </w:rPr>
            </w:pPr>
          </w:p>
        </w:tc>
        <w:tc>
          <w:tcPr>
            <w:tcW w:w="24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08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320" w:type="dxa"/>
            <w:vAlign w:val="bottom"/>
            <w:shd w:val="clear" w:color="auto" w:fill="CCEEFF"/>
          </w:tcPr>
          <w:p>
            <w:pPr>
              <w:spacing w:after="0"/>
              <w:rPr>
                <w:sz w:val="24"/>
                <w:szCs w:val="24"/>
                <w:color w:val="auto"/>
              </w:rPr>
            </w:pPr>
          </w:p>
        </w:tc>
        <w:tc>
          <w:tcPr>
            <w:tcW w:w="9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120" w:type="dxa"/>
            <w:vAlign w:val="bottom"/>
            <w:shd w:val="clear" w:color="auto" w:fill="CCEEFF"/>
          </w:tcPr>
          <w:p>
            <w:pPr>
              <w:spacing w:after="0"/>
              <w:rPr>
                <w:sz w:val="24"/>
                <w:szCs w:val="24"/>
                <w:color w:val="auto"/>
              </w:rPr>
            </w:pPr>
          </w:p>
        </w:tc>
        <w:tc>
          <w:tcPr>
            <w:tcW w:w="1220" w:type="dxa"/>
            <w:vAlign w:val="bottom"/>
            <w:shd w:val="clear" w:color="auto" w:fill="CCEEFF"/>
          </w:tcPr>
          <w:p>
            <w:pPr>
              <w:spacing w:after="0"/>
              <w:rPr>
                <w:sz w:val="24"/>
                <w:szCs w:val="24"/>
                <w:color w:val="auto"/>
              </w:rPr>
            </w:pPr>
          </w:p>
        </w:tc>
        <w:tc>
          <w:tcPr>
            <w:tcW w:w="220" w:type="dxa"/>
            <w:vAlign w:val="bottom"/>
            <w:shd w:val="clear" w:color="auto" w:fill="CCEEFF"/>
          </w:tcPr>
          <w:p>
            <w:pPr>
              <w:spacing w:after="0"/>
              <w:rPr>
                <w:sz w:val="24"/>
                <w:szCs w:val="24"/>
                <w:color w:val="auto"/>
              </w:rPr>
            </w:pPr>
          </w:p>
        </w:tc>
        <w:tc>
          <w:tcPr>
            <w:tcW w:w="500" w:type="dxa"/>
            <w:vAlign w:val="bottom"/>
            <w:shd w:val="clear" w:color="auto" w:fill="CCEEFF"/>
          </w:tcPr>
          <w:p>
            <w:pPr>
              <w:spacing w:after="0"/>
              <w:rPr>
                <w:sz w:val="24"/>
                <w:szCs w:val="24"/>
                <w:color w:val="auto"/>
              </w:rPr>
            </w:pPr>
          </w:p>
        </w:tc>
        <w:tc>
          <w:tcPr>
            <w:tcW w:w="74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r>
        <w:trPr>
          <w:trHeight w:val="243"/>
        </w:trPr>
        <w:tc>
          <w:tcPr>
            <w:tcW w:w="4100" w:type="dxa"/>
            <w:vAlign w:val="bottom"/>
          </w:tcPr>
          <w:p>
            <w:pPr>
              <w:ind w:left="40"/>
              <w:spacing w:after="0"/>
              <w:rPr>
                <w:sz w:val="20"/>
                <w:szCs w:val="20"/>
                <w:color w:val="auto"/>
              </w:rPr>
            </w:pPr>
            <w:r>
              <w:rPr>
                <w:rFonts w:ascii="Arial" w:cs="Arial" w:eastAsia="Arial" w:hAnsi="Arial"/>
                <w:sz w:val="18"/>
                <w:szCs w:val="18"/>
                <w:color w:val="auto"/>
              </w:rPr>
              <w:t>Weighted average shares — basic</w:t>
            </w:r>
          </w:p>
        </w:tc>
        <w:tc>
          <w:tcPr>
            <w:tcW w:w="120" w:type="dxa"/>
            <w:vAlign w:val="bottom"/>
          </w:tcPr>
          <w:p>
            <w:pPr>
              <w:spacing w:after="0"/>
              <w:rPr>
                <w:sz w:val="21"/>
                <w:szCs w:val="21"/>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494,096</w:t>
            </w:r>
          </w:p>
        </w:tc>
        <w:tc>
          <w:tcPr>
            <w:tcW w:w="2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500,817</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511,090</w:t>
            </w:r>
          </w:p>
        </w:tc>
        <w:tc>
          <w:tcPr>
            <w:tcW w:w="2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499,568</w:t>
            </w:r>
          </w:p>
        </w:tc>
        <w:tc>
          <w:tcPr>
            <w:tcW w:w="22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w w:val="95"/>
              </w:rPr>
              <w:t>510,373</w:t>
            </w:r>
          </w:p>
        </w:tc>
        <w:tc>
          <w:tcPr>
            <w:tcW w:w="0" w:type="dxa"/>
            <w:vAlign w:val="bottom"/>
          </w:tcPr>
          <w:p>
            <w:pPr>
              <w:spacing w:after="0"/>
              <w:rPr>
                <w:sz w:val="1"/>
                <w:szCs w:val="1"/>
                <w:color w:val="auto"/>
              </w:rPr>
            </w:pPr>
          </w:p>
        </w:tc>
      </w:tr>
      <w:tr>
        <w:trPr>
          <w:trHeight w:val="67"/>
        </w:trPr>
        <w:tc>
          <w:tcPr>
            <w:tcW w:w="4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50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4100" w:type="dxa"/>
            <w:vAlign w:val="bottom"/>
            <w:tcBorders>
              <w:bottom w:val="single" w:sz="8" w:color="CCEEFF"/>
            </w:tcBorders>
            <w:shd w:val="clear" w:color="auto" w:fill="CCEEFF"/>
          </w:tcPr>
          <w:p>
            <w:pPr>
              <w:ind w:left="40"/>
              <w:spacing w:after="0" w:line="196" w:lineRule="exact"/>
              <w:rPr>
                <w:sz w:val="20"/>
                <w:szCs w:val="20"/>
                <w:color w:val="auto"/>
              </w:rPr>
            </w:pPr>
            <w:r>
              <w:rPr>
                <w:rFonts w:ascii="Arial" w:cs="Arial" w:eastAsia="Arial" w:hAnsi="Arial"/>
                <w:sz w:val="18"/>
                <w:szCs w:val="18"/>
                <w:color w:val="auto"/>
              </w:rPr>
              <w:t>Weighted average shares — diluted</w:t>
            </w:r>
          </w:p>
        </w:tc>
        <w:tc>
          <w:tcPr>
            <w:tcW w:w="120" w:type="dxa"/>
            <w:vAlign w:val="bottom"/>
            <w:tcBorders>
              <w:bottom w:val="single" w:sz="8" w:color="CCEEFF"/>
            </w:tcBorders>
            <w:shd w:val="clear" w:color="auto" w:fill="CCEEFF"/>
          </w:tcPr>
          <w:p>
            <w:pPr>
              <w:spacing w:after="0"/>
              <w:rPr>
                <w:sz w:val="21"/>
                <w:szCs w:val="21"/>
                <w:color w:val="auto"/>
              </w:rPr>
            </w:pPr>
          </w:p>
        </w:tc>
        <w:tc>
          <w:tcPr>
            <w:tcW w:w="116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504,903</w:t>
            </w:r>
          </w:p>
        </w:tc>
        <w:tc>
          <w:tcPr>
            <w:tcW w:w="24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CCEEFF"/>
            </w:tcBorders>
            <w:shd w:val="clear" w:color="auto" w:fill="CCEEFF"/>
          </w:tcPr>
          <w:p>
            <w:pPr>
              <w:spacing w:after="0"/>
              <w:rPr>
                <w:sz w:val="21"/>
                <w:szCs w:val="21"/>
                <w:color w:val="auto"/>
              </w:rPr>
            </w:pPr>
          </w:p>
        </w:tc>
        <w:tc>
          <w:tcPr>
            <w:tcW w:w="1080" w:type="dxa"/>
            <w:vAlign w:val="bottom"/>
            <w:tcBorders>
              <w:bottom w:val="single" w:sz="8" w:color="CCEEFF"/>
            </w:tcBorders>
            <w:shd w:val="clear" w:color="auto" w:fill="CCEEFF"/>
          </w:tcPr>
          <w:p>
            <w:pPr>
              <w:jc w:val="right"/>
              <w:ind w:right="31"/>
              <w:spacing w:after="0"/>
              <w:rPr>
                <w:sz w:val="20"/>
                <w:szCs w:val="20"/>
                <w:color w:val="auto"/>
              </w:rPr>
            </w:pPr>
            <w:r>
              <w:rPr>
                <w:rFonts w:ascii="Arial" w:cs="Arial" w:eastAsia="Arial" w:hAnsi="Arial"/>
                <w:sz w:val="18"/>
                <w:szCs w:val="18"/>
                <w:color w:val="auto"/>
              </w:rPr>
              <w:t>510,309</w:t>
            </w:r>
          </w:p>
        </w:tc>
        <w:tc>
          <w:tcPr>
            <w:tcW w:w="22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CCEEFF"/>
            </w:tcBorders>
            <w:shd w:val="clear" w:color="auto" w:fill="CCEEFF"/>
          </w:tcPr>
          <w:p>
            <w:pPr>
              <w:spacing w:after="0"/>
              <w:rPr>
                <w:sz w:val="21"/>
                <w:szCs w:val="21"/>
                <w:color w:val="auto"/>
              </w:rPr>
            </w:pPr>
          </w:p>
        </w:tc>
        <w:tc>
          <w:tcPr>
            <w:tcW w:w="920" w:type="dxa"/>
            <w:vAlign w:val="bottom"/>
            <w:tcBorders>
              <w:bottom w:val="single" w:sz="8" w:color="CCEEFF"/>
            </w:tcBorders>
            <w:shd w:val="clear" w:color="auto" w:fill="CCEEFF"/>
          </w:tcPr>
          <w:p>
            <w:pPr>
              <w:jc w:val="right"/>
              <w:ind w:right="30"/>
              <w:spacing w:after="0"/>
              <w:rPr>
                <w:sz w:val="20"/>
                <w:szCs w:val="20"/>
                <w:color w:val="auto"/>
              </w:rPr>
            </w:pPr>
            <w:r>
              <w:rPr>
                <w:rFonts w:ascii="Arial" w:cs="Arial" w:eastAsia="Arial" w:hAnsi="Arial"/>
                <w:sz w:val="18"/>
                <w:szCs w:val="18"/>
                <w:color w:val="auto"/>
              </w:rPr>
              <w:t>522,091</w:t>
            </w:r>
          </w:p>
        </w:tc>
        <w:tc>
          <w:tcPr>
            <w:tcW w:w="22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1220" w:type="dxa"/>
            <w:vAlign w:val="bottom"/>
            <w:tcBorders>
              <w:bottom w:val="single" w:sz="8" w:color="CCEEFF"/>
            </w:tcBorders>
            <w:shd w:val="clear" w:color="auto" w:fill="CCEEFF"/>
          </w:tcPr>
          <w:p>
            <w:pPr>
              <w:jc w:val="right"/>
              <w:ind w:right="12"/>
              <w:spacing w:after="0"/>
              <w:rPr>
                <w:sz w:val="20"/>
                <w:szCs w:val="20"/>
                <w:color w:val="auto"/>
              </w:rPr>
            </w:pPr>
            <w:r>
              <w:rPr>
                <w:rFonts w:ascii="Arial" w:cs="Arial" w:eastAsia="Arial" w:hAnsi="Arial"/>
                <w:sz w:val="18"/>
                <w:szCs w:val="18"/>
                <w:color w:val="auto"/>
              </w:rPr>
              <w:t>510,935</w:t>
            </w:r>
          </w:p>
        </w:tc>
        <w:tc>
          <w:tcPr>
            <w:tcW w:w="220" w:type="dxa"/>
            <w:vAlign w:val="bottom"/>
            <w:tcBorders>
              <w:bottom w:val="single" w:sz="8" w:color="CCEEFF"/>
            </w:tcBorders>
            <w:shd w:val="clear" w:color="auto" w:fill="CCEEFF"/>
          </w:tcPr>
          <w:p>
            <w:pPr>
              <w:spacing w:after="0"/>
              <w:rPr>
                <w:sz w:val="21"/>
                <w:szCs w:val="21"/>
                <w:color w:val="auto"/>
              </w:rPr>
            </w:pPr>
          </w:p>
        </w:tc>
        <w:tc>
          <w:tcPr>
            <w:tcW w:w="500" w:type="dxa"/>
            <w:vAlign w:val="bottom"/>
            <w:tcBorders>
              <w:bottom w:val="single" w:sz="8" w:color="CCEEFF"/>
            </w:tcBorders>
            <w:shd w:val="clear" w:color="auto" w:fill="CCEEFF"/>
          </w:tcPr>
          <w:p>
            <w:pPr>
              <w:spacing w:after="0"/>
              <w:rPr>
                <w:sz w:val="21"/>
                <w:szCs w:val="21"/>
                <w:color w:val="auto"/>
              </w:rPr>
            </w:pPr>
          </w:p>
        </w:tc>
        <w:tc>
          <w:tcPr>
            <w:tcW w:w="740" w:type="dxa"/>
            <w:vAlign w:val="bottom"/>
            <w:tcBorders>
              <w:bottom w:val="single" w:sz="8" w:color="CCEEFF"/>
            </w:tcBorders>
            <w:shd w:val="clear" w:color="auto" w:fill="CCEEFF"/>
          </w:tcPr>
          <w:p>
            <w:pPr>
              <w:jc w:val="right"/>
              <w:ind w:right="10"/>
              <w:spacing w:after="0"/>
              <w:rPr>
                <w:sz w:val="20"/>
                <w:szCs w:val="20"/>
                <w:color w:val="auto"/>
              </w:rPr>
            </w:pPr>
            <w:r>
              <w:rPr>
                <w:rFonts w:ascii="Arial" w:cs="Arial" w:eastAsia="Arial" w:hAnsi="Arial"/>
                <w:sz w:val="18"/>
                <w:szCs w:val="18"/>
                <w:color w:val="auto"/>
                <w:w w:val="95"/>
              </w:rPr>
              <w:t>516,476</w:t>
            </w:r>
          </w:p>
        </w:tc>
        <w:tc>
          <w:tcPr>
            <w:tcW w:w="0" w:type="dxa"/>
            <w:vAlign w:val="bottom"/>
          </w:tcPr>
          <w:p>
            <w:pPr>
              <w:spacing w:after="0"/>
              <w:rPr>
                <w:sz w:val="1"/>
                <w:szCs w:val="1"/>
                <w:color w:val="auto"/>
              </w:rPr>
            </w:pPr>
          </w:p>
        </w:tc>
      </w:tr>
      <w:tr>
        <w:trPr>
          <w:trHeight w:val="20"/>
        </w:trPr>
        <w:tc>
          <w:tcPr>
            <w:tcW w:w="4100" w:type="dxa"/>
            <w:vAlign w:val="bottom"/>
            <w:tcBorders>
              <w:top w:val="single" w:sz="8" w:color="CCEEFF"/>
              <w:bottom w:val="single" w:sz="8" w:color="CCEEFF"/>
            </w:tcBorders>
            <w:vMerge w:val="restart"/>
          </w:tcPr>
          <w:p>
            <w:pPr>
              <w:ind w:left="40"/>
              <w:spacing w:after="0"/>
              <w:rPr>
                <w:sz w:val="20"/>
                <w:szCs w:val="20"/>
                <w:color w:val="auto"/>
              </w:rPr>
            </w:pPr>
            <w:r>
              <w:rPr>
                <w:rFonts w:ascii="Arial" w:cs="Arial" w:eastAsia="Arial" w:hAnsi="Arial"/>
                <w:sz w:val="18"/>
                <w:szCs w:val="18"/>
                <w:color w:val="auto"/>
              </w:rPr>
              <w:t>Non-GAAP weighted average shares — diluted (f)</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4100" w:type="dxa"/>
            <w:vAlign w:val="bottom"/>
            <w:vMerge w:val="continue"/>
          </w:tcPr>
          <w:p>
            <w:pPr>
              <w:spacing w:after="0"/>
              <w:rPr>
                <w:sz w:val="19"/>
                <w:szCs w:val="19"/>
                <w:color w:val="auto"/>
              </w:rPr>
            </w:pPr>
          </w:p>
        </w:tc>
        <w:tc>
          <w:tcPr>
            <w:tcW w:w="120" w:type="dxa"/>
            <w:vAlign w:val="bottom"/>
          </w:tcPr>
          <w:p>
            <w:pPr>
              <w:spacing w:after="0"/>
              <w:rPr>
                <w:sz w:val="19"/>
                <w:szCs w:val="19"/>
                <w:color w:val="auto"/>
              </w:rPr>
            </w:pPr>
          </w:p>
        </w:tc>
        <w:tc>
          <w:tcPr>
            <w:tcW w:w="1160" w:type="dxa"/>
            <w:vAlign w:val="bottom"/>
          </w:tcPr>
          <w:p>
            <w:pPr>
              <w:jc w:val="right"/>
              <w:ind w:right="31"/>
              <w:spacing w:after="0"/>
              <w:rPr>
                <w:sz w:val="20"/>
                <w:szCs w:val="20"/>
                <w:color w:val="auto"/>
              </w:rPr>
            </w:pPr>
            <w:r>
              <w:rPr>
                <w:rFonts w:ascii="Arial" w:cs="Arial" w:eastAsia="Arial" w:hAnsi="Arial"/>
                <w:sz w:val="18"/>
                <w:szCs w:val="18"/>
                <w:color w:val="auto"/>
              </w:rPr>
              <w:t>512,676</w:t>
            </w:r>
          </w:p>
        </w:tc>
        <w:tc>
          <w:tcPr>
            <w:tcW w:w="2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80" w:type="dxa"/>
            <w:vAlign w:val="bottom"/>
          </w:tcPr>
          <w:p>
            <w:pPr>
              <w:jc w:val="right"/>
              <w:ind w:right="31"/>
              <w:spacing w:after="0"/>
              <w:rPr>
                <w:sz w:val="20"/>
                <w:szCs w:val="20"/>
                <w:color w:val="auto"/>
              </w:rPr>
            </w:pPr>
            <w:r>
              <w:rPr>
                <w:rFonts w:ascii="Arial" w:cs="Arial" w:eastAsia="Arial" w:hAnsi="Arial"/>
                <w:sz w:val="18"/>
                <w:szCs w:val="18"/>
                <w:color w:val="auto"/>
              </w:rPr>
              <w:t>519,438</w:t>
            </w: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920" w:type="dxa"/>
            <w:vAlign w:val="bottom"/>
          </w:tcPr>
          <w:p>
            <w:pPr>
              <w:jc w:val="right"/>
              <w:ind w:right="30"/>
              <w:spacing w:after="0"/>
              <w:rPr>
                <w:sz w:val="20"/>
                <w:szCs w:val="20"/>
                <w:color w:val="auto"/>
              </w:rPr>
            </w:pPr>
            <w:r>
              <w:rPr>
                <w:rFonts w:ascii="Arial" w:cs="Arial" w:eastAsia="Arial" w:hAnsi="Arial"/>
                <w:sz w:val="18"/>
                <w:szCs w:val="18"/>
                <w:color w:val="auto"/>
              </w:rPr>
              <w:t>531,831</w:t>
            </w: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220" w:type="dxa"/>
            <w:vAlign w:val="bottom"/>
          </w:tcPr>
          <w:p>
            <w:pPr>
              <w:jc w:val="right"/>
              <w:ind w:right="12"/>
              <w:spacing w:after="0"/>
              <w:rPr>
                <w:sz w:val="20"/>
                <w:szCs w:val="20"/>
                <w:color w:val="auto"/>
              </w:rPr>
            </w:pPr>
            <w:r>
              <w:rPr>
                <w:rFonts w:ascii="Arial" w:cs="Arial" w:eastAsia="Arial" w:hAnsi="Arial"/>
                <w:sz w:val="18"/>
                <w:szCs w:val="18"/>
                <w:color w:val="auto"/>
              </w:rPr>
              <w:t>518,423</w:t>
            </w:r>
          </w:p>
        </w:tc>
        <w:tc>
          <w:tcPr>
            <w:tcW w:w="2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40" w:type="dxa"/>
            <w:vAlign w:val="bottom"/>
          </w:tcPr>
          <w:p>
            <w:pPr>
              <w:jc w:val="right"/>
              <w:ind w:right="10"/>
              <w:spacing w:after="0"/>
              <w:rPr>
                <w:sz w:val="20"/>
                <w:szCs w:val="20"/>
                <w:color w:val="auto"/>
              </w:rPr>
            </w:pPr>
            <w:r>
              <w:rPr>
                <w:rFonts w:ascii="Arial" w:cs="Arial" w:eastAsia="Arial" w:hAnsi="Arial"/>
                <w:sz w:val="18"/>
                <w:szCs w:val="18"/>
                <w:color w:val="auto"/>
                <w:w w:val="95"/>
              </w:rPr>
              <w:t>526,883</w:t>
            </w:r>
          </w:p>
        </w:tc>
        <w:tc>
          <w:tcPr>
            <w:tcW w:w="0" w:type="dxa"/>
            <w:vAlign w:val="bottom"/>
          </w:tcPr>
          <w:p>
            <w:pPr>
              <w:spacing w:after="0"/>
              <w:rPr>
                <w:sz w:val="1"/>
                <w:szCs w:val="1"/>
                <w:color w:val="auto"/>
              </w:rPr>
            </w:pPr>
          </w:p>
        </w:tc>
      </w:tr>
      <w:tr>
        <w:trPr>
          <w:trHeight w:val="67"/>
        </w:trPr>
        <w:tc>
          <w:tcPr>
            <w:tcW w:w="410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160" w:type="dxa"/>
            <w:vAlign w:val="bottom"/>
            <w:tcBorders>
              <w:bottom w:val="single" w:sz="8" w:color="auto"/>
            </w:tcBorders>
          </w:tcPr>
          <w:p>
            <w:pPr>
              <w:spacing w:after="0"/>
              <w:rPr>
                <w:sz w:val="5"/>
                <w:szCs w:val="5"/>
                <w:color w:val="auto"/>
              </w:rPr>
            </w:pPr>
          </w:p>
        </w:tc>
        <w:tc>
          <w:tcPr>
            <w:tcW w:w="240" w:type="dxa"/>
            <w:vAlign w:val="bottom"/>
            <w:tcBorders>
              <w:bottom w:val="single" w:sz="8" w:color="CCEEFF"/>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08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320" w:type="dxa"/>
            <w:vAlign w:val="bottom"/>
            <w:tcBorders>
              <w:bottom w:val="single" w:sz="8" w:color="auto"/>
            </w:tcBorders>
          </w:tcPr>
          <w:p>
            <w:pPr>
              <w:spacing w:after="0"/>
              <w:rPr>
                <w:sz w:val="5"/>
                <w:szCs w:val="5"/>
                <w:color w:val="auto"/>
              </w:rPr>
            </w:pPr>
          </w:p>
        </w:tc>
        <w:tc>
          <w:tcPr>
            <w:tcW w:w="9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220" w:type="dxa"/>
            <w:vAlign w:val="bottom"/>
            <w:tcBorders>
              <w:bottom w:val="single" w:sz="8" w:color="auto"/>
            </w:tcBorders>
          </w:tcPr>
          <w:p>
            <w:pPr>
              <w:spacing w:after="0"/>
              <w:rPr>
                <w:sz w:val="5"/>
                <w:szCs w:val="5"/>
                <w:color w:val="auto"/>
              </w:rPr>
            </w:pPr>
          </w:p>
        </w:tc>
        <w:tc>
          <w:tcPr>
            <w:tcW w:w="220" w:type="dxa"/>
            <w:vAlign w:val="bottom"/>
            <w:tcBorders>
              <w:bottom w:val="single" w:sz="8" w:color="CCEEFF"/>
            </w:tcBorders>
          </w:tcPr>
          <w:p>
            <w:pPr>
              <w:spacing w:after="0"/>
              <w:rPr>
                <w:sz w:val="5"/>
                <w:szCs w:val="5"/>
                <w:color w:val="auto"/>
              </w:rPr>
            </w:pPr>
          </w:p>
        </w:tc>
        <w:tc>
          <w:tcPr>
            <w:tcW w:w="500" w:type="dxa"/>
            <w:vAlign w:val="bottom"/>
            <w:tcBorders>
              <w:bottom w:val="single" w:sz="8" w:color="auto"/>
            </w:tcBorders>
          </w:tcPr>
          <w:p>
            <w:pPr>
              <w:spacing w:after="0"/>
              <w:rPr>
                <w:sz w:val="5"/>
                <w:szCs w:val="5"/>
                <w:color w:val="auto"/>
              </w:rPr>
            </w:pPr>
          </w:p>
        </w:tc>
        <w:tc>
          <w:tcPr>
            <w:tcW w:w="740" w:type="dxa"/>
            <w:vAlign w:val="bottom"/>
            <w:tcBorders>
              <w:bottom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41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160" w:type="dxa"/>
            <w:vAlign w:val="bottom"/>
            <w:shd w:val="clear" w:color="auto" w:fill="CCEEFF"/>
          </w:tcPr>
          <w:p>
            <w:pPr>
              <w:spacing w:after="0"/>
              <w:rPr>
                <w:sz w:val="21"/>
                <w:szCs w:val="21"/>
                <w:color w:val="auto"/>
              </w:rPr>
            </w:pPr>
          </w:p>
        </w:tc>
        <w:tc>
          <w:tcPr>
            <w:tcW w:w="240" w:type="dxa"/>
            <w:vAlign w:val="bottom"/>
            <w:shd w:val="clear" w:color="auto" w:fill="CCEEFF"/>
          </w:tcPr>
          <w:p>
            <w:pPr>
              <w:spacing w:after="0"/>
              <w:rPr>
                <w:sz w:val="21"/>
                <w:szCs w:val="21"/>
                <w:color w:val="auto"/>
              </w:rPr>
            </w:pPr>
          </w:p>
        </w:tc>
        <w:tc>
          <w:tcPr>
            <w:tcW w:w="160" w:type="dxa"/>
            <w:vAlign w:val="bottom"/>
            <w:shd w:val="clear" w:color="auto" w:fill="CCEEFF"/>
          </w:tcPr>
          <w:p>
            <w:pPr>
              <w:spacing w:after="0"/>
              <w:rPr>
                <w:sz w:val="21"/>
                <w:szCs w:val="21"/>
                <w:color w:val="auto"/>
              </w:rPr>
            </w:pPr>
          </w:p>
        </w:tc>
        <w:tc>
          <w:tcPr>
            <w:tcW w:w="108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32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12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500" w:type="dxa"/>
            <w:vAlign w:val="bottom"/>
            <w:shd w:val="clear" w:color="auto" w:fill="CCEEFF"/>
          </w:tcPr>
          <w:p>
            <w:pPr>
              <w:spacing w:after="0"/>
              <w:rPr>
                <w:sz w:val="21"/>
                <w:szCs w:val="21"/>
                <w:color w:val="auto"/>
              </w:rPr>
            </w:pPr>
          </w:p>
        </w:tc>
        <w:tc>
          <w:tcPr>
            <w:tcW w:w="74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4100" w:type="dxa"/>
            <w:vAlign w:val="bottom"/>
          </w:tcPr>
          <w:p>
            <w:pPr>
              <w:ind w:left="40"/>
              <w:spacing w:after="0"/>
              <w:rPr>
                <w:sz w:val="20"/>
                <w:szCs w:val="20"/>
                <w:color w:val="auto"/>
              </w:rPr>
            </w:pPr>
            <w:r>
              <w:rPr>
                <w:rFonts w:ascii="Arial" w:cs="Arial" w:eastAsia="Arial" w:hAnsi="Arial"/>
                <w:sz w:val="18"/>
                <w:szCs w:val="18"/>
                <w:color w:val="auto"/>
              </w:rPr>
              <w:t>GAAP diluted net income (loss) per share from</w:t>
            </w: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vMerge w:val="restart"/>
          </w:tcPr>
          <w:p>
            <w:pPr>
              <w:jc w:val="right"/>
              <w:ind w:right="31"/>
              <w:spacing w:after="0"/>
              <w:rPr>
                <w:sz w:val="20"/>
                <w:szCs w:val="20"/>
                <w:color w:val="auto"/>
              </w:rPr>
            </w:pPr>
            <w:r>
              <w:rPr>
                <w:rFonts w:ascii="Arial" w:cs="Arial" w:eastAsia="Arial" w:hAnsi="Arial"/>
                <w:sz w:val="18"/>
                <w:szCs w:val="18"/>
                <w:color w:val="auto"/>
              </w:rPr>
              <w:t>0.30</w:t>
            </w:r>
          </w:p>
        </w:tc>
        <w:tc>
          <w:tcPr>
            <w:tcW w:w="240" w:type="dxa"/>
            <w:vAlign w:val="bottom"/>
            <w:vMerge w:val="restart"/>
          </w:tcPr>
          <w:p>
            <w:pPr>
              <w:spacing w:after="0"/>
              <w:rPr>
                <w:sz w:val="19"/>
                <w:szCs w:val="19"/>
                <w:color w:val="auto"/>
              </w:rPr>
            </w:pPr>
          </w:p>
        </w:tc>
        <w:tc>
          <w:tcPr>
            <w:tcW w:w="160" w:type="dxa"/>
            <w:vAlign w:val="bottom"/>
            <w:vMerge w:val="restart"/>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vMerge w:val="restart"/>
          </w:tcPr>
          <w:p>
            <w:pPr>
              <w:jc w:val="right"/>
              <w:ind w:right="31"/>
              <w:spacing w:after="0"/>
              <w:rPr>
                <w:sz w:val="20"/>
                <w:szCs w:val="20"/>
                <w:color w:val="auto"/>
              </w:rPr>
            </w:pPr>
            <w:r>
              <w:rPr>
                <w:rFonts w:ascii="Arial" w:cs="Arial" w:eastAsia="Arial" w:hAnsi="Arial"/>
                <w:sz w:val="18"/>
                <w:szCs w:val="18"/>
                <w:color w:val="auto"/>
              </w:rPr>
              <w:t>0.26</w:t>
            </w:r>
          </w:p>
        </w:tc>
        <w:tc>
          <w:tcPr>
            <w:tcW w:w="220" w:type="dxa"/>
            <w:vAlign w:val="bottom"/>
          </w:tcPr>
          <w:p>
            <w:pPr>
              <w:spacing w:after="0"/>
              <w:rPr>
                <w:sz w:val="19"/>
                <w:szCs w:val="19"/>
                <w:color w:val="auto"/>
              </w:rPr>
            </w:pPr>
          </w:p>
        </w:tc>
        <w:tc>
          <w:tcPr>
            <w:tcW w:w="320" w:type="dxa"/>
            <w:vAlign w:val="bottom"/>
            <w:vMerge w:val="restart"/>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vMerge w:val="restart"/>
          </w:tcPr>
          <w:p>
            <w:pPr>
              <w:jc w:val="right"/>
              <w:ind w:right="30"/>
              <w:spacing w:after="0"/>
              <w:rPr>
                <w:sz w:val="20"/>
                <w:szCs w:val="20"/>
                <w:color w:val="auto"/>
              </w:rPr>
            </w:pPr>
            <w:r>
              <w:rPr>
                <w:rFonts w:ascii="Arial" w:cs="Arial" w:eastAsia="Arial" w:hAnsi="Arial"/>
                <w:sz w:val="18"/>
                <w:szCs w:val="18"/>
                <w:color w:val="auto"/>
              </w:rPr>
              <w:t>0.16</w:t>
            </w:r>
          </w:p>
        </w:tc>
        <w:tc>
          <w:tcPr>
            <w:tcW w:w="220" w:type="dxa"/>
            <w:vAlign w:val="bottom"/>
          </w:tcPr>
          <w:p>
            <w:pPr>
              <w:spacing w:after="0"/>
              <w:rPr>
                <w:sz w:val="19"/>
                <w:szCs w:val="19"/>
                <w:color w:val="auto"/>
              </w:rPr>
            </w:pPr>
          </w:p>
        </w:tc>
        <w:tc>
          <w:tcPr>
            <w:tcW w:w="120" w:type="dxa"/>
            <w:vAlign w:val="bottom"/>
            <w:vMerge w:val="restart"/>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vMerge w:val="restart"/>
          </w:tcPr>
          <w:p>
            <w:pPr>
              <w:jc w:val="right"/>
              <w:ind w:right="12"/>
              <w:spacing w:after="0"/>
              <w:rPr>
                <w:sz w:val="20"/>
                <w:szCs w:val="20"/>
                <w:color w:val="auto"/>
              </w:rPr>
            </w:pPr>
            <w:r>
              <w:rPr>
                <w:rFonts w:ascii="Arial" w:cs="Arial" w:eastAsia="Arial" w:hAnsi="Arial"/>
                <w:sz w:val="18"/>
                <w:szCs w:val="18"/>
                <w:color w:val="auto"/>
              </w:rPr>
              <w:t>0.75</w:t>
            </w:r>
          </w:p>
        </w:tc>
        <w:tc>
          <w:tcPr>
            <w:tcW w:w="220" w:type="dxa"/>
            <w:vAlign w:val="bottom"/>
          </w:tcPr>
          <w:p>
            <w:pPr>
              <w:spacing w:after="0"/>
              <w:rPr>
                <w:sz w:val="19"/>
                <w:szCs w:val="19"/>
                <w:color w:val="auto"/>
              </w:rPr>
            </w:pPr>
          </w:p>
        </w:tc>
        <w:tc>
          <w:tcPr>
            <w:tcW w:w="500" w:type="dxa"/>
            <w:vAlign w:val="bottom"/>
            <w:vMerge w:val="restart"/>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vMerge w:val="restart"/>
          </w:tcPr>
          <w:p>
            <w:pPr>
              <w:jc w:val="right"/>
              <w:ind w:right="10"/>
              <w:spacing w:after="0"/>
              <w:rPr>
                <w:sz w:val="20"/>
                <w:szCs w:val="20"/>
                <w:color w:val="auto"/>
              </w:rPr>
            </w:pPr>
            <w:r>
              <w:rPr>
                <w:rFonts w:ascii="Arial" w:cs="Arial" w:eastAsia="Arial" w:hAnsi="Arial"/>
                <w:sz w:val="18"/>
                <w:szCs w:val="18"/>
                <w:color w:val="auto"/>
              </w:rPr>
              <w:t>0.27</w:t>
            </w:r>
          </w:p>
        </w:tc>
        <w:tc>
          <w:tcPr>
            <w:tcW w:w="0" w:type="dxa"/>
            <w:vAlign w:val="bottom"/>
          </w:tcPr>
          <w:p>
            <w:pPr>
              <w:spacing w:after="0"/>
              <w:rPr>
                <w:sz w:val="1"/>
                <w:szCs w:val="1"/>
                <w:color w:val="auto"/>
              </w:rPr>
            </w:pPr>
          </w:p>
        </w:tc>
      </w:tr>
      <w:tr>
        <w:trPr>
          <w:trHeight w:val="277"/>
        </w:trPr>
        <w:tc>
          <w:tcPr>
            <w:tcW w:w="410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continuing operations</w:t>
            </w:r>
          </w:p>
        </w:tc>
        <w:tc>
          <w:tcPr>
            <w:tcW w:w="120" w:type="dxa"/>
            <w:vAlign w:val="bottom"/>
            <w:tcBorders>
              <w:bottom w:val="single" w:sz="8" w:color="auto"/>
            </w:tcBorders>
            <w:vMerge w:val="continue"/>
          </w:tcPr>
          <w:p>
            <w:pPr>
              <w:spacing w:after="0"/>
              <w:rPr>
                <w:sz w:val="24"/>
                <w:szCs w:val="24"/>
                <w:color w:val="auto"/>
              </w:rPr>
            </w:pPr>
          </w:p>
        </w:tc>
        <w:tc>
          <w:tcPr>
            <w:tcW w:w="1160" w:type="dxa"/>
            <w:vAlign w:val="bottom"/>
            <w:tcBorders>
              <w:bottom w:val="single" w:sz="8" w:color="auto"/>
            </w:tcBorders>
            <w:vMerge w:val="continue"/>
          </w:tcPr>
          <w:p>
            <w:pPr>
              <w:spacing w:after="0"/>
              <w:rPr>
                <w:sz w:val="24"/>
                <w:szCs w:val="24"/>
                <w:color w:val="auto"/>
              </w:rPr>
            </w:pPr>
          </w:p>
        </w:tc>
        <w:tc>
          <w:tcPr>
            <w:tcW w:w="240" w:type="dxa"/>
            <w:vAlign w:val="bottom"/>
            <w:tcBorders>
              <w:bottom w:val="single" w:sz="8" w:color="CCEEFF"/>
            </w:tcBorders>
            <w:vMerge w:val="continue"/>
          </w:tcPr>
          <w:p>
            <w:pPr>
              <w:spacing w:after="0"/>
              <w:rPr>
                <w:sz w:val="24"/>
                <w:szCs w:val="24"/>
                <w:color w:val="auto"/>
              </w:rPr>
            </w:pPr>
          </w:p>
        </w:tc>
        <w:tc>
          <w:tcPr>
            <w:tcW w:w="160" w:type="dxa"/>
            <w:vAlign w:val="bottom"/>
            <w:tcBorders>
              <w:bottom w:val="single" w:sz="8" w:color="auto"/>
            </w:tcBorders>
            <w:vMerge w:val="continue"/>
          </w:tcPr>
          <w:p>
            <w:pPr>
              <w:spacing w:after="0"/>
              <w:rPr>
                <w:sz w:val="24"/>
                <w:szCs w:val="24"/>
                <w:color w:val="auto"/>
              </w:rPr>
            </w:pPr>
          </w:p>
        </w:tc>
        <w:tc>
          <w:tcPr>
            <w:tcW w:w="108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320" w:type="dxa"/>
            <w:vAlign w:val="bottom"/>
            <w:tcBorders>
              <w:bottom w:val="single" w:sz="8" w:color="auto"/>
            </w:tcBorders>
            <w:vMerge w:val="continue"/>
          </w:tcPr>
          <w:p>
            <w:pPr>
              <w:spacing w:after="0"/>
              <w:rPr>
                <w:sz w:val="24"/>
                <w:szCs w:val="24"/>
                <w:color w:val="auto"/>
              </w:rPr>
            </w:pPr>
          </w:p>
        </w:tc>
        <w:tc>
          <w:tcPr>
            <w:tcW w:w="92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120" w:type="dxa"/>
            <w:vAlign w:val="bottom"/>
            <w:tcBorders>
              <w:bottom w:val="single" w:sz="8" w:color="auto"/>
            </w:tcBorders>
            <w:vMerge w:val="continue"/>
          </w:tcPr>
          <w:p>
            <w:pPr>
              <w:spacing w:after="0"/>
              <w:rPr>
                <w:sz w:val="24"/>
                <w:szCs w:val="24"/>
                <w:color w:val="auto"/>
              </w:rPr>
            </w:pPr>
          </w:p>
        </w:tc>
        <w:tc>
          <w:tcPr>
            <w:tcW w:w="1220" w:type="dxa"/>
            <w:vAlign w:val="bottom"/>
            <w:tcBorders>
              <w:bottom w:val="single" w:sz="8" w:color="auto"/>
            </w:tcBorders>
            <w:vMerge w:val="continue"/>
          </w:tcPr>
          <w:p>
            <w:pPr>
              <w:spacing w:after="0"/>
              <w:rPr>
                <w:sz w:val="24"/>
                <w:szCs w:val="24"/>
                <w:color w:val="auto"/>
              </w:rPr>
            </w:pPr>
          </w:p>
        </w:tc>
        <w:tc>
          <w:tcPr>
            <w:tcW w:w="220" w:type="dxa"/>
            <w:vAlign w:val="bottom"/>
            <w:tcBorders>
              <w:bottom w:val="single" w:sz="8" w:color="CCEEFF"/>
            </w:tcBorders>
          </w:tcPr>
          <w:p>
            <w:pPr>
              <w:spacing w:after="0"/>
              <w:rPr>
                <w:sz w:val="24"/>
                <w:szCs w:val="24"/>
                <w:color w:val="auto"/>
              </w:rPr>
            </w:pPr>
          </w:p>
        </w:tc>
        <w:tc>
          <w:tcPr>
            <w:tcW w:w="500" w:type="dxa"/>
            <w:vAlign w:val="bottom"/>
            <w:tcBorders>
              <w:bottom w:val="single" w:sz="8" w:color="auto"/>
            </w:tcBorders>
            <w:vMerge w:val="continue"/>
          </w:tcPr>
          <w:p>
            <w:pPr>
              <w:spacing w:after="0"/>
              <w:rPr>
                <w:sz w:val="24"/>
                <w:szCs w:val="24"/>
                <w:color w:val="auto"/>
              </w:rPr>
            </w:pPr>
          </w:p>
        </w:tc>
        <w:tc>
          <w:tcPr>
            <w:tcW w:w="74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4100" w:type="dxa"/>
            <w:vAlign w:val="bottom"/>
            <w:shd w:val="clear" w:color="auto" w:fill="CCEEFF"/>
          </w:tcPr>
          <w:p>
            <w:pPr>
              <w:ind w:left="40"/>
              <w:spacing w:after="0" w:line="189" w:lineRule="exact"/>
              <w:rPr>
                <w:sz w:val="20"/>
                <w:szCs w:val="20"/>
                <w:color w:val="auto"/>
              </w:rPr>
            </w:pPr>
            <w:r>
              <w:rPr>
                <w:rFonts w:ascii="Arial" w:cs="Arial" w:eastAsia="Arial" w:hAnsi="Arial"/>
                <w:sz w:val="18"/>
                <w:szCs w:val="18"/>
                <w:color w:val="auto"/>
              </w:rPr>
              <w:t>Non-GAAP diluted net income per share from</w:t>
            </w: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60" w:type="dxa"/>
            <w:vAlign w:val="bottom"/>
            <w:vMerge w:val="restart"/>
            <w:shd w:val="clear" w:color="auto" w:fill="CCEEFF"/>
          </w:tcPr>
          <w:p>
            <w:pPr>
              <w:jc w:val="right"/>
              <w:ind w:right="31"/>
              <w:spacing w:after="0"/>
              <w:rPr>
                <w:sz w:val="20"/>
                <w:szCs w:val="20"/>
                <w:color w:val="auto"/>
              </w:rPr>
            </w:pPr>
            <w:r>
              <w:rPr>
                <w:rFonts w:ascii="Arial" w:cs="Arial" w:eastAsia="Arial" w:hAnsi="Arial"/>
                <w:sz w:val="18"/>
                <w:szCs w:val="18"/>
                <w:color w:val="auto"/>
              </w:rPr>
              <w:t>0.34</w:t>
            </w:r>
          </w:p>
        </w:tc>
        <w:tc>
          <w:tcPr>
            <w:tcW w:w="40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80" w:type="dxa"/>
            <w:vAlign w:val="bottom"/>
            <w:vMerge w:val="restart"/>
            <w:shd w:val="clear" w:color="auto" w:fill="CCEEFF"/>
          </w:tcPr>
          <w:p>
            <w:pPr>
              <w:jc w:val="right"/>
              <w:ind w:right="31"/>
              <w:spacing w:after="0"/>
              <w:rPr>
                <w:sz w:val="20"/>
                <w:szCs w:val="20"/>
                <w:color w:val="auto"/>
              </w:rPr>
            </w:pPr>
            <w:r>
              <w:rPr>
                <w:rFonts w:ascii="Arial" w:cs="Arial" w:eastAsia="Arial" w:hAnsi="Arial"/>
                <w:sz w:val="18"/>
                <w:szCs w:val="18"/>
                <w:color w:val="auto"/>
              </w:rPr>
              <w:t>0.30</w:t>
            </w:r>
          </w:p>
        </w:tc>
        <w:tc>
          <w:tcPr>
            <w:tcW w:w="220" w:type="dxa"/>
            <w:vAlign w:val="bottom"/>
            <w:shd w:val="clear" w:color="auto" w:fill="CCEEFF"/>
          </w:tcPr>
          <w:p>
            <w:pPr>
              <w:spacing w:after="0"/>
              <w:rPr>
                <w:sz w:val="16"/>
                <w:szCs w:val="16"/>
                <w:color w:val="auto"/>
              </w:rPr>
            </w:pPr>
          </w:p>
        </w:tc>
        <w:tc>
          <w:tcPr>
            <w:tcW w:w="320" w:type="dxa"/>
            <w:vAlign w:val="bottom"/>
            <w:vMerge w:val="restart"/>
            <w:shd w:val="clear" w:color="auto" w:fill="CCEEFF"/>
          </w:tcPr>
          <w:p>
            <w:pPr>
              <w:jc w:val="right"/>
              <w:ind w:right="133"/>
              <w:spacing w:after="0"/>
              <w:rPr>
                <w:sz w:val="20"/>
                <w:szCs w:val="20"/>
                <w:color w:val="auto"/>
              </w:rPr>
            </w:pPr>
            <w:r>
              <w:rPr>
                <w:rFonts w:ascii="Arial" w:cs="Arial" w:eastAsia="Arial" w:hAnsi="Arial"/>
                <w:sz w:val="18"/>
                <w:szCs w:val="18"/>
                <w:color w:val="auto"/>
                <w:w w:val="79"/>
              </w:rPr>
              <w:t>$</w:t>
            </w:r>
          </w:p>
        </w:tc>
        <w:tc>
          <w:tcPr>
            <w:tcW w:w="920" w:type="dxa"/>
            <w:vAlign w:val="bottom"/>
            <w:vMerge w:val="restart"/>
            <w:shd w:val="clear" w:color="auto" w:fill="CCEEFF"/>
          </w:tcPr>
          <w:p>
            <w:pPr>
              <w:jc w:val="right"/>
              <w:ind w:right="30"/>
              <w:spacing w:after="0"/>
              <w:rPr>
                <w:sz w:val="20"/>
                <w:szCs w:val="20"/>
                <w:color w:val="auto"/>
              </w:rPr>
            </w:pPr>
            <w:r>
              <w:rPr>
                <w:rFonts w:ascii="Arial" w:cs="Arial" w:eastAsia="Arial" w:hAnsi="Arial"/>
                <w:sz w:val="18"/>
                <w:szCs w:val="18"/>
                <w:color w:val="auto"/>
              </w:rPr>
              <w:t>0.21</w:t>
            </w:r>
          </w:p>
        </w:tc>
        <w:tc>
          <w:tcPr>
            <w:tcW w:w="220" w:type="dxa"/>
            <w:vAlign w:val="bottom"/>
            <w:shd w:val="clear" w:color="auto" w:fill="CCEEFF"/>
          </w:tcPr>
          <w:p>
            <w:pPr>
              <w:spacing w:after="0"/>
              <w:rPr>
                <w:sz w:val="16"/>
                <w:szCs w:val="16"/>
                <w:color w:val="auto"/>
              </w:rPr>
            </w:pPr>
          </w:p>
        </w:tc>
        <w:tc>
          <w:tcPr>
            <w:tcW w:w="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220" w:type="dxa"/>
            <w:vAlign w:val="bottom"/>
            <w:vMerge w:val="restart"/>
            <w:shd w:val="clear" w:color="auto" w:fill="CCEEFF"/>
          </w:tcPr>
          <w:p>
            <w:pPr>
              <w:jc w:val="right"/>
              <w:ind w:right="12"/>
              <w:spacing w:after="0"/>
              <w:rPr>
                <w:sz w:val="20"/>
                <w:szCs w:val="20"/>
                <w:color w:val="auto"/>
              </w:rPr>
            </w:pPr>
            <w:r>
              <w:rPr>
                <w:rFonts w:ascii="Arial" w:cs="Arial" w:eastAsia="Arial" w:hAnsi="Arial"/>
                <w:sz w:val="18"/>
                <w:szCs w:val="18"/>
                <w:color w:val="auto"/>
              </w:rPr>
              <w:t>0.87</w:t>
            </w:r>
          </w:p>
        </w:tc>
        <w:tc>
          <w:tcPr>
            <w:tcW w:w="220" w:type="dxa"/>
            <w:vAlign w:val="bottom"/>
            <w:shd w:val="clear" w:color="auto" w:fill="CCEEFF"/>
          </w:tcPr>
          <w:p>
            <w:pPr>
              <w:spacing w:after="0"/>
              <w:rPr>
                <w:sz w:val="16"/>
                <w:szCs w:val="16"/>
                <w:color w:val="auto"/>
              </w:rPr>
            </w:pPr>
          </w:p>
        </w:tc>
        <w:tc>
          <w:tcPr>
            <w:tcW w:w="500" w:type="dxa"/>
            <w:vAlign w:val="bottom"/>
            <w:vMerge w:val="restart"/>
            <w:shd w:val="clear" w:color="auto" w:fill="CCEEFF"/>
          </w:tcPr>
          <w:p>
            <w:pPr>
              <w:jc w:val="right"/>
              <w:ind w:right="293"/>
              <w:spacing w:after="0"/>
              <w:rPr>
                <w:sz w:val="20"/>
                <w:szCs w:val="20"/>
                <w:color w:val="auto"/>
              </w:rPr>
            </w:pPr>
            <w:r>
              <w:rPr>
                <w:rFonts w:ascii="Arial" w:cs="Arial" w:eastAsia="Arial" w:hAnsi="Arial"/>
                <w:sz w:val="18"/>
                <w:szCs w:val="18"/>
                <w:color w:val="auto"/>
                <w:w w:val="99"/>
              </w:rPr>
              <w:t>$</w:t>
            </w:r>
          </w:p>
        </w:tc>
        <w:tc>
          <w:tcPr>
            <w:tcW w:w="74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rPr>
              <w:t>0.44</w:t>
            </w:r>
          </w:p>
        </w:tc>
        <w:tc>
          <w:tcPr>
            <w:tcW w:w="0" w:type="dxa"/>
            <w:vAlign w:val="bottom"/>
          </w:tcPr>
          <w:p>
            <w:pPr>
              <w:spacing w:after="0"/>
              <w:rPr>
                <w:sz w:val="1"/>
                <w:szCs w:val="1"/>
                <w:color w:val="auto"/>
              </w:rPr>
            </w:pPr>
          </w:p>
        </w:tc>
      </w:tr>
      <w:tr>
        <w:trPr>
          <w:trHeight w:val="237"/>
        </w:trPr>
        <w:tc>
          <w:tcPr>
            <w:tcW w:w="41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continuing operations</w:t>
            </w:r>
          </w:p>
        </w:tc>
        <w:tc>
          <w:tcPr>
            <w:tcW w:w="120" w:type="dxa"/>
            <w:vAlign w:val="bottom"/>
            <w:vMerge w:val="continue"/>
            <w:shd w:val="clear" w:color="auto" w:fill="CCEEFF"/>
          </w:tcPr>
          <w:p>
            <w:pPr>
              <w:spacing w:after="0"/>
              <w:rPr>
                <w:sz w:val="20"/>
                <w:szCs w:val="20"/>
                <w:color w:val="auto"/>
              </w:rPr>
            </w:pPr>
          </w:p>
        </w:tc>
        <w:tc>
          <w:tcPr>
            <w:tcW w:w="1160" w:type="dxa"/>
            <w:vAlign w:val="bottom"/>
            <w:vMerge w:val="continue"/>
            <w:shd w:val="clear" w:color="auto" w:fill="CCEEFF"/>
          </w:tcPr>
          <w:p>
            <w:pPr>
              <w:spacing w:after="0"/>
              <w:rPr>
                <w:sz w:val="20"/>
                <w:szCs w:val="20"/>
                <w:color w:val="auto"/>
              </w:rPr>
            </w:pPr>
          </w:p>
        </w:tc>
        <w:tc>
          <w:tcPr>
            <w:tcW w:w="400" w:type="dxa"/>
            <w:vAlign w:val="bottom"/>
            <w:gridSpan w:val="2"/>
            <w:vMerge w:val="continue"/>
            <w:shd w:val="clear" w:color="auto" w:fill="CCEEFF"/>
          </w:tcPr>
          <w:p>
            <w:pPr>
              <w:spacing w:after="0"/>
              <w:rPr>
                <w:sz w:val="20"/>
                <w:szCs w:val="20"/>
                <w:color w:val="auto"/>
              </w:rPr>
            </w:pPr>
          </w:p>
        </w:tc>
        <w:tc>
          <w:tcPr>
            <w:tcW w:w="108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320" w:type="dxa"/>
            <w:vAlign w:val="bottom"/>
            <w:vMerge w:val="continue"/>
            <w:shd w:val="clear" w:color="auto" w:fill="CCEEFF"/>
          </w:tcPr>
          <w:p>
            <w:pPr>
              <w:spacing w:after="0"/>
              <w:rPr>
                <w:sz w:val="20"/>
                <w:szCs w:val="20"/>
                <w:color w:val="auto"/>
              </w:rPr>
            </w:pPr>
          </w:p>
        </w:tc>
        <w:tc>
          <w:tcPr>
            <w:tcW w:w="92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20" w:type="dxa"/>
            <w:vAlign w:val="bottom"/>
            <w:vMerge w:val="continue"/>
            <w:shd w:val="clear" w:color="auto" w:fill="CCEEFF"/>
          </w:tcPr>
          <w:p>
            <w:pPr>
              <w:spacing w:after="0"/>
              <w:rPr>
                <w:sz w:val="20"/>
                <w:szCs w:val="20"/>
                <w:color w:val="auto"/>
              </w:rPr>
            </w:pPr>
          </w:p>
        </w:tc>
        <w:tc>
          <w:tcPr>
            <w:tcW w:w="1220" w:type="dxa"/>
            <w:vAlign w:val="bottom"/>
            <w:vMerge w:val="continue"/>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500" w:type="dxa"/>
            <w:vAlign w:val="bottom"/>
            <w:vMerge w:val="continue"/>
            <w:shd w:val="clear" w:color="auto" w:fill="CCEEFF"/>
          </w:tcPr>
          <w:p>
            <w:pPr>
              <w:spacing w:after="0"/>
              <w:rPr>
                <w:sz w:val="20"/>
                <w:szCs w:val="20"/>
                <w:color w:val="auto"/>
              </w:rPr>
            </w:pPr>
          </w:p>
        </w:tc>
        <w:tc>
          <w:tcPr>
            <w:tcW w:w="740" w:type="dxa"/>
            <w:vAlign w:val="bottom"/>
            <w:vMerge w:val="continue"/>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410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1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22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340"/>
          </w:cols>
          <w:pgMar w:left="280" w:top="553" w:right="279" w:bottom="1440" w:gutter="0" w:footer="0" w:header="0"/>
        </w:sectPr>
      </w:pPr>
    </w:p>
    <w:bookmarkStart w:id="16" w:name="page17"/>
    <w:bookmarkEnd w:id="16"/>
    <w:p>
      <w:pPr>
        <w:ind w:left="465" w:right="18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costs of goods sold in the three months ended July 29, 2017 and the nine months ended October 28, 2017 include charges for past intellectual property licensing matters.</w:t>
      </w:r>
    </w:p>
    <w:p>
      <w:pPr>
        <w:spacing w:after="0" w:line="143" w:lineRule="exact"/>
        <w:rPr>
          <w:rFonts w:ascii="Arial" w:cs="Arial" w:eastAsia="Arial" w:hAnsi="Arial"/>
          <w:sz w:val="18"/>
          <w:szCs w:val="18"/>
          <w:i w:val="1"/>
          <w:iCs w:val="1"/>
          <w:color w:val="auto"/>
        </w:rPr>
      </w:pPr>
    </w:p>
    <w:p>
      <w:pPr>
        <w:ind w:left="465" w:right="14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costs that are a direct result of restructuring. Such charges include employee severance, facilities related costs, contract cancellation charges and impairment of equipment.</w:t>
      </w:r>
    </w:p>
    <w:p>
      <w:pPr>
        <w:spacing w:after="0" w:line="143" w:lineRule="exact"/>
        <w:rPr>
          <w:rFonts w:ascii="Arial" w:cs="Arial" w:eastAsia="Arial" w:hAnsi="Arial"/>
          <w:sz w:val="18"/>
          <w:szCs w:val="18"/>
          <w:i w:val="1"/>
          <w:iCs w:val="1"/>
          <w:color w:val="auto"/>
        </w:rPr>
      </w:pPr>
    </w:p>
    <w:p>
      <w:pPr>
        <w:ind w:left="465" w:right="12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costs of retention bonuses offered to employees who remained through the ramp down of certain operations due to the restructuring actions.</w:t>
      </w:r>
    </w:p>
    <w:p>
      <w:pPr>
        <w:spacing w:after="0" w:line="143" w:lineRule="exact"/>
        <w:rPr>
          <w:rFonts w:ascii="Arial" w:cs="Arial" w:eastAsia="Arial" w:hAnsi="Arial"/>
          <w:sz w:val="18"/>
          <w:szCs w:val="18"/>
          <w:i w:val="1"/>
          <w:iCs w:val="1"/>
          <w:color w:val="auto"/>
        </w:rPr>
      </w:pPr>
    </w:p>
    <w:p>
      <w:pPr>
        <w:ind w:left="465" w:right="220" w:hanging="465"/>
        <w:spacing w:after="0" w:line="277"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Interest and other income, net includes restructuring related items such as gain on sale of a business and foreign currency remeasurement related to restructuring related accruals.</w:t>
      </w:r>
    </w:p>
    <w:p>
      <w:pPr>
        <w:spacing w:after="0" w:line="143" w:lineRule="exact"/>
        <w:rPr>
          <w:rFonts w:ascii="Arial" w:cs="Arial" w:eastAsia="Arial" w:hAnsi="Arial"/>
          <w:sz w:val="18"/>
          <w:szCs w:val="18"/>
          <w:i w:val="1"/>
          <w:iCs w:val="1"/>
          <w:color w:val="auto"/>
        </w:rPr>
      </w:pPr>
    </w:p>
    <w:p>
      <w:pPr>
        <w:ind w:left="465" w:hanging="465"/>
        <w:spacing w:after="0" w:line="264"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in the three months ended October 28, 2017 and July 29, 2017 include adjustment to the tax provision based on a non-GAAP tax rate of 4%. Other income tax effects and adjustments in the nine months ended October 28, 2017 includes adjustment to the tax provision based on a non-GAAP tax rate of 4%.</w:t>
      </w:r>
    </w:p>
    <w:p>
      <w:pPr>
        <w:spacing w:after="0" w:line="154" w:lineRule="exact"/>
        <w:rPr>
          <w:rFonts w:ascii="Arial" w:cs="Arial" w:eastAsia="Arial" w:hAnsi="Arial"/>
          <w:sz w:val="18"/>
          <w:szCs w:val="18"/>
          <w:i w:val="1"/>
          <w:iCs w:val="1"/>
          <w:color w:val="auto"/>
        </w:rPr>
      </w:pPr>
    </w:p>
    <w:p>
      <w:pPr>
        <w:ind w:left="465" w:hanging="465"/>
        <w:spacing w:after="0" w:line="264" w:lineRule="auto"/>
        <w:tabs>
          <w:tab w:leader="none" w:pos="465"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Non-GAAP diluted share count excludes the impact of share-based compensation expense expected to be incurred in future periods and not yet recognized in the Company's financial statements, which would otherwise be assumed to be used to repurchase shares under the GAAP treasury stock method.</w:t>
      </w:r>
    </w:p>
    <w:p>
      <w:pPr>
        <w:sectPr>
          <w:pgSz w:w="11900" w:h="16838" w:orient="portrait"/>
          <w:cols w:equalWidth="0" w:num="1">
            <w:col w:w="11265"/>
          </w:cols>
          <w:pgMar w:left="275" w:top="530" w:right="359" w:bottom="1440" w:gutter="0" w:footer="0" w:header="0"/>
        </w:sectPr>
      </w:pPr>
    </w:p>
    <w:bookmarkStart w:id="17" w:name="page18"/>
    <w:bookmarkEnd w:id="17"/>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95"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29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760" w:type="dxa"/>
            <w:vAlign w:val="bottom"/>
            <w:gridSpan w:val="2"/>
          </w:tcPr>
          <w:p>
            <w:pPr>
              <w:jc w:val="center"/>
              <w:ind w:right="200"/>
              <w:spacing w:after="0"/>
              <w:rPr>
                <w:sz w:val="20"/>
                <w:szCs w:val="20"/>
                <w:color w:val="auto"/>
              </w:rPr>
            </w:pPr>
            <w:r>
              <w:rPr>
                <w:rFonts w:ascii="Arial" w:cs="Arial" w:eastAsia="Arial" w:hAnsi="Arial"/>
                <w:sz w:val="16"/>
                <w:szCs w:val="16"/>
                <w:b w:val="1"/>
                <w:bCs w:val="1"/>
                <w:color w:val="auto"/>
                <w:w w:val="93"/>
              </w:rPr>
              <w:t>Three Months Ended</w:t>
            </w:r>
          </w:p>
        </w:tc>
        <w:tc>
          <w:tcPr>
            <w:tcW w:w="220" w:type="dxa"/>
            <w:vAlign w:val="bottom"/>
          </w:tcPr>
          <w:p>
            <w:pPr>
              <w:spacing w:after="0"/>
              <w:rPr>
                <w:sz w:val="18"/>
                <w:szCs w:val="18"/>
                <w:color w:val="auto"/>
              </w:rPr>
            </w:pPr>
          </w:p>
        </w:tc>
        <w:tc>
          <w:tcPr>
            <w:tcW w:w="16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860" w:type="dxa"/>
            <w:vAlign w:val="bottom"/>
            <w:gridSpan w:val="3"/>
          </w:tcPr>
          <w:p>
            <w:pPr>
              <w:ind w:left="1020"/>
              <w:spacing w:after="0"/>
              <w:rPr>
                <w:sz w:val="20"/>
                <w:szCs w:val="20"/>
                <w:color w:val="auto"/>
              </w:rPr>
            </w:pPr>
            <w:r>
              <w:rPr>
                <w:rFonts w:ascii="Arial" w:cs="Arial" w:eastAsia="Arial" w:hAnsi="Arial"/>
                <w:sz w:val="16"/>
                <w:szCs w:val="16"/>
                <w:b w:val="1"/>
                <w:bCs w:val="1"/>
                <w:color w:val="auto"/>
              </w:rPr>
              <w:t>% Change</w:t>
            </w:r>
          </w:p>
        </w:tc>
        <w:tc>
          <w:tcPr>
            <w:tcW w:w="900" w:type="dxa"/>
            <w:vAlign w:val="bottom"/>
          </w:tcPr>
          <w:p>
            <w:pPr>
              <w:spacing w:after="0"/>
              <w:rPr>
                <w:sz w:val="18"/>
                <w:szCs w:val="18"/>
                <w:color w:val="auto"/>
              </w:rPr>
            </w:pPr>
          </w:p>
        </w:tc>
      </w:tr>
      <w:tr>
        <w:trPr>
          <w:trHeight w:val="33"/>
        </w:trPr>
        <w:tc>
          <w:tcPr>
            <w:tcW w:w="29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700" w:type="dxa"/>
            <w:vAlign w:val="bottom"/>
            <w:tcBorders>
              <w:bottom w:val="single" w:sz="8" w:color="auto"/>
            </w:tcBorders>
            <w:gridSpan w:val="2"/>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gridSpan w:val="2"/>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60" w:type="dxa"/>
            <w:vAlign w:val="bottom"/>
            <w:tcBorders>
              <w:bottom w:val="single" w:sz="8" w:color="auto"/>
            </w:tcBorders>
            <w:gridSpan w:val="3"/>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31"/>
        </w:trPr>
        <w:tc>
          <w:tcPr>
            <w:tcW w:w="29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700" w:type="dxa"/>
            <w:vAlign w:val="bottom"/>
            <w:gridSpan w:val="2"/>
          </w:tcPr>
          <w:p>
            <w:pPr>
              <w:ind w:left="100"/>
              <w:spacing w:after="0"/>
              <w:rPr>
                <w:sz w:val="20"/>
                <w:szCs w:val="20"/>
                <w:color w:val="auto"/>
              </w:rPr>
            </w:pPr>
            <w:r>
              <w:rPr>
                <w:rFonts w:ascii="Arial" w:cs="Arial" w:eastAsia="Arial" w:hAnsi="Arial"/>
                <w:sz w:val="16"/>
                <w:szCs w:val="16"/>
                <w:b w:val="1"/>
                <w:bCs w:val="1"/>
                <w:color w:val="auto"/>
              </w:rPr>
              <w:t>October 28, 2017</w:t>
            </w:r>
          </w:p>
        </w:tc>
        <w:tc>
          <w:tcPr>
            <w:tcW w:w="140" w:type="dxa"/>
            <w:vAlign w:val="bottom"/>
          </w:tcPr>
          <w:p>
            <w:pPr>
              <w:spacing w:after="0"/>
              <w:rPr>
                <w:sz w:val="20"/>
                <w:szCs w:val="20"/>
                <w:color w:val="auto"/>
              </w:rPr>
            </w:pPr>
          </w:p>
        </w:tc>
        <w:tc>
          <w:tcPr>
            <w:tcW w:w="176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93"/>
              </w:rPr>
              <w:t>July 29, 2017</w:t>
            </w:r>
          </w:p>
        </w:tc>
        <w:tc>
          <w:tcPr>
            <w:tcW w:w="220" w:type="dxa"/>
            <w:vAlign w:val="bottom"/>
          </w:tcPr>
          <w:p>
            <w:pPr>
              <w:spacing w:after="0"/>
              <w:rPr>
                <w:sz w:val="20"/>
                <w:szCs w:val="20"/>
                <w:color w:val="auto"/>
              </w:rPr>
            </w:pPr>
          </w:p>
        </w:tc>
        <w:tc>
          <w:tcPr>
            <w:tcW w:w="1700" w:type="dxa"/>
            <w:vAlign w:val="bottom"/>
            <w:gridSpan w:val="2"/>
          </w:tcPr>
          <w:p>
            <w:pPr>
              <w:ind w:left="100"/>
              <w:spacing w:after="0"/>
              <w:rPr>
                <w:sz w:val="20"/>
                <w:szCs w:val="20"/>
                <w:color w:val="auto"/>
              </w:rPr>
            </w:pPr>
            <w:r>
              <w:rPr>
                <w:rFonts w:ascii="Arial" w:cs="Arial" w:eastAsia="Arial" w:hAnsi="Arial"/>
                <w:sz w:val="16"/>
                <w:szCs w:val="16"/>
                <w:b w:val="1"/>
                <w:bCs w:val="1"/>
                <w:color w:val="auto"/>
              </w:rPr>
              <w:t>October 29, 2016</w:t>
            </w:r>
          </w:p>
        </w:tc>
        <w:tc>
          <w:tcPr>
            <w:tcW w:w="1860" w:type="dxa"/>
            <w:vAlign w:val="bottom"/>
            <w:gridSpan w:val="3"/>
          </w:tcPr>
          <w:p>
            <w:pPr>
              <w:ind w:left="540"/>
              <w:spacing w:after="0"/>
              <w:rPr>
                <w:sz w:val="20"/>
                <w:szCs w:val="20"/>
                <w:color w:val="auto"/>
              </w:rPr>
            </w:pPr>
            <w:r>
              <w:rPr>
                <w:rFonts w:ascii="Arial" w:cs="Arial" w:eastAsia="Arial" w:hAnsi="Arial"/>
                <w:sz w:val="16"/>
                <w:szCs w:val="16"/>
                <w:b w:val="1"/>
                <w:bCs w:val="1"/>
                <w:color w:val="auto"/>
              </w:rPr>
              <w:t>YoY</w:t>
            </w:r>
          </w:p>
        </w:tc>
        <w:tc>
          <w:tcPr>
            <w:tcW w:w="900" w:type="dxa"/>
            <w:vAlign w:val="bottom"/>
          </w:tcPr>
          <w:p>
            <w:pPr>
              <w:jc w:val="right"/>
              <w:ind w:right="399"/>
              <w:spacing w:after="0"/>
              <w:rPr>
                <w:sz w:val="20"/>
                <w:szCs w:val="20"/>
                <w:color w:val="auto"/>
              </w:rPr>
            </w:pPr>
            <w:r>
              <w:rPr>
                <w:rFonts w:ascii="Arial" w:cs="Arial" w:eastAsia="Arial" w:hAnsi="Arial"/>
                <w:sz w:val="16"/>
                <w:szCs w:val="16"/>
                <w:b w:val="1"/>
                <w:bCs w:val="1"/>
                <w:color w:val="auto"/>
              </w:rPr>
              <w:t>QoQ</w:t>
            </w:r>
          </w:p>
        </w:tc>
      </w:tr>
      <w:tr>
        <w:trPr>
          <w:trHeight w:val="33"/>
        </w:trPr>
        <w:tc>
          <w:tcPr>
            <w:tcW w:w="2940" w:type="dxa"/>
            <w:vAlign w:val="bottom"/>
            <w:tcBorders>
              <w:bottom w:val="single" w:sz="8" w:color="CCEEFF"/>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6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r>
      <w:tr>
        <w:trPr>
          <w:trHeight w:val="23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20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w w:val="89"/>
              </w:rPr>
              <w:t>$</w:t>
            </w: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315,338</w:t>
            </w:r>
          </w:p>
        </w:tc>
        <w:tc>
          <w:tcPr>
            <w:tcW w:w="10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311,501</w:t>
            </w:r>
          </w:p>
        </w:tc>
        <w:tc>
          <w:tcPr>
            <w:tcW w:w="100" w:type="dxa"/>
            <w:vAlign w:val="bottom"/>
            <w:tcBorders>
              <w:bottom w:val="single" w:sz="8" w:color="CCEEFF"/>
            </w:tcBorders>
            <w:shd w:val="clear" w:color="auto" w:fill="CCEEFF"/>
          </w:tcPr>
          <w:p>
            <w:pPr>
              <w:spacing w:after="0"/>
              <w:rPr>
                <w:sz w:val="20"/>
                <w:szCs w:val="20"/>
                <w:color w:val="auto"/>
              </w:rPr>
            </w:pPr>
          </w:p>
        </w:tc>
        <w:tc>
          <w:tcPr>
            <w:tcW w:w="22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w:t>
            </w: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328,960</w:t>
            </w:r>
          </w:p>
        </w:tc>
        <w:tc>
          <w:tcPr>
            <w:tcW w:w="100" w:type="dxa"/>
            <w:vAlign w:val="bottom"/>
            <w:tcBorders>
              <w:bottom w:val="single" w:sz="8" w:color="CCEEFF"/>
            </w:tcBorders>
            <w:shd w:val="clear" w:color="auto" w:fill="CCEEFF"/>
          </w:tcPr>
          <w:p>
            <w:pPr>
              <w:spacing w:after="0"/>
              <w:rPr>
                <w:sz w:val="20"/>
                <w:szCs w:val="20"/>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w:t>
            </w:r>
          </w:p>
        </w:tc>
        <w:tc>
          <w:tcPr>
            <w:tcW w:w="100" w:type="dxa"/>
            <w:vAlign w:val="bottom"/>
            <w:tcBorders>
              <w:bottom w:val="single" w:sz="8" w:color="CCEEFF"/>
            </w:tcBorders>
            <w:shd w:val="clear" w:color="auto" w:fill="CCEEFF"/>
          </w:tcPr>
          <w:p>
            <w:pPr>
              <w:spacing w:after="0"/>
              <w:rPr>
                <w:sz w:val="20"/>
                <w:szCs w:val="20"/>
                <w:color w:val="auto"/>
              </w:rPr>
            </w:pPr>
          </w:p>
        </w:tc>
        <w:tc>
          <w:tcPr>
            <w:tcW w:w="400" w:type="dxa"/>
            <w:vAlign w:val="bottom"/>
            <w:tcBorders>
              <w:bottom w:val="single" w:sz="8" w:color="CCEEFF"/>
            </w:tcBorders>
            <w:shd w:val="clear" w:color="auto" w:fill="CCEEFF"/>
          </w:tcPr>
          <w:p>
            <w:pPr>
              <w:spacing w:after="0"/>
              <w:rPr>
                <w:sz w:val="20"/>
                <w:szCs w:val="20"/>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w:t>
            </w:r>
          </w:p>
        </w:tc>
      </w:tr>
      <w:tr>
        <w:trPr>
          <w:trHeight w:val="237"/>
        </w:trPr>
        <w:tc>
          <w:tcPr>
            <w:tcW w:w="2940" w:type="dxa"/>
            <w:vAlign w:val="bottom"/>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200" w:type="dxa"/>
            <w:vAlign w:val="bottom"/>
          </w:tcPr>
          <w:p>
            <w:pPr>
              <w:spacing w:after="0"/>
              <w:rPr>
                <w:sz w:val="20"/>
                <w:szCs w:val="20"/>
                <w:color w:val="auto"/>
              </w:rPr>
            </w:pPr>
          </w:p>
        </w:tc>
        <w:tc>
          <w:tcPr>
            <w:tcW w:w="1600" w:type="dxa"/>
            <w:vAlign w:val="bottom"/>
          </w:tcPr>
          <w:p>
            <w:pPr>
              <w:jc w:val="right"/>
              <w:ind w:right="39"/>
              <w:spacing w:after="0"/>
              <w:rPr>
                <w:sz w:val="20"/>
                <w:szCs w:val="20"/>
                <w:color w:val="auto"/>
              </w:rPr>
            </w:pPr>
            <w:r>
              <w:rPr>
                <w:rFonts w:ascii="Arial" w:cs="Arial" w:eastAsia="Arial" w:hAnsi="Arial"/>
                <w:sz w:val="16"/>
                <w:szCs w:val="16"/>
                <w:color w:val="auto"/>
              </w:rPr>
              <w:t>150,497</w:t>
            </w: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60" w:type="dxa"/>
            <w:vAlign w:val="bottom"/>
          </w:tcPr>
          <w:p>
            <w:pPr>
              <w:jc w:val="right"/>
              <w:ind w:right="19"/>
              <w:spacing w:after="0"/>
              <w:rPr>
                <w:sz w:val="20"/>
                <w:szCs w:val="20"/>
                <w:color w:val="auto"/>
              </w:rPr>
            </w:pPr>
            <w:r>
              <w:rPr>
                <w:rFonts w:ascii="Arial" w:cs="Arial" w:eastAsia="Arial" w:hAnsi="Arial"/>
                <w:sz w:val="16"/>
                <w:szCs w:val="16"/>
                <w:color w:val="auto"/>
              </w:rPr>
              <w:t>147,250</w:t>
            </w: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600" w:type="dxa"/>
            <w:vAlign w:val="bottom"/>
          </w:tcPr>
          <w:p>
            <w:pPr>
              <w:jc w:val="right"/>
              <w:ind w:right="39"/>
              <w:spacing w:after="0"/>
              <w:rPr>
                <w:sz w:val="20"/>
                <w:szCs w:val="20"/>
                <w:color w:val="auto"/>
              </w:rPr>
            </w:pPr>
            <w:r>
              <w:rPr>
                <w:rFonts w:ascii="Arial" w:cs="Arial" w:eastAsia="Arial" w:hAnsi="Arial"/>
                <w:sz w:val="16"/>
                <w:szCs w:val="16"/>
                <w:color w:val="auto"/>
              </w:rPr>
              <w:t>146,752</w:t>
            </w:r>
          </w:p>
        </w:tc>
        <w:tc>
          <w:tcPr>
            <w:tcW w:w="100" w:type="dxa"/>
            <w:vAlign w:val="bottom"/>
          </w:tcPr>
          <w:p>
            <w:pPr>
              <w:spacing w:after="0"/>
              <w:rPr>
                <w:sz w:val="20"/>
                <w:szCs w:val="20"/>
                <w:color w:val="auto"/>
              </w:rPr>
            </w:pPr>
          </w:p>
        </w:tc>
        <w:tc>
          <w:tcPr>
            <w:tcW w:w="1360" w:type="dxa"/>
            <w:vAlign w:val="bottom"/>
          </w:tcPr>
          <w:p>
            <w:pPr>
              <w:jc w:val="right"/>
              <w:spacing w:after="0"/>
              <w:rPr>
                <w:sz w:val="20"/>
                <w:szCs w:val="20"/>
                <w:color w:val="auto"/>
              </w:rPr>
            </w:pPr>
            <w:r>
              <w:rPr>
                <w:rFonts w:ascii="Arial" w:cs="Arial" w:eastAsia="Arial" w:hAnsi="Arial"/>
                <w:sz w:val="16"/>
                <w:szCs w:val="16"/>
                <w:color w:val="auto"/>
              </w:rPr>
              <w:t>3 %</w:t>
            </w:r>
          </w:p>
        </w:tc>
        <w:tc>
          <w:tcPr>
            <w:tcW w:w="10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900" w:type="dxa"/>
            <w:vAlign w:val="bottom"/>
          </w:tcPr>
          <w:p>
            <w:pPr>
              <w:jc w:val="right"/>
              <w:spacing w:after="0"/>
              <w:rPr>
                <w:sz w:val="20"/>
                <w:szCs w:val="20"/>
                <w:color w:val="auto"/>
              </w:rPr>
            </w:pPr>
            <w:r>
              <w:rPr>
                <w:rFonts w:ascii="Arial" w:cs="Arial" w:eastAsia="Arial" w:hAnsi="Arial"/>
                <w:sz w:val="16"/>
                <w:szCs w:val="16"/>
                <w:color w:val="auto"/>
              </w:rPr>
              <w:t>2%</w:t>
            </w:r>
          </w:p>
        </w:tc>
      </w:tr>
      <w:tr>
        <w:trPr>
          <w:trHeight w:val="33"/>
        </w:trPr>
        <w:tc>
          <w:tcPr>
            <w:tcW w:w="2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7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2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102,662</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98,571</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86,424</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19 %</w:t>
            </w:r>
          </w:p>
        </w:tc>
        <w:tc>
          <w:tcPr>
            <w:tcW w:w="10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4%</w:t>
            </w:r>
          </w:p>
        </w:tc>
      </w:tr>
      <w:tr>
        <w:trPr>
          <w:trHeight w:val="217"/>
        </w:trPr>
        <w:tc>
          <w:tcPr>
            <w:tcW w:w="2940" w:type="dxa"/>
            <w:vAlign w:val="bottom"/>
          </w:tcPr>
          <w:p>
            <w:pPr>
              <w:ind w:left="160"/>
              <w:spacing w:after="0"/>
              <w:rPr>
                <w:sz w:val="20"/>
                <w:szCs w:val="20"/>
                <w:color w:val="auto"/>
              </w:rPr>
            </w:pPr>
            <w:r>
              <w:rPr>
                <w:rFonts w:ascii="Arial" w:cs="Arial" w:eastAsia="Arial" w:hAnsi="Arial"/>
                <w:sz w:val="16"/>
                <w:szCs w:val="16"/>
                <w:color w:val="auto"/>
              </w:rPr>
              <w:t>Total Core</w:t>
            </w:r>
          </w:p>
        </w:tc>
        <w:tc>
          <w:tcPr>
            <w:tcW w:w="200" w:type="dxa"/>
            <w:vAlign w:val="bottom"/>
            <w:tcBorders>
              <w:top w:val="single" w:sz="8" w:color="auto"/>
            </w:tcBorders>
          </w:tcPr>
          <w:p>
            <w:pPr>
              <w:spacing w:after="0"/>
              <w:rPr>
                <w:sz w:val="18"/>
                <w:szCs w:val="18"/>
                <w:color w:val="auto"/>
              </w:rPr>
            </w:pPr>
          </w:p>
        </w:tc>
        <w:tc>
          <w:tcPr>
            <w:tcW w:w="160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568,497</w:t>
            </w:r>
          </w:p>
        </w:tc>
        <w:tc>
          <w:tcPr>
            <w:tcW w:w="100" w:type="dxa"/>
            <w:vAlign w:val="bottom"/>
          </w:tcPr>
          <w:p>
            <w:pPr>
              <w:spacing w:after="0"/>
              <w:rPr>
                <w:sz w:val="18"/>
                <w:szCs w:val="18"/>
                <w:color w:val="auto"/>
              </w:rPr>
            </w:pPr>
          </w:p>
        </w:tc>
        <w:tc>
          <w:tcPr>
            <w:tcW w:w="140" w:type="dxa"/>
            <w:vAlign w:val="bottom"/>
            <w:tcBorders>
              <w:top w:val="single" w:sz="8" w:color="auto"/>
            </w:tcBorders>
          </w:tcPr>
          <w:p>
            <w:pPr>
              <w:spacing w:after="0"/>
              <w:rPr>
                <w:sz w:val="18"/>
                <w:szCs w:val="18"/>
                <w:color w:val="auto"/>
              </w:rPr>
            </w:pPr>
          </w:p>
        </w:tc>
        <w:tc>
          <w:tcPr>
            <w:tcW w:w="1660" w:type="dxa"/>
            <w:vAlign w:val="bottom"/>
            <w:tcBorders>
              <w:top w:val="single" w:sz="8" w:color="auto"/>
            </w:tcBorders>
          </w:tcPr>
          <w:p>
            <w:pPr>
              <w:jc w:val="right"/>
              <w:ind w:right="19"/>
              <w:spacing w:after="0"/>
              <w:rPr>
                <w:sz w:val="20"/>
                <w:szCs w:val="20"/>
                <w:color w:val="auto"/>
              </w:rPr>
            </w:pPr>
            <w:r>
              <w:rPr>
                <w:rFonts w:ascii="Arial" w:cs="Arial" w:eastAsia="Arial" w:hAnsi="Arial"/>
                <w:sz w:val="16"/>
                <w:szCs w:val="16"/>
                <w:color w:val="auto"/>
              </w:rPr>
              <w:t>557,322</w:t>
            </w:r>
          </w:p>
        </w:tc>
        <w:tc>
          <w:tcPr>
            <w:tcW w:w="100" w:type="dxa"/>
            <w:vAlign w:val="bottom"/>
          </w:tcPr>
          <w:p>
            <w:pPr>
              <w:spacing w:after="0"/>
              <w:rPr>
                <w:sz w:val="18"/>
                <w:szCs w:val="18"/>
                <w:color w:val="auto"/>
              </w:rPr>
            </w:pPr>
          </w:p>
        </w:tc>
        <w:tc>
          <w:tcPr>
            <w:tcW w:w="220" w:type="dxa"/>
            <w:vAlign w:val="bottom"/>
            <w:tcBorders>
              <w:top w:val="single" w:sz="8" w:color="auto"/>
            </w:tcBorders>
          </w:tcPr>
          <w:p>
            <w:pPr>
              <w:spacing w:after="0"/>
              <w:rPr>
                <w:sz w:val="18"/>
                <w:szCs w:val="18"/>
                <w:color w:val="auto"/>
              </w:rPr>
            </w:pPr>
          </w:p>
        </w:tc>
        <w:tc>
          <w:tcPr>
            <w:tcW w:w="1600" w:type="dxa"/>
            <w:vAlign w:val="bottom"/>
            <w:tcBorders>
              <w:top w:val="single" w:sz="8" w:color="auto"/>
            </w:tcBorders>
          </w:tcPr>
          <w:p>
            <w:pPr>
              <w:jc w:val="right"/>
              <w:ind w:right="39"/>
              <w:spacing w:after="0"/>
              <w:rPr>
                <w:sz w:val="20"/>
                <w:szCs w:val="20"/>
                <w:color w:val="auto"/>
              </w:rPr>
            </w:pPr>
            <w:r>
              <w:rPr>
                <w:rFonts w:ascii="Arial" w:cs="Arial" w:eastAsia="Arial" w:hAnsi="Arial"/>
                <w:sz w:val="16"/>
                <w:szCs w:val="16"/>
                <w:color w:val="auto"/>
              </w:rPr>
              <w:t>562,136</w:t>
            </w:r>
          </w:p>
        </w:tc>
        <w:tc>
          <w:tcPr>
            <w:tcW w:w="100" w:type="dxa"/>
            <w:vAlign w:val="bottom"/>
          </w:tcPr>
          <w:p>
            <w:pPr>
              <w:spacing w:after="0"/>
              <w:rPr>
                <w:sz w:val="18"/>
                <w:szCs w:val="18"/>
                <w:color w:val="auto"/>
              </w:rPr>
            </w:pPr>
          </w:p>
        </w:tc>
        <w:tc>
          <w:tcPr>
            <w:tcW w:w="136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1 %</w:t>
            </w:r>
          </w:p>
        </w:tc>
        <w:tc>
          <w:tcPr>
            <w:tcW w:w="100" w:type="dxa"/>
            <w:vAlign w:val="bottom"/>
          </w:tcPr>
          <w:p>
            <w:pPr>
              <w:spacing w:after="0"/>
              <w:rPr>
                <w:sz w:val="18"/>
                <w:szCs w:val="18"/>
                <w:color w:val="auto"/>
              </w:rPr>
            </w:pPr>
          </w:p>
        </w:tc>
        <w:tc>
          <w:tcPr>
            <w:tcW w:w="400" w:type="dxa"/>
            <w:vAlign w:val="bottom"/>
            <w:tcBorders>
              <w:top w:val="single" w:sz="8" w:color="auto"/>
            </w:tcBorders>
          </w:tcPr>
          <w:p>
            <w:pPr>
              <w:spacing w:after="0"/>
              <w:rPr>
                <w:sz w:val="18"/>
                <w:szCs w:val="18"/>
                <w:color w:val="auto"/>
              </w:rPr>
            </w:pPr>
          </w:p>
        </w:tc>
        <w:tc>
          <w:tcPr>
            <w:tcW w:w="900" w:type="dxa"/>
            <w:vAlign w:val="bottom"/>
            <w:tcBorders>
              <w:top w:val="single" w:sz="8" w:color="auto"/>
            </w:tcBorders>
          </w:tcPr>
          <w:p>
            <w:pPr>
              <w:jc w:val="right"/>
              <w:spacing w:after="0"/>
              <w:rPr>
                <w:sz w:val="20"/>
                <w:szCs w:val="20"/>
                <w:color w:val="auto"/>
              </w:rPr>
            </w:pPr>
            <w:r>
              <w:rPr>
                <w:rFonts w:ascii="Arial" w:cs="Arial" w:eastAsia="Arial" w:hAnsi="Arial"/>
                <w:sz w:val="16"/>
                <w:szCs w:val="16"/>
                <w:color w:val="auto"/>
              </w:rPr>
              <w:t>2%</w:t>
            </w:r>
          </w:p>
        </w:tc>
      </w:tr>
      <w:tr>
        <w:trPr>
          <w:trHeight w:val="33"/>
        </w:trPr>
        <w:tc>
          <w:tcPr>
            <w:tcW w:w="29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0" w:type="dxa"/>
            <w:vAlign w:val="bottom"/>
          </w:tcPr>
          <w:p>
            <w:pPr>
              <w:spacing w:after="0"/>
              <w:rPr>
                <w:sz w:val="2"/>
                <w:szCs w:val="2"/>
                <w:color w:val="auto"/>
              </w:rPr>
            </w:pPr>
          </w:p>
        </w:tc>
        <w:tc>
          <w:tcPr>
            <w:tcW w:w="16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400" w:type="dxa"/>
            <w:vAlign w:val="bottom"/>
          </w:tcPr>
          <w:p>
            <w:pPr>
              <w:spacing w:after="0"/>
              <w:rPr>
                <w:sz w:val="2"/>
                <w:szCs w:val="2"/>
                <w:color w:val="auto"/>
              </w:rPr>
            </w:pPr>
          </w:p>
        </w:tc>
        <w:tc>
          <w:tcPr>
            <w:tcW w:w="900" w:type="dxa"/>
            <w:vAlign w:val="bottom"/>
          </w:tcPr>
          <w:p>
            <w:pPr>
              <w:spacing w:after="0"/>
              <w:rPr>
                <w:sz w:val="2"/>
                <w:szCs w:val="2"/>
                <w:color w:val="auto"/>
              </w:rPr>
            </w:pPr>
          </w:p>
        </w:tc>
      </w:tr>
      <w:tr>
        <w:trPr>
          <w:trHeight w:val="270"/>
        </w:trPr>
        <w:tc>
          <w:tcPr>
            <w:tcW w:w="294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20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47,805</w:t>
            </w:r>
          </w:p>
        </w:tc>
        <w:tc>
          <w:tcPr>
            <w:tcW w:w="100" w:type="dxa"/>
            <w:vAlign w:val="bottom"/>
            <w:tcBorders>
              <w:bottom w:val="single" w:sz="8" w:color="CCEEFF"/>
            </w:tcBorders>
            <w:shd w:val="clear" w:color="auto" w:fill="CCEEFF"/>
          </w:tcPr>
          <w:p>
            <w:pPr>
              <w:spacing w:after="0"/>
              <w:rPr>
                <w:sz w:val="23"/>
                <w:szCs w:val="23"/>
                <w:color w:val="auto"/>
              </w:rPr>
            </w:pPr>
          </w:p>
        </w:tc>
        <w:tc>
          <w:tcPr>
            <w:tcW w:w="140" w:type="dxa"/>
            <w:vAlign w:val="bottom"/>
            <w:tcBorders>
              <w:bottom w:val="single" w:sz="8" w:color="CCEEFF"/>
            </w:tcBorders>
            <w:shd w:val="clear" w:color="auto" w:fill="CCEEFF"/>
          </w:tcPr>
          <w:p>
            <w:pPr>
              <w:spacing w:after="0"/>
              <w:rPr>
                <w:sz w:val="23"/>
                <w:szCs w:val="23"/>
                <w:color w:val="auto"/>
              </w:rPr>
            </w:pPr>
          </w:p>
        </w:tc>
        <w:tc>
          <w:tcPr>
            <w:tcW w:w="1660" w:type="dxa"/>
            <w:vAlign w:val="bottom"/>
            <w:tcBorders>
              <w:bottom w:val="single" w:sz="8" w:color="CCEEFF"/>
            </w:tcBorders>
            <w:shd w:val="clear" w:color="auto" w:fill="CCEEFF"/>
          </w:tcPr>
          <w:p>
            <w:pPr>
              <w:jc w:val="right"/>
              <w:ind w:right="19"/>
              <w:spacing w:after="0"/>
              <w:rPr>
                <w:sz w:val="20"/>
                <w:szCs w:val="20"/>
                <w:color w:val="auto"/>
              </w:rPr>
            </w:pPr>
            <w:r>
              <w:rPr>
                <w:rFonts w:ascii="Arial" w:cs="Arial" w:eastAsia="Arial" w:hAnsi="Arial"/>
                <w:sz w:val="16"/>
                <w:szCs w:val="16"/>
                <w:color w:val="auto"/>
              </w:rPr>
              <w:t>47,428</w:t>
            </w:r>
          </w:p>
        </w:tc>
        <w:tc>
          <w:tcPr>
            <w:tcW w:w="100" w:type="dxa"/>
            <w:vAlign w:val="bottom"/>
            <w:tcBorders>
              <w:bottom w:val="single" w:sz="8" w:color="CCEEFF"/>
            </w:tcBorders>
            <w:shd w:val="clear" w:color="auto" w:fill="CCEEFF"/>
          </w:tcPr>
          <w:p>
            <w:pPr>
              <w:spacing w:after="0"/>
              <w:rPr>
                <w:sz w:val="23"/>
                <w:szCs w:val="23"/>
                <w:color w:val="auto"/>
              </w:rPr>
            </w:pPr>
          </w:p>
        </w:tc>
        <w:tc>
          <w:tcPr>
            <w:tcW w:w="220" w:type="dxa"/>
            <w:vAlign w:val="bottom"/>
            <w:tcBorders>
              <w:bottom w:val="single" w:sz="8" w:color="CCEEFF"/>
            </w:tcBorders>
            <w:shd w:val="clear" w:color="auto" w:fill="CCEEFF"/>
          </w:tcPr>
          <w:p>
            <w:pPr>
              <w:spacing w:after="0"/>
              <w:rPr>
                <w:sz w:val="23"/>
                <w:szCs w:val="23"/>
                <w:color w:val="auto"/>
              </w:rPr>
            </w:pPr>
          </w:p>
        </w:tc>
        <w:tc>
          <w:tcPr>
            <w:tcW w:w="1600" w:type="dxa"/>
            <w:vAlign w:val="bottom"/>
            <w:tcBorders>
              <w:bottom w:val="single" w:sz="8" w:color="CCEEFF"/>
            </w:tcBorders>
            <w:shd w:val="clear" w:color="auto" w:fill="CCEEFF"/>
          </w:tcPr>
          <w:p>
            <w:pPr>
              <w:jc w:val="right"/>
              <w:ind w:right="39"/>
              <w:spacing w:after="0"/>
              <w:rPr>
                <w:sz w:val="20"/>
                <w:szCs w:val="20"/>
                <w:color w:val="auto"/>
              </w:rPr>
            </w:pPr>
            <w:r>
              <w:rPr>
                <w:rFonts w:ascii="Arial" w:cs="Arial" w:eastAsia="Arial" w:hAnsi="Arial"/>
                <w:sz w:val="16"/>
                <w:szCs w:val="16"/>
                <w:color w:val="auto"/>
              </w:rPr>
              <w:t>61,515</w:t>
            </w:r>
          </w:p>
        </w:tc>
        <w:tc>
          <w:tcPr>
            <w:tcW w:w="100" w:type="dxa"/>
            <w:vAlign w:val="bottom"/>
            <w:tcBorders>
              <w:bottom w:val="single" w:sz="8" w:color="CCEEFF"/>
            </w:tcBorders>
            <w:shd w:val="clear" w:color="auto" w:fill="CCEEFF"/>
          </w:tcPr>
          <w:p>
            <w:pPr>
              <w:spacing w:after="0"/>
              <w:rPr>
                <w:sz w:val="23"/>
                <w:szCs w:val="23"/>
                <w:color w:val="auto"/>
              </w:rPr>
            </w:pPr>
          </w:p>
        </w:tc>
        <w:tc>
          <w:tcPr>
            <w:tcW w:w="136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(22)%</w:t>
            </w:r>
          </w:p>
        </w:tc>
        <w:tc>
          <w:tcPr>
            <w:tcW w:w="100" w:type="dxa"/>
            <w:vAlign w:val="bottom"/>
            <w:tcBorders>
              <w:bottom w:val="single" w:sz="8" w:color="CCEEFF"/>
            </w:tcBorders>
            <w:shd w:val="clear" w:color="auto" w:fill="CCEEFF"/>
          </w:tcPr>
          <w:p>
            <w:pPr>
              <w:spacing w:after="0"/>
              <w:rPr>
                <w:sz w:val="23"/>
                <w:szCs w:val="23"/>
                <w:color w:val="auto"/>
              </w:rPr>
            </w:pPr>
          </w:p>
        </w:tc>
        <w:tc>
          <w:tcPr>
            <w:tcW w:w="400" w:type="dxa"/>
            <w:vAlign w:val="bottom"/>
            <w:tcBorders>
              <w:bottom w:val="single" w:sz="8" w:color="CCEEFF"/>
            </w:tcBorders>
            <w:shd w:val="clear" w:color="auto" w:fill="CCEEFF"/>
          </w:tcPr>
          <w:p>
            <w:pPr>
              <w:spacing w:after="0"/>
              <w:rPr>
                <w:sz w:val="23"/>
                <w:szCs w:val="23"/>
                <w:color w:val="auto"/>
              </w:rPr>
            </w:pPr>
          </w:p>
        </w:tc>
        <w:tc>
          <w:tcPr>
            <w:tcW w:w="90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w:t>
            </w:r>
          </w:p>
        </w:tc>
      </w:tr>
      <w:tr>
        <w:trPr>
          <w:trHeight w:val="244"/>
        </w:trPr>
        <w:tc>
          <w:tcPr>
            <w:tcW w:w="2940" w:type="dxa"/>
            <w:vAlign w:val="bottom"/>
          </w:tcPr>
          <w:p>
            <w:pPr>
              <w:ind w:left="40"/>
              <w:spacing w:after="0"/>
              <w:rPr>
                <w:sz w:val="20"/>
                <w:szCs w:val="20"/>
                <w:color w:val="auto"/>
              </w:rPr>
            </w:pPr>
            <w:r>
              <w:rPr>
                <w:rFonts w:ascii="Arial" w:cs="Arial" w:eastAsia="Arial" w:hAnsi="Arial"/>
                <w:sz w:val="16"/>
                <w:szCs w:val="16"/>
                <w:color w:val="auto"/>
              </w:rPr>
              <w:t xml:space="preserve">Total Revenue </w:t>
            </w:r>
            <w:r>
              <w:rPr>
                <w:rFonts w:ascii="Arial" w:cs="Arial" w:eastAsia="Arial" w:hAnsi="Arial"/>
                <w:sz w:val="16"/>
                <w:szCs w:val="16"/>
                <w:i w:val="1"/>
                <w:iCs w:val="1"/>
                <w:color w:val="auto"/>
              </w:rPr>
              <w:t>(5)</w:t>
            </w:r>
          </w:p>
        </w:tc>
        <w:tc>
          <w:tcPr>
            <w:tcW w:w="20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w w:val="89"/>
              </w:rPr>
              <w:t>$</w:t>
            </w:r>
          </w:p>
        </w:tc>
        <w:tc>
          <w:tcPr>
            <w:tcW w:w="160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616,302</w:t>
            </w:r>
          </w:p>
        </w:tc>
        <w:tc>
          <w:tcPr>
            <w:tcW w:w="100" w:type="dxa"/>
            <w:vAlign w:val="bottom"/>
          </w:tcPr>
          <w:p>
            <w:pPr>
              <w:spacing w:after="0"/>
              <w:rPr>
                <w:sz w:val="21"/>
                <w:szCs w:val="21"/>
                <w:color w:val="auto"/>
              </w:rPr>
            </w:pP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w:t>
            </w:r>
          </w:p>
        </w:tc>
        <w:tc>
          <w:tcPr>
            <w:tcW w:w="166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604,750</w:t>
            </w:r>
          </w:p>
        </w:tc>
        <w:tc>
          <w:tcPr>
            <w:tcW w:w="100" w:type="dxa"/>
            <w:vAlign w:val="bottom"/>
          </w:tcPr>
          <w:p>
            <w:pPr>
              <w:spacing w:after="0"/>
              <w:rPr>
                <w:sz w:val="21"/>
                <w:szCs w:val="21"/>
                <w:color w:val="auto"/>
              </w:rPr>
            </w:pPr>
          </w:p>
        </w:tc>
        <w:tc>
          <w:tcPr>
            <w:tcW w:w="220" w:type="dxa"/>
            <w:vAlign w:val="bottom"/>
            <w:tcBorders>
              <w:top w:val="single" w:sz="8" w:color="auto"/>
              <w:bottom w:val="single" w:sz="8" w:color="auto"/>
            </w:tcBorders>
          </w:tcPr>
          <w:p>
            <w:pPr>
              <w:jc w:val="right"/>
              <w:ind w:right="19"/>
              <w:spacing w:after="0"/>
              <w:rPr>
                <w:sz w:val="20"/>
                <w:szCs w:val="20"/>
                <w:color w:val="auto"/>
              </w:rPr>
            </w:pPr>
            <w:r>
              <w:rPr>
                <w:rFonts w:ascii="Arial" w:cs="Arial" w:eastAsia="Arial" w:hAnsi="Arial"/>
                <w:sz w:val="16"/>
                <w:szCs w:val="16"/>
                <w:color w:val="auto"/>
              </w:rPr>
              <w:t>$</w:t>
            </w:r>
          </w:p>
        </w:tc>
        <w:tc>
          <w:tcPr>
            <w:tcW w:w="1600" w:type="dxa"/>
            <w:vAlign w:val="bottom"/>
            <w:tcBorders>
              <w:top w:val="single" w:sz="8" w:color="auto"/>
              <w:bottom w:val="single" w:sz="8" w:color="auto"/>
            </w:tcBorders>
          </w:tcPr>
          <w:p>
            <w:pPr>
              <w:jc w:val="right"/>
              <w:ind w:right="39"/>
              <w:spacing w:after="0"/>
              <w:rPr>
                <w:sz w:val="20"/>
                <w:szCs w:val="20"/>
                <w:color w:val="auto"/>
              </w:rPr>
            </w:pPr>
            <w:r>
              <w:rPr>
                <w:rFonts w:ascii="Arial" w:cs="Arial" w:eastAsia="Arial" w:hAnsi="Arial"/>
                <w:sz w:val="16"/>
                <w:szCs w:val="16"/>
                <w:color w:val="auto"/>
              </w:rPr>
              <w:t>623,651</w:t>
            </w:r>
          </w:p>
        </w:tc>
        <w:tc>
          <w:tcPr>
            <w:tcW w:w="100" w:type="dxa"/>
            <w:vAlign w:val="bottom"/>
          </w:tcPr>
          <w:p>
            <w:pPr>
              <w:spacing w:after="0"/>
              <w:rPr>
                <w:sz w:val="21"/>
                <w:szCs w:val="21"/>
                <w:color w:val="auto"/>
              </w:rPr>
            </w:pPr>
          </w:p>
        </w:tc>
        <w:tc>
          <w:tcPr>
            <w:tcW w:w="13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(1)%</w:t>
            </w:r>
          </w:p>
        </w:tc>
        <w:tc>
          <w:tcPr>
            <w:tcW w:w="100" w:type="dxa"/>
            <w:vAlign w:val="bottom"/>
          </w:tcPr>
          <w:p>
            <w:pPr>
              <w:spacing w:after="0"/>
              <w:rPr>
                <w:sz w:val="21"/>
                <w:szCs w:val="21"/>
                <w:color w:val="auto"/>
              </w:rPr>
            </w:pPr>
          </w:p>
        </w:tc>
        <w:tc>
          <w:tcPr>
            <w:tcW w:w="400" w:type="dxa"/>
            <w:vAlign w:val="bottom"/>
            <w:tcBorders>
              <w:top w:val="single" w:sz="8" w:color="auto"/>
              <w:bottom w:val="single" w:sz="8" w:color="auto"/>
            </w:tcBorders>
          </w:tcPr>
          <w:p>
            <w:pPr>
              <w:spacing w:after="0"/>
              <w:rPr>
                <w:sz w:val="21"/>
                <w:szCs w:val="21"/>
                <w:color w:val="auto"/>
              </w:rPr>
            </w:pP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6"/>
                <w:szCs w:val="16"/>
                <w:color w:val="auto"/>
              </w:rPr>
              <w:t>2%</w:t>
            </w:r>
          </w:p>
        </w:tc>
      </w:tr>
      <w:tr>
        <w:trPr>
          <w:trHeight w:val="20"/>
        </w:trPr>
        <w:tc>
          <w:tcPr>
            <w:tcW w:w="29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6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394"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80" w:type="dxa"/>
            <w:vAlign w:val="bottom"/>
          </w:tcPr>
          <w:p>
            <w:pPr>
              <w:spacing w:after="0"/>
              <w:rPr>
                <w:sz w:val="18"/>
                <w:szCs w:val="18"/>
                <w:color w:val="auto"/>
              </w:rPr>
            </w:pPr>
          </w:p>
        </w:tc>
        <w:tc>
          <w:tcPr>
            <w:tcW w:w="1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80" w:type="dxa"/>
            <w:vAlign w:val="bottom"/>
            <w:gridSpan w:val="2"/>
          </w:tcPr>
          <w:p>
            <w:pPr>
              <w:jc w:val="center"/>
              <w:ind w:right="60"/>
              <w:spacing w:after="0"/>
              <w:rPr>
                <w:sz w:val="20"/>
                <w:szCs w:val="20"/>
                <w:color w:val="auto"/>
              </w:rPr>
            </w:pPr>
            <w:r>
              <w:rPr>
                <w:rFonts w:ascii="Arial" w:cs="Arial" w:eastAsia="Arial" w:hAnsi="Arial"/>
                <w:sz w:val="16"/>
                <w:szCs w:val="16"/>
                <w:b w:val="1"/>
                <w:bCs w:val="1"/>
                <w:color w:val="auto"/>
                <w:w w:val="92"/>
              </w:rPr>
              <w:t>Three Months Ended</w:t>
            </w:r>
          </w:p>
        </w:tc>
        <w:tc>
          <w:tcPr>
            <w:tcW w:w="1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3"/>
        </w:trPr>
        <w:tc>
          <w:tcPr>
            <w:tcW w:w="5280" w:type="dxa"/>
            <w:vAlign w:val="bottom"/>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2080" w:type="dxa"/>
            <w:vAlign w:val="bottom"/>
            <w:tcBorders>
              <w:bottom w:val="single" w:sz="8" w:color="auto"/>
            </w:tcBorders>
            <w:gridSpan w:val="2"/>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1"/>
        </w:trPr>
        <w:tc>
          <w:tcPr>
            <w:tcW w:w="5280" w:type="dxa"/>
            <w:vAlign w:val="bottom"/>
          </w:tcPr>
          <w:p>
            <w:pPr>
              <w:ind w:left="40"/>
              <w:spacing w:after="0"/>
              <w:rPr>
                <w:sz w:val="20"/>
                <w:szCs w:val="20"/>
                <w:color w:val="auto"/>
              </w:rPr>
            </w:pPr>
            <w:r>
              <w:rPr>
                <w:rFonts w:ascii="Arial" w:cs="Arial" w:eastAsia="Arial" w:hAnsi="Arial"/>
                <w:sz w:val="16"/>
                <w:szCs w:val="16"/>
                <w:b w:val="1"/>
                <w:bCs w:val="1"/>
                <w:color w:val="auto"/>
              </w:rPr>
              <w:t>% of Total</w:t>
            </w:r>
          </w:p>
        </w:tc>
        <w:tc>
          <w:tcPr>
            <w:tcW w:w="2080" w:type="dxa"/>
            <w:vAlign w:val="bottom"/>
            <w:gridSpan w:val="2"/>
          </w:tcPr>
          <w:p>
            <w:pPr>
              <w:ind w:left="400"/>
              <w:spacing w:after="0"/>
              <w:rPr>
                <w:sz w:val="20"/>
                <w:szCs w:val="20"/>
                <w:color w:val="auto"/>
              </w:rPr>
            </w:pPr>
            <w:r>
              <w:rPr>
                <w:rFonts w:ascii="Arial" w:cs="Arial" w:eastAsia="Arial" w:hAnsi="Arial"/>
                <w:sz w:val="16"/>
                <w:szCs w:val="16"/>
                <w:b w:val="1"/>
                <w:bCs w:val="1"/>
                <w:color w:val="auto"/>
              </w:rPr>
              <w:t>October 28, 2017</w:t>
            </w:r>
          </w:p>
        </w:tc>
        <w:tc>
          <w:tcPr>
            <w:tcW w:w="2080" w:type="dxa"/>
            <w:vAlign w:val="bottom"/>
            <w:gridSpan w:val="2"/>
          </w:tcPr>
          <w:p>
            <w:pPr>
              <w:jc w:val="center"/>
              <w:ind w:right="100"/>
              <w:spacing w:after="0"/>
              <w:rPr>
                <w:sz w:val="20"/>
                <w:szCs w:val="20"/>
                <w:color w:val="auto"/>
              </w:rPr>
            </w:pPr>
            <w:r>
              <w:rPr>
                <w:rFonts w:ascii="Arial" w:cs="Arial" w:eastAsia="Arial" w:hAnsi="Arial"/>
                <w:sz w:val="16"/>
                <w:szCs w:val="16"/>
                <w:b w:val="1"/>
                <w:bCs w:val="1"/>
                <w:color w:val="auto"/>
                <w:w w:val="91"/>
              </w:rPr>
              <w:t>July 29, 2017</w:t>
            </w:r>
          </w:p>
        </w:tc>
        <w:tc>
          <w:tcPr>
            <w:tcW w:w="1980" w:type="dxa"/>
            <w:vAlign w:val="bottom"/>
          </w:tcPr>
          <w:p>
            <w:pPr>
              <w:jc w:val="right"/>
              <w:ind w:right="319"/>
              <w:spacing w:after="0"/>
              <w:rPr>
                <w:sz w:val="20"/>
                <w:szCs w:val="20"/>
                <w:color w:val="auto"/>
              </w:rPr>
            </w:pPr>
            <w:r>
              <w:rPr>
                <w:rFonts w:ascii="Arial" w:cs="Arial" w:eastAsia="Arial" w:hAnsi="Arial"/>
                <w:sz w:val="16"/>
                <w:szCs w:val="16"/>
                <w:b w:val="1"/>
                <w:bCs w:val="1"/>
                <w:color w:val="auto"/>
              </w:rPr>
              <w:t>October 29, 2016</w:t>
            </w:r>
          </w:p>
        </w:tc>
        <w:tc>
          <w:tcPr>
            <w:tcW w:w="0" w:type="dxa"/>
            <w:vAlign w:val="bottom"/>
          </w:tcPr>
          <w:p>
            <w:pPr>
              <w:spacing w:after="0"/>
              <w:rPr>
                <w:sz w:val="1"/>
                <w:szCs w:val="1"/>
                <w:color w:val="auto"/>
              </w:rPr>
            </w:pPr>
          </w:p>
        </w:tc>
      </w:tr>
      <w:tr>
        <w:trPr>
          <w:trHeight w:val="33"/>
        </w:trPr>
        <w:tc>
          <w:tcPr>
            <w:tcW w:w="5280" w:type="dxa"/>
            <w:vAlign w:val="bottom"/>
            <w:vMerge w:val="restart"/>
          </w:tcPr>
          <w:p>
            <w:pPr>
              <w:ind w:left="40"/>
              <w:spacing w:after="0"/>
              <w:rPr>
                <w:sz w:val="20"/>
                <w:szCs w:val="20"/>
                <w:color w:val="auto"/>
              </w:rPr>
            </w:pPr>
            <w:r>
              <w:rPr>
                <w:rFonts w:ascii="Arial" w:cs="Arial" w:eastAsia="Arial" w:hAnsi="Arial"/>
                <w:sz w:val="16"/>
                <w:szCs w:val="16"/>
                <w:color w:val="auto"/>
              </w:rPr>
              <w:t xml:space="preserve">Storage </w:t>
            </w:r>
            <w:r>
              <w:rPr>
                <w:rFonts w:ascii="Arial" w:cs="Arial" w:eastAsia="Arial" w:hAnsi="Arial"/>
                <w:sz w:val="16"/>
                <w:szCs w:val="16"/>
                <w:i w:val="1"/>
                <w:iCs w:val="1"/>
                <w:color w:val="auto"/>
              </w:rPr>
              <w:t>(1)</w:t>
            </w: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17"/>
        </w:trPr>
        <w:tc>
          <w:tcPr>
            <w:tcW w:w="5280" w:type="dxa"/>
            <w:vAlign w:val="bottom"/>
            <w:vMerge w:val="continue"/>
          </w:tcPr>
          <w:p>
            <w:pPr>
              <w:spacing w:after="0"/>
              <w:rPr>
                <w:sz w:val="18"/>
                <w:szCs w:val="18"/>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51%</w:t>
            </w:r>
          </w:p>
        </w:tc>
        <w:tc>
          <w:tcPr>
            <w:tcW w:w="100" w:type="dxa"/>
            <w:vAlign w:val="bottom"/>
          </w:tcPr>
          <w:p>
            <w:pPr>
              <w:spacing w:after="0"/>
              <w:rPr>
                <w:sz w:val="18"/>
                <w:szCs w:val="18"/>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52%</w:t>
            </w:r>
          </w:p>
        </w:tc>
        <w:tc>
          <w:tcPr>
            <w:tcW w:w="100" w:type="dxa"/>
            <w:vAlign w:val="bottom"/>
          </w:tcPr>
          <w:p>
            <w:pPr>
              <w:spacing w:after="0"/>
              <w:rPr>
                <w:sz w:val="18"/>
                <w:szCs w:val="18"/>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53%</w:t>
            </w:r>
          </w:p>
        </w:tc>
        <w:tc>
          <w:tcPr>
            <w:tcW w:w="0" w:type="dxa"/>
            <w:vAlign w:val="bottom"/>
          </w:tcPr>
          <w:p>
            <w:pPr>
              <w:spacing w:after="0"/>
              <w:rPr>
                <w:sz w:val="1"/>
                <w:szCs w:val="1"/>
                <w:color w:val="auto"/>
              </w:rPr>
            </w:pPr>
          </w:p>
        </w:tc>
      </w:tr>
      <w:tr>
        <w:trPr>
          <w:trHeight w:val="33"/>
        </w:trPr>
        <w:tc>
          <w:tcPr>
            <w:tcW w:w="528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9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 xml:space="preserve">Networking </w:t>
            </w:r>
            <w:r>
              <w:rPr>
                <w:rFonts w:ascii="Arial" w:cs="Arial" w:eastAsia="Arial" w:hAnsi="Arial"/>
                <w:sz w:val="16"/>
                <w:szCs w:val="16"/>
                <w:i w:val="1"/>
                <w:iCs w:val="1"/>
                <w:color w:val="auto"/>
              </w:rPr>
              <w:t>(2)</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24%</w:t>
            </w:r>
          </w:p>
        </w:tc>
        <w:tc>
          <w:tcPr>
            <w:tcW w:w="0" w:type="dxa"/>
            <w:vAlign w:val="bottom"/>
          </w:tcPr>
          <w:p>
            <w:pPr>
              <w:spacing w:after="0"/>
              <w:rPr>
                <w:sz w:val="1"/>
                <w:szCs w:val="1"/>
                <w:color w:val="auto"/>
              </w:rPr>
            </w:pP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Connectivity </w:t>
            </w:r>
            <w:r>
              <w:rPr>
                <w:rFonts w:ascii="Arial" w:cs="Arial" w:eastAsia="Arial" w:hAnsi="Arial"/>
                <w:sz w:val="16"/>
                <w:szCs w:val="16"/>
                <w:i w:val="1"/>
                <w:iCs w:val="1"/>
                <w:color w:val="auto"/>
              </w:rPr>
              <w:t>(3)</w:t>
            </w:r>
          </w:p>
        </w:tc>
        <w:tc>
          <w:tcPr>
            <w:tcW w:w="1980" w:type="dxa"/>
            <w:vAlign w:val="bottom"/>
          </w:tcPr>
          <w:p>
            <w:pPr>
              <w:jc w:val="right"/>
              <w:spacing w:after="0"/>
              <w:rPr>
                <w:sz w:val="20"/>
                <w:szCs w:val="20"/>
                <w:color w:val="auto"/>
              </w:rPr>
            </w:pPr>
            <w:r>
              <w:rPr>
                <w:rFonts w:ascii="Arial" w:cs="Arial" w:eastAsia="Arial" w:hAnsi="Arial"/>
                <w:sz w:val="16"/>
                <w:szCs w:val="16"/>
                <w:color w:val="auto"/>
              </w:rPr>
              <w:t>17%</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16%</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14%</w:t>
            </w:r>
          </w:p>
        </w:tc>
        <w:tc>
          <w:tcPr>
            <w:tcW w:w="0" w:type="dxa"/>
            <w:vAlign w:val="bottom"/>
          </w:tcPr>
          <w:p>
            <w:pPr>
              <w:spacing w:after="0"/>
              <w:rPr>
                <w:sz w:val="1"/>
                <w:szCs w:val="1"/>
                <w:color w:val="auto"/>
              </w:rPr>
            </w:pPr>
          </w:p>
        </w:tc>
      </w:tr>
      <w:tr>
        <w:trPr>
          <w:trHeight w:val="33"/>
        </w:trPr>
        <w:tc>
          <w:tcPr>
            <w:tcW w:w="528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5280" w:type="dxa"/>
            <w:vAlign w:val="bottom"/>
            <w:tcBorders>
              <w:bottom w:val="single" w:sz="8" w:color="CCEEFF"/>
            </w:tcBorders>
            <w:shd w:val="clear" w:color="auto" w:fill="CCEEFF"/>
          </w:tcPr>
          <w:p>
            <w:pPr>
              <w:ind w:left="160"/>
              <w:spacing w:after="0"/>
              <w:rPr>
                <w:sz w:val="20"/>
                <w:szCs w:val="20"/>
                <w:color w:val="auto"/>
              </w:rPr>
            </w:pPr>
            <w:r>
              <w:rPr>
                <w:rFonts w:ascii="Arial" w:cs="Arial" w:eastAsia="Arial" w:hAnsi="Arial"/>
                <w:sz w:val="16"/>
                <w:szCs w:val="16"/>
                <w:color w:val="auto"/>
              </w:rPr>
              <w:t>Total Core</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92%</w:t>
            </w:r>
          </w:p>
        </w:tc>
        <w:tc>
          <w:tcPr>
            <w:tcW w:w="100" w:type="dxa"/>
            <w:vAlign w:val="bottom"/>
            <w:tcBorders>
              <w:bottom w:val="single" w:sz="8" w:color="CCEEFF"/>
            </w:tcBorders>
            <w:shd w:val="clear" w:color="auto" w:fill="CCEEFF"/>
          </w:tcPr>
          <w:p>
            <w:pPr>
              <w:spacing w:after="0"/>
              <w:rPr>
                <w:sz w:val="20"/>
                <w:szCs w:val="20"/>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91%</w:t>
            </w:r>
          </w:p>
        </w:tc>
        <w:tc>
          <w:tcPr>
            <w:tcW w:w="0" w:type="dxa"/>
            <w:vAlign w:val="bottom"/>
          </w:tcPr>
          <w:p>
            <w:pPr>
              <w:spacing w:after="0"/>
              <w:rPr>
                <w:sz w:val="1"/>
                <w:szCs w:val="1"/>
                <w:color w:val="auto"/>
              </w:rPr>
            </w:pPr>
          </w:p>
        </w:tc>
      </w:tr>
      <w:tr>
        <w:trPr>
          <w:trHeight w:val="237"/>
        </w:trPr>
        <w:tc>
          <w:tcPr>
            <w:tcW w:w="5280" w:type="dxa"/>
            <w:vAlign w:val="bottom"/>
          </w:tcPr>
          <w:p>
            <w:pPr>
              <w:ind w:left="40"/>
              <w:spacing w:after="0"/>
              <w:rPr>
                <w:sz w:val="20"/>
                <w:szCs w:val="20"/>
                <w:color w:val="auto"/>
              </w:rPr>
            </w:pPr>
            <w:r>
              <w:rPr>
                <w:rFonts w:ascii="Arial" w:cs="Arial" w:eastAsia="Arial" w:hAnsi="Arial"/>
                <w:sz w:val="16"/>
                <w:szCs w:val="16"/>
                <w:color w:val="auto"/>
              </w:rPr>
              <w:t xml:space="preserve">Other </w:t>
            </w:r>
            <w:r>
              <w:rPr>
                <w:rFonts w:ascii="Arial" w:cs="Arial" w:eastAsia="Arial" w:hAnsi="Arial"/>
                <w:sz w:val="16"/>
                <w:szCs w:val="16"/>
                <w:i w:val="1"/>
                <w:iCs w:val="1"/>
                <w:color w:val="auto"/>
              </w:rPr>
              <w:t>(4)</w:t>
            </w:r>
          </w:p>
        </w:tc>
        <w:tc>
          <w:tcPr>
            <w:tcW w:w="198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8%</w:t>
            </w:r>
          </w:p>
        </w:tc>
        <w:tc>
          <w:tcPr>
            <w:tcW w:w="100" w:type="dxa"/>
            <w:vAlign w:val="bottom"/>
          </w:tcPr>
          <w:p>
            <w:pPr>
              <w:spacing w:after="0"/>
              <w:rPr>
                <w:sz w:val="20"/>
                <w:szCs w:val="20"/>
                <w:color w:val="auto"/>
              </w:rPr>
            </w:pPr>
          </w:p>
        </w:tc>
        <w:tc>
          <w:tcPr>
            <w:tcW w:w="1980" w:type="dxa"/>
            <w:vAlign w:val="bottom"/>
          </w:tcPr>
          <w:p>
            <w:pPr>
              <w:jc w:val="right"/>
              <w:spacing w:after="0"/>
              <w:rPr>
                <w:sz w:val="20"/>
                <w:szCs w:val="20"/>
                <w:color w:val="auto"/>
              </w:rPr>
            </w:pPr>
            <w:r>
              <w:rPr>
                <w:rFonts w:ascii="Arial" w:cs="Arial" w:eastAsia="Arial" w:hAnsi="Arial"/>
                <w:sz w:val="16"/>
                <w:szCs w:val="16"/>
                <w:color w:val="auto"/>
              </w:rPr>
              <w:t>9%</w:t>
            </w:r>
          </w:p>
        </w:tc>
        <w:tc>
          <w:tcPr>
            <w:tcW w:w="0" w:type="dxa"/>
            <w:vAlign w:val="bottom"/>
          </w:tcPr>
          <w:p>
            <w:pPr>
              <w:spacing w:after="0"/>
              <w:rPr>
                <w:sz w:val="1"/>
                <w:szCs w:val="1"/>
                <w:color w:val="auto"/>
              </w:rPr>
            </w:pPr>
          </w:p>
        </w:tc>
      </w:tr>
      <w:tr>
        <w:trPr>
          <w:trHeight w:val="33"/>
        </w:trPr>
        <w:tc>
          <w:tcPr>
            <w:tcW w:w="528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100" w:type="dxa"/>
            <w:vAlign w:val="bottom"/>
            <w:tcBorders>
              <w:bottom w:val="single" w:sz="8" w:color="CCEEFF"/>
            </w:tcBorders>
          </w:tcPr>
          <w:p>
            <w:pPr>
              <w:spacing w:after="0"/>
              <w:rPr>
                <w:sz w:val="2"/>
                <w:szCs w:val="2"/>
                <w:color w:val="auto"/>
              </w:rPr>
            </w:pPr>
          </w:p>
        </w:tc>
        <w:tc>
          <w:tcPr>
            <w:tcW w:w="19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55"/>
        </w:trPr>
        <w:tc>
          <w:tcPr>
            <w:tcW w:w="5280" w:type="dxa"/>
            <w:vAlign w:val="bottom"/>
            <w:tcBorders>
              <w:bottom w:val="single" w:sz="8" w:color="CCEEFF"/>
            </w:tcBorders>
            <w:shd w:val="clear" w:color="auto" w:fill="CCEEFF"/>
          </w:tcPr>
          <w:p>
            <w:pPr>
              <w:ind w:left="40"/>
              <w:spacing w:after="0"/>
              <w:rPr>
                <w:sz w:val="20"/>
                <w:szCs w:val="20"/>
                <w:color w:val="auto"/>
              </w:rPr>
            </w:pPr>
            <w:r>
              <w:rPr>
                <w:rFonts w:ascii="Arial" w:cs="Arial" w:eastAsia="Arial" w:hAnsi="Arial"/>
                <w:sz w:val="16"/>
                <w:szCs w:val="16"/>
                <w:color w:val="auto"/>
              </w:rPr>
              <w:t>Total Revenue</w:t>
            </w: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10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rPr>
              <w:t>100%</w:t>
            </w:r>
          </w:p>
        </w:tc>
        <w:tc>
          <w:tcPr>
            <w:tcW w:w="0" w:type="dxa"/>
            <w:vAlign w:val="bottom"/>
          </w:tcPr>
          <w:p>
            <w:pPr>
              <w:spacing w:after="0"/>
              <w:rPr>
                <w:sz w:val="1"/>
                <w:szCs w:val="1"/>
                <w:color w:val="auto"/>
              </w:rPr>
            </w:pPr>
          </w:p>
        </w:tc>
      </w:tr>
      <w:tr>
        <w:trPr>
          <w:trHeight w:val="20"/>
        </w:trPr>
        <w:tc>
          <w:tcPr>
            <w:tcW w:w="528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64" w:lineRule="exact"/>
        <w:rPr>
          <w:sz w:val="20"/>
          <w:szCs w:val="20"/>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HDD, SSD Controllers and Data Center Storage Solutions.</w:t>
      </w:r>
    </w:p>
    <w:p>
      <w:pPr>
        <w:spacing w:after="0" w:line="63" w:lineRule="exact"/>
        <w:rPr>
          <w:rFonts w:ascii="Arial" w:cs="Arial" w:eastAsia="Arial" w:hAnsi="Arial"/>
          <w:sz w:val="18"/>
          <w:szCs w:val="18"/>
          <w:i w:val="1"/>
          <w:iCs w:val="1"/>
          <w:color w:val="auto"/>
        </w:rPr>
      </w:pPr>
    </w:p>
    <w:p>
      <w:pPr>
        <w:ind w:left="40" w:right="40" w:hanging="5"/>
        <w:spacing w:after="0" w:line="277" w:lineRule="auto"/>
        <w:tabs>
          <w:tab w:leader="none" w:pos="295"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Switches, Ethernet Transceivers, Embedded ARM Processors and Automotive Ethernet, as well as a few legacy product lines in which we no longer invest, but will generate revenue for several years.</w:t>
      </w:r>
    </w:p>
    <w:p>
      <w:pPr>
        <w:spacing w:after="0" w:line="8"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7"/>
          <w:szCs w:val="17"/>
          <w:i w:val="1"/>
          <w:iCs w:val="1"/>
          <w:color w:val="auto"/>
        </w:rPr>
      </w:pPr>
      <w:r>
        <w:rPr>
          <w:rFonts w:ascii="Arial" w:cs="Arial" w:eastAsia="Arial" w:hAnsi="Arial"/>
          <w:sz w:val="17"/>
          <w:szCs w:val="17"/>
          <w:color w:val="auto"/>
        </w:rPr>
        <w:t>Connectivity products are comprised primarily of WiFi solutions including WiFi only, WiFi/Bluetooth combos and WiFi Microcontroller combos.</w:t>
      </w:r>
    </w:p>
    <w:p>
      <w:pPr>
        <w:spacing w:after="0" w:line="74" w:lineRule="exact"/>
        <w:rPr>
          <w:rFonts w:ascii="Arial" w:cs="Arial" w:eastAsia="Arial" w:hAnsi="Arial"/>
          <w:sz w:val="17"/>
          <w:szCs w:val="17"/>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 Application Processors and others.</w:t>
      </w:r>
    </w:p>
    <w:p>
      <w:pPr>
        <w:spacing w:after="0" w:line="63" w:lineRule="exact"/>
        <w:rPr>
          <w:rFonts w:ascii="Arial" w:cs="Arial" w:eastAsia="Arial" w:hAnsi="Arial"/>
          <w:sz w:val="18"/>
          <w:szCs w:val="18"/>
          <w:i w:val="1"/>
          <w:iCs w:val="1"/>
          <w:color w:val="auto"/>
        </w:rPr>
      </w:pPr>
    </w:p>
    <w:p>
      <w:pPr>
        <w:ind w:left="280" w:hanging="245"/>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Excludes the revenue of certain non-strategic businesses that were classified as discontinued operations.</w:t>
      </w:r>
    </w:p>
    <w:p>
      <w:pPr>
        <w:spacing w:after="0" w:line="200" w:lineRule="exact"/>
        <w:rPr>
          <w:sz w:val="20"/>
          <w:szCs w:val="20"/>
          <w:color w:val="auto"/>
        </w:rPr>
      </w:pP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 Peter Andrew</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Treasury and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420"/>
      </w:cols>
      <w:pgMar w:left="240" w:top="58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1)"/>
      <w:numFmt w:val="lowerLetter"/>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2019-12-29T02:56:14Z</dcterms:created>
  <dcterms:modified xsi:type="dcterms:W3CDTF">2019-12-29T02:56:14Z</dcterms:modified>
</cp:coreProperties>
</file>