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19"/>
        <w:spacing w:after="0"/>
        <w:rPr>
          <w:sz w:val="20"/>
          <w:szCs w:val="20"/>
          <w:color w:val="auto"/>
        </w:rPr>
      </w:pPr>
      <w:r>
        <w:rPr>
          <w:rFonts w:ascii="Arial" w:cs="Arial" w:eastAsia="Arial" w:hAnsi="Arial"/>
          <w:sz w:val="29"/>
          <w:szCs w:val="29"/>
          <w:b w:val="1"/>
          <w:bCs w:val="1"/>
          <w:color w:val="auto"/>
        </w:rPr>
        <w:drawing>
          <wp:anchor simplePos="0" relativeHeight="251657728" behindDoc="1" locked="0" layoutInCell="0" allowOverlap="1">
            <wp:simplePos x="0" y="0"/>
            <wp:positionH relativeFrom="page">
              <wp:posOffset>157480</wp:posOffset>
            </wp:positionH>
            <wp:positionV relativeFrom="page">
              <wp:posOffset>620395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534670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126" w:lineRule="exact"/>
        <w:rPr>
          <w:sz w:val="24"/>
          <w:szCs w:val="24"/>
          <w:color w:val="auto"/>
        </w:rPr>
      </w:pPr>
    </w:p>
    <w:p>
      <w:pPr>
        <w:jc w:val="center"/>
        <w:ind w:right="-119"/>
        <w:spacing w:after="0"/>
        <w:rPr>
          <w:sz w:val="20"/>
          <w:szCs w:val="20"/>
          <w:color w:val="auto"/>
        </w:rPr>
      </w:pPr>
      <w:r>
        <w:rPr>
          <w:rFonts w:ascii="Arial" w:cs="Arial" w:eastAsia="Arial" w:hAnsi="Arial"/>
          <w:sz w:val="29"/>
          <w:szCs w:val="29"/>
          <w:b w:val="1"/>
          <w:bCs w:val="1"/>
          <w:color w:val="auto"/>
        </w:rPr>
        <w:t>SECURITIES AND EXCHANGE COMMISSION</w:t>
      </w:r>
    </w:p>
    <w:p>
      <w:pPr>
        <w:spacing w:after="0" w:line="76"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07" w:lineRule="exact"/>
        <w:rPr>
          <w:sz w:val="24"/>
          <w:szCs w:val="24"/>
          <w:color w:val="auto"/>
        </w:rPr>
      </w:pPr>
    </w:p>
    <w:p>
      <w:pPr>
        <w:jc w:val="center"/>
        <w:ind w:right="-119"/>
        <w:spacing w:after="0"/>
        <w:rPr>
          <w:sz w:val="20"/>
          <w:szCs w:val="20"/>
          <w:color w:val="auto"/>
        </w:rPr>
      </w:pPr>
      <w:r>
        <w:rPr>
          <w:rFonts w:ascii="Arial" w:cs="Arial" w:eastAsia="Arial" w:hAnsi="Arial"/>
          <w:sz w:val="29"/>
          <w:szCs w:val="29"/>
          <w:b w:val="1"/>
          <w:bCs w:val="1"/>
          <w:color w:val="auto"/>
        </w:rPr>
        <w:t>FORM 8-K</w:t>
      </w:r>
    </w:p>
    <w:p>
      <w:pPr>
        <w:spacing w:after="0" w:line="76"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20"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58"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Securities Exchange Act of 1934</w:t>
      </w:r>
    </w:p>
    <w:p>
      <w:pPr>
        <w:spacing w:after="0" w:line="368"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Date of Report: December 7, 2017</w:t>
      </w:r>
    </w:p>
    <w:p>
      <w:pPr>
        <w:spacing w:after="0" w:line="58"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(Date of earliest event reported)</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MARVELL TECHNOLOGY GROUP LTD.</w:t>
      </w:r>
    </w:p>
    <w:p>
      <w:pPr>
        <w:spacing w:after="0" w:line="87" w:lineRule="exact"/>
        <w:rPr>
          <w:sz w:val="24"/>
          <w:szCs w:val="24"/>
          <w:color w:val="auto"/>
        </w:rPr>
      </w:pPr>
    </w:p>
    <w:p>
      <w:pPr>
        <w:jc w:val="center"/>
        <w:ind w:right="-1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54" w:lineRule="exact"/>
        <w:rPr>
          <w:sz w:val="24"/>
          <w:szCs w:val="24"/>
          <w:color w:val="auto"/>
        </w:rPr>
      </w:pPr>
    </w:p>
    <w:p>
      <w:pPr>
        <w:ind w:left="4620"/>
        <w:spacing w:after="0"/>
        <w:rPr>
          <w:sz w:val="20"/>
          <w:szCs w:val="20"/>
          <w:color w:val="auto"/>
        </w:rPr>
      </w:pPr>
      <w:r>
        <w:rPr>
          <w:rFonts w:ascii="Arial" w:cs="Arial" w:eastAsia="Arial" w:hAnsi="Arial"/>
          <w:sz w:val="18"/>
          <w:szCs w:val="18"/>
          <w:color w:val="auto"/>
        </w:rPr>
        <w:t>_________________________</w:t>
      </w:r>
    </w:p>
    <w:p>
      <w:pPr>
        <w:spacing w:after="0" w:line="200" w:lineRule="exact"/>
        <w:rPr>
          <w:sz w:val="24"/>
          <w:szCs w:val="24"/>
          <w:color w:val="auto"/>
        </w:rPr>
      </w:pPr>
    </w:p>
    <w:p>
      <w:pPr>
        <w:spacing w:after="0" w:line="291" w:lineRule="exact"/>
        <w:rPr>
          <w:sz w:val="24"/>
          <w:szCs w:val="24"/>
          <w:color w:val="auto"/>
        </w:rPr>
      </w:pPr>
    </w:p>
    <w:tbl>
      <w:tblPr>
        <w:tblLayout w:type="fixed"/>
        <w:tblInd w:w="1020" w:type="dxa"/>
        <w:tblCellMar>
          <w:top w:w="0" w:type="dxa"/>
          <w:left w:w="0" w:type="dxa"/>
          <w:bottom w:w="0" w:type="dxa"/>
          <w:right w:w="0" w:type="dxa"/>
        </w:tblCellMar>
      </w:tblPr>
      <w:tr>
        <w:trPr>
          <w:trHeight w:val="234"/>
        </w:trPr>
        <w:tc>
          <w:tcPr>
            <w:tcW w:w="2340" w:type="dxa"/>
            <w:vAlign w:val="bottom"/>
          </w:tcPr>
          <w:p>
            <w:pPr>
              <w:jc w:val="center"/>
              <w:ind w:right="462"/>
              <w:spacing w:after="0"/>
              <w:rPr>
                <w:sz w:val="20"/>
                <w:szCs w:val="20"/>
                <w:color w:val="auto"/>
              </w:rPr>
            </w:pPr>
            <w:r>
              <w:rPr>
                <w:rFonts w:ascii="Arial" w:cs="Arial" w:eastAsia="Arial" w:hAnsi="Arial"/>
                <w:sz w:val="18"/>
                <w:szCs w:val="18"/>
                <w:b w:val="1"/>
                <w:bCs w:val="1"/>
                <w:color w:val="auto"/>
                <w:w w:val="92"/>
              </w:rPr>
              <w:t>Bermuda</w:t>
            </w: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0"/>
              </w:rPr>
              <w:t>0-30877</w:t>
            </w:r>
          </w:p>
        </w:tc>
        <w:tc>
          <w:tcPr>
            <w:tcW w:w="2580" w:type="dxa"/>
            <w:vAlign w:val="bottom"/>
          </w:tcPr>
          <w:p>
            <w:pPr>
              <w:jc w:val="right"/>
              <w:ind w:right="519"/>
              <w:spacing w:after="0"/>
              <w:rPr>
                <w:sz w:val="20"/>
                <w:szCs w:val="20"/>
                <w:color w:val="auto"/>
              </w:rPr>
            </w:pPr>
            <w:r>
              <w:rPr>
                <w:rFonts w:ascii="Arial" w:cs="Arial" w:eastAsia="Arial" w:hAnsi="Arial"/>
                <w:sz w:val="18"/>
                <w:szCs w:val="18"/>
                <w:b w:val="1"/>
                <w:bCs w:val="1"/>
                <w:color w:val="auto"/>
              </w:rPr>
              <w:t>77-0481679</w:t>
            </w:r>
          </w:p>
        </w:tc>
      </w:tr>
      <w:tr>
        <w:trPr>
          <w:trHeight w:val="234"/>
        </w:trPr>
        <w:tc>
          <w:tcPr>
            <w:tcW w:w="2340" w:type="dxa"/>
            <w:vAlign w:val="bottom"/>
          </w:tcPr>
          <w:p>
            <w:pPr>
              <w:jc w:val="center"/>
              <w:ind w:right="462"/>
              <w:spacing w:after="0"/>
              <w:rPr>
                <w:sz w:val="20"/>
                <w:szCs w:val="20"/>
                <w:color w:val="auto"/>
              </w:rPr>
            </w:pPr>
            <w:r>
              <w:rPr>
                <w:rFonts w:ascii="Arial" w:cs="Arial" w:eastAsia="Arial" w:hAnsi="Arial"/>
                <w:sz w:val="14"/>
                <w:szCs w:val="14"/>
                <w:b w:val="1"/>
                <w:bCs w:val="1"/>
                <w:color w:val="auto"/>
                <w:w w:val="93"/>
              </w:rPr>
              <w:t>(State or other jurisdiction of</w:t>
            </w: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3"/>
              </w:rPr>
              <w:t>(Commission File Number)</w:t>
            </w:r>
          </w:p>
        </w:tc>
        <w:tc>
          <w:tcPr>
            <w:tcW w:w="2580" w:type="dxa"/>
            <w:vAlign w:val="bottom"/>
          </w:tcPr>
          <w:p>
            <w:pPr>
              <w:jc w:val="center"/>
              <w:ind w:left="399"/>
              <w:spacing w:after="0"/>
              <w:rPr>
                <w:sz w:val="20"/>
                <w:szCs w:val="20"/>
                <w:color w:val="auto"/>
              </w:rPr>
            </w:pPr>
            <w:r>
              <w:rPr>
                <w:rFonts w:ascii="Arial" w:cs="Arial" w:eastAsia="Arial" w:hAnsi="Arial"/>
                <w:sz w:val="14"/>
                <w:szCs w:val="14"/>
                <w:b w:val="1"/>
                <w:bCs w:val="1"/>
                <w:color w:val="auto"/>
                <w:w w:val="96"/>
              </w:rPr>
              <w:t>(IRS Employer Identification No.)</w:t>
            </w:r>
          </w:p>
        </w:tc>
      </w:tr>
      <w:tr>
        <w:trPr>
          <w:trHeight w:val="186"/>
        </w:trPr>
        <w:tc>
          <w:tcPr>
            <w:tcW w:w="2340" w:type="dxa"/>
            <w:vAlign w:val="bottom"/>
          </w:tcPr>
          <w:p>
            <w:pPr>
              <w:jc w:val="center"/>
              <w:ind w:right="482"/>
              <w:spacing w:after="0"/>
              <w:rPr>
                <w:sz w:val="20"/>
                <w:szCs w:val="20"/>
                <w:color w:val="auto"/>
              </w:rPr>
            </w:pPr>
            <w:r>
              <w:rPr>
                <w:rFonts w:ascii="Arial" w:cs="Arial" w:eastAsia="Arial" w:hAnsi="Arial"/>
                <w:sz w:val="14"/>
                <w:szCs w:val="14"/>
                <w:b w:val="1"/>
                <w:bCs w:val="1"/>
                <w:color w:val="auto"/>
                <w:w w:val="94"/>
              </w:rPr>
              <w:t>incorporation)</w:t>
            </w:r>
          </w:p>
        </w:tc>
        <w:tc>
          <w:tcPr>
            <w:tcW w:w="4680" w:type="dxa"/>
            <w:vAlign w:val="bottom"/>
          </w:tcPr>
          <w:p>
            <w:pPr>
              <w:spacing w:after="0"/>
              <w:rPr>
                <w:sz w:val="16"/>
                <w:szCs w:val="16"/>
                <w:color w:val="auto"/>
              </w:rPr>
            </w:pPr>
          </w:p>
        </w:tc>
        <w:tc>
          <w:tcPr>
            <w:tcW w:w="2580" w:type="dxa"/>
            <w:vAlign w:val="bottom"/>
          </w:tcPr>
          <w:p>
            <w:pPr>
              <w:spacing w:after="0"/>
              <w:rPr>
                <w:sz w:val="16"/>
                <w:szCs w:val="16"/>
                <w:color w:val="auto"/>
              </w:rPr>
            </w:pPr>
          </w:p>
        </w:tc>
      </w:tr>
      <w:tr>
        <w:trPr>
          <w:trHeight w:val="453"/>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Canon’s Court</w:t>
            </w:r>
          </w:p>
        </w:tc>
        <w:tc>
          <w:tcPr>
            <w:tcW w:w="2580" w:type="dxa"/>
            <w:vAlign w:val="bottom"/>
          </w:tcPr>
          <w:p>
            <w:pPr>
              <w:spacing w:after="0"/>
              <w:rPr>
                <w:sz w:val="24"/>
                <w:szCs w:val="24"/>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22 Victoria Street</w:t>
            </w:r>
          </w:p>
        </w:tc>
        <w:tc>
          <w:tcPr>
            <w:tcW w:w="2580" w:type="dxa"/>
            <w:vAlign w:val="bottom"/>
          </w:tcPr>
          <w:p>
            <w:pPr>
              <w:spacing w:after="0"/>
              <w:rPr>
                <w:sz w:val="18"/>
                <w:szCs w:val="18"/>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6"/>
              </w:rPr>
              <w:t>Hamilton HM 12</w:t>
            </w:r>
          </w:p>
        </w:tc>
        <w:tc>
          <w:tcPr>
            <w:tcW w:w="2580" w:type="dxa"/>
            <w:vAlign w:val="bottom"/>
          </w:tcPr>
          <w:p>
            <w:pPr>
              <w:spacing w:after="0"/>
              <w:rPr>
                <w:sz w:val="18"/>
                <w:szCs w:val="18"/>
                <w:color w:val="auto"/>
              </w:rPr>
            </w:pPr>
          </w:p>
        </w:tc>
      </w:tr>
      <w:tr>
        <w:trPr>
          <w:trHeight w:val="234"/>
        </w:trPr>
        <w:tc>
          <w:tcPr>
            <w:tcW w:w="2340" w:type="dxa"/>
            <w:vAlign w:val="bottom"/>
          </w:tcPr>
          <w:p>
            <w:pPr>
              <w:spacing w:after="0"/>
              <w:rPr>
                <w:sz w:val="20"/>
                <w:szCs w:val="20"/>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2"/>
              </w:rPr>
              <w:t>Bermuda</w:t>
            </w:r>
          </w:p>
        </w:tc>
        <w:tc>
          <w:tcPr>
            <w:tcW w:w="2580" w:type="dxa"/>
            <w:vAlign w:val="bottom"/>
          </w:tcPr>
          <w:p>
            <w:pPr>
              <w:spacing w:after="0"/>
              <w:rPr>
                <w:sz w:val="20"/>
                <w:szCs w:val="20"/>
                <w:color w:val="auto"/>
              </w:rPr>
            </w:pPr>
          </w:p>
        </w:tc>
      </w:tr>
      <w:tr>
        <w:trPr>
          <w:trHeight w:val="191"/>
        </w:trPr>
        <w:tc>
          <w:tcPr>
            <w:tcW w:w="2340" w:type="dxa"/>
            <w:vAlign w:val="bottom"/>
          </w:tcPr>
          <w:p>
            <w:pPr>
              <w:spacing w:after="0"/>
              <w:rPr>
                <w:sz w:val="16"/>
                <w:szCs w:val="16"/>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2"/>
              </w:rPr>
              <w:t>(Address of principal executive offices, including Zip Code)</w:t>
            </w:r>
          </w:p>
        </w:tc>
        <w:tc>
          <w:tcPr>
            <w:tcW w:w="2580" w:type="dxa"/>
            <w:vAlign w:val="bottom"/>
          </w:tcPr>
          <w:p>
            <w:pPr>
              <w:spacing w:after="0"/>
              <w:rPr>
                <w:sz w:val="16"/>
                <w:szCs w:val="16"/>
                <w:color w:val="auto"/>
              </w:rPr>
            </w:pPr>
          </w:p>
        </w:tc>
      </w:tr>
      <w:tr>
        <w:trPr>
          <w:trHeight w:val="417"/>
        </w:trPr>
        <w:tc>
          <w:tcPr>
            <w:tcW w:w="2340" w:type="dxa"/>
            <w:vAlign w:val="bottom"/>
          </w:tcPr>
          <w:p>
            <w:pPr>
              <w:spacing w:after="0"/>
              <w:rPr>
                <w:sz w:val="24"/>
                <w:szCs w:val="24"/>
                <w:color w:val="auto"/>
              </w:rPr>
            </w:pPr>
          </w:p>
        </w:tc>
        <w:tc>
          <w:tcPr>
            <w:tcW w:w="4680" w:type="dxa"/>
            <w:vAlign w:val="bottom"/>
          </w:tcPr>
          <w:p>
            <w:pPr>
              <w:jc w:val="right"/>
              <w:ind w:right="1675"/>
              <w:spacing w:after="0"/>
              <w:rPr>
                <w:sz w:val="20"/>
                <w:szCs w:val="20"/>
                <w:color w:val="auto"/>
              </w:rPr>
            </w:pPr>
            <w:r>
              <w:rPr>
                <w:rFonts w:ascii="Arial" w:cs="Arial" w:eastAsia="Arial" w:hAnsi="Arial"/>
                <w:sz w:val="18"/>
                <w:szCs w:val="18"/>
                <w:b w:val="1"/>
                <w:bCs w:val="1"/>
                <w:color w:val="auto"/>
              </w:rPr>
              <w:t>(441) 296-6395</w:t>
            </w:r>
          </w:p>
        </w:tc>
        <w:tc>
          <w:tcPr>
            <w:tcW w:w="2580" w:type="dxa"/>
            <w:vAlign w:val="bottom"/>
          </w:tcPr>
          <w:p>
            <w:pPr>
              <w:spacing w:after="0"/>
              <w:rPr>
                <w:sz w:val="24"/>
                <w:szCs w:val="24"/>
                <w:color w:val="auto"/>
              </w:rPr>
            </w:pPr>
          </w:p>
        </w:tc>
      </w:tr>
      <w:tr>
        <w:trPr>
          <w:trHeight w:val="204"/>
        </w:trPr>
        <w:tc>
          <w:tcPr>
            <w:tcW w:w="2340" w:type="dxa"/>
            <w:vAlign w:val="bottom"/>
          </w:tcPr>
          <w:p>
            <w:pPr>
              <w:spacing w:after="0"/>
              <w:rPr>
                <w:sz w:val="17"/>
                <w:szCs w:val="17"/>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2580" w:type="dxa"/>
            <w:vAlign w:val="bottom"/>
          </w:tcPr>
          <w:p>
            <w:pPr>
              <w:spacing w:after="0"/>
              <w:rPr>
                <w:sz w:val="17"/>
                <w:szCs w:val="17"/>
                <w:color w:val="auto"/>
              </w:rPr>
            </w:pPr>
          </w:p>
        </w:tc>
      </w:tr>
      <w:tr>
        <w:trPr>
          <w:trHeight w:val="255"/>
        </w:trPr>
        <w:tc>
          <w:tcPr>
            <w:tcW w:w="2340" w:type="dxa"/>
            <w:vAlign w:val="bottom"/>
          </w:tcPr>
          <w:p>
            <w:pPr>
              <w:spacing w:after="0"/>
              <w:rPr>
                <w:sz w:val="22"/>
                <w:szCs w:val="22"/>
                <w:color w:val="auto"/>
              </w:rPr>
            </w:pPr>
          </w:p>
        </w:tc>
        <w:tc>
          <w:tcPr>
            <w:tcW w:w="4680" w:type="dxa"/>
            <w:vAlign w:val="bottom"/>
          </w:tcPr>
          <w:p>
            <w:pPr>
              <w:jc w:val="right"/>
              <w:ind w:right="1115"/>
              <w:spacing w:after="0"/>
              <w:rPr>
                <w:sz w:val="20"/>
                <w:szCs w:val="20"/>
                <w:color w:val="auto"/>
              </w:rPr>
            </w:pPr>
            <w:r>
              <w:rPr>
                <w:rFonts w:ascii="Arial" w:cs="Arial" w:eastAsia="Arial" w:hAnsi="Arial"/>
                <w:sz w:val="18"/>
                <w:szCs w:val="18"/>
                <w:color w:val="auto"/>
              </w:rPr>
              <w:t>_________________________</w:t>
            </w:r>
          </w:p>
        </w:tc>
        <w:tc>
          <w:tcPr>
            <w:tcW w:w="2580" w:type="dxa"/>
            <w:vAlign w:val="bottom"/>
          </w:tcPr>
          <w:p>
            <w:pPr>
              <w:spacing w:after="0"/>
              <w:rPr>
                <w:sz w:val="22"/>
                <w:szCs w:val="22"/>
                <w:color w:val="auto"/>
              </w:rPr>
            </w:pPr>
          </w:p>
        </w:tc>
      </w:tr>
    </w:tbl>
    <w:p>
      <w:pPr>
        <w:spacing w:after="0" w:line="188" w:lineRule="exact"/>
        <w:rPr>
          <w:sz w:val="24"/>
          <w:szCs w:val="24"/>
          <w:color w:val="auto"/>
        </w:rPr>
      </w:pPr>
    </w:p>
    <w:p>
      <w:pPr>
        <w:spacing w:after="0" w:line="324"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211" w:lineRule="exact"/>
        <w:rPr>
          <w:sz w:val="24"/>
          <w:szCs w:val="24"/>
          <w:color w:val="auto"/>
        </w:rPr>
      </w:pPr>
    </w:p>
    <w:p>
      <w:pPr>
        <w:ind w:left="500"/>
        <w:spacing w:after="0"/>
        <w:rPr>
          <w:sz w:val="20"/>
          <w:szCs w:val="20"/>
          <w:color w:val="auto"/>
        </w:rPr>
      </w:pPr>
      <w:r>
        <w:rPr>
          <w:rFonts w:ascii="Arial" w:cs="Arial" w:eastAsia="Arial" w:hAnsi="Arial"/>
          <w:sz w:val="18"/>
          <w:szCs w:val="18"/>
          <w:color w:val="auto"/>
        </w:rPr>
        <w:t>Written communications pursuant to Rule 425 under the Securities Act (17 CFR 230.425)</w:t>
      </w:r>
    </w:p>
    <w:p>
      <w:pPr>
        <w:spacing w:after="0" w:line="200" w:lineRule="exact"/>
        <w:rPr>
          <w:sz w:val="24"/>
          <w:szCs w:val="24"/>
          <w:color w:val="auto"/>
        </w:rPr>
      </w:pPr>
    </w:p>
    <w:p>
      <w:pPr>
        <w:spacing w:after="0" w:line="201" w:lineRule="exact"/>
        <w:rPr>
          <w:sz w:val="24"/>
          <w:szCs w:val="24"/>
          <w:color w:val="auto"/>
        </w:rPr>
      </w:pPr>
    </w:p>
    <w:p>
      <w:pPr>
        <w:ind w:left="500"/>
        <w:spacing w:after="0"/>
        <w:rPr>
          <w:sz w:val="20"/>
          <w:szCs w:val="20"/>
          <w:color w:val="auto"/>
        </w:rPr>
      </w:pPr>
      <w:r>
        <w:rPr>
          <w:rFonts w:ascii="Arial" w:cs="Arial" w:eastAsia="Arial" w:hAnsi="Arial"/>
          <w:sz w:val="18"/>
          <w:szCs w:val="18"/>
          <w:color w:val="auto"/>
        </w:rPr>
        <w:t>Soliciting material pursuant to Rule 14a-12 under the Exchange Act (17 CFR 240.14a-12)</w:t>
      </w:r>
    </w:p>
    <w:p>
      <w:pPr>
        <w:spacing w:after="0" w:line="200" w:lineRule="exact"/>
        <w:rPr>
          <w:sz w:val="24"/>
          <w:szCs w:val="24"/>
          <w:color w:val="auto"/>
        </w:rPr>
      </w:pPr>
    </w:p>
    <w:p>
      <w:pPr>
        <w:spacing w:after="0" w:line="201" w:lineRule="exact"/>
        <w:rPr>
          <w:sz w:val="24"/>
          <w:szCs w:val="24"/>
          <w:color w:val="auto"/>
        </w:rPr>
      </w:pPr>
    </w:p>
    <w:p>
      <w:pPr>
        <w:ind w:left="500"/>
        <w:spacing w:after="0"/>
        <w:rPr>
          <w:sz w:val="20"/>
          <w:szCs w:val="20"/>
          <w:color w:val="auto"/>
        </w:rPr>
      </w:pPr>
      <w:r>
        <w:rPr>
          <w:rFonts w:ascii="Arial" w:cs="Arial" w:eastAsia="Arial" w:hAnsi="Arial"/>
          <w:sz w:val="18"/>
          <w:szCs w:val="18"/>
          <w:color w:val="auto"/>
        </w:rPr>
        <w:t>Pre-commencement communications pursuant to Rule 14d-2(b) under the Exchange Act (17 CFR 240.14d-2(b))</w:t>
      </w:r>
    </w:p>
    <w:p>
      <w:pPr>
        <w:spacing w:after="0" w:line="200" w:lineRule="exact"/>
        <w:rPr>
          <w:sz w:val="24"/>
          <w:szCs w:val="24"/>
          <w:color w:val="auto"/>
        </w:rPr>
      </w:pPr>
    </w:p>
    <w:p>
      <w:pPr>
        <w:spacing w:after="0" w:line="201" w:lineRule="exact"/>
        <w:rPr>
          <w:sz w:val="24"/>
          <w:szCs w:val="24"/>
          <w:color w:val="auto"/>
        </w:rPr>
      </w:pPr>
    </w:p>
    <w:p>
      <w:pPr>
        <w:ind w:left="500"/>
        <w:spacing w:after="0"/>
        <w:rPr>
          <w:sz w:val="20"/>
          <w:szCs w:val="20"/>
          <w:color w:val="auto"/>
        </w:rPr>
      </w:pPr>
      <w:r>
        <w:rPr>
          <w:rFonts w:ascii="Arial" w:cs="Arial" w:eastAsia="Arial" w:hAnsi="Arial"/>
          <w:sz w:val="18"/>
          <w:szCs w:val="18"/>
          <w:color w:val="auto"/>
        </w:rPr>
        <w:t>Pre-commencement communications pursuant to Rule 13e-4(c) under the Exchange Act (17 CFR 240.13e-4(c))</w:t>
      </w:r>
    </w:p>
    <w:p>
      <w:pPr>
        <w:sectPr>
          <w:pgSz w:w="11900" w:h="16838" w:orient="portrait"/>
          <w:cols w:equalWidth="0" w:num="1">
            <w:col w:w="11300"/>
          </w:cols>
          <w:pgMar w:left="240" w:top="1161" w:right="359" w:bottom="1440" w:gutter="0" w:footer="0" w:header="0"/>
        </w:sectPr>
      </w:pPr>
    </w:p>
    <w:bookmarkStart w:id="1" w:name="page2"/>
    <w:bookmarkEnd w:id="1"/>
    <w:p>
      <w:pPr>
        <w:spacing w:after="0"/>
        <w:rPr>
          <w:sz w:val="20"/>
          <w:szCs w:val="20"/>
          <w:color w:val="auto"/>
        </w:rPr>
      </w:pPr>
      <w:r>
        <w:rPr>
          <w:rFonts w:ascii="Arial" w:cs="Arial" w:eastAsia="Arial" w:hAnsi="Arial"/>
          <w:sz w:val="16"/>
          <w:szCs w:val="16"/>
          <w:color w:val="auto"/>
        </w:rPr>
        <w:t>Indicate by check mark whether the registrant is an emerging growth company as defined in Rule 405 of the Securities Act of 1933 (§230.405 of this chapter)</w:t>
      </w:r>
    </w:p>
    <w:p>
      <w:pPr>
        <w:spacing w:after="0" w:line="41" w:lineRule="exact"/>
        <w:rPr>
          <w:sz w:val="20"/>
          <w:szCs w:val="20"/>
          <w:color w:val="auto"/>
        </w:rPr>
      </w:pPr>
    </w:p>
    <w:p>
      <w:pPr>
        <w:spacing w:after="0" w:line="207" w:lineRule="exact"/>
        <w:tabs>
          <w:tab w:leader="none" w:pos="6880" w:val="left"/>
          <w:tab w:leader="none" w:pos="9020" w:val="left"/>
        </w:tabs>
        <w:rPr>
          <w:sz w:val="20"/>
          <w:szCs w:val="20"/>
          <w:color w:val="auto"/>
        </w:rPr>
      </w:pPr>
      <w:r>
        <w:rPr>
          <w:rFonts w:ascii="Arial" w:cs="Arial" w:eastAsia="Arial" w:hAnsi="Arial"/>
          <w:sz w:val="18"/>
          <w:szCs w:val="18"/>
          <w:color w:val="auto"/>
        </w:rPr>
        <w:t>or Rule 12b-2 of the Securities Exchange Act of 1934 (§240.12b-2 of this chapter).</w:t>
      </w:r>
      <w:r>
        <w:rPr>
          <w:sz w:val="20"/>
          <w:szCs w:val="20"/>
          <w:color w:val="auto"/>
        </w:rPr>
        <w:tab/>
      </w: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175" w:lineRule="exact"/>
        <w:rPr>
          <w:sz w:val="20"/>
          <w:szCs w:val="20"/>
          <w:color w:val="auto"/>
        </w:rPr>
      </w:pPr>
    </w:p>
    <w:p>
      <w:pPr>
        <w:ind w:right="8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236220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150495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60"/>
          </w:cols>
          <w:pgMar w:left="240" w:top="638" w:right="299" w:bottom="1440" w:gutter="0" w:footer="0" w:header="0"/>
        </w:sectPr>
      </w:pPr>
    </w:p>
    <w:bookmarkStart w:id="2" w:name="page3"/>
    <w:bookmarkEnd w:id="2"/>
    <w:p>
      <w:pPr>
        <w:ind w:right="460"/>
        <w:spacing w:after="0" w:line="282"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166"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On December 7, 2017, Dr. Randhir Thakur, a member of the board of directors of Marvell Technology Group Ltd. (the "Company"), notified the board that he does not intend to stand for re-election at the Company's 2018 annual general meeting of shareholders. Dr. Thakur’s decision is not due to any disagreement with the Company on any matter relating to the Company’s operations, policies or practices.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8.01 Other Events.</w:t>
      </w:r>
    </w:p>
    <w:p>
      <w:pPr>
        <w:spacing w:after="0" w:line="229"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color w:val="auto"/>
        </w:rPr>
        <w:t>On December 8, 2017, the Company announced that its board of directors had declared the payment of its quarterly dividend of $0.06 per share to be paid on January 16, 2018 to all shareholders of record as of December 27, 2017. A copy of the press release is furnished herewith as Exhibit 99.1 and is incorporated by reference herein.</w:t>
      </w:r>
    </w:p>
    <w:p>
      <w:pPr>
        <w:spacing w:after="0" w:line="181" w:lineRule="exact"/>
        <w:rPr>
          <w:sz w:val="20"/>
          <w:szCs w:val="20"/>
          <w:color w:val="auto"/>
        </w:rPr>
      </w:pPr>
    </w:p>
    <w:p>
      <w:pPr>
        <w:ind w:right="140"/>
        <w:spacing w:after="0" w:line="264" w:lineRule="auto"/>
        <w:rPr>
          <w:sz w:val="20"/>
          <w:szCs w:val="20"/>
          <w:color w:val="auto"/>
        </w:rPr>
      </w:pPr>
      <w:r>
        <w:rPr>
          <w:rFonts w:ascii="Arial" w:cs="Arial" w:eastAsia="Arial" w:hAnsi="Arial"/>
          <w:sz w:val="18"/>
          <w:szCs w:val="18"/>
          <w:color w:val="auto"/>
        </w:rPr>
        <w:t>The payment of future quarterly cash dividends is subject to, among other things, the best interests of the Company and its shareholders, its results of operations, cash balances and future cash requirements, financial condition, developments in ongoing litigation, statutory requirements of Bermuda law, and other factors that the Board of Directors may deem relevant.</w:t>
      </w:r>
    </w:p>
    <w:p>
      <w:pPr>
        <w:spacing w:after="0" w:line="272"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ind w:left="660"/>
        <w:spacing w:after="0"/>
        <w:tabs>
          <w:tab w:leader="none" w:pos="1020"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7"/>
          <w:szCs w:val="17"/>
          <w:color w:val="auto"/>
        </w:rPr>
        <w:t>Exhibits.</w:t>
      </w:r>
    </w:p>
    <w:p>
      <w:pPr>
        <w:spacing w:after="0" w:line="225" w:lineRule="exact"/>
        <w:rPr>
          <w:sz w:val="20"/>
          <w:szCs w:val="20"/>
          <w:color w:val="auto"/>
        </w:rPr>
      </w:pPr>
    </w:p>
    <w:p>
      <w:pPr>
        <w:ind w:left="1300"/>
        <w:spacing w:after="0"/>
        <w:tabs>
          <w:tab w:leader="none" w:pos="1940" w:val="left"/>
        </w:tabs>
        <w:rPr>
          <w:rFonts w:ascii="Arial" w:cs="Arial" w:eastAsia="Arial" w:hAnsi="Arial"/>
          <w:sz w:val="16"/>
          <w:szCs w:val="16"/>
          <w:u w:val="single" w:color="auto"/>
          <w:color w:val="0000FF"/>
        </w:rPr>
      </w:pPr>
      <w:r>
        <w:rPr>
          <w:rFonts w:ascii="Arial" w:cs="Arial" w:eastAsia="Arial" w:hAnsi="Arial"/>
          <w:sz w:val="18"/>
          <w:szCs w:val="18"/>
          <w:color w:val="auto"/>
        </w:rPr>
        <w:t>99.1</w:t>
      </w:r>
      <w:r>
        <w:rPr>
          <w:sz w:val="20"/>
          <w:szCs w:val="20"/>
          <w:color w:val="auto"/>
        </w:rPr>
        <w:tab/>
      </w:r>
      <w:hyperlink w:anchor="page5">
        <w:r>
          <w:rPr>
            <w:rFonts w:ascii="Arial" w:cs="Arial" w:eastAsia="Arial" w:hAnsi="Arial"/>
            <w:sz w:val="16"/>
            <w:szCs w:val="16"/>
            <w:u w:val="single" w:color="auto"/>
            <w:color w:val="0000FF"/>
          </w:rPr>
          <w:t>Press Release dated December 8, 2017, titled “Marvell Technology Group Ltd. Declares Quarterly Dividend Payment”</w:t>
        </w:r>
      </w:hyperlink>
    </w:p>
    <w:p>
      <w:pPr>
        <w:sectPr>
          <w:pgSz w:w="11900" w:h="16838" w:orient="portrait"/>
          <w:cols w:equalWidth="0" w:num="1">
            <w:col w:w="11400"/>
          </w:cols>
          <w:pgMar w:left="240" w:top="796" w:right="259" w:bottom="1440" w:gutter="0" w:footer="0" w:header="0"/>
        </w:sectPr>
      </w:pPr>
    </w:p>
    <w:bookmarkStart w:id="3" w:name="page4"/>
    <w:bookmarkEnd w:id="3"/>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ind w:left="6680"/>
        <w:spacing w:after="0"/>
        <w:rPr>
          <w:sz w:val="20"/>
          <w:szCs w:val="20"/>
          <w:color w:val="auto"/>
        </w:rPr>
      </w:pPr>
      <w:r>
        <w:rPr>
          <w:rFonts w:ascii="Arial" w:cs="Arial" w:eastAsia="Arial" w:hAnsi="Arial"/>
          <w:sz w:val="18"/>
          <w:szCs w:val="18"/>
          <w:color w:val="auto"/>
        </w:rPr>
        <w:t>MARVELL TECHNOLOGY GROUP LTD.</w:t>
      </w:r>
    </w:p>
    <w:p>
      <w:pPr>
        <w:spacing w:after="0" w:line="387" w:lineRule="exact"/>
        <w:rPr>
          <w:sz w:val="20"/>
          <w:szCs w:val="20"/>
          <w:color w:val="auto"/>
        </w:rPr>
      </w:pPr>
    </w:p>
    <w:p>
      <w:pPr>
        <w:ind w:left="520"/>
        <w:spacing w:after="0"/>
        <w:tabs>
          <w:tab w:leader="none" w:pos="6660" w:val="left"/>
          <w:tab w:leader="none" w:pos="7080" w:val="left"/>
        </w:tabs>
        <w:rPr>
          <w:sz w:val="20"/>
          <w:szCs w:val="20"/>
          <w:color w:val="auto"/>
        </w:rPr>
      </w:pPr>
      <w:r>
        <w:rPr>
          <w:rFonts w:ascii="Arial" w:cs="Arial" w:eastAsia="Arial" w:hAnsi="Arial"/>
          <w:sz w:val="18"/>
          <w:szCs w:val="18"/>
          <w:color w:val="auto"/>
        </w:rPr>
        <w:t>Date: December 13, 2017</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MITCHELL 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4498975</wp:posOffset>
            </wp:positionH>
            <wp:positionV relativeFrom="paragraph">
              <wp:posOffset>31750</wp:posOffset>
            </wp:positionV>
            <wp:extent cx="24441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444115" cy="8890"/>
                    </a:xfrm>
                    <a:prstGeom prst="rect">
                      <a:avLst/>
                    </a:prstGeom>
                    <a:noFill/>
                  </pic:spPr>
                </pic:pic>
              </a:graphicData>
            </a:graphic>
          </wp:anchor>
        </w:drawing>
      </w:r>
    </w:p>
    <w:p>
      <w:pPr>
        <w:spacing w:after="0" w:line="53" w:lineRule="exact"/>
        <w:rPr>
          <w:sz w:val="20"/>
          <w:szCs w:val="20"/>
          <w:color w:val="auto"/>
        </w:rPr>
      </w:pPr>
    </w:p>
    <w:p>
      <w:pPr>
        <w:ind w:left="7100"/>
        <w:spacing w:after="0"/>
        <w:rPr>
          <w:sz w:val="20"/>
          <w:szCs w:val="20"/>
          <w:color w:val="auto"/>
        </w:rPr>
      </w:pPr>
      <w:r>
        <w:rPr>
          <w:rFonts w:ascii="Arial" w:cs="Arial" w:eastAsia="Arial" w:hAnsi="Arial"/>
          <w:sz w:val="18"/>
          <w:szCs w:val="18"/>
          <w:b w:val="1"/>
          <w:bCs w:val="1"/>
          <w:color w:val="auto"/>
        </w:rPr>
        <w:t>Mitchell L. Gaynor</w:t>
      </w:r>
    </w:p>
    <w:p>
      <w:pPr>
        <w:spacing w:after="0" w:line="67" w:lineRule="exact"/>
        <w:rPr>
          <w:sz w:val="20"/>
          <w:szCs w:val="20"/>
          <w:color w:val="auto"/>
        </w:rPr>
      </w:pPr>
    </w:p>
    <w:p>
      <w:pPr>
        <w:ind w:left="7100"/>
        <w:spacing w:after="0"/>
        <w:rPr>
          <w:sz w:val="20"/>
          <w:szCs w:val="20"/>
          <w:color w:val="auto"/>
        </w:rPr>
      </w:pPr>
      <w:r>
        <w:rPr>
          <w:rFonts w:ascii="Arial" w:cs="Arial" w:eastAsia="Arial" w:hAnsi="Arial"/>
          <w:sz w:val="18"/>
          <w:szCs w:val="18"/>
          <w:b w:val="1"/>
          <w:bCs w:val="1"/>
          <w:i w:val="1"/>
          <w:iCs w:val="1"/>
          <w:color w:val="auto"/>
        </w:rPr>
        <w:t>Chief Administration and Legal Officer and</w:t>
      </w:r>
    </w:p>
    <w:p>
      <w:pPr>
        <w:spacing w:after="0" w:line="23" w:lineRule="exact"/>
        <w:rPr>
          <w:sz w:val="20"/>
          <w:szCs w:val="20"/>
          <w:color w:val="auto"/>
        </w:rPr>
      </w:pPr>
    </w:p>
    <w:p>
      <w:pPr>
        <w:ind w:left="7100"/>
        <w:spacing w:after="0"/>
        <w:rPr>
          <w:sz w:val="20"/>
          <w:szCs w:val="20"/>
          <w:color w:val="auto"/>
        </w:rPr>
      </w:pPr>
      <w:r>
        <w:rPr>
          <w:rFonts w:ascii="Arial" w:cs="Arial" w:eastAsia="Arial" w:hAnsi="Arial"/>
          <w:sz w:val="18"/>
          <w:szCs w:val="18"/>
          <w:b w:val="1"/>
          <w:bCs w:val="1"/>
          <w:i w:val="1"/>
          <w:iCs w:val="1"/>
          <w:color w:val="auto"/>
        </w:rPr>
        <w:t>Secretary</w:t>
      </w:r>
    </w:p>
    <w:p>
      <w:pPr>
        <w:sectPr>
          <w:pgSz w:w="11900" w:h="16838" w:orient="portrait"/>
          <w:cols w:equalWidth="0" w:num="1">
            <w:col w:w="11380"/>
          </w:cols>
          <w:pgMar w:left="240" w:top="580" w:right="279" w:bottom="1440" w:gutter="0" w:footer="0" w:header="0"/>
        </w:sectPr>
      </w:pPr>
    </w:p>
    <w:bookmarkStart w:id="4" w:name="page5"/>
    <w:bookmarkEnd w:id="4"/>
    <w:p>
      <w:pPr>
        <w:jc w:val="center"/>
        <w:ind w:right="-19"/>
        <w:spacing w:after="0"/>
        <w:rPr>
          <w:sz w:val="20"/>
          <w:szCs w:val="20"/>
          <w:color w:val="auto"/>
        </w:rPr>
      </w:pPr>
      <w:r>
        <w:rPr>
          <w:rFonts w:ascii="Arial" w:cs="Arial" w:eastAsia="Arial" w:hAnsi="Arial"/>
          <w:sz w:val="25"/>
          <w:szCs w:val="25"/>
          <w:b w:val="1"/>
          <w:bCs w:val="1"/>
          <w:color w:val="auto"/>
        </w:rPr>
        <w:drawing>
          <wp:anchor simplePos="0" relativeHeight="251657728" behindDoc="1" locked="0" layoutInCell="0" allowOverlap="1">
            <wp:simplePos x="0" y="0"/>
            <wp:positionH relativeFrom="page">
              <wp:posOffset>157480</wp:posOffset>
            </wp:positionH>
            <wp:positionV relativeFrom="page">
              <wp:posOffset>243205</wp:posOffset>
            </wp:positionV>
            <wp:extent cx="2195195" cy="1543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2195195" cy="154305"/>
                    </a:xfrm>
                    <a:prstGeom prst="rect">
                      <a:avLst/>
                    </a:prstGeom>
                    <a:noFill/>
                  </pic:spPr>
                </pic:pic>
              </a:graphicData>
            </a:graphic>
          </wp:anchor>
        </w:drawing>
        <w:t>Marvell Technology Group Ltd. Declares Quarterly Dividend Payment</w:t>
      </w:r>
    </w:p>
    <w:p>
      <w:pPr>
        <w:spacing w:after="0" w:line="200" w:lineRule="exact"/>
        <w:rPr>
          <w:sz w:val="20"/>
          <w:szCs w:val="20"/>
          <w:color w:val="auto"/>
        </w:rPr>
      </w:pPr>
    </w:p>
    <w:p>
      <w:pPr>
        <w:spacing w:after="0" w:line="318" w:lineRule="exact"/>
        <w:rPr>
          <w:sz w:val="20"/>
          <w:szCs w:val="20"/>
          <w:color w:val="auto"/>
        </w:rPr>
      </w:pPr>
    </w:p>
    <w:p>
      <w:pPr>
        <w:spacing w:after="0" w:line="371" w:lineRule="auto"/>
        <w:rPr>
          <w:sz w:val="20"/>
          <w:szCs w:val="20"/>
          <w:color w:val="auto"/>
        </w:rPr>
      </w:pPr>
      <w:r>
        <w:rPr>
          <w:rFonts w:ascii="Arial" w:cs="Arial" w:eastAsia="Arial" w:hAnsi="Arial"/>
          <w:sz w:val="22"/>
          <w:szCs w:val="22"/>
          <w:b w:val="1"/>
          <w:bCs w:val="1"/>
          <w:color w:val="auto"/>
        </w:rPr>
        <w:t>SANTA CLARA, Calif. (December 8, 2017</w:t>
      </w:r>
      <w:r>
        <w:rPr>
          <w:rFonts w:ascii="Arial" w:cs="Arial" w:eastAsia="Arial" w:hAnsi="Arial"/>
          <w:sz w:val="22"/>
          <w:szCs w:val="22"/>
          <w:color w:val="auto"/>
        </w:rPr>
        <w:t>) – Marvell (NASDAQ:MRVL), a leader in storage, networking and connectivity</w:t>
      </w:r>
      <w:r>
        <w:rPr>
          <w:rFonts w:ascii="Arial" w:cs="Arial" w:eastAsia="Arial" w:hAnsi="Arial"/>
          <w:sz w:val="22"/>
          <w:szCs w:val="22"/>
          <w:b w:val="1"/>
          <w:bCs w:val="1"/>
          <w:color w:val="auto"/>
        </w:rPr>
        <w:t xml:space="preserve"> </w:t>
      </w:r>
      <w:r>
        <w:rPr>
          <w:rFonts w:ascii="Arial" w:cs="Arial" w:eastAsia="Arial" w:hAnsi="Arial"/>
          <w:sz w:val="22"/>
          <w:szCs w:val="22"/>
          <w:color w:val="auto"/>
        </w:rPr>
        <w:t>semiconductor solutions, today announced a quarterly dividend of $0.06 per share of common stock payable on January 16, 2018 to stockholders of record as of December 27, 2017.</w:t>
      </w:r>
    </w:p>
    <w:p>
      <w:pPr>
        <w:spacing w:after="0" w:line="17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About Marvell</w:t>
      </w:r>
    </w:p>
    <w:p>
      <w:pPr>
        <w:spacing w:after="0" w:line="145" w:lineRule="exact"/>
        <w:rPr>
          <w:sz w:val="20"/>
          <w:szCs w:val="20"/>
          <w:color w:val="auto"/>
        </w:rPr>
      </w:pPr>
    </w:p>
    <w:p>
      <w:pPr>
        <w:ind w:right="180"/>
        <w:spacing w:after="0" w:line="386" w:lineRule="auto"/>
        <w:rPr>
          <w:sz w:val="20"/>
          <w:szCs w:val="20"/>
          <w:color w:val="auto"/>
        </w:rPr>
      </w:pPr>
      <w:r>
        <w:rPr>
          <w:rFonts w:ascii="Arial" w:cs="Arial" w:eastAsia="Arial" w:hAnsi="Arial"/>
          <w:sz w:val="21"/>
          <w:szCs w:val="21"/>
          <w:color w:val="auto"/>
        </w:rPr>
        <w:t>Marvell first revolutionized the digital storage industry by moving information at speeds never thought possible. Today, that same breakthrough innovation remains at the heart of the company's storage, networking and connectivity solutions. With leading intellectual property and deep system-level knowledge, Marvell's semiconductor solutions continue to transform the enterprise, cloud, automotive, industrial and consumer markets. To learn more, visit: www.marvell.com.</w:t>
      </w:r>
    </w:p>
    <w:p>
      <w:pPr>
        <w:spacing w:after="0" w:line="337"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w:t>
      </w:r>
    </w:p>
    <w:p>
      <w:pPr>
        <w:spacing w:after="0" w:line="65" w:lineRule="exact"/>
        <w:rPr>
          <w:sz w:val="20"/>
          <w:szCs w:val="20"/>
          <w:color w:val="auto"/>
        </w:rPr>
      </w:pPr>
    </w:p>
    <w:p>
      <w:pPr>
        <w:spacing w:after="0"/>
        <w:rPr>
          <w:sz w:val="20"/>
          <w:szCs w:val="20"/>
          <w:color w:val="auto"/>
        </w:rPr>
      </w:pPr>
      <w:r>
        <w:rPr>
          <w:rFonts w:ascii="Arial" w:cs="Arial" w:eastAsia="Arial" w:hAnsi="Arial"/>
          <w:sz w:val="18"/>
          <w:szCs w:val="18"/>
          <w:color w:val="auto"/>
        </w:rPr>
        <w:t>Marvell@ and the Marvell logo are registered trademarks of Marvell and/or its affiliates.</w:t>
      </w:r>
    </w:p>
    <w:sectPr>
      <w:pgSz w:w="11900" w:h="16838" w:orient="portrait"/>
      <w:cols w:equalWidth="0" w:num="1">
        <w:col w:w="11420"/>
      </w:cols>
      <w:pgMar w:left="240" w:top="103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2019-12-29T02:37:59Z</dcterms:created>
  <dcterms:modified xsi:type="dcterms:W3CDTF">2019-12-29T02:37:59Z</dcterms:modified>
</cp:coreProperties>
</file>