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182880</wp:posOffset>
            </wp:positionH>
            <wp:positionV relativeFrom="page">
              <wp:posOffset>228600</wp:posOffset>
            </wp:positionV>
            <wp:extent cx="7543800" cy="133350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extLst>
                    </a:blip>
                    <a:srcRect/>
                    <a:stretch>
                      <a:fillRect/>
                    </a:stretch>
                  </pic:blipFill>
                  <pic:spPr bwMode="auto">
                    <a:xfrm>
                      <a:off x="0" y="0"/>
                      <a:ext cx="7543800" cy="133350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10" w:lineRule="exact"/>
        <w:rPr>
          <w:sz w:val="24"/>
          <w:szCs w:val="24"/>
          <w:color w:val="auto"/>
        </w:rPr>
      </w:pPr>
    </w:p>
    <w:p>
      <w:pPr>
        <w:spacing w:after="0"/>
        <w:rPr>
          <w:sz w:val="20"/>
          <w:szCs w:val="20"/>
          <w:color w:val="auto"/>
        </w:rPr>
      </w:pPr>
      <w:r>
        <w:rPr>
          <w:rFonts w:ascii="Times New Roman" w:cs="Times New Roman" w:eastAsia="Times New Roman" w:hAnsi="Times New Roman"/>
          <w:sz w:val="24"/>
          <w:szCs w:val="24"/>
          <w:color w:val="auto"/>
        </w:rPr>
        <w:t>Mail Stop 3030</w:t>
      </w:r>
    </w:p>
    <w:p>
      <w:pPr>
        <w:ind w:left="6300"/>
        <w:spacing w:after="0"/>
        <w:rPr>
          <w:sz w:val="20"/>
          <w:szCs w:val="20"/>
          <w:color w:val="auto"/>
        </w:rPr>
      </w:pPr>
      <w:r>
        <w:rPr>
          <w:rFonts w:ascii="Times New Roman" w:cs="Times New Roman" w:eastAsia="Times New Roman" w:hAnsi="Times New Roman"/>
          <w:sz w:val="24"/>
          <w:szCs w:val="24"/>
          <w:color w:val="auto"/>
        </w:rPr>
        <w:t>January 10, 2017</w:t>
      </w:r>
    </w:p>
    <w:p>
      <w:pPr>
        <w:spacing w:after="0" w:line="200" w:lineRule="exact"/>
        <w:rPr>
          <w:sz w:val="24"/>
          <w:szCs w:val="24"/>
          <w:color w:val="auto"/>
        </w:rPr>
      </w:pPr>
    </w:p>
    <w:p>
      <w:pPr>
        <w:spacing w:after="0" w:line="352" w:lineRule="exact"/>
        <w:rPr>
          <w:sz w:val="24"/>
          <w:szCs w:val="24"/>
          <w:color w:val="auto"/>
        </w:rPr>
      </w:pPr>
    </w:p>
    <w:p>
      <w:pPr>
        <w:ind w:left="540"/>
        <w:spacing w:after="0"/>
        <w:rPr>
          <w:sz w:val="20"/>
          <w:szCs w:val="20"/>
          <w:color w:val="auto"/>
        </w:rPr>
      </w:pPr>
      <w:r>
        <w:rPr>
          <w:rFonts w:ascii="Times New Roman" w:cs="Times New Roman" w:eastAsia="Times New Roman" w:hAnsi="Times New Roman"/>
          <w:sz w:val="24"/>
          <w:szCs w:val="24"/>
          <w:u w:val="single" w:color="auto"/>
          <w:color w:val="auto"/>
        </w:rPr>
        <w:t>Via E-mail</w:t>
      </w:r>
    </w:p>
    <w:p>
      <w:pPr>
        <w:ind w:left="540"/>
        <w:spacing w:after="0"/>
        <w:rPr>
          <w:sz w:val="20"/>
          <w:szCs w:val="20"/>
          <w:color w:val="auto"/>
        </w:rPr>
      </w:pPr>
      <w:r>
        <w:rPr>
          <w:rFonts w:ascii="Times New Roman" w:cs="Times New Roman" w:eastAsia="Times New Roman" w:hAnsi="Times New Roman"/>
          <w:sz w:val="24"/>
          <w:szCs w:val="24"/>
          <w:color w:val="auto"/>
        </w:rPr>
        <w:t>Jean Hu</w:t>
      </w:r>
    </w:p>
    <w:p>
      <w:pPr>
        <w:ind w:left="540"/>
        <w:spacing w:after="0"/>
        <w:rPr>
          <w:sz w:val="20"/>
          <w:szCs w:val="20"/>
          <w:color w:val="auto"/>
        </w:rPr>
      </w:pPr>
      <w:r>
        <w:rPr>
          <w:rFonts w:ascii="Times New Roman" w:cs="Times New Roman" w:eastAsia="Times New Roman" w:hAnsi="Times New Roman"/>
          <w:sz w:val="24"/>
          <w:szCs w:val="24"/>
          <w:color w:val="auto"/>
        </w:rPr>
        <w:t>Chief Financial Officer</w:t>
      </w:r>
    </w:p>
    <w:p>
      <w:pPr>
        <w:ind w:left="540"/>
        <w:spacing w:after="0"/>
        <w:rPr>
          <w:sz w:val="20"/>
          <w:szCs w:val="20"/>
          <w:color w:val="auto"/>
        </w:rPr>
      </w:pPr>
      <w:r>
        <w:rPr>
          <w:rFonts w:ascii="Times New Roman" w:cs="Times New Roman" w:eastAsia="Times New Roman" w:hAnsi="Times New Roman"/>
          <w:sz w:val="24"/>
          <w:szCs w:val="24"/>
          <w:color w:val="auto"/>
        </w:rPr>
        <w:t>Marvell Technology Group Ltd.</w:t>
      </w:r>
    </w:p>
    <w:p>
      <w:pPr>
        <w:ind w:left="540"/>
        <w:spacing w:after="0"/>
        <w:rPr>
          <w:sz w:val="20"/>
          <w:szCs w:val="20"/>
          <w:color w:val="auto"/>
        </w:rPr>
      </w:pPr>
      <w:r>
        <w:rPr>
          <w:rFonts w:ascii="Times New Roman" w:cs="Times New Roman" w:eastAsia="Times New Roman" w:hAnsi="Times New Roman"/>
          <w:sz w:val="24"/>
          <w:szCs w:val="24"/>
          <w:color w:val="auto"/>
        </w:rPr>
        <w:t>Canon’s Court</w:t>
      </w:r>
    </w:p>
    <w:p>
      <w:pPr>
        <w:ind w:left="540"/>
        <w:spacing w:after="0"/>
        <w:rPr>
          <w:sz w:val="20"/>
          <w:szCs w:val="20"/>
          <w:color w:val="auto"/>
        </w:rPr>
      </w:pPr>
      <w:r>
        <w:rPr>
          <w:rFonts w:ascii="Times New Roman" w:cs="Times New Roman" w:eastAsia="Times New Roman" w:hAnsi="Times New Roman"/>
          <w:sz w:val="24"/>
          <w:szCs w:val="24"/>
          <w:color w:val="auto"/>
        </w:rPr>
        <w:t>22 Victoria Street</w:t>
      </w:r>
    </w:p>
    <w:p>
      <w:pPr>
        <w:spacing w:after="0" w:line="1" w:lineRule="exact"/>
        <w:rPr>
          <w:sz w:val="24"/>
          <w:szCs w:val="24"/>
          <w:color w:val="auto"/>
        </w:rPr>
      </w:pPr>
    </w:p>
    <w:p>
      <w:pPr>
        <w:ind w:left="540"/>
        <w:spacing w:after="0"/>
        <w:rPr>
          <w:sz w:val="20"/>
          <w:szCs w:val="20"/>
          <w:color w:val="auto"/>
        </w:rPr>
      </w:pPr>
      <w:r>
        <w:rPr>
          <w:rFonts w:ascii="Times New Roman" w:cs="Times New Roman" w:eastAsia="Times New Roman" w:hAnsi="Times New Roman"/>
          <w:sz w:val="24"/>
          <w:szCs w:val="24"/>
          <w:color w:val="auto"/>
        </w:rPr>
        <w:t>Hamilton HM 12, Bermuda</w:t>
      </w:r>
    </w:p>
    <w:p>
      <w:pPr>
        <w:spacing w:after="0" w:line="281" w:lineRule="exact"/>
        <w:rPr>
          <w:sz w:val="24"/>
          <w:szCs w:val="24"/>
          <w:color w:val="auto"/>
        </w:rPr>
      </w:pPr>
    </w:p>
    <w:p>
      <w:pPr>
        <w:ind w:left="1260"/>
        <w:spacing w:after="0"/>
        <w:tabs>
          <w:tab w:leader="none" w:pos="1960" w:val="left"/>
        </w:tabs>
        <w:rPr>
          <w:sz w:val="20"/>
          <w:szCs w:val="20"/>
          <w:color w:val="auto"/>
        </w:rPr>
      </w:pPr>
      <w:r>
        <w:rPr>
          <w:rFonts w:ascii="Times New Roman" w:cs="Times New Roman" w:eastAsia="Times New Roman" w:hAnsi="Times New Roman"/>
          <w:sz w:val="24"/>
          <w:szCs w:val="24"/>
          <w:b w:val="1"/>
          <w:bCs w:val="1"/>
          <w:color w:val="auto"/>
        </w:rPr>
        <w:t>Re:</w:t>
      </w:r>
      <w:r>
        <w:rPr>
          <w:sz w:val="20"/>
          <w:szCs w:val="20"/>
          <w:color w:val="auto"/>
        </w:rPr>
        <w:tab/>
      </w:r>
      <w:r>
        <w:rPr>
          <w:rFonts w:ascii="Times New Roman" w:cs="Times New Roman" w:eastAsia="Times New Roman" w:hAnsi="Times New Roman"/>
          <w:sz w:val="24"/>
          <w:szCs w:val="24"/>
          <w:b w:val="1"/>
          <w:bCs w:val="1"/>
          <w:color w:val="auto"/>
        </w:rPr>
        <w:t>Marvell Technology Group Ltd.</w:t>
      </w:r>
    </w:p>
    <w:p>
      <w:pPr>
        <w:ind w:left="1980"/>
        <w:spacing w:after="0"/>
        <w:rPr>
          <w:sz w:val="20"/>
          <w:szCs w:val="20"/>
          <w:color w:val="auto"/>
        </w:rPr>
      </w:pPr>
      <w:r>
        <w:rPr>
          <w:rFonts w:ascii="Times New Roman" w:cs="Times New Roman" w:eastAsia="Times New Roman" w:hAnsi="Times New Roman"/>
          <w:sz w:val="24"/>
          <w:szCs w:val="24"/>
          <w:b w:val="1"/>
          <w:bCs w:val="1"/>
          <w:color w:val="auto"/>
        </w:rPr>
        <w:t>Form 10-K for the Fiscal Year Ended January 30, 2016</w:t>
      </w:r>
    </w:p>
    <w:p>
      <w:pPr>
        <w:ind w:left="1980"/>
        <w:spacing w:after="0"/>
        <w:rPr>
          <w:sz w:val="20"/>
          <w:szCs w:val="20"/>
          <w:color w:val="auto"/>
        </w:rPr>
      </w:pPr>
      <w:r>
        <w:rPr>
          <w:rFonts w:ascii="Times New Roman" w:cs="Times New Roman" w:eastAsia="Times New Roman" w:hAnsi="Times New Roman"/>
          <w:sz w:val="24"/>
          <w:szCs w:val="24"/>
          <w:b w:val="1"/>
          <w:bCs w:val="1"/>
          <w:color w:val="auto"/>
        </w:rPr>
        <w:t>Filed July 21, 2016</w:t>
      </w:r>
    </w:p>
    <w:p>
      <w:pPr>
        <w:ind w:left="1980"/>
        <w:spacing w:after="0"/>
        <w:rPr>
          <w:sz w:val="20"/>
          <w:szCs w:val="20"/>
          <w:color w:val="auto"/>
        </w:rPr>
      </w:pPr>
      <w:r>
        <w:rPr>
          <w:rFonts w:ascii="Times New Roman" w:cs="Times New Roman" w:eastAsia="Times New Roman" w:hAnsi="Times New Roman"/>
          <w:sz w:val="24"/>
          <w:szCs w:val="24"/>
          <w:b w:val="1"/>
          <w:bCs w:val="1"/>
          <w:color w:val="auto"/>
        </w:rPr>
        <w:t>File No. 000-30877</w:t>
      </w:r>
    </w:p>
    <w:p>
      <w:pPr>
        <w:spacing w:after="0" w:line="271" w:lineRule="exact"/>
        <w:rPr>
          <w:sz w:val="24"/>
          <w:szCs w:val="24"/>
          <w:color w:val="auto"/>
        </w:rPr>
      </w:pPr>
    </w:p>
    <w:p>
      <w:pPr>
        <w:ind w:left="540"/>
        <w:spacing w:after="0"/>
        <w:rPr>
          <w:sz w:val="20"/>
          <w:szCs w:val="20"/>
          <w:color w:val="auto"/>
        </w:rPr>
      </w:pPr>
      <w:r>
        <w:rPr>
          <w:rFonts w:ascii="Times New Roman" w:cs="Times New Roman" w:eastAsia="Times New Roman" w:hAnsi="Times New Roman"/>
          <w:sz w:val="24"/>
          <w:szCs w:val="24"/>
          <w:color w:val="auto"/>
        </w:rPr>
        <w:t>Dear Ms. Hu:</w:t>
      </w:r>
    </w:p>
    <w:p>
      <w:pPr>
        <w:spacing w:after="0" w:line="288" w:lineRule="exact"/>
        <w:rPr>
          <w:sz w:val="24"/>
          <w:szCs w:val="24"/>
          <w:color w:val="auto"/>
        </w:rPr>
      </w:pPr>
    </w:p>
    <w:p>
      <w:pPr>
        <w:ind w:left="540" w:firstLine="720"/>
        <w:spacing w:after="0" w:line="236" w:lineRule="auto"/>
        <w:rPr>
          <w:sz w:val="20"/>
          <w:szCs w:val="20"/>
          <w:color w:val="auto"/>
        </w:rPr>
      </w:pPr>
      <w:r>
        <w:rPr>
          <w:rFonts w:ascii="Times New Roman" w:cs="Times New Roman" w:eastAsia="Times New Roman" w:hAnsi="Times New Roman"/>
          <w:sz w:val="24"/>
          <w:szCs w:val="24"/>
          <w:color w:val="auto"/>
        </w:rPr>
        <w:t>We have reviewed your December 22, 2016 response to our comment letter and have the following comment. In our comment, we may ask you to provide us with information so we may better understand your disclosure.</w:t>
      </w:r>
    </w:p>
    <w:p>
      <w:pPr>
        <w:spacing w:after="0" w:line="290" w:lineRule="exact"/>
        <w:rPr>
          <w:sz w:val="24"/>
          <w:szCs w:val="24"/>
          <w:color w:val="auto"/>
        </w:rPr>
      </w:pPr>
    </w:p>
    <w:p>
      <w:pPr>
        <w:ind w:left="540" w:right="320" w:firstLine="720"/>
        <w:spacing w:after="0" w:line="236" w:lineRule="auto"/>
        <w:rPr>
          <w:sz w:val="20"/>
          <w:szCs w:val="20"/>
          <w:color w:val="auto"/>
        </w:rPr>
      </w:pPr>
      <w:r>
        <w:rPr>
          <w:rFonts w:ascii="Times New Roman" w:cs="Times New Roman" w:eastAsia="Times New Roman" w:hAnsi="Times New Roman"/>
          <w:sz w:val="24"/>
          <w:szCs w:val="24"/>
          <w:color w:val="auto"/>
        </w:rPr>
        <w:t>Please respond to this comment within ten business days by providing the requested information or advise us as soon as possible when you will respond. If you do not believe our comment applies to your facts and circumstances, please tell us why in your response.</w:t>
      </w:r>
    </w:p>
    <w:p>
      <w:pPr>
        <w:spacing w:after="0" w:line="290" w:lineRule="exact"/>
        <w:rPr>
          <w:sz w:val="24"/>
          <w:szCs w:val="24"/>
          <w:color w:val="auto"/>
        </w:rPr>
      </w:pPr>
    </w:p>
    <w:p>
      <w:pPr>
        <w:ind w:left="540" w:firstLine="720"/>
        <w:spacing w:after="0" w:line="236" w:lineRule="auto"/>
        <w:rPr>
          <w:sz w:val="20"/>
          <w:szCs w:val="20"/>
          <w:color w:val="auto"/>
        </w:rPr>
      </w:pPr>
      <w:r>
        <w:rPr>
          <w:rFonts w:ascii="Times New Roman" w:cs="Times New Roman" w:eastAsia="Times New Roman" w:hAnsi="Times New Roman"/>
          <w:sz w:val="24"/>
          <w:szCs w:val="24"/>
          <w:color w:val="auto"/>
        </w:rPr>
        <w:t>After reviewing your response to this comment, we may have additional comments. Unless we note otherwise, our references to prior comments are to comments in our November 8, 2016 letter.</w:t>
      </w:r>
    </w:p>
    <w:p>
      <w:pPr>
        <w:spacing w:after="0" w:line="278" w:lineRule="exact"/>
        <w:rPr>
          <w:sz w:val="24"/>
          <w:szCs w:val="24"/>
          <w:color w:val="auto"/>
        </w:rPr>
      </w:pPr>
    </w:p>
    <w:p>
      <w:pPr>
        <w:ind w:left="540"/>
        <w:spacing w:after="0"/>
        <w:rPr>
          <w:sz w:val="20"/>
          <w:szCs w:val="20"/>
          <w:color w:val="auto"/>
        </w:rPr>
      </w:pPr>
      <w:r>
        <w:rPr>
          <w:rFonts w:ascii="Times New Roman" w:cs="Times New Roman" w:eastAsia="Times New Roman" w:hAnsi="Times New Roman"/>
          <w:sz w:val="24"/>
          <w:szCs w:val="24"/>
          <w:u w:val="single" w:color="auto"/>
          <w:color w:val="auto"/>
        </w:rPr>
        <w:t>Audit Committee Investigation, page 110</w:t>
      </w:r>
    </w:p>
    <w:p>
      <w:pPr>
        <w:spacing w:after="0" w:line="288" w:lineRule="exact"/>
        <w:rPr>
          <w:sz w:val="24"/>
          <w:szCs w:val="24"/>
          <w:color w:val="auto"/>
        </w:rPr>
      </w:pPr>
    </w:p>
    <w:p>
      <w:pPr>
        <w:ind w:left="1260" w:right="120" w:hanging="720"/>
        <w:spacing w:after="0" w:line="238" w:lineRule="auto"/>
        <w:tabs>
          <w:tab w:leader="none" w:pos="1260" w:val="left"/>
        </w:tabs>
        <w:numPr>
          <w:ilvl w:val="0"/>
          <w:numId w:val="1"/>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Please revise future filings as appropriate to disclose the substance of your response to prior comments 2 and 3. In particular, please revise to disclose and explain the extended payment terms transactions and how they differed from the pull-in transactions. Also, given your statement on page 2 of your response that the deferral provision of your revenue recognition policy was not consistent with GAAP, please tell us, and disclose in future filings as applicable, whether the deferral provision not being consistent with GAAP constituted a material weakness in your internal control over financial reporting and, if so, disclose what remediation efforts you have undertaken to ensure that your revenue recognition policies are consistent with GAAP.</w:t>
      </w:r>
    </w:p>
    <w:p>
      <w:pPr>
        <w:sectPr>
          <w:pgSz w:w="12240" w:h="15840" w:orient="portrait"/>
          <w:cols w:equalWidth="0" w:num="1">
            <w:col w:w="9900"/>
          </w:cols>
          <w:pgMar w:left="900" w:top="1440" w:right="1440" w:bottom="1440" w:gutter="0" w:footer="0" w:header="0"/>
        </w:sectPr>
      </w:pPr>
    </w:p>
    <w:bookmarkStart w:id="1" w:name="page2"/>
    <w:bookmarkEnd w:id="1"/>
    <w:p>
      <w:pPr>
        <w:spacing w:after="0"/>
        <w:rPr>
          <w:sz w:val="20"/>
          <w:szCs w:val="20"/>
          <w:color w:val="auto"/>
        </w:rPr>
      </w:pPr>
      <w:r>
        <w:rPr>
          <w:rFonts w:ascii="Times New Roman" w:cs="Times New Roman" w:eastAsia="Times New Roman" w:hAnsi="Times New Roman"/>
          <w:sz w:val="24"/>
          <w:szCs w:val="24"/>
          <w:color w:val="auto"/>
        </w:rPr>
        <w:t>Jean Hu</w:t>
      </w:r>
    </w:p>
    <w:p>
      <w:pPr>
        <w:spacing w:after="0"/>
        <w:rPr>
          <w:sz w:val="20"/>
          <w:szCs w:val="20"/>
          <w:color w:val="auto"/>
        </w:rPr>
      </w:pPr>
      <w:r>
        <w:rPr>
          <w:rFonts w:ascii="Times New Roman" w:cs="Times New Roman" w:eastAsia="Times New Roman" w:hAnsi="Times New Roman"/>
          <w:sz w:val="24"/>
          <w:szCs w:val="24"/>
          <w:color w:val="auto"/>
        </w:rPr>
        <w:t>Marvell Technology Group Ltd.</w:t>
      </w:r>
    </w:p>
    <w:p>
      <w:pPr>
        <w:spacing w:after="0"/>
        <w:rPr>
          <w:sz w:val="20"/>
          <w:szCs w:val="20"/>
          <w:color w:val="auto"/>
        </w:rPr>
      </w:pPr>
      <w:r>
        <w:rPr>
          <w:rFonts w:ascii="Times New Roman" w:cs="Times New Roman" w:eastAsia="Times New Roman" w:hAnsi="Times New Roman"/>
          <w:sz w:val="24"/>
          <w:szCs w:val="24"/>
          <w:color w:val="auto"/>
        </w:rPr>
        <w:t>January 10, 2017</w:t>
      </w:r>
    </w:p>
    <w:p>
      <w:pPr>
        <w:spacing w:after="0"/>
        <w:rPr>
          <w:sz w:val="20"/>
          <w:szCs w:val="20"/>
          <w:color w:val="auto"/>
        </w:rPr>
      </w:pPr>
      <w:r>
        <w:rPr>
          <w:rFonts w:ascii="Times New Roman" w:cs="Times New Roman" w:eastAsia="Times New Roman" w:hAnsi="Times New Roman"/>
          <w:sz w:val="24"/>
          <w:szCs w:val="24"/>
          <w:color w:val="auto"/>
        </w:rPr>
        <w:t>Page 2</w:t>
      </w:r>
    </w:p>
    <w:p>
      <w:pPr>
        <w:spacing w:after="0" w:line="200" w:lineRule="exact"/>
        <w:rPr>
          <w:sz w:val="20"/>
          <w:szCs w:val="20"/>
          <w:color w:val="auto"/>
        </w:rPr>
      </w:pPr>
    </w:p>
    <w:p>
      <w:pPr>
        <w:spacing w:after="0" w:line="352" w:lineRule="exact"/>
        <w:rPr>
          <w:sz w:val="20"/>
          <w:szCs w:val="20"/>
          <w:color w:val="auto"/>
        </w:rPr>
      </w:pPr>
    </w:p>
    <w:p>
      <w:pPr>
        <w:ind w:left="720"/>
        <w:spacing w:after="0"/>
        <w:rPr>
          <w:sz w:val="20"/>
          <w:szCs w:val="20"/>
          <w:color w:val="auto"/>
        </w:rPr>
      </w:pPr>
      <w:r>
        <w:rPr>
          <w:rFonts w:ascii="Times New Roman" w:cs="Times New Roman" w:eastAsia="Times New Roman" w:hAnsi="Times New Roman"/>
          <w:sz w:val="24"/>
          <w:szCs w:val="24"/>
          <w:color w:val="auto"/>
        </w:rPr>
        <w:t>You may contact Eric Atallah at (202) 551-3663 or Lynn Dicker, Senior Accountant, at</w:t>
      </w:r>
    </w:p>
    <w:p>
      <w:pPr>
        <w:spacing w:after="0" w:line="12" w:lineRule="exact"/>
        <w:rPr>
          <w:sz w:val="20"/>
          <w:szCs w:val="20"/>
          <w:color w:val="auto"/>
        </w:rPr>
      </w:pPr>
    </w:p>
    <w:p>
      <w:pPr>
        <w:ind w:right="280"/>
        <w:spacing w:after="0" w:line="236" w:lineRule="auto"/>
        <w:tabs>
          <w:tab w:leader="none" w:pos="578" w:val="left"/>
        </w:tabs>
        <w:numPr>
          <w:ilvl w:val="0"/>
          <w:numId w:val="2"/>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551-3616 if you have questions regarding comments on the financial statements and related matters. Please contact Brian Soares at (202) 551-3580 or Timothy Buchmiller, Senior Attorney, at (202) 551-3635 with any other questions.</w:t>
      </w:r>
    </w:p>
    <w:p>
      <w:pPr>
        <w:spacing w:after="0" w:line="200" w:lineRule="exact"/>
        <w:rPr>
          <w:sz w:val="20"/>
          <w:szCs w:val="20"/>
          <w:color w:val="auto"/>
        </w:rPr>
      </w:pPr>
    </w:p>
    <w:p>
      <w:pPr>
        <w:spacing w:after="0" w:line="354" w:lineRule="exact"/>
        <w:rPr>
          <w:sz w:val="20"/>
          <w:szCs w:val="20"/>
          <w:color w:val="auto"/>
        </w:rPr>
      </w:pPr>
    </w:p>
    <w:p>
      <w:pPr>
        <w:ind w:left="5760"/>
        <w:spacing w:after="0"/>
        <w:rPr>
          <w:sz w:val="20"/>
          <w:szCs w:val="20"/>
          <w:color w:val="auto"/>
        </w:rPr>
      </w:pPr>
      <w:r>
        <w:rPr>
          <w:rFonts w:ascii="Times New Roman" w:cs="Times New Roman" w:eastAsia="Times New Roman" w:hAnsi="Times New Roman"/>
          <w:sz w:val="24"/>
          <w:szCs w:val="24"/>
          <w:color w:val="auto"/>
        </w:rPr>
        <w:t>Sincerely,</w:t>
      </w:r>
    </w:p>
    <w:p>
      <w:pPr>
        <w:spacing w:after="0" w:line="276" w:lineRule="exact"/>
        <w:rPr>
          <w:sz w:val="20"/>
          <w:szCs w:val="20"/>
          <w:color w:val="auto"/>
        </w:rPr>
      </w:pPr>
    </w:p>
    <w:p>
      <w:pPr>
        <w:ind w:left="5760"/>
        <w:spacing w:after="0"/>
        <w:rPr>
          <w:sz w:val="20"/>
          <w:szCs w:val="20"/>
          <w:color w:val="auto"/>
        </w:rPr>
      </w:pPr>
      <w:r>
        <w:rPr>
          <w:rFonts w:ascii="Times New Roman" w:cs="Times New Roman" w:eastAsia="Times New Roman" w:hAnsi="Times New Roman"/>
          <w:sz w:val="24"/>
          <w:szCs w:val="24"/>
          <w:color w:val="auto"/>
        </w:rPr>
        <w:t>/s/ Tim Buchmiller for</w:t>
      </w:r>
    </w:p>
    <w:p>
      <w:pPr>
        <w:spacing w:after="0" w:line="277" w:lineRule="exact"/>
        <w:rPr>
          <w:sz w:val="20"/>
          <w:szCs w:val="20"/>
          <w:color w:val="auto"/>
        </w:rPr>
      </w:pPr>
    </w:p>
    <w:p>
      <w:pPr>
        <w:ind w:left="5760"/>
        <w:spacing w:after="0"/>
        <w:rPr>
          <w:sz w:val="20"/>
          <w:szCs w:val="20"/>
          <w:color w:val="auto"/>
        </w:rPr>
      </w:pPr>
      <w:r>
        <w:rPr>
          <w:rFonts w:ascii="Times New Roman" w:cs="Times New Roman" w:eastAsia="Times New Roman" w:hAnsi="Times New Roman"/>
          <w:sz w:val="24"/>
          <w:szCs w:val="24"/>
          <w:color w:val="auto"/>
        </w:rPr>
        <w:t>Amanda Ravitz</w:t>
      </w:r>
    </w:p>
    <w:p>
      <w:pPr>
        <w:ind w:left="5760"/>
        <w:spacing w:after="0"/>
        <w:rPr>
          <w:sz w:val="20"/>
          <w:szCs w:val="20"/>
          <w:color w:val="auto"/>
        </w:rPr>
      </w:pPr>
      <w:r>
        <w:rPr>
          <w:rFonts w:ascii="Times New Roman" w:cs="Times New Roman" w:eastAsia="Times New Roman" w:hAnsi="Times New Roman"/>
          <w:sz w:val="24"/>
          <w:szCs w:val="24"/>
          <w:color w:val="auto"/>
        </w:rPr>
        <w:t>Assistant Director</w:t>
      </w:r>
    </w:p>
    <w:p>
      <w:pPr>
        <w:ind w:left="5760"/>
        <w:spacing w:after="0"/>
        <w:rPr>
          <w:sz w:val="20"/>
          <w:szCs w:val="20"/>
          <w:color w:val="auto"/>
        </w:rPr>
      </w:pPr>
      <w:r>
        <w:rPr>
          <w:rFonts w:ascii="Times New Roman" w:cs="Times New Roman" w:eastAsia="Times New Roman" w:hAnsi="Times New Roman"/>
          <w:sz w:val="24"/>
          <w:szCs w:val="24"/>
          <w:color w:val="auto"/>
        </w:rPr>
        <w:t>Office of Electronics and Machinery</w:t>
      </w:r>
    </w:p>
    <w:p>
      <w:pPr>
        <w:spacing w:after="0" w:line="200" w:lineRule="exact"/>
        <w:rPr>
          <w:sz w:val="20"/>
          <w:szCs w:val="20"/>
          <w:color w:val="auto"/>
        </w:rPr>
      </w:pPr>
    </w:p>
    <w:p>
      <w:pPr>
        <w:spacing w:after="0" w:line="364" w:lineRule="exact"/>
        <w:rPr>
          <w:sz w:val="20"/>
          <w:szCs w:val="20"/>
          <w:color w:val="auto"/>
        </w:rPr>
      </w:pPr>
    </w:p>
    <w:p>
      <w:pPr>
        <w:ind w:left="720" w:right="5660" w:hanging="720"/>
        <w:spacing w:after="0" w:line="249" w:lineRule="auto"/>
        <w:tabs>
          <w:tab w:leader="none" w:pos="720" w:val="left"/>
        </w:tabs>
        <w:numPr>
          <w:ilvl w:val="0"/>
          <w:numId w:val="3"/>
        </w:numPr>
        <w:rPr>
          <w:rFonts w:ascii="Times New Roman" w:cs="Times New Roman" w:eastAsia="Times New Roman" w:hAnsi="Times New Roman"/>
          <w:sz w:val="23"/>
          <w:szCs w:val="23"/>
          <w:color w:val="auto"/>
        </w:rPr>
      </w:pPr>
      <w:r>
        <w:rPr>
          <w:rFonts w:ascii="Times New Roman" w:cs="Times New Roman" w:eastAsia="Times New Roman" w:hAnsi="Times New Roman"/>
          <w:sz w:val="23"/>
          <w:szCs w:val="23"/>
          <w:color w:val="auto"/>
        </w:rPr>
        <w:t>Stewart McDowell, Esq. Gibson, Dunn &amp; Crutcher LLP</w:t>
      </w:r>
    </w:p>
    <w:sectPr>
      <w:pgSz w:w="12240" w:h="15840" w:orient="portrait"/>
      <w:cols w:equalWidth="0" w:num="1">
        <w:col w:w="9360"/>
      </w:cols>
      <w:pgMar w:left="1440" w:top="626"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1"/>
    </w:lvl>
  </w:abstractNum>
  <w:abstractNum w:abstractNumId="1">
    <w:nsid w:val="74B0DC51"/>
    <w:multiLevelType w:val="hybridMultilevel"/>
    <w:lvl w:ilvl="0">
      <w:lvlJc w:val="left"/>
      <w:lvlText w:val="(%1)"/>
      <w:numFmt w:val="decimal"/>
      <w:start w:val="202"/>
    </w:lvl>
  </w:abstractNum>
  <w:abstractNum w:abstractNumId="2">
    <w:nsid w:val="19495CFF"/>
    <w:multiLevelType w:val="hybridMultilevel"/>
    <w:lvl w:ilvl="0">
      <w:lvlJc w:val="left"/>
      <w:lvlText w:val="%1:"/>
      <w:numFmt w:val="lowerLetter"/>
      <w:start w:val="29"/>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2019-12-06T08:33:48Z</dcterms:created>
  <dcterms:modified xsi:type="dcterms:W3CDTF">2019-12-06T08:33:48Z</dcterms:modified>
</cp:coreProperties>
</file>