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t>UNITED STATES</w:t>
      </w:r>
    </w:p>
    <w:p>
      <w:pPr>
        <w:spacing w:after="0" w:line="46"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spacing w:after="0" w:line="1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128"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10-Q</w:t>
      </w:r>
    </w:p>
    <w:p>
      <w:pPr>
        <w:spacing w:after="0" w:line="101"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162" w:lineRule="exact"/>
        <w:rPr>
          <w:sz w:val="24"/>
          <w:szCs w:val="24"/>
          <w:color w:val="auto"/>
        </w:rPr>
      </w:pPr>
    </w:p>
    <w:p>
      <w:pPr>
        <w:ind w:left="720" w:right="160" w:hanging="685"/>
        <w:spacing w:after="0" w:line="256" w:lineRule="auto"/>
        <w:tabs>
          <w:tab w:leader="none" w:pos="72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45"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For the quarterly period ended October 28, 2017</w:t>
      </w:r>
    </w:p>
    <w:p>
      <w:pPr>
        <w:spacing w:after="0" w:line="17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or</w:t>
      </w:r>
    </w:p>
    <w:p>
      <w:pPr>
        <w:spacing w:after="0" w:line="162" w:lineRule="exact"/>
        <w:rPr>
          <w:sz w:val="24"/>
          <w:szCs w:val="24"/>
          <w:color w:val="auto"/>
        </w:rPr>
      </w:pPr>
    </w:p>
    <w:p>
      <w:pPr>
        <w:ind w:left="720" w:right="260" w:hanging="685"/>
        <w:spacing w:after="0" w:line="256" w:lineRule="auto"/>
        <w:tabs>
          <w:tab w:leader="none" w:pos="720" w:val="left"/>
        </w:tabs>
        <w:numPr>
          <w:ilvl w:val="0"/>
          <w:numId w:val="2"/>
        </w:numPr>
        <w:rPr>
          <w:rFonts w:ascii="MS PGothic" w:cs="MS PGothic" w:eastAsia="MS PGothic" w:hAnsi="MS PGothic"/>
          <w:sz w:val="22"/>
          <w:szCs w:val="22"/>
          <w:color w:val="auto"/>
        </w:rPr>
      </w:pPr>
      <w:r>
        <w:rPr>
          <w:rFonts w:ascii="Arial" w:cs="Arial" w:eastAsia="Arial" w:hAnsi="Arial"/>
          <w:sz w:val="22"/>
          <w:szCs w:val="22"/>
          <w:b w:val="1"/>
          <w:bCs w:val="1"/>
          <w:color w:val="auto"/>
        </w:rPr>
        <w:t>TRANSITION REPORT PURSUANT TO SECTION 13 or 15(d) OF THE SECURITIES EXCHANGE ACT OF 1934</w:t>
      </w:r>
    </w:p>
    <w:p>
      <w:pPr>
        <w:spacing w:after="0" w:line="145" w:lineRule="exact"/>
        <w:rPr>
          <w:sz w:val="24"/>
          <w:szCs w:val="24"/>
          <w:color w:val="auto"/>
        </w:rPr>
      </w:pPr>
    </w:p>
    <w:p>
      <w:pPr>
        <w:ind w:left="3860"/>
        <w:spacing w:after="0"/>
        <w:tabs>
          <w:tab w:leader="none" w:pos="680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6"/>
          <w:szCs w:val="16"/>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3962400</wp:posOffset>
            </wp:positionH>
            <wp:positionV relativeFrom="paragraph">
              <wp:posOffset>-7620</wp:posOffset>
            </wp:positionV>
            <wp:extent cx="8382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8200" cy="8890"/>
                    </a:xfrm>
                    <a:prstGeom prst="rect">
                      <a:avLst/>
                    </a:prstGeom>
                    <a:noFill/>
                  </pic:spPr>
                </pic:pic>
              </a:graphicData>
            </a:graphic>
          </wp:anchor>
        </w:drawing>
      </w:r>
    </w:p>
    <w:p>
      <w:pPr>
        <w:spacing w:after="0" w:line="151"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Commission file number: 000-30877</w:t>
      </w:r>
    </w:p>
    <w:p>
      <w:pPr>
        <w:spacing w:after="0" w:line="79"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151" w:lineRule="exact"/>
        <w:rPr>
          <w:sz w:val="24"/>
          <w:szCs w:val="24"/>
          <w:color w:val="auto"/>
        </w:rPr>
      </w:pPr>
    </w:p>
    <w:tbl>
      <w:tblPr>
        <w:tblLayout w:type="fixed"/>
        <w:tblInd w:w="1880" w:type="dxa"/>
        <w:tblCellMar>
          <w:top w:w="0" w:type="dxa"/>
          <w:left w:w="0" w:type="dxa"/>
          <w:bottom w:w="0" w:type="dxa"/>
          <w:right w:w="0" w:type="dxa"/>
        </w:tblCellMar>
      </w:tblPr>
      <w:tr>
        <w:trPr>
          <w:trHeight w:val="234"/>
        </w:trPr>
        <w:tc>
          <w:tcPr>
            <w:tcW w:w="4060" w:type="dxa"/>
            <w:vAlign w:val="bottom"/>
          </w:tcPr>
          <w:p>
            <w:pPr>
              <w:jc w:val="center"/>
              <w:ind w:right="2102"/>
              <w:spacing w:after="0"/>
              <w:rPr>
                <w:sz w:val="20"/>
                <w:szCs w:val="20"/>
                <w:color w:val="auto"/>
              </w:rPr>
            </w:pPr>
            <w:r>
              <w:rPr>
                <w:rFonts w:ascii="Arial" w:cs="Arial" w:eastAsia="Arial" w:hAnsi="Arial"/>
                <w:sz w:val="18"/>
                <w:szCs w:val="18"/>
                <w:b w:val="1"/>
                <w:bCs w:val="1"/>
                <w:color w:val="auto"/>
                <w:w w:val="92"/>
              </w:rPr>
              <w:t>Bermuda</w:t>
            </w:r>
          </w:p>
        </w:tc>
        <w:tc>
          <w:tcPr>
            <w:tcW w:w="3300" w:type="dxa"/>
            <w:vAlign w:val="bottom"/>
          </w:tcPr>
          <w:p>
            <w:pPr>
              <w:jc w:val="center"/>
              <w:ind w:left="2122"/>
              <w:spacing w:after="0"/>
              <w:rPr>
                <w:sz w:val="20"/>
                <w:szCs w:val="20"/>
                <w:color w:val="auto"/>
              </w:rPr>
            </w:pPr>
            <w:r>
              <w:rPr>
                <w:rFonts w:ascii="Arial" w:cs="Arial" w:eastAsia="Arial" w:hAnsi="Arial"/>
                <w:sz w:val="18"/>
                <w:szCs w:val="18"/>
                <w:b w:val="1"/>
                <w:bCs w:val="1"/>
                <w:color w:val="auto"/>
                <w:w w:val="89"/>
              </w:rPr>
              <w:t>77-0481679</w:t>
            </w:r>
          </w:p>
        </w:tc>
      </w:tr>
      <w:tr>
        <w:trPr>
          <w:trHeight w:val="180"/>
        </w:trPr>
        <w:tc>
          <w:tcPr>
            <w:tcW w:w="4060" w:type="dxa"/>
            <w:vAlign w:val="bottom"/>
          </w:tcPr>
          <w:p>
            <w:pPr>
              <w:jc w:val="center"/>
              <w:ind w:right="2122"/>
              <w:spacing w:after="0"/>
              <w:rPr>
                <w:sz w:val="20"/>
                <w:szCs w:val="20"/>
                <w:color w:val="auto"/>
              </w:rPr>
            </w:pPr>
            <w:r>
              <w:rPr>
                <w:rFonts w:ascii="Arial" w:cs="Arial" w:eastAsia="Arial" w:hAnsi="Arial"/>
                <w:sz w:val="14"/>
                <w:szCs w:val="14"/>
                <w:b w:val="1"/>
                <w:bCs w:val="1"/>
                <w:color w:val="auto"/>
                <w:w w:val="92"/>
              </w:rPr>
              <w:t>(State or other jurisdiction of</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6"/>
              </w:rPr>
              <w:t>(I.R.S. Employer</w:t>
            </w:r>
          </w:p>
        </w:tc>
      </w:tr>
      <w:tr>
        <w:trPr>
          <w:trHeight w:val="186"/>
        </w:trPr>
        <w:tc>
          <w:tcPr>
            <w:tcW w:w="4060" w:type="dxa"/>
            <w:vAlign w:val="bottom"/>
          </w:tcPr>
          <w:p>
            <w:pPr>
              <w:jc w:val="center"/>
              <w:ind w:right="2122"/>
              <w:spacing w:after="0"/>
              <w:rPr>
                <w:sz w:val="20"/>
                <w:szCs w:val="20"/>
                <w:color w:val="auto"/>
              </w:rPr>
            </w:pPr>
            <w:r>
              <w:rPr>
                <w:rFonts w:ascii="Arial" w:cs="Arial" w:eastAsia="Arial" w:hAnsi="Arial"/>
                <w:sz w:val="14"/>
                <w:szCs w:val="14"/>
                <w:b w:val="1"/>
                <w:bCs w:val="1"/>
                <w:color w:val="auto"/>
                <w:w w:val="93"/>
              </w:rPr>
              <w:t>incorporation or organization)</w:t>
            </w:r>
          </w:p>
        </w:tc>
        <w:tc>
          <w:tcPr>
            <w:tcW w:w="3300" w:type="dxa"/>
            <w:vAlign w:val="bottom"/>
          </w:tcPr>
          <w:p>
            <w:pPr>
              <w:jc w:val="center"/>
              <w:ind w:left="210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156"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ind w:right="-3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56" w:lineRule="exact"/>
        <w:rPr>
          <w:sz w:val="24"/>
          <w:szCs w:val="24"/>
          <w:color w:val="auto"/>
        </w:rPr>
      </w:pPr>
    </w:p>
    <w:p>
      <w:pPr>
        <w:ind w:firstLine="432"/>
        <w:spacing w:after="0" w:line="227"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0" w:lineRule="exact"/>
        <w:rPr>
          <w:sz w:val="24"/>
          <w:szCs w:val="24"/>
          <w:color w:val="auto"/>
        </w:rPr>
      </w:pPr>
    </w:p>
    <w:p>
      <w:pPr>
        <w:ind w:right="220" w:firstLine="432"/>
        <w:spacing w:after="0" w:line="227"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0" w:lineRule="exact"/>
        <w:rPr>
          <w:sz w:val="24"/>
          <w:szCs w:val="24"/>
          <w:color w:val="auto"/>
        </w:rPr>
      </w:pPr>
    </w:p>
    <w:p>
      <w:pPr>
        <w:jc w:val="both"/>
        <w:ind w:right="40" w:firstLine="432"/>
        <w:spacing w:after="0" w:line="264"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(Check one):</w:t>
      </w:r>
    </w:p>
    <w:p>
      <w:pPr>
        <w:spacing w:after="0" w:line="257" w:lineRule="exact"/>
        <w:rPr>
          <w:sz w:val="24"/>
          <w:szCs w:val="24"/>
          <w:color w:val="auto"/>
        </w:rPr>
      </w:pPr>
    </w:p>
    <w:tbl>
      <w:tblPr>
        <w:tblLayout w:type="fixed"/>
        <w:tblInd w:w="40" w:type="dxa"/>
        <w:tblCellMar>
          <w:top w:w="0" w:type="dxa"/>
          <w:left w:w="0" w:type="dxa"/>
          <w:bottom w:w="0" w:type="dxa"/>
          <w:right w:w="0" w:type="dxa"/>
        </w:tblCellMar>
      </w:tblPr>
      <w:tr>
        <w:trPr>
          <w:trHeight w:val="283"/>
        </w:trPr>
        <w:tc>
          <w:tcPr>
            <w:tcW w:w="188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5120" w:type="dxa"/>
            <w:vAlign w:val="bottom"/>
          </w:tcPr>
          <w:p>
            <w:pPr>
              <w:ind w:left="280"/>
              <w:spacing w:after="0" w:line="181" w:lineRule="exact"/>
              <w:rPr>
                <w:sz w:val="20"/>
                <w:szCs w:val="20"/>
                <w:color w:val="auto"/>
              </w:rPr>
            </w:pPr>
            <w:r>
              <w:rPr>
                <w:rFonts w:ascii="MS PGothic" w:cs="MS PGothic" w:eastAsia="MS PGothic" w:hAnsi="MS PGothic"/>
                <w:sz w:val="18"/>
                <w:szCs w:val="18"/>
                <w:color w:val="auto"/>
              </w:rPr>
              <w:t>☒</w:t>
            </w:r>
          </w:p>
        </w:tc>
        <w:tc>
          <w:tcPr>
            <w:tcW w:w="3520" w:type="dxa"/>
            <w:vAlign w:val="bottom"/>
          </w:tcPr>
          <w:p>
            <w:pPr>
              <w:ind w:left="1220"/>
              <w:spacing w:after="0"/>
              <w:rPr>
                <w:sz w:val="20"/>
                <w:szCs w:val="20"/>
                <w:color w:val="auto"/>
              </w:rPr>
            </w:pPr>
            <w:r>
              <w:rPr>
                <w:rFonts w:ascii="Arial" w:cs="Arial" w:eastAsia="Arial" w:hAnsi="Arial"/>
                <w:sz w:val="18"/>
                <w:szCs w:val="18"/>
                <w:color w:val="auto"/>
              </w:rPr>
              <w:t>Accelerated filer</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554"/>
        </w:trPr>
        <w:tc>
          <w:tcPr>
            <w:tcW w:w="1880" w:type="dxa"/>
            <w:vAlign w:val="bottom"/>
          </w:tcPr>
          <w:p>
            <w:pPr>
              <w:spacing w:after="0"/>
              <w:rPr>
                <w:sz w:val="20"/>
                <w:szCs w:val="20"/>
                <w:color w:val="auto"/>
              </w:rPr>
            </w:pPr>
            <w:r>
              <w:rPr>
                <w:rFonts w:ascii="Arial" w:cs="Arial" w:eastAsia="Arial" w:hAnsi="Arial"/>
                <w:sz w:val="18"/>
                <w:szCs w:val="18"/>
                <w:color w:val="auto"/>
              </w:rPr>
              <w:t>Non-accelerated filer</w:t>
            </w:r>
          </w:p>
        </w:tc>
        <w:tc>
          <w:tcPr>
            <w:tcW w:w="5120" w:type="dxa"/>
            <w:vAlign w:val="bottom"/>
          </w:tcPr>
          <w:p>
            <w:pPr>
              <w:ind w:left="28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3520" w:type="dxa"/>
            <w:vAlign w:val="bottom"/>
          </w:tcPr>
          <w:p>
            <w:pPr>
              <w:ind w:left="1220"/>
              <w:spacing w:after="0"/>
              <w:rPr>
                <w:sz w:val="20"/>
                <w:szCs w:val="20"/>
                <w:color w:val="auto"/>
              </w:rPr>
            </w:pPr>
            <w:r>
              <w:rPr>
                <w:rFonts w:ascii="Arial" w:cs="Arial" w:eastAsia="Arial" w:hAnsi="Arial"/>
                <w:sz w:val="18"/>
                <w:szCs w:val="18"/>
                <w:color w:val="auto"/>
              </w:rPr>
              <w:t>Smaller reporting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32"/>
        </w:trPr>
        <w:tc>
          <w:tcPr>
            <w:tcW w:w="1880" w:type="dxa"/>
            <w:vAlign w:val="bottom"/>
          </w:tcPr>
          <w:p>
            <w:pPr>
              <w:spacing w:after="0"/>
              <w:rPr>
                <w:sz w:val="24"/>
                <w:szCs w:val="24"/>
                <w:color w:val="auto"/>
              </w:rPr>
            </w:pPr>
          </w:p>
        </w:tc>
        <w:tc>
          <w:tcPr>
            <w:tcW w:w="5120" w:type="dxa"/>
            <w:vAlign w:val="bottom"/>
          </w:tcPr>
          <w:p>
            <w:pPr>
              <w:spacing w:after="0"/>
              <w:rPr>
                <w:sz w:val="24"/>
                <w:szCs w:val="24"/>
                <w:color w:val="auto"/>
              </w:rPr>
            </w:pPr>
          </w:p>
        </w:tc>
        <w:tc>
          <w:tcPr>
            <w:tcW w:w="3520" w:type="dxa"/>
            <w:vAlign w:val="bottom"/>
          </w:tcPr>
          <w:p>
            <w:pPr>
              <w:ind w:left="1220"/>
              <w:spacing w:after="0"/>
              <w:rPr>
                <w:sz w:val="20"/>
                <w:szCs w:val="20"/>
                <w:color w:val="auto"/>
              </w:rPr>
            </w:pPr>
            <w:r>
              <w:rPr>
                <w:rFonts w:ascii="Arial" w:cs="Arial" w:eastAsia="Arial" w:hAnsi="Arial"/>
                <w:sz w:val="18"/>
                <w:szCs w:val="18"/>
                <w:color w:val="auto"/>
              </w:rPr>
              <w:t>Emerging growth company</w:t>
            </w:r>
          </w:p>
        </w:tc>
        <w:tc>
          <w:tcPr>
            <w:tcW w:w="480" w:type="dxa"/>
            <w:vAlign w:val="bottom"/>
          </w:tcPr>
          <w:p>
            <w:pPr>
              <w:ind w:left="3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209" w:lineRule="exact"/>
        <w:rPr>
          <w:sz w:val="24"/>
          <w:szCs w:val="24"/>
          <w:color w:val="auto"/>
        </w:rPr>
      </w:pPr>
    </w:p>
    <w:p>
      <w:pPr>
        <w:ind w:right="220" w:firstLine="432"/>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129" w:lineRule="exact"/>
        <w:rPr>
          <w:sz w:val="24"/>
          <w:szCs w:val="24"/>
          <w:color w:val="auto"/>
        </w:rPr>
      </w:pPr>
    </w:p>
    <w:p>
      <w:pPr>
        <w:ind w:left="440"/>
        <w:spacing w:after="0"/>
        <w:rPr>
          <w:sz w:val="20"/>
          <w:szCs w:val="20"/>
          <w:color w:val="auto"/>
        </w:rPr>
      </w:pPr>
      <w:r>
        <w:rPr>
          <w:rFonts w:ascii="Arial" w:cs="Arial" w:eastAsia="Arial" w:hAnsi="Arial"/>
          <w:sz w:val="18"/>
          <w:szCs w:val="18"/>
          <w:color w:val="auto"/>
        </w:rPr>
        <w:t>The number of common shares of the registrant outstanding as of November 27, 2017 was 491.2 million shares.</w:t>
      </w:r>
    </w:p>
    <w:p>
      <w:pPr>
        <w:sectPr>
          <w:pgSz w:w="11900" w:h="16838" w:orient="portrait"/>
          <w:cols w:equalWidth="0" w:num="1">
            <w:col w:w="11380"/>
          </w:cols>
          <w:pgMar w:left="240" w:top="220" w:right="279" w:bottom="1440" w:gutter="0" w:footer="0" w:header="0"/>
        </w:sectPr>
      </w:pPr>
    </w:p>
    <w:bookmarkStart w:id="1" w:name="page2"/>
    <w:bookmarkEnd w:id="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356"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560" w:type="dxa"/>
            <w:vAlign w:val="bottom"/>
            <w:tcBorders>
              <w:bottom w:val="single" w:sz="8" w:color="auto"/>
            </w:tcBorders>
            <w:gridSpan w:val="4"/>
          </w:tcPr>
          <w:p>
            <w:pPr>
              <w:ind w:left="120"/>
              <w:spacing w:after="0"/>
              <w:rPr>
                <w:sz w:val="20"/>
                <w:szCs w:val="20"/>
                <w:color w:val="auto"/>
              </w:rPr>
            </w:pPr>
            <w:r>
              <w:rPr>
                <w:rFonts w:ascii="Arial" w:cs="Arial" w:eastAsia="Arial" w:hAnsi="Arial"/>
                <w:sz w:val="14"/>
                <w:szCs w:val="14"/>
                <w:b w:val="1"/>
                <w:bCs w:val="1"/>
                <w:color w:val="auto"/>
              </w:rPr>
              <w:t>Page</w:t>
            </w:r>
          </w:p>
        </w:tc>
      </w:tr>
      <w:tr>
        <w:trPr>
          <w:trHeight w:val="189"/>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460" w:type="dxa"/>
            <w:vAlign w:val="bottom"/>
          </w:tcPr>
          <w:p>
            <w:pPr>
              <w:spacing w:after="0"/>
              <w:rPr>
                <w:sz w:val="16"/>
                <w:szCs w:val="16"/>
                <w:color w:val="auto"/>
              </w:rPr>
            </w:pPr>
          </w:p>
        </w:tc>
        <w:tc>
          <w:tcPr>
            <w:tcW w:w="6680" w:type="dxa"/>
            <w:vAlign w:val="bottom"/>
            <w:gridSpan w:val="11"/>
          </w:tcPr>
          <w:p>
            <w:pPr>
              <w:jc w:val="center"/>
              <w:ind w:right="3620"/>
              <w:spacing w:after="0" w:line="189" w:lineRule="exact"/>
              <w:rPr>
                <w:rFonts w:ascii="Arial" w:cs="Arial" w:eastAsia="Arial" w:hAnsi="Arial"/>
                <w:sz w:val="18"/>
                <w:szCs w:val="18"/>
                <w:b w:val="1"/>
                <w:bCs w:val="1"/>
                <w:color w:val="0000EE"/>
              </w:rPr>
            </w:pPr>
            <w:hyperlink w:anchor="page3">
              <w:r>
                <w:rPr>
                  <w:rFonts w:ascii="Arial" w:cs="Arial" w:eastAsia="Arial" w:hAnsi="Arial"/>
                  <w:sz w:val="18"/>
                  <w:szCs w:val="18"/>
                  <w:b w:val="1"/>
                  <w:bCs w:val="1"/>
                  <w:color w:val="0000EE"/>
                </w:rPr>
                <w:t>PART I. FINANCIAL INFORMATION</w:t>
              </w:r>
            </w:hyperlink>
          </w:p>
        </w:tc>
        <w:tc>
          <w:tcPr>
            <w:tcW w:w="3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220" w:type="dxa"/>
            <w:vAlign w:val="bottom"/>
            <w:gridSpan w:val="9"/>
          </w:tcPr>
          <w:p>
            <w:pPr>
              <w:spacing w:after="0"/>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3060" w:type="dxa"/>
            <w:vAlign w:val="bottom"/>
            <w:tcBorders>
              <w:top w:val="single" w:sz="8" w:color="0000EE"/>
            </w:tcBorders>
            <w:gridSpan w:val="5"/>
          </w:tcPr>
          <w:p>
            <w:pPr>
              <w:spacing w:after="0"/>
              <w:rPr>
                <w:sz w:val="21"/>
                <w:szCs w:val="21"/>
                <w:color w:val="auto"/>
              </w:rPr>
            </w:pPr>
          </w:p>
        </w:tc>
        <w:tc>
          <w:tcPr>
            <w:tcW w:w="3620" w:type="dxa"/>
            <w:vAlign w:val="bottom"/>
            <w:gridSpan w:val="6"/>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2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7000" w:type="dxa"/>
            <w:vAlign w:val="bottom"/>
            <w:tcBorders>
              <w:bottom w:val="single" w:sz="8" w:color="0000EE"/>
            </w:tcBorders>
            <w:gridSpan w:val="16"/>
          </w:tcPr>
          <w:p>
            <w:pPr>
              <w:spacing w:after="0"/>
              <w:rPr>
                <w:rFonts w:ascii="Arial" w:cs="Arial" w:eastAsia="Arial" w:hAnsi="Arial"/>
                <w:sz w:val="18"/>
                <w:szCs w:val="18"/>
                <w:color w:val="0000EE"/>
                <w:w w:val="88"/>
              </w:rPr>
            </w:pPr>
            <w:hyperlink w:anchor="page3">
              <w:r>
                <w:rPr>
                  <w:rFonts w:ascii="Arial" w:cs="Arial" w:eastAsia="Arial" w:hAnsi="Arial"/>
                  <w:sz w:val="18"/>
                  <w:szCs w:val="18"/>
                  <w:color w:val="0000EE"/>
                  <w:w w:val="88"/>
                </w:rPr>
                <w:t>Unaudited Condensed Consolidated Balance Sheets as of October 28, 2017 and January 28, 2017</w:t>
              </w:r>
            </w:hyperlink>
          </w:p>
        </w:tc>
        <w:tc>
          <w:tcPr>
            <w:tcW w:w="2900" w:type="dxa"/>
            <w:vAlign w:val="bottom"/>
            <w:gridSpan w:val="4"/>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3">
              <w:r>
                <w:rPr>
                  <w:rFonts w:ascii="Arial" w:cs="Arial" w:eastAsia="Arial" w:hAnsi="Arial"/>
                  <w:sz w:val="18"/>
                  <w:szCs w:val="18"/>
                  <w:color w:val="0000EE"/>
                  <w:w w:val="79"/>
                </w:rPr>
                <w:t>2</w:t>
              </w:r>
            </w:hyperlink>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0"/>
          </w:tcPr>
          <w:p>
            <w:pPr>
              <w:spacing w:after="0"/>
              <w:rPr>
                <w:rFonts w:ascii="Arial" w:cs="Arial" w:eastAsia="Arial" w:hAnsi="Arial"/>
                <w:sz w:val="18"/>
                <w:szCs w:val="18"/>
                <w:color w:val="0000EE"/>
                <w:w w:val="92"/>
              </w:rPr>
            </w:pPr>
            <w:hyperlink w:anchor="page4">
              <w:r>
                <w:rPr>
                  <w:rFonts w:ascii="Arial" w:cs="Arial" w:eastAsia="Arial" w:hAnsi="Arial"/>
                  <w:sz w:val="18"/>
                  <w:szCs w:val="18"/>
                  <w:color w:val="0000EE"/>
                  <w:w w:val="92"/>
                </w:rPr>
                <w:t>Unaudited Condensed Consolidated Statements of Operations for the three and nine months ended October 28, 2017 and October 29,</w:t>
              </w:r>
            </w:hyperlink>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360" w:type="dxa"/>
            <w:vAlign w:val="bottom"/>
            <w:tcBorders>
              <w:top w:val="single" w:sz="8" w:color="0000EE"/>
              <w:bottom w:val="single" w:sz="8" w:color="0000EE"/>
            </w:tcBorders>
          </w:tcPr>
          <w:p>
            <w:pPr>
              <w:spacing w:after="0" w:line="196" w:lineRule="exact"/>
              <w:rPr>
                <w:rFonts w:ascii="Arial" w:cs="Arial" w:eastAsia="Arial" w:hAnsi="Arial"/>
                <w:sz w:val="18"/>
                <w:szCs w:val="18"/>
                <w:color w:val="0000EE"/>
                <w:w w:val="84"/>
              </w:rPr>
            </w:pPr>
            <w:hyperlink w:anchor="page4">
              <w:r>
                <w:rPr>
                  <w:rFonts w:ascii="Arial" w:cs="Arial" w:eastAsia="Arial" w:hAnsi="Arial"/>
                  <w:sz w:val="18"/>
                  <w:szCs w:val="18"/>
                  <w:color w:val="0000EE"/>
                  <w:w w:val="84"/>
                </w:rPr>
                <w:t>2016</w:t>
              </w:r>
            </w:hyperlink>
          </w:p>
        </w:tc>
        <w:tc>
          <w:tcPr>
            <w:tcW w:w="24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340" w:type="dxa"/>
            <w:vAlign w:val="bottom"/>
            <w:tcBorders>
              <w:top w:val="single" w:sz="8" w:color="0000EE"/>
            </w:tcBorders>
          </w:tcPr>
          <w:p>
            <w:pPr>
              <w:spacing w:after="0"/>
              <w:rPr>
                <w:sz w:val="17"/>
                <w:szCs w:val="17"/>
                <w:color w:val="auto"/>
              </w:rPr>
            </w:pPr>
          </w:p>
        </w:tc>
        <w:tc>
          <w:tcPr>
            <w:tcW w:w="8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1460" w:type="dxa"/>
            <w:vAlign w:val="bottom"/>
            <w:tcBorders>
              <w:top w:val="single" w:sz="8" w:color="0000EE"/>
            </w:tcBorders>
          </w:tcPr>
          <w:p>
            <w:pPr>
              <w:spacing w:after="0"/>
              <w:rPr>
                <w:sz w:val="17"/>
                <w:szCs w:val="17"/>
                <w:color w:val="auto"/>
              </w:rPr>
            </w:pPr>
          </w:p>
        </w:tc>
        <w:tc>
          <w:tcPr>
            <w:tcW w:w="160" w:type="dxa"/>
            <w:vAlign w:val="bottom"/>
            <w:tcBorders>
              <w:top w:val="single" w:sz="8" w:color="0000EE"/>
            </w:tcBorders>
          </w:tcPr>
          <w:p>
            <w:pPr>
              <w:spacing w:after="0"/>
              <w:rPr>
                <w:sz w:val="17"/>
                <w:szCs w:val="17"/>
                <w:color w:val="auto"/>
              </w:rPr>
            </w:pPr>
          </w:p>
        </w:tc>
        <w:tc>
          <w:tcPr>
            <w:tcW w:w="960" w:type="dxa"/>
            <w:vAlign w:val="bottom"/>
            <w:tcBorders>
              <w:top w:val="single" w:sz="8" w:color="0000EE"/>
            </w:tcBorders>
          </w:tcPr>
          <w:p>
            <w:pPr>
              <w:spacing w:after="0"/>
              <w:rPr>
                <w:sz w:val="17"/>
                <w:szCs w:val="17"/>
                <w:color w:val="auto"/>
              </w:rPr>
            </w:pPr>
          </w:p>
        </w:tc>
        <w:tc>
          <w:tcPr>
            <w:tcW w:w="440" w:type="dxa"/>
            <w:vAlign w:val="bottom"/>
            <w:tcBorders>
              <w:top w:val="single" w:sz="8" w:color="0000EE"/>
            </w:tcBorders>
          </w:tcPr>
          <w:p>
            <w:pPr>
              <w:spacing w:after="0"/>
              <w:rPr>
                <w:sz w:val="17"/>
                <w:szCs w:val="17"/>
                <w:color w:val="auto"/>
              </w:rPr>
            </w:pPr>
          </w:p>
        </w:tc>
        <w:tc>
          <w:tcPr>
            <w:tcW w:w="1360" w:type="dxa"/>
            <w:vAlign w:val="bottom"/>
            <w:tcBorders>
              <w:top w:val="single" w:sz="8" w:color="0000EE"/>
            </w:tcBorders>
          </w:tcPr>
          <w:p>
            <w:pPr>
              <w:spacing w:after="0"/>
              <w:rPr>
                <w:sz w:val="17"/>
                <w:szCs w:val="17"/>
                <w:color w:val="auto"/>
              </w:rPr>
            </w:pPr>
          </w:p>
        </w:tc>
        <w:tc>
          <w:tcPr>
            <w:tcW w:w="140" w:type="dxa"/>
            <w:vAlign w:val="bottom"/>
            <w:tcBorders>
              <w:top w:val="single" w:sz="8" w:color="0000EE"/>
            </w:tcBorders>
          </w:tcPr>
          <w:p>
            <w:pPr>
              <w:spacing w:after="0"/>
              <w:rPr>
                <w:sz w:val="17"/>
                <w:szCs w:val="17"/>
                <w:color w:val="auto"/>
              </w:rPr>
            </w:pPr>
          </w:p>
        </w:tc>
        <w:tc>
          <w:tcPr>
            <w:tcW w:w="180" w:type="dxa"/>
            <w:vAlign w:val="bottom"/>
            <w:tcBorders>
              <w:top w:val="single" w:sz="8" w:color="0000EE"/>
            </w:tcBorders>
          </w:tcPr>
          <w:p>
            <w:pPr>
              <w:spacing w:after="0"/>
              <w:rPr>
                <w:sz w:val="17"/>
                <w:szCs w:val="17"/>
                <w:color w:val="auto"/>
              </w:rPr>
            </w:pPr>
          </w:p>
        </w:tc>
        <w:tc>
          <w:tcPr>
            <w:tcW w:w="540" w:type="dxa"/>
            <w:vAlign w:val="bottom"/>
            <w:tcBorders>
              <w:top w:val="single" w:sz="8" w:color="0000EE"/>
            </w:tcBorders>
          </w:tcPr>
          <w:p>
            <w:pPr>
              <w:spacing w:after="0"/>
              <w:rPr>
                <w:sz w:val="17"/>
                <w:szCs w:val="17"/>
                <w:color w:val="auto"/>
              </w:rPr>
            </w:pPr>
          </w:p>
        </w:tc>
        <w:tc>
          <w:tcPr>
            <w:tcW w:w="234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440" w:type="dxa"/>
            <w:vAlign w:val="bottom"/>
            <w:gridSpan w:val="2"/>
          </w:tcPr>
          <w:p>
            <w:pPr>
              <w:spacing w:after="0"/>
              <w:rPr>
                <w:sz w:val="17"/>
                <w:szCs w:val="17"/>
                <w:color w:val="auto"/>
              </w:rPr>
            </w:pPr>
          </w:p>
        </w:tc>
        <w:tc>
          <w:tcPr>
            <w:tcW w:w="100" w:type="dxa"/>
            <w:vAlign w:val="bottom"/>
            <w:tcBorders>
              <w:bottom w:val="single" w:sz="8" w:color="0000EE"/>
            </w:tcBorders>
          </w:tcPr>
          <w:p>
            <w:pPr>
              <w:jc w:val="right"/>
              <w:spacing w:after="0" w:line="196" w:lineRule="exact"/>
              <w:rPr>
                <w:rFonts w:ascii="Arial" w:cs="Arial" w:eastAsia="Arial" w:hAnsi="Arial"/>
                <w:sz w:val="18"/>
                <w:szCs w:val="18"/>
                <w:color w:val="0000EE"/>
                <w:w w:val="79"/>
              </w:rPr>
            </w:pPr>
            <w:hyperlink w:anchor="page4">
              <w:r>
                <w:rPr>
                  <w:rFonts w:ascii="Arial" w:cs="Arial" w:eastAsia="Arial" w:hAnsi="Arial"/>
                  <w:sz w:val="18"/>
                  <w:szCs w:val="18"/>
                  <w:color w:val="0000EE"/>
                  <w:w w:val="79"/>
                </w:rPr>
                <w:t>3</w:t>
              </w:r>
            </w:hyperlink>
          </w:p>
        </w:tc>
        <w:tc>
          <w:tcPr>
            <w:tcW w:w="20" w:type="dxa"/>
            <w:vAlign w:val="bottom"/>
          </w:tcPr>
          <w:p>
            <w:pPr>
              <w:spacing w:after="0"/>
              <w:rPr>
                <w:sz w:val="17"/>
                <w:szCs w:val="17"/>
                <w:color w:val="auto"/>
              </w:rPr>
            </w:pPr>
          </w:p>
        </w:tc>
      </w:tr>
      <w:tr>
        <w:trPr>
          <w:trHeight w:val="250"/>
        </w:trPr>
        <w:tc>
          <w:tcPr>
            <w:tcW w:w="920" w:type="dxa"/>
            <w:vAlign w:val="bottom"/>
          </w:tcPr>
          <w:p>
            <w:pPr>
              <w:spacing w:after="0"/>
              <w:rPr>
                <w:sz w:val="21"/>
                <w:szCs w:val="21"/>
                <w:color w:val="auto"/>
              </w:rPr>
            </w:pPr>
          </w:p>
        </w:tc>
        <w:tc>
          <w:tcPr>
            <w:tcW w:w="9620" w:type="dxa"/>
            <w:vAlign w:val="bottom"/>
            <w:tcBorders>
              <w:bottom w:val="single" w:sz="8" w:color="0000EE"/>
            </w:tcBorders>
            <w:gridSpan w:val="19"/>
          </w:tcPr>
          <w:p>
            <w:pPr>
              <w:spacing w:after="0"/>
              <w:rPr>
                <w:rFonts w:ascii="Arial" w:cs="Arial" w:eastAsia="Arial" w:hAnsi="Arial"/>
                <w:sz w:val="18"/>
                <w:szCs w:val="18"/>
                <w:color w:val="0000EE"/>
                <w:w w:val="89"/>
              </w:rPr>
            </w:pPr>
            <w:hyperlink w:anchor="page5">
              <w:r>
                <w:rPr>
                  <w:rFonts w:ascii="Arial" w:cs="Arial" w:eastAsia="Arial" w:hAnsi="Arial"/>
                  <w:sz w:val="18"/>
                  <w:szCs w:val="18"/>
                  <w:color w:val="0000EE"/>
                  <w:w w:val="89"/>
                </w:rPr>
                <w:t>Unaudited Condensed Consolidated Statements of Comprehensive Income for the three and nine months ended October 28, 2017 and</w:t>
              </w:r>
            </w:hyperlink>
          </w:p>
        </w:tc>
        <w:tc>
          <w:tcPr>
            <w:tcW w:w="28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r>
      <w:tr>
        <w:trPr>
          <w:trHeight w:val="196"/>
        </w:trPr>
        <w:tc>
          <w:tcPr>
            <w:tcW w:w="920" w:type="dxa"/>
            <w:vAlign w:val="bottom"/>
          </w:tcPr>
          <w:p>
            <w:pPr>
              <w:spacing w:after="0"/>
              <w:rPr>
                <w:sz w:val="17"/>
                <w:szCs w:val="17"/>
                <w:color w:val="auto"/>
              </w:rPr>
            </w:pPr>
          </w:p>
        </w:tc>
        <w:tc>
          <w:tcPr>
            <w:tcW w:w="9900" w:type="dxa"/>
            <w:vAlign w:val="bottom"/>
            <w:gridSpan w:val="20"/>
          </w:tcPr>
          <w:p>
            <w:pPr>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October 29, 2016</w:t>
              </w:r>
            </w:hyperlink>
          </w:p>
        </w:tc>
        <w:tc>
          <w:tcPr>
            <w:tcW w:w="560" w:type="dxa"/>
            <w:vAlign w:val="bottom"/>
            <w:gridSpan w:val="4"/>
          </w:tcPr>
          <w:p>
            <w:pPr>
              <w:jc w:val="right"/>
              <w:ind w:right="20"/>
              <w:spacing w:after="0" w:line="196" w:lineRule="exact"/>
              <w:rPr>
                <w:rFonts w:ascii="Arial" w:cs="Arial" w:eastAsia="Arial" w:hAnsi="Arial"/>
                <w:sz w:val="18"/>
                <w:szCs w:val="18"/>
                <w:color w:val="0000EE"/>
              </w:rPr>
            </w:pPr>
            <w:hyperlink w:anchor="page5">
              <w:r>
                <w:rPr>
                  <w:rFonts w:ascii="Arial" w:cs="Arial" w:eastAsia="Arial" w:hAnsi="Arial"/>
                  <w:sz w:val="18"/>
                  <w:szCs w:val="18"/>
                  <w:color w:val="0000EE"/>
                </w:rPr>
                <w:t>4</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1620" w:type="dxa"/>
            <w:vAlign w:val="bottom"/>
            <w:gridSpan w:val="2"/>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2880" w:type="dxa"/>
            <w:vAlign w:val="bottom"/>
            <w:gridSpan w:val="2"/>
          </w:tcPr>
          <w:p>
            <w:pPr>
              <w:spacing w:after="0" w:line="20" w:lineRule="exact"/>
              <w:rPr>
                <w:sz w:val="1"/>
                <w:szCs w:val="1"/>
                <w:color w:val="auto"/>
              </w:rPr>
            </w:pPr>
          </w:p>
        </w:tc>
        <w:tc>
          <w:tcPr>
            <w:tcW w:w="560" w:type="dxa"/>
            <w:vAlign w:val="bottom"/>
            <w:gridSpan w:val="3"/>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9340" w:type="dxa"/>
            <w:vAlign w:val="bottom"/>
            <w:tcBorders>
              <w:bottom w:val="single" w:sz="8" w:color="0000EE"/>
            </w:tcBorders>
            <w:gridSpan w:val="17"/>
          </w:tcPr>
          <w:p>
            <w:pPr>
              <w:spacing w:after="0"/>
              <w:rPr>
                <w:rFonts w:ascii="Arial" w:cs="Arial" w:eastAsia="Arial" w:hAnsi="Arial"/>
                <w:sz w:val="18"/>
                <w:szCs w:val="18"/>
                <w:color w:val="0000EE"/>
                <w:w w:val="89"/>
              </w:rPr>
            </w:pPr>
            <w:hyperlink w:anchor="page6">
              <w:r>
                <w:rPr>
                  <w:rFonts w:ascii="Arial" w:cs="Arial" w:eastAsia="Arial" w:hAnsi="Arial"/>
                  <w:sz w:val="18"/>
                  <w:szCs w:val="18"/>
                  <w:color w:val="0000EE"/>
                  <w:w w:val="89"/>
                </w:rPr>
                <w:t>Unaudited Condensed Consolidated Statements of Cash Flows for the nine months ended October 28, 2017 and October 29, 2016</w:t>
              </w:r>
            </w:hyperlink>
          </w:p>
        </w:tc>
        <w:tc>
          <w:tcPr>
            <w:tcW w:w="560" w:type="dxa"/>
            <w:vAlign w:val="bottom"/>
            <w:gridSpan w:val="3"/>
          </w:tcPr>
          <w:p>
            <w:pPr>
              <w:spacing w:after="0"/>
              <w:rPr>
                <w:sz w:val="21"/>
                <w:szCs w:val="21"/>
                <w:color w:val="auto"/>
              </w:rPr>
            </w:pPr>
          </w:p>
        </w:tc>
        <w:tc>
          <w:tcPr>
            <w:tcW w:w="440" w:type="dxa"/>
            <w:vAlign w:val="bottom"/>
            <w:gridSpan w:val="2"/>
          </w:tcPr>
          <w:p>
            <w:pPr>
              <w:spacing w:after="0"/>
              <w:rPr>
                <w:sz w:val="21"/>
                <w:szCs w:val="21"/>
                <w:color w:val="auto"/>
              </w:rPr>
            </w:pPr>
          </w:p>
        </w:tc>
        <w:tc>
          <w:tcPr>
            <w:tcW w:w="100" w:type="dxa"/>
            <w:vAlign w:val="bottom"/>
            <w:tcBorders>
              <w:bottom w:val="single" w:sz="8" w:color="0000EE"/>
            </w:tcBorders>
          </w:tcPr>
          <w:p>
            <w:pPr>
              <w:jc w:val="right"/>
              <w:spacing w:after="0"/>
              <w:rPr>
                <w:rFonts w:ascii="Arial" w:cs="Arial" w:eastAsia="Arial" w:hAnsi="Arial"/>
                <w:sz w:val="18"/>
                <w:szCs w:val="18"/>
                <w:color w:val="0000EE"/>
                <w:w w:val="79"/>
              </w:rPr>
            </w:pPr>
            <w:hyperlink w:anchor="page6">
              <w:r>
                <w:rPr>
                  <w:rFonts w:ascii="Arial" w:cs="Arial" w:eastAsia="Arial" w:hAnsi="Arial"/>
                  <w:sz w:val="18"/>
                  <w:szCs w:val="18"/>
                  <w:color w:val="0000EE"/>
                  <w:w w:val="79"/>
                </w:rPr>
                <w:t>5</w:t>
              </w:r>
            </w:hyperlink>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1"/>
                <w:szCs w:val="21"/>
                <w:color w:val="auto"/>
              </w:rPr>
            </w:pPr>
          </w:p>
        </w:tc>
        <w:tc>
          <w:tcPr>
            <w:tcW w:w="9900" w:type="dxa"/>
            <w:vAlign w:val="bottom"/>
            <w:gridSpan w:val="20"/>
          </w:tcPr>
          <w:p>
            <w:pPr>
              <w:spacing w:after="0"/>
              <w:rPr>
                <w:rFonts w:ascii="Arial" w:cs="Arial" w:eastAsia="Arial" w:hAnsi="Arial"/>
                <w:sz w:val="18"/>
                <w:szCs w:val="18"/>
                <w:color w:val="0000EE"/>
              </w:rPr>
            </w:pPr>
            <w:hyperlink w:anchor="page7">
              <w:r>
                <w:rPr>
                  <w:rFonts w:ascii="Arial" w:cs="Arial" w:eastAsia="Arial" w:hAnsi="Arial"/>
                  <w:sz w:val="18"/>
                  <w:szCs w:val="18"/>
                  <w:color w:val="0000EE"/>
                </w:rPr>
                <w:t>Notes to Unaudited Condensed Consolidated Financial Statements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7">
              <w:r>
                <w:rPr>
                  <w:rFonts w:ascii="Arial" w:cs="Arial" w:eastAsia="Arial" w:hAnsi="Arial"/>
                  <w:sz w:val="18"/>
                  <w:szCs w:val="18"/>
                  <w:color w:val="0000EE"/>
                </w:rPr>
                <w:t>6</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440" w:type="dxa"/>
            <w:vAlign w:val="bottom"/>
            <w:tcBorders>
              <w:left w:val="single" w:sz="8" w:color="0000EE"/>
            </w:tcBorders>
            <w:shd w:val="clear" w:color="auto" w:fill="0000EE"/>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6460" w:type="dxa"/>
            <w:vAlign w:val="bottom"/>
            <w:gridSpan w:val="15"/>
          </w:tcPr>
          <w:p>
            <w:pPr>
              <w:spacing w:after="0"/>
              <w:rPr>
                <w:rFonts w:ascii="Arial" w:cs="Arial" w:eastAsia="Arial" w:hAnsi="Arial"/>
                <w:sz w:val="18"/>
                <w:szCs w:val="18"/>
                <w:color w:val="0000EE"/>
                <w:w w:val="90"/>
              </w:rPr>
            </w:pPr>
            <w:hyperlink w:anchor="page24">
              <w:r>
                <w:rPr>
                  <w:rFonts w:ascii="Arial" w:cs="Arial" w:eastAsia="Arial" w:hAnsi="Arial"/>
                  <w:sz w:val="18"/>
                  <w:szCs w:val="18"/>
                  <w:color w:val="0000EE"/>
                  <w:w w:val="90"/>
                </w:rPr>
                <w:t>Management’s Discussion and Analysis of Financial Condition and Results of Operations</w:t>
              </w:r>
            </w:hyperlink>
          </w:p>
        </w:tc>
        <w:tc>
          <w:tcPr>
            <w:tcW w:w="3440" w:type="dxa"/>
            <w:vAlign w:val="bottom"/>
            <w:gridSpan w:val="5"/>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24">
              <w:r>
                <w:rPr>
                  <w:rFonts w:ascii="Arial" w:cs="Arial" w:eastAsia="Arial" w:hAnsi="Arial"/>
                  <w:sz w:val="18"/>
                  <w:szCs w:val="18"/>
                  <w:color w:val="0000EE"/>
                </w:rPr>
                <w:t>23</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440" w:type="dxa"/>
            <w:vAlign w:val="bottom"/>
            <w:gridSpan w:val="5"/>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4340" w:type="dxa"/>
            <w:vAlign w:val="bottom"/>
            <w:gridSpan w:val="11"/>
          </w:tcPr>
          <w:p>
            <w:pPr>
              <w:spacing w:after="0"/>
              <w:rPr>
                <w:rFonts w:ascii="Arial" w:cs="Arial" w:eastAsia="Arial" w:hAnsi="Arial"/>
                <w:sz w:val="18"/>
                <w:szCs w:val="18"/>
                <w:color w:val="0000EE"/>
                <w:w w:val="91"/>
              </w:rPr>
            </w:pPr>
            <w:hyperlink w:anchor="page32">
              <w:r>
                <w:rPr>
                  <w:rFonts w:ascii="Arial" w:cs="Arial" w:eastAsia="Arial" w:hAnsi="Arial"/>
                  <w:sz w:val="18"/>
                  <w:szCs w:val="18"/>
                  <w:color w:val="0000EE"/>
                  <w:w w:val="91"/>
                </w:rPr>
                <w:t>Quantitative and Qualitative Disclosures About Market Risk</w:t>
              </w:r>
            </w:hyperlink>
          </w:p>
        </w:tc>
        <w:tc>
          <w:tcPr>
            <w:tcW w:w="2120" w:type="dxa"/>
            <w:vAlign w:val="bottom"/>
            <w:gridSpan w:val="4"/>
          </w:tcPr>
          <w:p>
            <w:pPr>
              <w:spacing w:after="0"/>
              <w:rPr>
                <w:sz w:val="21"/>
                <w:szCs w:val="21"/>
                <w:color w:val="auto"/>
              </w:rPr>
            </w:pPr>
          </w:p>
        </w:tc>
        <w:tc>
          <w:tcPr>
            <w:tcW w:w="3440" w:type="dxa"/>
            <w:vAlign w:val="bottom"/>
            <w:gridSpan w:val="5"/>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2">
              <w:r>
                <w:rPr>
                  <w:rFonts w:ascii="Arial" w:cs="Arial" w:eastAsia="Arial" w:hAnsi="Arial"/>
                  <w:sz w:val="18"/>
                  <w:szCs w:val="18"/>
                  <w:color w:val="0000EE"/>
                </w:rPr>
                <w:t>31</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1620" w:type="dxa"/>
            <w:vAlign w:val="bottom"/>
            <w:gridSpan w:val="2"/>
            <w:shd w:val="clear" w:color="auto" w:fill="0000EE"/>
          </w:tcPr>
          <w:p>
            <w:pPr>
              <w:spacing w:after="0" w:line="20" w:lineRule="exact"/>
              <w:rPr>
                <w:sz w:val="1"/>
                <w:szCs w:val="1"/>
                <w:color w:val="auto"/>
              </w:rPr>
            </w:pPr>
          </w:p>
        </w:tc>
        <w:tc>
          <w:tcPr>
            <w:tcW w:w="960" w:type="dxa"/>
            <w:vAlign w:val="bottom"/>
            <w:shd w:val="clear" w:color="auto" w:fill="0000EE"/>
          </w:tcPr>
          <w:p>
            <w:pPr>
              <w:spacing w:after="0" w:line="20" w:lineRule="exact"/>
              <w:rPr>
                <w:sz w:val="1"/>
                <w:szCs w:val="1"/>
                <w:color w:val="auto"/>
              </w:rPr>
            </w:pPr>
          </w:p>
        </w:tc>
        <w:tc>
          <w:tcPr>
            <w:tcW w:w="1800" w:type="dxa"/>
            <w:vAlign w:val="bottom"/>
            <w:tcBorders>
              <w:left w:val="single" w:sz="8" w:color="0000EE"/>
            </w:tcBorders>
            <w:gridSpan w:val="2"/>
          </w:tcPr>
          <w:p>
            <w:pPr>
              <w:spacing w:after="0" w:line="20" w:lineRule="exact"/>
              <w:rPr>
                <w:sz w:val="1"/>
                <w:szCs w:val="1"/>
                <w:color w:val="auto"/>
              </w:rPr>
            </w:pPr>
          </w:p>
        </w:tc>
        <w:tc>
          <w:tcPr>
            <w:tcW w:w="3760" w:type="dxa"/>
            <w:vAlign w:val="bottom"/>
            <w:gridSpan w:val="7"/>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1"/>
          </w:tcPr>
          <w:p>
            <w:pPr>
              <w:spacing w:after="0"/>
              <w:rPr>
                <w:rFonts w:ascii="Arial" w:cs="Arial" w:eastAsia="Arial" w:hAnsi="Arial"/>
                <w:sz w:val="18"/>
                <w:szCs w:val="18"/>
                <w:color w:val="0000EE"/>
              </w:rPr>
            </w:pPr>
            <w:hyperlink w:anchor="page32">
              <w:r>
                <w:rPr>
                  <w:rFonts w:ascii="Arial" w:cs="Arial" w:eastAsia="Arial" w:hAnsi="Arial"/>
                  <w:sz w:val="18"/>
                  <w:szCs w:val="18"/>
                  <w:color w:val="0000EE"/>
                </w:rPr>
                <w:t>Controls and Procedures</w:t>
              </w:r>
            </w:hyperlink>
          </w:p>
        </w:tc>
        <w:tc>
          <w:tcPr>
            <w:tcW w:w="5560" w:type="dxa"/>
            <w:vAlign w:val="bottom"/>
            <w:gridSpan w:val="9"/>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2">
              <w:r>
                <w:rPr>
                  <w:rFonts w:ascii="Arial" w:cs="Arial" w:eastAsia="Arial" w:hAnsi="Arial"/>
                  <w:sz w:val="18"/>
                  <w:szCs w:val="18"/>
                  <w:color w:val="0000EE"/>
                </w:rPr>
                <w:t>31</w:t>
              </w:r>
            </w:hyperlink>
          </w:p>
        </w:tc>
      </w:tr>
      <w:tr>
        <w:trPr>
          <w:trHeight w:val="250"/>
        </w:trPr>
        <w:tc>
          <w:tcPr>
            <w:tcW w:w="920" w:type="dxa"/>
            <w:vAlign w:val="bottom"/>
          </w:tcPr>
          <w:p>
            <w:pPr>
              <w:spacing w:after="0"/>
              <w:rPr>
                <w:sz w:val="21"/>
                <w:szCs w:val="21"/>
                <w:color w:val="auto"/>
              </w:rPr>
            </w:pPr>
          </w:p>
        </w:tc>
        <w:tc>
          <w:tcPr>
            <w:tcW w:w="360" w:type="dxa"/>
            <w:vAlign w:val="bottom"/>
            <w:tcBorders>
              <w:top w:val="single" w:sz="8" w:color="0000EE"/>
            </w:tcBorders>
          </w:tcPr>
          <w:p>
            <w:pPr>
              <w:spacing w:after="0"/>
              <w:rPr>
                <w:sz w:val="21"/>
                <w:szCs w:val="21"/>
                <w:color w:val="auto"/>
              </w:rPr>
            </w:pPr>
          </w:p>
        </w:tc>
        <w:tc>
          <w:tcPr>
            <w:tcW w:w="240" w:type="dxa"/>
            <w:vAlign w:val="bottom"/>
            <w:tcBorders>
              <w:top w:val="single" w:sz="8" w:color="0000EE"/>
            </w:tcBorders>
          </w:tcPr>
          <w:p>
            <w:pPr>
              <w:spacing w:after="0"/>
              <w:rPr>
                <w:sz w:val="21"/>
                <w:szCs w:val="21"/>
                <w:color w:val="auto"/>
              </w:rPr>
            </w:pPr>
          </w:p>
        </w:tc>
        <w:tc>
          <w:tcPr>
            <w:tcW w:w="160" w:type="dxa"/>
            <w:vAlign w:val="bottom"/>
            <w:tcBorders>
              <w:top w:val="single" w:sz="8" w:color="0000EE"/>
            </w:tcBorders>
          </w:tcPr>
          <w:p>
            <w:pPr>
              <w:spacing w:after="0"/>
              <w:rPr>
                <w:sz w:val="21"/>
                <w:szCs w:val="21"/>
                <w:color w:val="auto"/>
              </w:rPr>
            </w:pPr>
          </w:p>
        </w:tc>
        <w:tc>
          <w:tcPr>
            <w:tcW w:w="140" w:type="dxa"/>
            <w:vAlign w:val="bottom"/>
            <w:tcBorders>
              <w:top w:val="single" w:sz="8" w:color="0000EE"/>
            </w:tcBorders>
          </w:tcPr>
          <w:p>
            <w:pPr>
              <w:spacing w:after="0"/>
              <w:rPr>
                <w:sz w:val="21"/>
                <w:szCs w:val="21"/>
                <w:color w:val="auto"/>
              </w:rPr>
            </w:pPr>
          </w:p>
        </w:tc>
        <w:tc>
          <w:tcPr>
            <w:tcW w:w="340" w:type="dxa"/>
            <w:vAlign w:val="bottom"/>
            <w:tcBorders>
              <w:top w:val="single" w:sz="8" w:color="0000EE"/>
            </w:tcBorders>
          </w:tcPr>
          <w:p>
            <w:pPr>
              <w:spacing w:after="0"/>
              <w:rPr>
                <w:sz w:val="21"/>
                <w:szCs w:val="21"/>
                <w:color w:val="auto"/>
              </w:rPr>
            </w:pPr>
          </w:p>
        </w:tc>
        <w:tc>
          <w:tcPr>
            <w:tcW w:w="8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220" w:type="dxa"/>
            <w:vAlign w:val="bottom"/>
            <w:tcBorders>
              <w:top w:val="single" w:sz="8" w:color="0000EE"/>
            </w:tcBorders>
          </w:tcPr>
          <w:p>
            <w:pPr>
              <w:spacing w:after="0"/>
              <w:rPr>
                <w:sz w:val="21"/>
                <w:szCs w:val="21"/>
                <w:color w:val="auto"/>
              </w:rPr>
            </w:pPr>
          </w:p>
        </w:tc>
        <w:tc>
          <w:tcPr>
            <w:tcW w:w="146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760" w:type="dxa"/>
            <w:vAlign w:val="bottom"/>
            <w:tcBorders>
              <w:bottom w:val="single" w:sz="8" w:color="0000EE"/>
            </w:tcBorders>
            <w:gridSpan w:val="3"/>
          </w:tcPr>
          <w:p>
            <w:pPr>
              <w:jc w:val="center"/>
              <w:spacing w:after="0"/>
              <w:rPr>
                <w:rFonts w:ascii="Arial" w:cs="Arial" w:eastAsia="Arial" w:hAnsi="Arial"/>
                <w:sz w:val="18"/>
                <w:szCs w:val="18"/>
                <w:b w:val="1"/>
                <w:bCs w:val="1"/>
                <w:color w:val="0000EE"/>
              </w:rPr>
            </w:pPr>
            <w:hyperlink w:anchor="page35">
              <w:r>
                <w:rPr>
                  <w:rFonts w:ascii="Arial" w:cs="Arial" w:eastAsia="Arial" w:hAnsi="Arial"/>
                  <w:sz w:val="18"/>
                  <w:szCs w:val="18"/>
                  <w:b w:val="1"/>
                  <w:bCs w:val="1"/>
                  <w:color w:val="0000EE"/>
                </w:rPr>
                <w:t>PART II. OTHER INFORMATION</w:t>
              </w:r>
            </w:hyperlink>
          </w:p>
        </w:tc>
        <w:tc>
          <w:tcPr>
            <w:tcW w:w="3760" w:type="dxa"/>
            <w:vAlign w:val="bottom"/>
            <w:gridSpan w:val="7"/>
          </w:tcPr>
          <w:p>
            <w:pPr>
              <w:spacing w:after="0"/>
              <w:rPr>
                <w:sz w:val="21"/>
                <w:szCs w:val="21"/>
                <w:color w:val="auto"/>
              </w:rPr>
            </w:pPr>
          </w:p>
        </w:tc>
        <w:tc>
          <w:tcPr>
            <w:tcW w:w="360" w:type="dxa"/>
            <w:vAlign w:val="bottom"/>
          </w:tcPr>
          <w:p>
            <w:pPr>
              <w:spacing w:after="0"/>
              <w:rPr>
                <w:sz w:val="21"/>
                <w:szCs w:val="21"/>
                <w:color w:val="auto"/>
              </w:rPr>
            </w:pPr>
          </w:p>
        </w:tc>
        <w:tc>
          <w:tcPr>
            <w:tcW w:w="80" w:type="dxa"/>
            <w:vAlign w:val="bottom"/>
            <w:tcBorders>
              <w:top w:val="single" w:sz="8" w:color="0000EE"/>
            </w:tcBorders>
          </w:tcPr>
          <w:p>
            <w:pPr>
              <w:spacing w:after="0"/>
              <w:rPr>
                <w:sz w:val="21"/>
                <w:szCs w:val="21"/>
                <w:color w:val="auto"/>
              </w:rPr>
            </w:pPr>
          </w:p>
        </w:tc>
        <w:tc>
          <w:tcPr>
            <w:tcW w:w="100" w:type="dxa"/>
            <w:vAlign w:val="bottom"/>
            <w:tcBorders>
              <w:top w:val="single" w:sz="8" w:color="0000EE"/>
            </w:tcBorders>
          </w:tcPr>
          <w:p>
            <w:pPr>
              <w:spacing w:after="0"/>
              <w:rPr>
                <w:sz w:val="21"/>
                <w:szCs w:val="21"/>
                <w:color w:val="auto"/>
              </w:rPr>
            </w:pPr>
          </w:p>
        </w:tc>
        <w:tc>
          <w:tcPr>
            <w:tcW w:w="20" w:type="dxa"/>
            <w:vAlign w:val="bottom"/>
          </w:tcPr>
          <w:p>
            <w:pPr>
              <w:spacing w:after="0"/>
              <w:rPr>
                <w:sz w:val="21"/>
                <w:szCs w:val="2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900" w:type="dxa"/>
            <w:vAlign w:val="bottom"/>
            <w:gridSpan w:val="20"/>
          </w:tcPr>
          <w:p>
            <w:pPr>
              <w:spacing w:after="0"/>
              <w:rPr>
                <w:rFonts w:ascii="Arial" w:cs="Arial" w:eastAsia="Arial" w:hAnsi="Arial"/>
                <w:sz w:val="18"/>
                <w:szCs w:val="18"/>
                <w:color w:val="0000EE"/>
              </w:rPr>
            </w:pPr>
            <w:hyperlink w:anchor="page35">
              <w:r>
                <w:rPr>
                  <w:rFonts w:ascii="Arial" w:cs="Arial" w:eastAsia="Arial" w:hAnsi="Arial"/>
                  <w:sz w:val="18"/>
                  <w:szCs w:val="18"/>
                  <w:color w:val="0000EE"/>
                </w:rPr>
                <w:t>Legal Proceedings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35">
              <w:r>
                <w:rPr>
                  <w:rFonts w:ascii="Arial" w:cs="Arial" w:eastAsia="Arial" w:hAnsi="Arial"/>
                  <w:sz w:val="18"/>
                  <w:szCs w:val="18"/>
                  <w:color w:val="0000EE"/>
                </w:rPr>
                <w:t>34</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20" w:type="dxa"/>
            <w:vAlign w:val="bottom"/>
            <w:gridSpan w:val="2"/>
            <w:shd w:val="clear" w:color="auto" w:fill="0000EE"/>
          </w:tcPr>
          <w:p>
            <w:pPr>
              <w:spacing w:after="0" w:line="20" w:lineRule="exact"/>
              <w:rPr>
                <w:sz w:val="1"/>
                <w:szCs w:val="1"/>
                <w:color w:val="auto"/>
              </w:rPr>
            </w:pPr>
          </w:p>
        </w:tc>
        <w:tc>
          <w:tcPr>
            <w:tcW w:w="3020" w:type="dxa"/>
            <w:vAlign w:val="bottom"/>
            <w:gridSpan w:val="5"/>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4"/>
          </w:tcPr>
          <w:p>
            <w:pPr>
              <w:spacing w:after="0"/>
              <w:rPr>
                <w:rFonts w:ascii="Arial" w:cs="Arial" w:eastAsia="Arial" w:hAnsi="Arial"/>
                <w:sz w:val="18"/>
                <w:szCs w:val="18"/>
                <w:color w:val="0000EE"/>
                <w:w w:val="87"/>
              </w:rPr>
            </w:pPr>
            <w:hyperlink w:anchor="page35">
              <w:r>
                <w:rPr>
                  <w:rFonts w:ascii="Arial" w:cs="Arial" w:eastAsia="Arial" w:hAnsi="Arial"/>
                  <w:sz w:val="18"/>
                  <w:szCs w:val="18"/>
                  <w:color w:val="0000EE"/>
                  <w:w w:val="87"/>
                </w:rPr>
                <w:t>Risk Factors</w:t>
              </w:r>
            </w:hyperlink>
          </w:p>
        </w:tc>
        <w:tc>
          <w:tcPr>
            <w:tcW w:w="420" w:type="dxa"/>
            <w:vAlign w:val="bottom"/>
            <w:gridSpan w:val="2"/>
          </w:tcPr>
          <w:p>
            <w:pPr>
              <w:spacing w:after="0"/>
              <w:rPr>
                <w:sz w:val="21"/>
                <w:szCs w:val="21"/>
                <w:color w:val="auto"/>
              </w:rPr>
            </w:pPr>
          </w:p>
        </w:tc>
        <w:tc>
          <w:tcPr>
            <w:tcW w:w="8580" w:type="dxa"/>
            <w:vAlign w:val="bottom"/>
            <w:gridSpan w:val="14"/>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35">
              <w:r>
                <w:rPr>
                  <w:rFonts w:ascii="Arial" w:cs="Arial" w:eastAsia="Arial" w:hAnsi="Arial"/>
                  <w:sz w:val="18"/>
                  <w:szCs w:val="18"/>
                  <w:color w:val="0000EE"/>
                </w:rPr>
                <w:t>34</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440" w:type="dxa"/>
            <w:vAlign w:val="bottom"/>
            <w:gridSpan w:val="7"/>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900" w:type="dxa"/>
            <w:vAlign w:val="bottom"/>
            <w:gridSpan w:val="20"/>
          </w:tcPr>
          <w:p>
            <w:pPr>
              <w:spacing w:after="0"/>
              <w:rPr>
                <w:rFonts w:ascii="Arial" w:cs="Arial" w:eastAsia="Arial" w:hAnsi="Arial"/>
                <w:sz w:val="18"/>
                <w:szCs w:val="18"/>
                <w:color w:val="0000EE"/>
              </w:rPr>
            </w:pPr>
            <w:hyperlink w:anchor="page52">
              <w:r>
                <w:rPr>
                  <w:rFonts w:ascii="Arial" w:cs="Arial" w:eastAsia="Arial" w:hAnsi="Arial"/>
                  <w:sz w:val="18"/>
                  <w:szCs w:val="18"/>
                  <w:color w:val="0000EE"/>
                </w:rPr>
                <w:t>Unregistered Sales of Equity Securities and Use of Proceeds</w:t>
              </w:r>
            </w:hyperlink>
          </w:p>
        </w:tc>
        <w:tc>
          <w:tcPr>
            <w:tcW w:w="560" w:type="dxa"/>
            <w:vAlign w:val="bottom"/>
            <w:gridSpan w:val="4"/>
          </w:tcPr>
          <w:p>
            <w:pPr>
              <w:jc w:val="right"/>
              <w:ind w:right="20"/>
              <w:spacing w:after="0"/>
              <w:rPr>
                <w:rFonts w:ascii="Arial" w:cs="Arial" w:eastAsia="Arial" w:hAnsi="Arial"/>
                <w:sz w:val="18"/>
                <w:szCs w:val="18"/>
                <w:color w:val="0000EE"/>
              </w:rPr>
            </w:pPr>
            <w:hyperlink w:anchor="page52">
              <w:r>
                <w:rPr>
                  <w:rFonts w:ascii="Arial" w:cs="Arial" w:eastAsia="Arial" w:hAnsi="Arial"/>
                  <w:sz w:val="18"/>
                  <w:szCs w:val="18"/>
                  <w:color w:val="0000EE"/>
                </w:rPr>
                <w:t>51</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3580" w:type="dxa"/>
            <w:vAlign w:val="bottom"/>
            <w:gridSpan w:val="8"/>
            <w:shd w:val="clear" w:color="auto" w:fill="0000EE"/>
          </w:tcPr>
          <w:p>
            <w:pPr>
              <w:spacing w:after="0" w:line="20" w:lineRule="exact"/>
              <w:rPr>
                <w:sz w:val="1"/>
                <w:szCs w:val="1"/>
                <w:color w:val="auto"/>
              </w:rPr>
            </w:pPr>
          </w:p>
        </w:tc>
        <w:tc>
          <w:tcPr>
            <w:tcW w:w="5560" w:type="dxa"/>
            <w:vAlign w:val="bottom"/>
            <w:gridSpan w:val="9"/>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gridSpan w:val="2"/>
          </w:tcPr>
          <w:p>
            <w:pPr>
              <w:spacing w:after="0"/>
              <w:rPr>
                <w:rFonts w:ascii="Arial" w:cs="Arial" w:eastAsia="Arial" w:hAnsi="Arial"/>
                <w:sz w:val="18"/>
                <w:szCs w:val="18"/>
                <w:color w:val="0000EE"/>
                <w:w w:val="91"/>
              </w:rPr>
            </w:pPr>
            <w:hyperlink w:anchor="page53">
              <w:r>
                <w:rPr>
                  <w:rFonts w:ascii="Arial" w:cs="Arial" w:eastAsia="Arial" w:hAnsi="Arial"/>
                  <w:sz w:val="18"/>
                  <w:szCs w:val="18"/>
                  <w:color w:val="0000EE"/>
                  <w:w w:val="91"/>
                </w:rPr>
                <w:t>Exhibits</w:t>
              </w:r>
            </w:hyperlink>
          </w:p>
        </w:tc>
        <w:tc>
          <w:tcPr>
            <w:tcW w:w="3740" w:type="dxa"/>
            <w:vAlign w:val="bottom"/>
            <w:gridSpan w:val="9"/>
          </w:tcPr>
          <w:p>
            <w:pPr>
              <w:spacing w:after="0"/>
              <w:rPr>
                <w:sz w:val="21"/>
                <w:szCs w:val="21"/>
                <w:color w:val="auto"/>
              </w:rPr>
            </w:pPr>
          </w:p>
        </w:tc>
        <w:tc>
          <w:tcPr>
            <w:tcW w:w="5560" w:type="dxa"/>
            <w:vAlign w:val="bottom"/>
            <w:gridSpan w:val="9"/>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53">
              <w:r>
                <w:rPr>
                  <w:rFonts w:ascii="Arial" w:cs="Arial" w:eastAsia="Arial" w:hAnsi="Arial"/>
                  <w:sz w:val="18"/>
                  <w:szCs w:val="18"/>
                  <w:color w:val="0000EE"/>
                </w:rPr>
                <w:t>52</w:t>
              </w:r>
            </w:hyperlink>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140" w:type="dxa"/>
            <w:vAlign w:val="bottom"/>
            <w:gridSpan w:val="17"/>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r>
        <w:trPr>
          <w:trHeight w:val="250"/>
        </w:trPr>
        <w:tc>
          <w:tcPr>
            <w:tcW w:w="920" w:type="dxa"/>
            <w:vAlign w:val="bottom"/>
          </w:tcPr>
          <w:p>
            <w:pPr>
              <w:spacing w:after="0"/>
              <w:rPr>
                <w:sz w:val="21"/>
                <w:szCs w:val="21"/>
                <w:color w:val="auto"/>
              </w:rPr>
            </w:pPr>
          </w:p>
        </w:tc>
        <w:tc>
          <w:tcPr>
            <w:tcW w:w="760" w:type="dxa"/>
            <w:vAlign w:val="bottom"/>
            <w:gridSpan w:val="3"/>
          </w:tcPr>
          <w:p>
            <w:pPr>
              <w:spacing w:after="0"/>
              <w:rPr>
                <w:rFonts w:ascii="Arial" w:cs="Arial" w:eastAsia="Arial" w:hAnsi="Arial"/>
                <w:sz w:val="18"/>
                <w:szCs w:val="18"/>
                <w:color w:val="0000EE"/>
                <w:w w:val="85"/>
              </w:rPr>
            </w:pPr>
            <w:hyperlink w:anchor="page54">
              <w:r>
                <w:rPr>
                  <w:rFonts w:ascii="Arial" w:cs="Arial" w:eastAsia="Arial" w:hAnsi="Arial"/>
                  <w:sz w:val="18"/>
                  <w:szCs w:val="18"/>
                  <w:color w:val="0000EE"/>
                  <w:w w:val="85"/>
                </w:rPr>
                <w:t>Signatures</w:t>
              </w:r>
            </w:hyperlink>
          </w:p>
        </w:tc>
        <w:tc>
          <w:tcPr>
            <w:tcW w:w="9140" w:type="dxa"/>
            <w:vAlign w:val="bottom"/>
            <w:gridSpan w:val="17"/>
          </w:tcPr>
          <w:p>
            <w:pPr>
              <w:spacing w:after="0"/>
              <w:rPr>
                <w:sz w:val="21"/>
                <w:szCs w:val="21"/>
                <w:color w:val="auto"/>
              </w:rPr>
            </w:pPr>
          </w:p>
        </w:tc>
        <w:tc>
          <w:tcPr>
            <w:tcW w:w="560" w:type="dxa"/>
            <w:vAlign w:val="bottom"/>
            <w:gridSpan w:val="4"/>
          </w:tcPr>
          <w:p>
            <w:pPr>
              <w:jc w:val="right"/>
              <w:ind w:right="20"/>
              <w:spacing w:after="0"/>
              <w:rPr>
                <w:rFonts w:ascii="Arial" w:cs="Arial" w:eastAsia="Arial" w:hAnsi="Arial"/>
                <w:sz w:val="18"/>
                <w:szCs w:val="18"/>
                <w:color w:val="0000EE"/>
              </w:rPr>
            </w:pPr>
            <w:hyperlink w:anchor="page54">
              <w:r>
                <w:rPr>
                  <w:rFonts w:ascii="Arial" w:cs="Arial" w:eastAsia="Arial" w:hAnsi="Arial"/>
                  <w:sz w:val="18"/>
                  <w:szCs w:val="18"/>
                  <w:color w:val="0000EE"/>
                </w:rPr>
                <w:t>53</w:t>
              </w:r>
            </w:hyperlink>
          </w:p>
        </w:tc>
      </w:tr>
      <w:tr>
        <w:trPr>
          <w:trHeight w:val="507"/>
        </w:trPr>
        <w:tc>
          <w:tcPr>
            <w:tcW w:w="920" w:type="dxa"/>
            <w:vAlign w:val="bottom"/>
          </w:tcPr>
          <w:p>
            <w:pPr>
              <w:spacing w:after="0"/>
              <w:rPr>
                <w:sz w:val="24"/>
                <w:szCs w:val="24"/>
                <w:color w:val="auto"/>
              </w:rPr>
            </w:pPr>
          </w:p>
        </w:tc>
        <w:tc>
          <w:tcPr>
            <w:tcW w:w="760" w:type="dxa"/>
            <w:vAlign w:val="bottom"/>
            <w:tcBorders>
              <w:top w:val="single" w:sz="8" w:color="0000EE"/>
            </w:tcBorders>
            <w:gridSpan w:val="3"/>
          </w:tcPr>
          <w:p>
            <w:pPr>
              <w:spacing w:after="0"/>
              <w:rPr>
                <w:sz w:val="24"/>
                <w:szCs w:val="24"/>
                <w:color w:val="auto"/>
              </w:rPr>
            </w:pPr>
          </w:p>
        </w:tc>
        <w:tc>
          <w:tcPr>
            <w:tcW w:w="5380" w:type="dxa"/>
            <w:vAlign w:val="bottom"/>
            <w:gridSpan w:val="10"/>
          </w:tcPr>
          <w:p>
            <w:pPr>
              <w:jc w:val="center"/>
              <w:ind w:left="2510"/>
              <w:spacing w:after="0"/>
              <w:rPr>
                <w:sz w:val="20"/>
                <w:szCs w:val="20"/>
                <w:color w:val="auto"/>
              </w:rPr>
            </w:pPr>
            <w:r>
              <w:rPr>
                <w:rFonts w:ascii="Arial" w:cs="Arial" w:eastAsia="Arial" w:hAnsi="Arial"/>
                <w:sz w:val="18"/>
                <w:szCs w:val="18"/>
                <w:color w:val="auto"/>
                <w:w w:val="99"/>
              </w:rPr>
              <w:t>1</w:t>
            </w: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Pr>
          <w:p>
            <w:pPr>
              <w:spacing w:after="0"/>
              <w:rPr>
                <w:sz w:val="24"/>
                <w:szCs w:val="24"/>
                <w:color w:val="auto"/>
              </w:rPr>
            </w:pPr>
          </w:p>
        </w:tc>
      </w:tr>
    </w:tbl>
    <w:p>
      <w:pPr>
        <w:sectPr>
          <w:pgSz w:w="11900" w:h="16838" w:orient="portrait"/>
          <w:cols w:equalWidth="0" w:num="1">
            <w:col w:w="11420"/>
          </w:cols>
          <w:pgMar w:left="240" w:top="140" w:right="23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 per share)</w:t>
      </w: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40"/>
              <w:spacing w:after="0"/>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4"/>
                <w:szCs w:val="14"/>
                <w:color w:val="auto"/>
              </w:rPr>
            </w:pPr>
          </w:p>
        </w:tc>
        <w:tc>
          <w:tcPr>
            <w:tcW w:w="1240" w:type="dxa"/>
            <w:vAlign w:val="bottom"/>
          </w:tcPr>
          <w:p>
            <w:pPr>
              <w:jc w:val="right"/>
              <w:ind w:right="311"/>
              <w:spacing w:after="0"/>
              <w:rPr>
                <w:sz w:val="20"/>
                <w:szCs w:val="20"/>
                <w:color w:val="auto"/>
              </w:rPr>
            </w:pPr>
            <w:r>
              <w:rPr>
                <w:rFonts w:ascii="Arial" w:cs="Arial" w:eastAsia="Arial" w:hAnsi="Arial"/>
                <w:sz w:val="14"/>
                <w:szCs w:val="14"/>
                <w:b w:val="1"/>
                <w:bCs w:val="1"/>
                <w:color w:val="auto"/>
              </w:rPr>
              <w:t>January 28,</w:t>
            </w:r>
          </w:p>
        </w:tc>
        <w:tc>
          <w:tcPr>
            <w:tcW w:w="0" w:type="dxa"/>
            <w:vAlign w:val="bottom"/>
          </w:tcPr>
          <w:p>
            <w:pPr>
              <w:spacing w:after="0"/>
              <w:rPr>
                <w:sz w:val="1"/>
                <w:szCs w:val="1"/>
                <w:color w:val="auto"/>
              </w:rPr>
            </w:pP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2017</w:t>
            </w:r>
          </w:p>
        </w:tc>
        <w:tc>
          <w:tcPr>
            <w:tcW w:w="0" w:type="dxa"/>
            <w:vAlign w:val="bottom"/>
          </w:tcPr>
          <w:p>
            <w:pPr>
              <w:spacing w:after="0"/>
              <w:rPr>
                <w:sz w:val="1"/>
                <w:szCs w:val="1"/>
                <w:color w:val="auto"/>
              </w:rPr>
            </w:pPr>
          </w:p>
        </w:tc>
      </w:tr>
      <w:tr>
        <w:trPr>
          <w:trHeight w:val="236"/>
        </w:trPr>
        <w:tc>
          <w:tcPr>
            <w:tcW w:w="8340" w:type="dxa"/>
            <w:vAlign w:val="bottom"/>
            <w:tcBorders>
              <w:bottom w:val="single" w:sz="8" w:color="CCEEFF"/>
            </w:tcBorders>
            <w:shd w:val="clear" w:color="auto" w:fill="CCEEFF"/>
          </w:tcPr>
          <w:p>
            <w:pPr>
              <w:jc w:val="center"/>
              <w:ind w:left="2990"/>
              <w:spacing w:after="0"/>
              <w:rPr>
                <w:sz w:val="20"/>
                <w:szCs w:val="20"/>
                <w:color w:val="auto"/>
              </w:rPr>
            </w:pPr>
            <w:r>
              <w:rPr>
                <w:rFonts w:ascii="Arial" w:cs="Arial" w:eastAsia="Arial" w:hAnsi="Arial"/>
                <w:sz w:val="18"/>
                <w:szCs w:val="18"/>
                <w:b w:val="1"/>
                <w:bCs w:val="1"/>
                <w:color w:val="auto"/>
                <w:w w:val="91"/>
              </w:rPr>
              <w:t>ASSETS</w:t>
            </w:r>
          </w:p>
        </w:tc>
        <w:tc>
          <w:tcPr>
            <w:tcW w:w="24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Current assets:</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Cash and cash equivalents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800,099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814,092</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Short-term investments</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931,976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854,268</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Accounts receivable, net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366,114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335,384</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Inventories</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173,741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170,842</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Prepaid expenses and other current 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49,920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58,771</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Assets held for sale</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36,571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57,077</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current 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2,358,421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2,290,434</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Property and equipment, net</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198,173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243,397</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Goodwill and acquired intangible assets, net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1,993,668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1,996,880</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131,942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117,939</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7"/>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assets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4,682,204</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4,648,650</w:t>
            </w:r>
          </w:p>
        </w:tc>
        <w:tc>
          <w:tcPr>
            <w:tcW w:w="0" w:type="dxa"/>
            <w:vAlign w:val="bottom"/>
          </w:tcPr>
          <w:p>
            <w:pPr>
              <w:spacing w:after="0"/>
              <w:rPr>
                <w:sz w:val="1"/>
                <w:szCs w:val="1"/>
                <w:color w:val="auto"/>
              </w:rPr>
            </w:pPr>
          </w:p>
        </w:tc>
      </w:tr>
      <w:tr>
        <w:trPr>
          <w:trHeight w:val="20"/>
        </w:trPr>
        <w:tc>
          <w:tcPr>
            <w:tcW w:w="83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57"/>
        </w:trPr>
        <w:tc>
          <w:tcPr>
            <w:tcW w:w="83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2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12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0"/>
        </w:trPr>
        <w:tc>
          <w:tcPr>
            <w:tcW w:w="8340" w:type="dxa"/>
            <w:vAlign w:val="bottom"/>
            <w:tcBorders>
              <w:bottom w:val="single" w:sz="8" w:color="CCEEFF"/>
            </w:tcBorders>
            <w:shd w:val="clear" w:color="auto" w:fill="CCEEFF"/>
          </w:tcPr>
          <w:p>
            <w:pPr>
              <w:jc w:val="center"/>
              <w:ind w:left="2990"/>
              <w:spacing w:after="0"/>
              <w:rPr>
                <w:sz w:val="20"/>
                <w:szCs w:val="20"/>
                <w:color w:val="auto"/>
              </w:rPr>
            </w:pPr>
            <w:r>
              <w:rPr>
                <w:rFonts w:ascii="Arial" w:cs="Arial" w:eastAsia="Arial" w:hAnsi="Arial"/>
                <w:sz w:val="18"/>
                <w:szCs w:val="18"/>
                <w:b w:val="1"/>
                <w:bCs w:val="1"/>
                <w:color w:val="auto"/>
              </w:rPr>
              <w:t>LIABILITIES AND SHAREHOLDERS’ EQUITY</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Current liabilities:</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Accounts payable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166,096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143,484</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Accrued liabilities</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108,007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143,491</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Accrued employee compensation</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129,035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139,647</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Deferred income</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74,943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63,976</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Liabilities held for sale</w:t>
            </w:r>
          </w:p>
        </w:tc>
        <w:tc>
          <w:tcPr>
            <w:tcW w:w="24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5,818</w:t>
            </w:r>
          </w:p>
        </w:tc>
        <w:tc>
          <w:tcPr>
            <w:tcW w:w="0" w:type="dxa"/>
            <w:vAlign w:val="bottom"/>
          </w:tcPr>
          <w:p>
            <w:pPr>
              <w:spacing w:after="0"/>
              <w:rPr>
                <w:sz w:val="1"/>
                <w:szCs w:val="1"/>
                <w:color w:val="auto"/>
              </w:rPr>
            </w:pPr>
          </w:p>
        </w:tc>
      </w:tr>
      <w:tr>
        <w:trPr>
          <w:trHeight w:val="237"/>
        </w:trPr>
        <w:tc>
          <w:tcPr>
            <w:tcW w:w="8340" w:type="dxa"/>
            <w:vAlign w:val="bottom"/>
          </w:tcPr>
          <w:p>
            <w:pPr>
              <w:ind w:left="720"/>
              <w:spacing w:after="0"/>
              <w:rPr>
                <w:sz w:val="20"/>
                <w:szCs w:val="20"/>
                <w:color w:val="auto"/>
              </w:rPr>
            </w:pPr>
            <w:r>
              <w:rPr>
                <w:rFonts w:ascii="Arial" w:cs="Arial" w:eastAsia="Arial" w:hAnsi="Arial"/>
                <w:sz w:val="18"/>
                <w:szCs w:val="18"/>
                <w:color w:val="auto"/>
              </w:rPr>
              <w:t>Total current liabilities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478,081</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496,416</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Non-current income taxes payable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56,641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60,646</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86,533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63,937</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Total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621,255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620,999</w:t>
            </w:r>
          </w:p>
        </w:tc>
        <w:tc>
          <w:tcPr>
            <w:tcW w:w="0" w:type="dxa"/>
            <w:vAlign w:val="bottom"/>
          </w:tcPr>
          <w:p>
            <w:pPr>
              <w:spacing w:after="0"/>
              <w:rPr>
                <w:sz w:val="1"/>
                <w:szCs w:val="1"/>
                <w:color w:val="auto"/>
              </w:rPr>
            </w:pP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Commitments and contingencies (Note 9)</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Shareholders’ equity:</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Common shares, $0.002 par value</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982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1,012</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Additional paid-in capital</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2,669,775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3,016,775</w:t>
            </w:r>
          </w:p>
        </w:tc>
        <w:tc>
          <w:tcPr>
            <w:tcW w:w="0" w:type="dxa"/>
            <w:vAlign w:val="bottom"/>
          </w:tcPr>
          <w:p>
            <w:pPr>
              <w:spacing w:after="0"/>
              <w:rPr>
                <w:sz w:val="1"/>
                <w:szCs w:val="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Accumulated other comprehensive income (loss)</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(192)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Retained earnings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1,390,384</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1,009,841</w:t>
            </w:r>
          </w:p>
        </w:tc>
        <w:tc>
          <w:tcPr>
            <w:tcW w:w="0" w:type="dxa"/>
            <w:vAlign w:val="bottom"/>
          </w:tcPr>
          <w:p>
            <w:pPr>
              <w:spacing w:after="0"/>
              <w:rPr>
                <w:sz w:val="1"/>
                <w:szCs w:val="1"/>
                <w:color w:val="auto"/>
              </w:rPr>
            </w:pPr>
          </w:p>
        </w:tc>
      </w:tr>
      <w:tr>
        <w:trPr>
          <w:trHeight w:val="237"/>
        </w:trPr>
        <w:tc>
          <w:tcPr>
            <w:tcW w:w="8340" w:type="dxa"/>
            <w:vAlign w:val="bottom"/>
          </w:tcPr>
          <w:p>
            <w:pPr>
              <w:ind w:left="720"/>
              <w:spacing w:after="0"/>
              <w:rPr>
                <w:sz w:val="20"/>
                <w:szCs w:val="20"/>
                <w:color w:val="auto"/>
              </w:rPr>
            </w:pPr>
            <w:r>
              <w:rPr>
                <w:rFonts w:ascii="Arial" w:cs="Arial" w:eastAsia="Arial" w:hAnsi="Arial"/>
                <w:sz w:val="18"/>
                <w:szCs w:val="18"/>
                <w:color w:val="auto"/>
              </w:rPr>
              <w:t>Total shareholders’ equity</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4,060,949</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4,027,651</w:t>
            </w:r>
          </w:p>
        </w:tc>
        <w:tc>
          <w:tcPr>
            <w:tcW w:w="0" w:type="dxa"/>
            <w:vAlign w:val="bottom"/>
          </w:tcPr>
          <w:p>
            <w:pPr>
              <w:spacing w:after="0"/>
              <w:rPr>
                <w:sz w:val="1"/>
                <w:szCs w:val="1"/>
                <w:color w:val="auto"/>
              </w:rPr>
            </w:pP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834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26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40" w:type="dxa"/>
            <w:vAlign w:val="bottom"/>
            <w:shd w:val="clear" w:color="auto" w:fill="CCEEFF"/>
          </w:tcPr>
          <w:p>
            <w:pPr>
              <w:spacing w:after="0"/>
              <w:rPr>
                <w:sz w:val="22"/>
                <w:szCs w:val="22"/>
                <w:color w:val="auto"/>
              </w:rPr>
            </w:pPr>
          </w:p>
        </w:tc>
        <w:tc>
          <w:tcPr>
            <w:tcW w:w="124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4"/>
        </w:trPr>
        <w:tc>
          <w:tcPr>
            <w:tcW w:w="8340" w:type="dxa"/>
            <w:vAlign w:val="bottom"/>
          </w:tcPr>
          <w:p>
            <w:pPr>
              <w:ind w:left="720"/>
              <w:spacing w:after="0"/>
              <w:rPr>
                <w:sz w:val="20"/>
                <w:szCs w:val="20"/>
                <w:color w:val="auto"/>
              </w:rPr>
            </w:pPr>
            <w:r>
              <w:rPr>
                <w:rFonts w:ascii="Arial" w:cs="Arial" w:eastAsia="Arial" w:hAnsi="Arial"/>
                <w:sz w:val="18"/>
                <w:szCs w:val="18"/>
                <w:color w:val="auto"/>
              </w:rPr>
              <w:t>Total liabilities and shareholders’ equity</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4,682,204</w:t>
            </w:r>
          </w:p>
        </w:tc>
        <w:tc>
          <w:tcPr>
            <w:tcW w:w="100" w:type="dxa"/>
            <w:vAlign w:val="bottom"/>
          </w:tcPr>
          <w:p>
            <w:pPr>
              <w:spacing w:after="0"/>
              <w:rPr>
                <w:sz w:val="22"/>
                <w:szCs w:val="22"/>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4,648,650</w:t>
            </w:r>
          </w:p>
        </w:tc>
        <w:tc>
          <w:tcPr>
            <w:tcW w:w="0" w:type="dxa"/>
            <w:vAlign w:val="bottom"/>
          </w:tcPr>
          <w:p>
            <w:pPr>
              <w:spacing w:after="0"/>
              <w:rPr>
                <w:sz w:val="1"/>
                <w:szCs w:val="1"/>
                <w:color w:val="auto"/>
              </w:rPr>
            </w:pPr>
          </w:p>
        </w:tc>
      </w:tr>
      <w:tr>
        <w:trPr>
          <w:trHeight w:val="20"/>
        </w:trPr>
        <w:tc>
          <w:tcPr>
            <w:tcW w:w="8340" w:type="dxa"/>
            <w:vAlign w:val="bottom"/>
            <w:vMerge w:val="restart"/>
          </w:tcPr>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65"/>
        </w:trPr>
        <w:tc>
          <w:tcPr>
            <w:tcW w:w="8340" w:type="dxa"/>
            <w:vAlign w:val="bottom"/>
            <w:vMerge w:val="continue"/>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8340" w:type="dxa"/>
            <w:vAlign w:val="bottom"/>
          </w:tcPr>
          <w:p>
            <w:pPr>
              <w:jc w:val="center"/>
              <w:ind w:left="2990"/>
              <w:spacing w:after="0"/>
              <w:rPr>
                <w:sz w:val="20"/>
                <w:szCs w:val="20"/>
                <w:color w:val="auto"/>
              </w:rPr>
            </w:pPr>
            <w:r>
              <w:rPr>
                <w:rFonts w:ascii="Arial" w:cs="Arial" w:eastAsia="Arial" w:hAnsi="Arial"/>
                <w:sz w:val="18"/>
                <w:szCs w:val="18"/>
                <w:color w:val="auto"/>
                <w:w w:val="99"/>
              </w:rPr>
              <w:t>2</w:t>
            </w:r>
          </w:p>
        </w:tc>
        <w:tc>
          <w:tcPr>
            <w:tcW w:w="2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364" w:right="239" w:bottom="1440" w:gutter="0" w:footer="0" w:header="0"/>
        </w:sectPr>
      </w:pPr>
    </w:p>
    <w:bookmarkStart w:id="3" w:name="page4"/>
    <w:bookmarkEnd w:id="3"/>
    <w:p>
      <w:pPr>
        <w:jc w:val="center"/>
        <w:ind w:left="260" w:right="2440"/>
        <w:spacing w:after="0" w:line="266"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374"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4"/>
          </w:tcPr>
          <w:p>
            <w:pPr>
              <w:jc w:val="right"/>
              <w:ind w:right="791"/>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11"/>
              <w:spacing w:after="0"/>
              <w:rPr>
                <w:sz w:val="20"/>
                <w:szCs w:val="20"/>
                <w:color w:val="auto"/>
              </w:rPr>
            </w:pPr>
            <w:r>
              <w:rPr>
                <w:rFonts w:ascii="Arial" w:cs="Arial" w:eastAsia="Arial" w:hAnsi="Arial"/>
                <w:sz w:val="14"/>
                <w:szCs w:val="14"/>
                <w:b w:val="1"/>
                <w:bCs w:val="1"/>
                <w:color w:val="auto"/>
              </w:rPr>
              <w:t>Nine Months Ended</w:t>
            </w:r>
          </w:p>
        </w:tc>
      </w:tr>
      <w:tr>
        <w:trPr>
          <w:trHeight w:val="152"/>
        </w:trPr>
        <w:tc>
          <w:tcPr>
            <w:tcW w:w="51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8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240" w:type="dxa"/>
            <w:vAlign w:val="bottom"/>
          </w:tcPr>
          <w:p>
            <w:pPr>
              <w:jc w:val="right"/>
              <w:ind w:right="311"/>
              <w:spacing w:after="0" w:line="153" w:lineRule="exact"/>
              <w:rPr>
                <w:sz w:val="20"/>
                <w:szCs w:val="20"/>
                <w:color w:val="auto"/>
              </w:rPr>
            </w:pPr>
            <w:r>
              <w:rPr>
                <w:rFonts w:ascii="Arial" w:cs="Arial" w:eastAsia="Arial" w:hAnsi="Arial"/>
                <w:sz w:val="14"/>
                <w:szCs w:val="14"/>
                <w:b w:val="1"/>
                <w:bCs w:val="1"/>
                <w:color w:val="auto"/>
              </w:rPr>
              <w:t>October 29,</w:t>
            </w:r>
          </w:p>
        </w:tc>
      </w:tr>
      <w:tr>
        <w:trPr>
          <w:trHeight w:val="192"/>
        </w:trPr>
        <w:tc>
          <w:tcPr>
            <w:tcW w:w="51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2"/>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2016</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616,302</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623,651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1,793,761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1,734,630</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2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238,533</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266,757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705,303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777,117</w:t>
            </w:r>
          </w:p>
        </w:tc>
      </w:tr>
      <w:tr>
        <w:trPr>
          <w:trHeight w:val="27"/>
        </w:trPr>
        <w:tc>
          <w:tcPr>
            <w:tcW w:w="51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377,769</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356,894</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1,088,458</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957,513</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spacing w:after="0"/>
              <w:rPr>
                <w:sz w:val="20"/>
                <w:szCs w:val="20"/>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165,477</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202,416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534,444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629,767</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59,112</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60,088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169,875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192,052</w:t>
            </w: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3,284</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1,164</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8,455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6,326</w:t>
            </w:r>
          </w:p>
        </w:tc>
      </w:tr>
      <w:tr>
        <w:trPr>
          <w:trHeight w:val="237"/>
        </w:trPr>
        <w:tc>
          <w:tcPr>
            <w:tcW w:w="516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2"/>
              <w:spacing w:after="0"/>
              <w:rPr>
                <w:sz w:val="20"/>
                <w:szCs w:val="20"/>
                <w:color w:val="auto"/>
              </w:rPr>
            </w:pPr>
            <w:r>
              <w:rPr>
                <w:rFonts w:ascii="Arial" w:cs="Arial" w:eastAsia="Arial" w:hAnsi="Arial"/>
                <w:sz w:val="18"/>
                <w:szCs w:val="18"/>
                <w:color w:val="auto"/>
              </w:rPr>
              <w:t>227,873</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263,668</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712,774</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828,145</w:t>
            </w:r>
          </w:p>
        </w:tc>
      </w:tr>
      <w:tr>
        <w:trPr>
          <w:trHeight w:val="27"/>
        </w:trPr>
        <w:tc>
          <w:tcPr>
            <w:tcW w:w="51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from continuing operations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149,896</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93,226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375,684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129,368</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Interest and other income, net</w:t>
            </w:r>
          </w:p>
        </w:tc>
        <w:tc>
          <w:tcPr>
            <w:tcW w:w="2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6,200</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5,470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16,721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13,242</w:t>
            </w:r>
          </w:p>
        </w:tc>
      </w:tr>
      <w:tr>
        <w:trPr>
          <w:trHeight w:val="27"/>
        </w:trPr>
        <w:tc>
          <w:tcPr>
            <w:tcW w:w="51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before income taxes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156,096</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98,696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392,405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142,610</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Provision for income taxes</w:t>
            </w:r>
          </w:p>
        </w:tc>
        <w:tc>
          <w:tcPr>
            <w:tcW w:w="2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6,759</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15,523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8,026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4,263</w:t>
            </w:r>
          </w:p>
        </w:tc>
      </w:tr>
      <w:tr>
        <w:trPr>
          <w:trHeight w:val="27"/>
        </w:trPr>
        <w:tc>
          <w:tcPr>
            <w:tcW w:w="51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net of tax</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149,337</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83,173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384,379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138,347</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Income (loss) from discontinued operations, net of tax</w:t>
            </w:r>
          </w:p>
        </w:tc>
        <w:tc>
          <w:tcPr>
            <w:tcW w:w="240" w:type="dxa"/>
            <w:vAlign w:val="bottom"/>
          </w:tcPr>
          <w:p>
            <w:pPr>
              <w:spacing w:after="0"/>
              <w:rPr>
                <w:sz w:val="21"/>
                <w:szCs w:val="21"/>
                <w:color w:val="auto"/>
              </w:rPr>
            </w:pPr>
          </w:p>
        </w:tc>
        <w:tc>
          <w:tcPr>
            <w:tcW w:w="1260" w:type="dxa"/>
            <w:vAlign w:val="bottom"/>
          </w:tcPr>
          <w:p>
            <w:pPr>
              <w:jc w:val="right"/>
              <w:ind w:right="32"/>
              <w:spacing w:after="0"/>
              <w:rPr>
                <w:sz w:val="20"/>
                <w:szCs w:val="20"/>
                <w:color w:val="auto"/>
              </w:rPr>
            </w:pPr>
            <w:r>
              <w:rPr>
                <w:rFonts w:ascii="Arial" w:cs="Arial" w:eastAsia="Arial" w:hAnsi="Arial"/>
                <w:sz w:val="18"/>
                <w:szCs w:val="18"/>
                <w:color w:val="auto"/>
              </w:rPr>
              <w:t>50,851</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(10,557)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2"/>
              <w:spacing w:after="0"/>
              <w:rPr>
                <w:sz w:val="20"/>
                <w:szCs w:val="20"/>
                <w:color w:val="auto"/>
              </w:rPr>
            </w:pPr>
            <w:r>
              <w:rPr>
                <w:rFonts w:ascii="Arial" w:cs="Arial" w:eastAsia="Arial" w:hAnsi="Arial"/>
                <w:sz w:val="18"/>
                <w:szCs w:val="18"/>
                <w:color w:val="auto"/>
              </w:rPr>
              <w:t>87,689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(37,105)</w:t>
            </w:r>
          </w:p>
        </w:tc>
      </w:tr>
      <w:tr>
        <w:trPr>
          <w:trHeight w:val="27"/>
        </w:trPr>
        <w:tc>
          <w:tcPr>
            <w:tcW w:w="51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57"/>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200,188</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72,616</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472,068</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101,242</w:t>
            </w:r>
          </w:p>
        </w:tc>
      </w:tr>
      <w:tr>
        <w:trPr>
          <w:trHeight w:val="20"/>
        </w:trPr>
        <w:tc>
          <w:tcPr>
            <w:tcW w:w="51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311"/>
        </w:trPr>
        <w:tc>
          <w:tcPr>
            <w:tcW w:w="5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 - Basic:</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304"/>
        </w:trPr>
        <w:tc>
          <w:tcPr>
            <w:tcW w:w="516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Continuing operations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0.30</w:t>
            </w:r>
          </w:p>
        </w:tc>
        <w:tc>
          <w:tcPr>
            <w:tcW w:w="12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0.16</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0.77</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0.27</w:t>
            </w:r>
          </w:p>
        </w:tc>
      </w:tr>
      <w:tr>
        <w:trPr>
          <w:trHeight w:val="251"/>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Discontinued operations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0.11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0.17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(0.07)</w:t>
            </w:r>
          </w:p>
        </w:tc>
      </w:tr>
      <w:tr>
        <w:trPr>
          <w:trHeight w:val="20"/>
        </w:trPr>
        <w:tc>
          <w:tcPr>
            <w:tcW w:w="51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291"/>
        </w:trPr>
        <w:tc>
          <w:tcPr>
            <w:tcW w:w="51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 per share - Basic</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0.41</w:t>
            </w:r>
          </w:p>
        </w:tc>
        <w:tc>
          <w:tcPr>
            <w:tcW w:w="12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0.14</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0.94</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0.20</w:t>
            </w:r>
          </w:p>
        </w:tc>
      </w:tr>
      <w:tr>
        <w:trPr>
          <w:trHeight w:val="311"/>
        </w:trPr>
        <w:tc>
          <w:tcPr>
            <w:tcW w:w="516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Net income (loss) per share - Diluted:</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Continuing operations</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0.30</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0.16</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0.75</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0.27</w:t>
            </w:r>
          </w:p>
        </w:tc>
      </w:tr>
      <w:tr>
        <w:trPr>
          <w:trHeight w:val="20"/>
        </w:trPr>
        <w:tc>
          <w:tcPr>
            <w:tcW w:w="51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291"/>
        </w:trPr>
        <w:tc>
          <w:tcPr>
            <w:tcW w:w="516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Discontinued operations</w:t>
            </w: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0.10</w:t>
            </w:r>
          </w:p>
        </w:tc>
        <w:tc>
          <w:tcPr>
            <w:tcW w:w="12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(0.02)</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0.17</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(0.07)</w:t>
            </w:r>
          </w:p>
        </w:tc>
      </w:tr>
      <w:tr>
        <w:trPr>
          <w:trHeight w:val="251"/>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per share - Diluted</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0.40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0.14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0.92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0.20</w:t>
            </w:r>
          </w:p>
        </w:tc>
      </w:tr>
      <w:tr>
        <w:trPr>
          <w:trHeight w:val="20"/>
        </w:trPr>
        <w:tc>
          <w:tcPr>
            <w:tcW w:w="51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311"/>
        </w:trPr>
        <w:tc>
          <w:tcPr>
            <w:tcW w:w="5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304"/>
        </w:trPr>
        <w:tc>
          <w:tcPr>
            <w:tcW w:w="5160" w:type="dxa"/>
            <w:vAlign w:val="bottom"/>
            <w:tcBorders>
              <w:bottom w:val="single" w:sz="8" w:color="CCEEFF"/>
            </w:tcBorders>
          </w:tcPr>
          <w:p>
            <w:pPr>
              <w:ind w:left="38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jc w:val="right"/>
              <w:ind w:right="32"/>
              <w:spacing w:after="0"/>
              <w:rPr>
                <w:sz w:val="20"/>
                <w:szCs w:val="20"/>
                <w:color w:val="auto"/>
              </w:rPr>
            </w:pPr>
            <w:r>
              <w:rPr>
                <w:rFonts w:ascii="Arial" w:cs="Arial" w:eastAsia="Arial" w:hAnsi="Arial"/>
                <w:sz w:val="18"/>
                <w:szCs w:val="18"/>
                <w:color w:val="auto"/>
              </w:rPr>
              <w:t>494,096</w:t>
            </w:r>
          </w:p>
        </w:tc>
        <w:tc>
          <w:tcPr>
            <w:tcW w:w="12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511,090</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rPr>
              <w:t>499,568</w:t>
            </w:r>
          </w:p>
        </w:tc>
        <w:tc>
          <w:tcPr>
            <w:tcW w:w="100" w:type="dxa"/>
            <w:vAlign w:val="bottom"/>
            <w:tcBorders>
              <w:bottom w:val="single" w:sz="8" w:color="CCEEFF"/>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jc w:val="right"/>
              <w:ind w:right="11"/>
              <w:spacing w:after="0"/>
              <w:rPr>
                <w:sz w:val="20"/>
                <w:szCs w:val="20"/>
                <w:color w:val="auto"/>
              </w:rPr>
            </w:pPr>
            <w:r>
              <w:rPr>
                <w:rFonts w:ascii="Arial" w:cs="Arial" w:eastAsia="Arial" w:hAnsi="Arial"/>
                <w:sz w:val="18"/>
                <w:szCs w:val="18"/>
                <w:color w:val="auto"/>
              </w:rPr>
              <w:t>510,373</w:t>
            </w:r>
          </w:p>
        </w:tc>
      </w:tr>
      <w:tr>
        <w:trPr>
          <w:trHeight w:val="251"/>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Diluted</w:t>
            </w:r>
          </w:p>
        </w:tc>
        <w:tc>
          <w:tcPr>
            <w:tcW w:w="240" w:type="dxa"/>
            <w:vAlign w:val="bottom"/>
            <w:tcBorders>
              <w:bottom w:val="single" w:sz="8" w:color="auto"/>
            </w:tcBorders>
            <w:shd w:val="clear" w:color="auto" w:fill="CCEEFF"/>
          </w:tcPr>
          <w:p>
            <w:pPr>
              <w:spacing w:after="0"/>
              <w:rPr>
                <w:sz w:val="21"/>
                <w:szCs w:val="21"/>
                <w:color w:val="auto"/>
              </w:rPr>
            </w:pPr>
          </w:p>
        </w:tc>
        <w:tc>
          <w:tcPr>
            <w:tcW w:w="126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504,903</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522,091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510,935</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516,476</w:t>
            </w:r>
          </w:p>
        </w:tc>
      </w:tr>
      <w:tr>
        <w:trPr>
          <w:trHeight w:val="20"/>
        </w:trPr>
        <w:tc>
          <w:tcPr>
            <w:tcW w:w="51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311"/>
        </w:trPr>
        <w:tc>
          <w:tcPr>
            <w:tcW w:w="5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r>
      <w:tr>
        <w:trPr>
          <w:trHeight w:val="26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dividends declared per share</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shd w:val="clear" w:color="auto" w:fill="CCEEFF"/>
          </w:tcPr>
          <w:p>
            <w:pPr>
              <w:jc w:val="right"/>
              <w:ind w:right="32"/>
              <w:spacing w:after="0"/>
              <w:rPr>
                <w:sz w:val="20"/>
                <w:szCs w:val="20"/>
                <w:color w:val="auto"/>
              </w:rPr>
            </w:pPr>
            <w:r>
              <w:rPr>
                <w:rFonts w:ascii="Arial" w:cs="Arial" w:eastAsia="Arial" w:hAnsi="Arial"/>
                <w:sz w:val="18"/>
                <w:szCs w:val="18"/>
                <w:color w:val="auto"/>
              </w:rPr>
              <w:t>0.06</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0.06</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2"/>
              <w:spacing w:after="0"/>
              <w:rPr>
                <w:sz w:val="20"/>
                <w:szCs w:val="20"/>
                <w:color w:val="auto"/>
              </w:rPr>
            </w:pPr>
            <w:r>
              <w:rPr>
                <w:rFonts w:ascii="Arial" w:cs="Arial" w:eastAsia="Arial" w:hAnsi="Arial"/>
                <w:sz w:val="18"/>
                <w:szCs w:val="18"/>
                <w:color w:val="auto"/>
              </w:rPr>
              <w:t>0.18</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1"/>
              <w:spacing w:after="0"/>
              <w:rPr>
                <w:sz w:val="20"/>
                <w:szCs w:val="20"/>
                <w:color w:val="auto"/>
              </w:rPr>
            </w:pPr>
            <w:r>
              <w:rPr>
                <w:rFonts w:ascii="Arial" w:cs="Arial" w:eastAsia="Arial" w:hAnsi="Arial"/>
                <w:sz w:val="18"/>
                <w:szCs w:val="18"/>
                <w:color w:val="auto"/>
              </w:rPr>
              <w:t>0.18</w:t>
            </w:r>
          </w:p>
        </w:tc>
      </w:tr>
      <w:tr>
        <w:trPr>
          <w:trHeight w:val="20"/>
        </w:trPr>
        <w:tc>
          <w:tcPr>
            <w:tcW w:w="5160" w:type="dxa"/>
            <w:vAlign w:val="bottom"/>
          </w:tcPr>
          <w:p>
            <w:pPr>
              <w:spacing w:after="0" w:line="20" w:lineRule="exact"/>
              <w:rPr>
                <w:sz w:val="1"/>
                <w:szCs w:val="1"/>
                <w:color w:val="auto"/>
              </w:rPr>
            </w:pPr>
          </w:p>
        </w:tc>
        <w:tc>
          <w:tcPr>
            <w:tcW w:w="1500" w:type="dxa"/>
            <w:vAlign w:val="bottom"/>
            <w:tcBorders>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365"/>
        </w:trPr>
        <w:tc>
          <w:tcPr>
            <w:tcW w:w="6780" w:type="dxa"/>
            <w:vAlign w:val="bottom"/>
            <w:gridSpan w:val="4"/>
          </w:tcPr>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r>
      <w:tr>
        <w:trPr>
          <w:trHeight w:val="459"/>
        </w:trPr>
        <w:tc>
          <w:tcPr>
            <w:tcW w:w="5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jc w:val="right"/>
              <w:ind w:right="812"/>
              <w:spacing w:after="0"/>
              <w:rPr>
                <w:sz w:val="20"/>
                <w:szCs w:val="20"/>
                <w:color w:val="auto"/>
              </w:rPr>
            </w:pPr>
            <w:r>
              <w:rPr>
                <w:rFonts w:ascii="Arial" w:cs="Arial" w:eastAsia="Arial" w:hAnsi="Arial"/>
                <w:sz w:val="18"/>
                <w:szCs w:val="18"/>
                <w:color w:val="auto"/>
              </w:rPr>
              <w:t>3</w:t>
            </w: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r>
    </w:tbl>
    <w:p>
      <w:pPr>
        <w:sectPr>
          <w:pgSz w:w="11900" w:h="16838" w:orient="portrait"/>
          <w:cols w:equalWidth="0" w:num="1">
            <w:col w:w="11420"/>
          </w:cols>
          <w:pgMar w:left="240" w:top="364" w:right="239" w:bottom="1440" w:gutter="0" w:footer="0" w:header="0"/>
        </w:sectPr>
      </w:pPr>
    </w:p>
    <w:bookmarkStart w:id="4" w:name="page5"/>
    <w:bookmarkEnd w:id="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4"/>
          </w:tcPr>
          <w:p>
            <w:pPr>
              <w:jc w:val="right"/>
              <w:ind w:right="795"/>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15"/>
              <w:spacing w:after="0"/>
              <w:rPr>
                <w:sz w:val="20"/>
                <w:szCs w:val="20"/>
                <w:color w:val="auto"/>
              </w:rPr>
            </w:pPr>
            <w:r>
              <w:rPr>
                <w:rFonts w:ascii="Arial" w:cs="Arial" w:eastAsia="Arial" w:hAnsi="Arial"/>
                <w:sz w:val="14"/>
                <w:szCs w:val="14"/>
                <w:b w:val="1"/>
                <w:bCs w:val="1"/>
                <w:color w:val="auto"/>
              </w:rPr>
              <w:t>Nine Months Ended</w:t>
            </w:r>
          </w:p>
        </w:tc>
      </w:tr>
      <w:tr>
        <w:trPr>
          <w:trHeight w:val="152"/>
        </w:trPr>
        <w:tc>
          <w:tcPr>
            <w:tcW w:w="51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8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240" w:type="dxa"/>
            <w:vAlign w:val="bottom"/>
          </w:tcPr>
          <w:p>
            <w:pPr>
              <w:jc w:val="right"/>
              <w:ind w:right="315"/>
              <w:spacing w:after="0" w:line="153" w:lineRule="exact"/>
              <w:rPr>
                <w:sz w:val="20"/>
                <w:szCs w:val="20"/>
                <w:color w:val="auto"/>
              </w:rPr>
            </w:pPr>
            <w:r>
              <w:rPr>
                <w:rFonts w:ascii="Arial" w:cs="Arial" w:eastAsia="Arial" w:hAnsi="Arial"/>
                <w:sz w:val="14"/>
                <w:szCs w:val="14"/>
                <w:b w:val="1"/>
                <w:bCs w:val="1"/>
                <w:color w:val="auto"/>
              </w:rPr>
              <w:t>October 29,</w:t>
            </w:r>
          </w:p>
        </w:tc>
      </w:tr>
      <w:tr>
        <w:trPr>
          <w:trHeight w:val="192"/>
        </w:trPr>
        <w:tc>
          <w:tcPr>
            <w:tcW w:w="51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2016</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200,188</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72,616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472,068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101,242</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w w:val="97"/>
              </w:rPr>
              <w:t>Net change in unrealized gain (loss) on marketable securities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726</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(2,018)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608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2,391</w:t>
            </w: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Net change in unrealized loss on cash flow hedges</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(1,817)</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(444)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(823)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27"/>
        </w:trPr>
        <w:tc>
          <w:tcPr>
            <w:tcW w:w="51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Other comprehensive income (loss), net of tax</w:t>
            </w: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(1,091)</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(2,462)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(215)</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2,348</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Comprehensive income, net of tax</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199,097</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70,154</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471,853</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103,590</w:t>
            </w:r>
          </w:p>
        </w:tc>
      </w:tr>
      <w:tr>
        <w:trPr>
          <w:trHeight w:val="27"/>
        </w:trPr>
        <w:tc>
          <w:tcPr>
            <w:tcW w:w="51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ind w:left="5660" w:right="5460" w:hanging="5660"/>
        <w:spacing w:after="0" w:line="659" w:lineRule="auto"/>
        <w:rPr>
          <w:sz w:val="20"/>
          <w:szCs w:val="20"/>
          <w:color w:val="auto"/>
        </w:rPr>
      </w:pPr>
      <w:r>
        <w:rPr>
          <w:rFonts w:ascii="Arial" w:cs="Arial" w:eastAsia="Arial" w:hAnsi="Arial"/>
          <w:sz w:val="16"/>
          <w:szCs w:val="16"/>
          <w:color w:val="auto"/>
        </w:rPr>
        <w:t>See accompanying notes to unaudited condensed consolidated financial statements 4</w:t>
      </w:r>
    </w:p>
    <w:p>
      <w:pPr>
        <w:sectPr>
          <w:pgSz w:w="11900" w:h="16838" w:orient="portrait"/>
          <w:cols w:equalWidth="0" w:num="1">
            <w:col w:w="11420"/>
          </w:cols>
          <w:pgMar w:left="240" w:top="140" w:right="239" w:bottom="1440" w:gutter="0" w:footer="0" w:header="0"/>
        </w:sectPr>
      </w:pPr>
    </w:p>
    <w:bookmarkStart w:id="5" w:name="page6"/>
    <w:bookmarkEnd w:id="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4" w:lineRule="exact"/>
        <w:rPr>
          <w:sz w:val="20"/>
          <w:szCs w:val="20"/>
          <w:color w:val="auto"/>
        </w:rPr>
      </w:pPr>
    </w:p>
    <w:p>
      <w:pPr>
        <w:jc w:val="center"/>
        <w:spacing w:after="0" w:line="275"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3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3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40" w:type="dxa"/>
            <w:vAlign w:val="bottom"/>
            <w:tcBorders>
              <w:bottom w:val="single" w:sz="8" w:color="auto"/>
            </w:tcBorders>
            <w:gridSpan w:val="4"/>
          </w:tcPr>
          <w:p>
            <w:pPr>
              <w:jc w:val="right"/>
              <w:ind w:right="831"/>
              <w:spacing w:after="0"/>
              <w:rPr>
                <w:sz w:val="20"/>
                <w:szCs w:val="20"/>
                <w:color w:val="auto"/>
              </w:rPr>
            </w:pPr>
            <w:r>
              <w:rPr>
                <w:rFonts w:ascii="Arial" w:cs="Arial" w:eastAsia="Arial" w:hAnsi="Arial"/>
                <w:sz w:val="14"/>
                <w:szCs w:val="14"/>
                <w:b w:val="1"/>
                <w:bCs w:val="1"/>
                <w:color w:val="auto"/>
              </w:rPr>
              <w:t>Nine Months Ended</w:t>
            </w:r>
          </w:p>
        </w:tc>
      </w:tr>
      <w:tr>
        <w:trPr>
          <w:trHeight w:val="152"/>
        </w:trPr>
        <w:tc>
          <w:tcPr>
            <w:tcW w:w="83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240" w:type="dxa"/>
            <w:vAlign w:val="bottom"/>
          </w:tcPr>
          <w:p>
            <w:pPr>
              <w:jc w:val="right"/>
              <w:ind w:right="311"/>
              <w:spacing w:after="0" w:line="153" w:lineRule="exact"/>
              <w:rPr>
                <w:sz w:val="20"/>
                <w:szCs w:val="20"/>
                <w:color w:val="auto"/>
              </w:rPr>
            </w:pPr>
            <w:r>
              <w:rPr>
                <w:rFonts w:ascii="Arial" w:cs="Arial" w:eastAsia="Arial" w:hAnsi="Arial"/>
                <w:sz w:val="14"/>
                <w:szCs w:val="14"/>
                <w:b w:val="1"/>
                <w:bCs w:val="1"/>
                <w:color w:val="auto"/>
              </w:rPr>
              <w:t>October 29,</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1"/>
              <w:spacing w:after="0"/>
              <w:rPr>
                <w:sz w:val="20"/>
                <w:szCs w:val="20"/>
                <w:color w:val="auto"/>
              </w:rPr>
            </w:pPr>
            <w:r>
              <w:rPr>
                <w:rFonts w:ascii="Arial" w:cs="Arial" w:eastAsia="Arial" w:hAnsi="Arial"/>
                <w:sz w:val="14"/>
                <w:szCs w:val="14"/>
                <w:b w:val="1"/>
                <w:bCs w:val="1"/>
                <w:color w:val="auto"/>
              </w:rPr>
              <w:t>2016</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Net income</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472,068</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101,242</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29"/>
        </w:trPr>
        <w:tc>
          <w:tcPr>
            <w:tcW w:w="83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Adjustments to reconcile net income to net cash provided by (used in)</w:t>
            </w:r>
          </w:p>
        </w:tc>
        <w:tc>
          <w:tcPr>
            <w:tcW w:w="24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r>
      <w:tr>
        <w:trPr>
          <w:trHeight w:val="237"/>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operating activities:</w:t>
            </w:r>
          </w:p>
        </w:tc>
        <w:tc>
          <w:tcPr>
            <w:tcW w:w="24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Depreciation and amortization</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62,569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81,168</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Share-based compensation</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65,312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89,912</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Amortization and write-off of acquired intangible assets</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3,212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8,676</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Restructuring related impairment charges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2,081</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Gain from investments in privately-held companies</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(2,501)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Amortization of premium/discount on available-for-sale securities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1,697</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Other non-cash expense (income), net</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1,331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(677)</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Excess tax benefits from share-based compensation</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Deferred income taxes</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2,797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(2,222)</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Gain on sale of property and equipment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Gain on sale of discontinued operations</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(88,406)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720"/>
              <w:spacing w:after="0"/>
              <w:rPr>
                <w:sz w:val="20"/>
                <w:szCs w:val="20"/>
                <w:color w:val="auto"/>
              </w:rPr>
            </w:pPr>
            <w:r>
              <w:rPr>
                <w:rFonts w:ascii="Arial" w:cs="Arial" w:eastAsia="Arial" w:hAnsi="Arial"/>
                <w:sz w:val="18"/>
                <w:szCs w:val="18"/>
                <w:color w:val="auto"/>
              </w:rPr>
              <w:t>Gain on sale of business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(5,254)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8340" w:type="dxa"/>
            <w:vAlign w:val="bottom"/>
          </w:tcPr>
          <w:p>
            <w:pPr>
              <w:ind w:left="720"/>
              <w:spacing w:after="0"/>
              <w:rPr>
                <w:sz w:val="20"/>
                <w:szCs w:val="20"/>
                <w:color w:val="auto"/>
              </w:rPr>
            </w:pPr>
            <w:r>
              <w:rPr>
                <w:rFonts w:ascii="Arial" w:cs="Arial" w:eastAsia="Arial" w:hAnsi="Arial"/>
                <w:sz w:val="18"/>
                <w:szCs w:val="18"/>
                <w:color w:val="auto"/>
              </w:rPr>
              <w:t>Changes in assets and liabilities:</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Accounts receivable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(30,730)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(38,895)</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Inventories</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(16,039)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10,944</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Prepaid expenses and other 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13,122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(356)</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Accounts payable</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20,087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10,541</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Accrued liabilities and other non-current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(40,462)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(23,735)</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Carnegie Mellon University accrued litigation settlement</w:t>
            </w:r>
          </w:p>
        </w:tc>
        <w:tc>
          <w:tcPr>
            <w:tcW w:w="240" w:type="dxa"/>
            <w:vAlign w:val="bottom"/>
          </w:tcPr>
          <w:p>
            <w:pPr>
              <w:spacing w:after="0"/>
              <w:rPr>
                <w:sz w:val="21"/>
                <w:szCs w:val="21"/>
                <w:color w:val="auto"/>
              </w:rPr>
            </w:pPr>
          </w:p>
        </w:tc>
        <w:tc>
          <w:tcPr>
            <w:tcW w:w="13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(736,000)</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1140"/>
              <w:spacing w:after="0"/>
              <w:rPr>
                <w:sz w:val="20"/>
                <w:szCs w:val="20"/>
                <w:color w:val="auto"/>
              </w:rPr>
            </w:pPr>
            <w:r>
              <w:rPr>
                <w:rFonts w:ascii="Arial" w:cs="Arial" w:eastAsia="Arial" w:hAnsi="Arial"/>
                <w:sz w:val="18"/>
                <w:szCs w:val="18"/>
                <w:color w:val="auto"/>
              </w:rPr>
              <w:t>Accrued employee compensation</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(10,612)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10,419</w:t>
            </w:r>
          </w:p>
        </w:tc>
      </w:tr>
      <w:tr>
        <w:trPr>
          <w:trHeight w:val="243"/>
        </w:trPr>
        <w:tc>
          <w:tcPr>
            <w:tcW w:w="8340" w:type="dxa"/>
            <w:vAlign w:val="bottom"/>
          </w:tcPr>
          <w:p>
            <w:pPr>
              <w:ind w:left="1140"/>
              <w:spacing w:after="0"/>
              <w:rPr>
                <w:sz w:val="20"/>
                <w:szCs w:val="20"/>
                <w:color w:val="auto"/>
              </w:rPr>
            </w:pPr>
            <w:r>
              <w:rPr>
                <w:rFonts w:ascii="Arial" w:cs="Arial" w:eastAsia="Arial" w:hAnsi="Arial"/>
                <w:sz w:val="18"/>
                <w:szCs w:val="18"/>
                <w:color w:val="auto"/>
              </w:rPr>
              <w:t>Deferred income</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5,149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7,934</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8340" w:type="dxa"/>
            <w:vAlign w:val="bottom"/>
            <w:tcBorders>
              <w:bottom w:val="single" w:sz="8" w:color="CCEEFF"/>
            </w:tcBorders>
            <w:shd w:val="clear" w:color="auto" w:fill="CCEEFF"/>
          </w:tcPr>
          <w:p>
            <w:pPr>
              <w:ind w:left="1460"/>
              <w:spacing w:after="0"/>
              <w:rPr>
                <w:sz w:val="20"/>
                <w:szCs w:val="20"/>
                <w:color w:val="auto"/>
              </w:rPr>
            </w:pPr>
            <w:r>
              <w:rPr>
                <w:rFonts w:ascii="Arial" w:cs="Arial" w:eastAsia="Arial" w:hAnsi="Arial"/>
                <w:sz w:val="18"/>
                <w:szCs w:val="18"/>
                <w:color w:val="auto"/>
              </w:rPr>
              <w:t>Net cash provided by (used in) operating activities</w:t>
            </w: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451,371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(477,281)</w:t>
            </w:r>
          </w:p>
        </w:tc>
      </w:tr>
      <w:tr>
        <w:trPr>
          <w:trHeight w:val="223"/>
        </w:trPr>
        <w:tc>
          <w:tcPr>
            <w:tcW w:w="8340" w:type="dxa"/>
            <w:vAlign w:val="bottom"/>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240" w:type="dxa"/>
            <w:vAlign w:val="bottom"/>
            <w:tcBorders>
              <w:top w:val="single" w:sz="8" w:color="auto"/>
            </w:tcBorders>
          </w:tcPr>
          <w:p>
            <w:pPr>
              <w:spacing w:after="0"/>
              <w:rPr>
                <w:sz w:val="19"/>
                <w:szCs w:val="19"/>
                <w:color w:val="auto"/>
              </w:rPr>
            </w:pPr>
          </w:p>
        </w:tc>
        <w:tc>
          <w:tcPr>
            <w:tcW w:w="126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r>
      <w:tr>
        <w:trPr>
          <w:trHeight w:val="41"/>
        </w:trPr>
        <w:tc>
          <w:tcPr>
            <w:tcW w:w="834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60" w:type="dxa"/>
            <w:vAlign w:val="bottom"/>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available-for-sale securities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(672,887)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(343,810)</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Sales of available-for-sale securities</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284,151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458,744</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Maturities of available-for-sale securities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305,702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198,293</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Return of investment from privately-held companies</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6,089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274</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time deposits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(225,000)</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(200,000)</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Maturities of time deposits</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225,000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50,000</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Purchases of technology licenses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(5,256)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(8,439)</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Purchases of property and equipment</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(25,156)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(37,724)</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Proceeds from sales of property and equipment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1,988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Net proceeds from sale of discontinued operations</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165,940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Net proceeds from sale of business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2,402</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w:t>
            </w:r>
          </w:p>
        </w:tc>
      </w:tr>
      <w:tr>
        <w:trPr>
          <w:trHeight w:val="237"/>
        </w:trPr>
        <w:tc>
          <w:tcPr>
            <w:tcW w:w="8340" w:type="dxa"/>
            <w:vAlign w:val="bottom"/>
          </w:tcPr>
          <w:p>
            <w:pPr>
              <w:ind w:left="1460"/>
              <w:spacing w:after="0"/>
              <w:rPr>
                <w:sz w:val="20"/>
                <w:szCs w:val="20"/>
                <w:color w:val="auto"/>
              </w:rPr>
            </w:pPr>
            <w:r>
              <w:rPr>
                <w:rFonts w:ascii="Arial" w:cs="Arial" w:eastAsia="Arial" w:hAnsi="Arial"/>
                <w:sz w:val="18"/>
                <w:szCs w:val="18"/>
                <w:color w:val="auto"/>
              </w:rPr>
              <w:t>Net cash provided by investing activities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62,973</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117,338</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Repurchases of common stock</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(527,574)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(56,531)</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Proceeds from employee stock plans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137,424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11,836</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(25,934)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(16,281)</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Dividend payments to shareholders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(89,556)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(91,835)</w:t>
            </w:r>
          </w:p>
        </w:tc>
      </w:tr>
      <w:tr>
        <w:trPr>
          <w:trHeight w:val="243"/>
        </w:trPr>
        <w:tc>
          <w:tcPr>
            <w:tcW w:w="8340" w:type="dxa"/>
            <w:vAlign w:val="bottom"/>
          </w:tcPr>
          <w:p>
            <w:pPr>
              <w:ind w:left="380"/>
              <w:spacing w:after="0"/>
              <w:rPr>
                <w:sz w:val="20"/>
                <w:szCs w:val="20"/>
                <w:color w:val="auto"/>
              </w:rPr>
            </w:pPr>
            <w:r>
              <w:rPr>
                <w:rFonts w:ascii="Arial" w:cs="Arial" w:eastAsia="Arial" w:hAnsi="Arial"/>
                <w:sz w:val="18"/>
                <w:szCs w:val="18"/>
                <w:color w:val="auto"/>
              </w:rPr>
              <w:t>Payments on technology license obligations</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(22,697)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(13,848)</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Excess tax benefits from share-based compensation</w:t>
            </w:r>
          </w:p>
        </w:tc>
        <w:tc>
          <w:tcPr>
            <w:tcW w:w="24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w:t>
            </w:r>
          </w:p>
        </w:tc>
      </w:tr>
      <w:tr>
        <w:trPr>
          <w:trHeight w:val="237"/>
        </w:trPr>
        <w:tc>
          <w:tcPr>
            <w:tcW w:w="8340" w:type="dxa"/>
            <w:vAlign w:val="bottom"/>
          </w:tcPr>
          <w:p>
            <w:pPr>
              <w:ind w:left="1460"/>
              <w:spacing w:after="0"/>
              <w:rPr>
                <w:sz w:val="20"/>
                <w:szCs w:val="20"/>
                <w:color w:val="auto"/>
              </w:rPr>
            </w:pPr>
            <w:r>
              <w:rPr>
                <w:rFonts w:ascii="Arial" w:cs="Arial" w:eastAsia="Arial" w:hAnsi="Arial"/>
                <w:sz w:val="18"/>
                <w:szCs w:val="18"/>
                <w:color w:val="auto"/>
              </w:rPr>
              <w:t>Net cash used in financing activities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(528,337)</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(166,649)</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decrease in cash and cash equivalents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(13,993)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(526,592)</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240" w:type="dxa"/>
            <w:vAlign w:val="bottom"/>
          </w:tcPr>
          <w:p>
            <w:pPr>
              <w:spacing w:after="0"/>
              <w:rPr>
                <w:sz w:val="21"/>
                <w:szCs w:val="21"/>
                <w:color w:val="auto"/>
              </w:rPr>
            </w:pPr>
          </w:p>
        </w:tc>
        <w:tc>
          <w:tcPr>
            <w:tcW w:w="1260" w:type="dxa"/>
            <w:vAlign w:val="bottom"/>
          </w:tcPr>
          <w:p>
            <w:pPr>
              <w:jc w:val="right"/>
              <w:ind w:right="11"/>
              <w:spacing w:after="0"/>
              <w:rPr>
                <w:sz w:val="20"/>
                <w:szCs w:val="20"/>
                <w:color w:val="auto"/>
              </w:rPr>
            </w:pPr>
            <w:r>
              <w:rPr>
                <w:rFonts w:ascii="Arial" w:cs="Arial" w:eastAsia="Arial" w:hAnsi="Arial"/>
                <w:sz w:val="18"/>
                <w:szCs w:val="18"/>
                <w:color w:val="auto"/>
              </w:rPr>
              <w:t>814,092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1,278,180</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800,099</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751,588</w:t>
            </w:r>
          </w:p>
        </w:tc>
      </w:tr>
      <w:tr>
        <w:trPr>
          <w:trHeight w:val="20"/>
        </w:trPr>
        <w:tc>
          <w:tcPr>
            <w:tcW w:w="83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ectPr>
          <w:pgSz w:w="11900" w:h="16838" w:orient="portrait"/>
          <w:cols w:equalWidth="0" w:num="1">
            <w:col w:w="11420"/>
          </w:cols>
          <w:pgMar w:left="240" w:top="140" w:right="239" w:bottom="0" w:gutter="0" w:footer="0" w:header="0"/>
        </w:sectPr>
      </w:pPr>
    </w:p>
    <w:p>
      <w:pPr>
        <w:spacing w:after="0" w:line="252"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5</w:t>
      </w:r>
    </w:p>
    <w:p>
      <w:pPr>
        <w:sectPr>
          <w:pgSz w:w="11900" w:h="16838" w:orient="portrait"/>
          <w:cols w:equalWidth="0" w:num="1">
            <w:col w:w="11420"/>
          </w:cols>
          <w:pgMar w:left="240" w:top="140" w:right="239" w:bottom="0" w:gutter="0" w:footer="0" w:header="0"/>
          <w:type w:val="continuous"/>
        </w:sectPr>
      </w:pPr>
    </w:p>
    <w:bookmarkStart w:id="6" w:name="page7"/>
    <w:bookmarkEnd w:id="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29" w:lineRule="exact"/>
        <w:rPr>
          <w:sz w:val="20"/>
          <w:szCs w:val="20"/>
          <w:color w:val="auto"/>
        </w:rPr>
      </w:pPr>
    </w:p>
    <w:p>
      <w:pPr>
        <w:ind w:right="20" w:firstLine="405"/>
        <w:spacing w:after="0" w:line="287" w:lineRule="auto"/>
        <w:rPr>
          <w:sz w:val="20"/>
          <w:szCs w:val="20"/>
          <w:color w:val="auto"/>
        </w:rPr>
      </w:pPr>
      <w:r>
        <w:rPr>
          <w:rFonts w:ascii="Arial" w:cs="Arial" w:eastAsia="Arial" w:hAnsi="Arial"/>
          <w:sz w:val="16"/>
          <w:szCs w:val="16"/>
          <w:color w:val="auto"/>
        </w:rPr>
        <w:t>The unaudited condensed consolidated financial statements of Marvell Technology Group Ltd., a Bermuda exempted company, and its wholly owned subsidiaries (the “Company”), as of and for the three and nine months ended October 28, 2017,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2017 audited financial statements included in the Company's Annual Report on Form 10-K for the fiscal year ended January 28, 2017.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The Company's financial results for prior periods presented herein have been recast to reflect certain businesses that were classified as discontinued operations during the fourth quarter of fiscal year 2017 and second quarter of fiscal year 2018. See Note 3. Discontinued Operations for additional information. Certain prior year amounts have been reclassified to conform to current year presentation. These amounts were not material to any of the periods presented.</w:t>
      </w:r>
    </w:p>
    <w:p>
      <w:pPr>
        <w:spacing w:after="0" w:line="169" w:lineRule="exact"/>
        <w:rPr>
          <w:sz w:val="20"/>
          <w:szCs w:val="20"/>
          <w:color w:val="auto"/>
        </w:rPr>
      </w:pPr>
    </w:p>
    <w:p>
      <w:pPr>
        <w:ind w:right="60" w:firstLine="405"/>
        <w:spacing w:after="0" w:line="264"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2017 had a 52-week year. Fiscal 2018 is a 53-week year.</w:t>
      </w:r>
    </w:p>
    <w:p>
      <w:pPr>
        <w:spacing w:after="0" w:line="181"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During the first fiscal quarter of 2018, the Company recorded certain out-of-period adjustments of $4.7 million related to revenue-related accruals and $3.2 million related to other expenses. The net effect of these out-of-period adjustments resulted in a $7.9 million increase in income from continuing operations for the nine months ended October 28, 2017, an increase in basic earnings per share from continuing operations of $0.02 per share, and an increase in diluted earnings per share from continuing operations of $0.01 per share, as well as contributing to the increase in revenue and gross margin for the nine months ended October 28, 2017.</w:t>
      </w:r>
    </w:p>
    <w:p>
      <w:pPr>
        <w:spacing w:after="0" w:line="188" w:lineRule="exact"/>
        <w:rPr>
          <w:sz w:val="20"/>
          <w:szCs w:val="20"/>
          <w:color w:val="auto"/>
        </w:rPr>
      </w:pPr>
    </w:p>
    <w:p>
      <w:pPr>
        <w:ind w:right="80" w:firstLine="405"/>
        <w:spacing w:after="0" w:line="291" w:lineRule="auto"/>
        <w:rPr>
          <w:sz w:val="20"/>
          <w:szCs w:val="20"/>
          <w:color w:val="auto"/>
        </w:rPr>
      </w:pPr>
      <w:r>
        <w:rPr>
          <w:rFonts w:ascii="Arial" w:cs="Arial" w:eastAsia="Arial" w:hAnsi="Arial"/>
          <w:sz w:val="16"/>
          <w:szCs w:val="16"/>
          <w:color w:val="auto"/>
        </w:rPr>
        <w:t>Subsequent to quarter end, on November 20, 2017, the Company and Cavium, Inc. ("Cavium") announced a definitive agreement, unanimously approved by the boards of directors of both companies, under which the Company will acquire all outstanding shares of Cavium common stock in exchange for consideration of $40.00 per share in cash and 2.1757 Marvell common shares for each Cavium share. The exchange ratio was based on a purchase price of $80 per share, using the Company's undisturbed price prior to November 3, when media reports of the transaction first surfaced. This represents a transaction value of approximately $6 billion. Cavium shareholders are expected to own approximately 25% of the combined company on a pro forma basis. The agreement provides the Company and Cavium with certain specific termination rights in certain circumstances, including a termination fee that may be payable by either the Company or Cavium upon termination of the transaction as more fully described in the agreement.</w:t>
      </w:r>
    </w:p>
    <w:p>
      <w:pPr>
        <w:spacing w:after="0" w:line="167" w:lineRule="exact"/>
        <w:rPr>
          <w:sz w:val="20"/>
          <w:szCs w:val="20"/>
          <w:color w:val="auto"/>
        </w:rPr>
      </w:pPr>
    </w:p>
    <w:p>
      <w:pPr>
        <w:ind w:firstLine="405"/>
        <w:spacing w:after="0" w:line="259" w:lineRule="auto"/>
        <w:rPr>
          <w:sz w:val="20"/>
          <w:szCs w:val="20"/>
          <w:color w:val="auto"/>
        </w:rPr>
      </w:pPr>
      <w:r>
        <w:rPr>
          <w:rFonts w:ascii="Arial" w:cs="Arial" w:eastAsia="Arial" w:hAnsi="Arial"/>
          <w:sz w:val="18"/>
          <w:szCs w:val="18"/>
          <w:color w:val="auto"/>
        </w:rPr>
        <w:t>The Company intends to fund the cash consideration with a combination of cash on hand from the combined companies and $1.75 billion in debt financing. The Company has obtained commitments consisting of an $850 million bridge loan commitment and a $900 million committed term loan from Goldman Sachs Bank USA and Bank of America Merrill Lynch, in each case, subject to customary terms and conditions. The transaction is not subject to any financing condition.</w:t>
      </w:r>
    </w:p>
    <w:p>
      <w:pPr>
        <w:spacing w:after="0" w:line="187" w:lineRule="exact"/>
        <w:rPr>
          <w:sz w:val="20"/>
          <w:szCs w:val="20"/>
          <w:color w:val="auto"/>
        </w:rPr>
      </w:pPr>
    </w:p>
    <w:p>
      <w:pPr>
        <w:ind w:right="20" w:firstLine="405"/>
        <w:spacing w:after="0" w:line="264" w:lineRule="auto"/>
        <w:rPr>
          <w:sz w:val="20"/>
          <w:szCs w:val="20"/>
          <w:color w:val="auto"/>
        </w:rPr>
      </w:pPr>
      <w:r>
        <w:rPr>
          <w:rFonts w:ascii="Arial" w:cs="Arial" w:eastAsia="Arial" w:hAnsi="Arial"/>
          <w:sz w:val="18"/>
          <w:szCs w:val="18"/>
          <w:color w:val="auto"/>
        </w:rPr>
        <w:t>The transaction is expected to close in mid-calendar 2018, subject to regulatory approval as well as other customary closing conditions, including the adoption by Cavium shareholders of the merger agreement and the approval by the Company's shareholders of the issuance of the Company's common shares in the transaction.</w:t>
      </w: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80"/>
          </w:cols>
          <w:pgMar w:left="240" w:top="140" w:right="279" w:bottom="1440" w:gutter="0" w:footer="0" w:header="0"/>
        </w:sectPr>
      </w:pPr>
    </w:p>
    <w:bookmarkStart w:id="7" w:name="page8"/>
    <w:bookmarkEnd w:id="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22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225" w:lineRule="exact"/>
        <w:rPr>
          <w:sz w:val="20"/>
          <w:szCs w:val="20"/>
          <w:color w:val="auto"/>
        </w:rPr>
      </w:pPr>
    </w:p>
    <w:p>
      <w:pPr>
        <w:ind w:right="60" w:firstLine="405"/>
        <w:spacing w:after="0" w:line="290" w:lineRule="auto"/>
        <w:rPr>
          <w:sz w:val="20"/>
          <w:szCs w:val="20"/>
          <w:color w:val="auto"/>
        </w:rPr>
      </w:pPr>
      <w:r>
        <w:rPr>
          <w:rFonts w:ascii="Arial" w:cs="Arial" w:eastAsia="Arial" w:hAnsi="Arial"/>
          <w:sz w:val="16"/>
          <w:szCs w:val="16"/>
          <w:color w:val="auto"/>
        </w:rPr>
        <w:t>In May 2014, the FASB issued a new accounting standard on the recognition of revenue from contracts with customers that will supersede nearly all existing revenue recognition guidance under GAAP. The new standard will require an entity to recognize revenue from the transfer of promised goods or services to customers in an amount that reflects the consideration to which the entity expects to be entitled in exchange for those goods or services. The guidance addresses, in particular, contracts with more than one performance obligation, as well as the accounting for certain costs to obtain or fulfill a contract with a customer, and provides for additional disclosures with respect to revenue and cash flows arising from contracts with customers. Public entities are required to apply the amendments on either a full or modified retrospective basis for annual periods beginning after December 15, 2017 and for interim periods within those annual periods. This update will be effective for the Company beginning in the first quarter of fiscal year 2019. The Company plans to adopt the standard on a modified retrospective basis, with the cumulative effect recognized in retained earnings at the date of adoption.</w:t>
      </w:r>
    </w:p>
    <w:p>
      <w:pPr>
        <w:spacing w:after="0" w:line="166" w:lineRule="exact"/>
        <w:rPr>
          <w:sz w:val="20"/>
          <w:szCs w:val="20"/>
          <w:color w:val="auto"/>
        </w:rPr>
      </w:pPr>
    </w:p>
    <w:p>
      <w:pPr>
        <w:ind w:right="40" w:firstLine="405"/>
        <w:spacing w:after="0" w:line="302" w:lineRule="auto"/>
        <w:rPr>
          <w:sz w:val="20"/>
          <w:szCs w:val="20"/>
          <w:color w:val="auto"/>
        </w:rPr>
      </w:pPr>
      <w:r>
        <w:rPr>
          <w:rFonts w:ascii="Arial" w:cs="Arial" w:eastAsia="Arial" w:hAnsi="Arial"/>
          <w:sz w:val="16"/>
          <w:szCs w:val="16"/>
          <w:color w:val="auto"/>
        </w:rPr>
        <w:t>To date, the Company has completed the assessment phase and has substantially completed the design phase of its revenue project and is currently in process of developing, implementing and testing its internal systems, processes and controls. The Company has identified systems and process changes necessary to enable compliance with the new standard. The Company will continue to complete the remaining development, implementation and testing steps necessary to adopt the new standard at the beginning of its fiscal year 2019, and will finalize changes necessary to its accounting policies and disclosures.</w:t>
      </w:r>
    </w:p>
    <w:p>
      <w:pPr>
        <w:spacing w:after="0" w:line="154" w:lineRule="exact"/>
        <w:rPr>
          <w:sz w:val="20"/>
          <w:szCs w:val="20"/>
          <w:color w:val="auto"/>
        </w:rPr>
      </w:pPr>
    </w:p>
    <w:p>
      <w:pPr>
        <w:ind w:firstLine="405"/>
        <w:spacing w:after="0" w:line="270" w:lineRule="auto"/>
        <w:rPr>
          <w:sz w:val="20"/>
          <w:szCs w:val="20"/>
          <w:color w:val="auto"/>
        </w:rPr>
      </w:pPr>
      <w:r>
        <w:rPr>
          <w:rFonts w:ascii="Arial" w:cs="Arial" w:eastAsia="Arial" w:hAnsi="Arial"/>
          <w:sz w:val="17"/>
          <w:szCs w:val="17"/>
          <w:color w:val="auto"/>
        </w:rPr>
        <w:t>The Company’s assessment to date has identified a change in revenue recognition timing on its component sales made to distributors. The Company expects to recognize revenue when the Company transfers control to the distributor rather than deferring recognition until the distributor sells the components. On the date of initial adoption, the Company will remove the deferred income on component sales made to distributors and record estimates of the accruals for variable consideration through a cumulative adjustment to retained earnings. As of October 28, 2017, the deferred income on component sales to distributors, which is included in deferred income in the accompanying condensed consolidated balance sheets, is $72.3 million. In addition, the Company will establish appropriate accrual adjustments estimated based on historical experience for the variable consideration aspect of sales to distributors, including estimates for price protection, rebates, and stock rotation programs. The Company currently estimates that the accruals for variable consideration which will be required on the initial date of adoption will be in excess of $40.0 million. Other changes may be identified as the Company continues its design, testing and implementation process.</w:t>
      </w:r>
    </w:p>
    <w:p>
      <w:pPr>
        <w:spacing w:after="0" w:line="182" w:lineRule="exact"/>
        <w:rPr>
          <w:sz w:val="20"/>
          <w:szCs w:val="20"/>
          <w:color w:val="auto"/>
        </w:rPr>
      </w:pPr>
    </w:p>
    <w:p>
      <w:pPr>
        <w:ind w:right="180" w:firstLine="405"/>
        <w:spacing w:after="0" w:line="259" w:lineRule="auto"/>
        <w:rPr>
          <w:sz w:val="20"/>
          <w:szCs w:val="20"/>
          <w:color w:val="auto"/>
        </w:rPr>
      </w:pPr>
      <w:r>
        <w:rPr>
          <w:rFonts w:ascii="Arial" w:cs="Arial" w:eastAsia="Arial" w:hAnsi="Arial"/>
          <w:sz w:val="18"/>
          <w:szCs w:val="18"/>
          <w:color w:val="auto"/>
        </w:rPr>
        <w:t>In January 2016, the FASB issued an accounting standard update that changes the accounting for equity investments, financial liabilities under the fair value option, and the presentation and disclosure requirements for financial instruments. The accounting standard update will be effective for the Company beginning in the first quarter of fiscal 2019, and early adoption is permitted. The Company is currently evaluating the impact of this accounting standard update on its consolidated financial statements.</w:t>
      </w:r>
    </w:p>
    <w:p>
      <w:pPr>
        <w:spacing w:after="0" w:line="187"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In February 2016, the FASB issued a new standard on the accounting for leases, which requires a lessee to record a right-of-use asset and a corresponding lease liability on the balance sheet for all leases with terms longer than twelve months. The standard also expands the required quantitative and qualitative disclosures for lease arrangements. The standard is effective for the Company beginning in the first quarter of fiscal year 2020. The Company is currently evaluating the effect this new guidance will have on its consolidated financial statements.</w:t>
      </w:r>
    </w:p>
    <w:p>
      <w:pPr>
        <w:spacing w:after="0" w:line="187"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In June 2016, the FASB issued a new standard requiring financial assets measured at amortized cost be presented at the net amount expected to be collected, through an allowance for credit losses that is deducted from the amortized cost basis. The standard eliminates the threshold for initial recognition in current GAAP and reflects an entity’s current estimate of all expected credit losses. The measurement of expected credit losses is based on historical experience, current conditions, and reasonable and supportable forecasts that affect the collectability of the financial assets. The standard is effective for the Company beginning in the first quarter of fiscal year 2021. The Company does not expect the adoption of this guidance will have a material effect on its consolidated financial statements.</w:t>
      </w:r>
    </w:p>
    <w:p>
      <w:pPr>
        <w:spacing w:after="0" w:line="200" w:lineRule="exact"/>
        <w:rPr>
          <w:sz w:val="20"/>
          <w:szCs w:val="20"/>
          <w:color w:val="auto"/>
        </w:rPr>
      </w:pPr>
    </w:p>
    <w:p>
      <w:pPr>
        <w:spacing w:after="0" w:line="23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20"/>
          </w:cols>
          <w:pgMar w:left="240" w:top="140" w:right="239" w:bottom="1440" w:gutter="0" w:footer="0" w:header="0"/>
        </w:sectPr>
      </w:pPr>
    </w:p>
    <w:bookmarkStart w:id="8" w:name="page9"/>
    <w:bookmarkEnd w:id="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8" w:lineRule="exact"/>
        <w:rPr>
          <w:sz w:val="20"/>
          <w:szCs w:val="20"/>
          <w:color w:val="auto"/>
        </w:rPr>
      </w:pPr>
    </w:p>
    <w:p>
      <w:pPr>
        <w:ind w:firstLine="405"/>
        <w:spacing w:after="0" w:line="273" w:lineRule="auto"/>
        <w:rPr>
          <w:sz w:val="20"/>
          <w:szCs w:val="20"/>
          <w:color w:val="auto"/>
        </w:rPr>
      </w:pPr>
      <w:r>
        <w:rPr>
          <w:rFonts w:ascii="Arial" w:cs="Arial" w:eastAsia="Arial" w:hAnsi="Arial"/>
          <w:sz w:val="17"/>
          <w:szCs w:val="17"/>
          <w:color w:val="auto"/>
        </w:rPr>
        <w:t>In August 2016, the FASB issued an accounting standards update to add or clarify guidance on the classification of certain cash receipts and cash payments in the statement of cash flows. The amendments in the update provide guidance on eight specific cash flow issues and is effective for the Company beginning in the first quarter of fiscal year 2019. Early adoption is permitted, including adoption in an interim period. The amendments to the guidance should be applied using a retrospective transition method for each period presented and, if it is impracticable to apply all of the amendments retrospectively for some of the issues, the amendments for those issues would be applied prospectively as of the earliest date practicable. The Company does not expect the adoption of this guidance to have a material effect on the Company's consolidated financial statements.</w:t>
      </w:r>
    </w:p>
    <w:p>
      <w:pPr>
        <w:spacing w:after="0" w:line="178" w:lineRule="exact"/>
        <w:rPr>
          <w:sz w:val="20"/>
          <w:szCs w:val="20"/>
          <w:color w:val="auto"/>
        </w:rPr>
      </w:pPr>
    </w:p>
    <w:p>
      <w:pPr>
        <w:ind w:right="160" w:firstLine="405"/>
        <w:spacing w:after="0" w:line="297" w:lineRule="auto"/>
        <w:rPr>
          <w:sz w:val="20"/>
          <w:szCs w:val="20"/>
          <w:color w:val="auto"/>
        </w:rPr>
      </w:pPr>
      <w:r>
        <w:rPr>
          <w:rFonts w:ascii="Arial" w:cs="Arial" w:eastAsia="Arial" w:hAnsi="Arial"/>
          <w:sz w:val="16"/>
          <w:szCs w:val="16"/>
          <w:color w:val="auto"/>
        </w:rPr>
        <w:t>In October 2016, the FASB issued new guidance that simplifies the accounting for the income tax effects of intra-entity transfers and will require companies to recognize the income tax effects of intra-entity transfers of assets other than inventory when the transfer occurs. Previous guidance required companies to defer the income tax effects of intra-entity transfers of assets until the asset had been sold to an outside party or otherwise recognized. The guidance is effective for the Company beginning in the first quarter of fiscal year 2019. Early adoption is permitted, including adoption in an interim period. The Company does not expect the adoption of this guidance to have a material effect on its consolidated financial statements.</w:t>
      </w:r>
    </w:p>
    <w:p>
      <w:pPr>
        <w:spacing w:after="0" w:line="158" w:lineRule="exact"/>
        <w:rPr>
          <w:sz w:val="20"/>
          <w:szCs w:val="20"/>
          <w:color w:val="auto"/>
        </w:rPr>
      </w:pPr>
    </w:p>
    <w:p>
      <w:pPr>
        <w:ind w:firstLine="405"/>
        <w:spacing w:after="0" w:line="257" w:lineRule="auto"/>
        <w:rPr>
          <w:sz w:val="20"/>
          <w:szCs w:val="20"/>
          <w:color w:val="auto"/>
        </w:rPr>
      </w:pPr>
      <w:r>
        <w:rPr>
          <w:rFonts w:ascii="Arial" w:cs="Arial" w:eastAsia="Arial" w:hAnsi="Arial"/>
          <w:sz w:val="18"/>
          <w:szCs w:val="18"/>
          <w:color w:val="auto"/>
        </w:rPr>
        <w:t>In November 2016, the FASB issued new guidance that requires entities to include in their cash and cash-equivalent balances in the statement of cash flows those amounts that are deemed to be restricted cash and restricted cash equivalents. As a result, companies will no longer present transfers between cash and cash equivalents and restricted cash and restricted cash equivalents in the statement of cash flows. The guidance is effective for the Company beginning in the first quarter of fiscal year 2019. Early adoption is permitted, including adoption in an interim period. The Company does not expect the adoption of this guidance to have a material effect on its consolidated financial statements.</w:t>
      </w:r>
    </w:p>
    <w:p>
      <w:pPr>
        <w:spacing w:after="0" w:line="188" w:lineRule="exact"/>
        <w:rPr>
          <w:sz w:val="20"/>
          <w:szCs w:val="20"/>
          <w:color w:val="auto"/>
        </w:rPr>
      </w:pPr>
    </w:p>
    <w:p>
      <w:pPr>
        <w:ind w:right="60" w:firstLine="405"/>
        <w:spacing w:after="0" w:line="257" w:lineRule="auto"/>
        <w:rPr>
          <w:sz w:val="20"/>
          <w:szCs w:val="20"/>
          <w:color w:val="auto"/>
        </w:rPr>
      </w:pPr>
      <w:r>
        <w:rPr>
          <w:rFonts w:ascii="Arial" w:cs="Arial" w:eastAsia="Arial" w:hAnsi="Arial"/>
          <w:sz w:val="18"/>
          <w:szCs w:val="18"/>
          <w:color w:val="auto"/>
        </w:rPr>
        <w:t>In January 2017, the FASB issued an accounting standards update that revises the definition of a business. The amendments provide a more robust framework for determining when a set of assets and activities is a business. The update is intended to help companies evaluate whether transactions should be accounted for as acquisitions or disposals of assets or businesses. The guidance is effective for annual and interim periods beginning after December 15, 2018. Early adoption is permitted for certain transactions, as specifically described in the guidance. The Company is evaluating the effect this new guidance will have on its consolidated financial statements.</w:t>
      </w:r>
    </w:p>
    <w:p>
      <w:pPr>
        <w:spacing w:after="0" w:line="188" w:lineRule="exact"/>
        <w:rPr>
          <w:sz w:val="20"/>
          <w:szCs w:val="20"/>
          <w:color w:val="auto"/>
        </w:rPr>
      </w:pPr>
    </w:p>
    <w:p>
      <w:pPr>
        <w:ind w:right="100" w:firstLine="405"/>
        <w:spacing w:after="0" w:line="273" w:lineRule="auto"/>
        <w:rPr>
          <w:sz w:val="20"/>
          <w:szCs w:val="20"/>
          <w:color w:val="auto"/>
        </w:rPr>
      </w:pPr>
      <w:r>
        <w:rPr>
          <w:rFonts w:ascii="Arial" w:cs="Arial" w:eastAsia="Arial" w:hAnsi="Arial"/>
          <w:sz w:val="17"/>
          <w:szCs w:val="17"/>
          <w:color w:val="auto"/>
        </w:rPr>
        <w:t>In May 2017, the FASB issued an accounting standards update that provides guidance about which changes to the terms or conditions of a share-based payment award require an entity to apply modification accounting. Unless the changes in terms or conditions meet all three criteria outlined in the guidance, modification accounting should be applied. The three criteria relate to changes in the terms and conditions that affect the fair value, vesting conditions, or classification of a share-based payment award. The amendment is effective for the Company beginning in the first quarter of fiscal year 2019. Early adoption is permitted. The guidance is required to be applied prospectively to an award modified on or after the adoption date. The Company does not expect the adoption of this guidance to have a material effect on its consolidated financial statements.</w:t>
      </w:r>
    </w:p>
    <w:p>
      <w:pPr>
        <w:spacing w:after="0" w:line="178" w:lineRule="exact"/>
        <w:rPr>
          <w:sz w:val="20"/>
          <w:szCs w:val="20"/>
          <w:color w:val="auto"/>
        </w:rPr>
      </w:pPr>
    </w:p>
    <w:p>
      <w:pPr>
        <w:ind w:right="40" w:firstLine="405"/>
        <w:spacing w:after="0" w:line="255" w:lineRule="auto"/>
        <w:rPr>
          <w:sz w:val="20"/>
          <w:szCs w:val="20"/>
          <w:color w:val="auto"/>
        </w:rPr>
      </w:pPr>
      <w:r>
        <w:rPr>
          <w:rFonts w:ascii="Arial" w:cs="Arial" w:eastAsia="Arial" w:hAnsi="Arial"/>
          <w:sz w:val="18"/>
          <w:szCs w:val="18"/>
          <w:color w:val="auto"/>
        </w:rPr>
        <w:t>In August 2017, the FASB issued an accounting standards update that simplifies the application and administration of hedge accounting. The guidance amends the presentation and disclosure requirements and changes how companies assess effectiveness. The guidance is intended to more closely align hedge accounting with companies' risk management strategies, simplify the application of hedge accounting, and increase transparency as to the scope and results of hedging programs. The guidance is effective for annual and interim periods beginning after December 15, 2019. Early adoption is permitted. The guidance will be applied to cash flow and net investment hedge relationships that exist on the date of adoption using a modified retrospective approach. The presentation and disclosure requirements will be applied prospectively. The Company is evaluating the effect this new guidance will have on its consolidated financial statements.</w:t>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Discontinued Operations</w:t>
      </w:r>
    </w:p>
    <w:p>
      <w:pPr>
        <w:spacing w:after="0" w:line="229" w:lineRule="exact"/>
        <w:rPr>
          <w:sz w:val="20"/>
          <w:szCs w:val="20"/>
          <w:color w:val="auto"/>
        </w:rPr>
      </w:pPr>
    </w:p>
    <w:p>
      <w:pPr>
        <w:ind w:right="80" w:firstLine="405"/>
        <w:spacing w:after="0" w:line="257" w:lineRule="auto"/>
        <w:rPr>
          <w:sz w:val="20"/>
          <w:szCs w:val="20"/>
          <w:color w:val="auto"/>
        </w:rPr>
      </w:pPr>
      <w:r>
        <w:rPr>
          <w:rFonts w:ascii="Arial" w:cs="Arial" w:eastAsia="Arial" w:hAnsi="Arial"/>
          <w:sz w:val="18"/>
          <w:szCs w:val="18"/>
          <w:color w:val="auto"/>
        </w:rPr>
        <w:t>In November 2016, the Company announced a plan to restructure its operations to refocus its research and development, increase operational efficiency and improve profitability. As part of those actions, the Company began an active program to locate buyers for several businesses. The Company concluded that the divestitures of these businesses represented a strategic shift that has a major effect on the Company’s operations and financial results. These businesses were deemed not to align with the Company’s core business. The Company classified these businesses as discontinued operations for all periods presented in its consolidated financial statements.</w:t>
      </w:r>
    </w:p>
    <w:p>
      <w:pPr>
        <w:spacing w:after="0" w:line="200" w:lineRule="exact"/>
        <w:rPr>
          <w:sz w:val="20"/>
          <w:szCs w:val="20"/>
          <w:color w:val="auto"/>
        </w:rPr>
      </w:pP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420"/>
          </w:cols>
          <w:pgMar w:left="240" w:top="140" w:right="239" w:bottom="1440" w:gutter="0" w:footer="0" w:header="0"/>
        </w:sectPr>
      </w:pPr>
    </w:p>
    <w:bookmarkStart w:id="9" w:name="page10"/>
    <w:bookmarkEnd w:id="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8" w:lineRule="exact"/>
        <w:rPr>
          <w:sz w:val="20"/>
          <w:szCs w:val="20"/>
          <w:color w:val="auto"/>
        </w:rPr>
      </w:pPr>
    </w:p>
    <w:p>
      <w:pPr>
        <w:jc w:val="both"/>
        <w:ind w:right="20" w:firstLine="405"/>
        <w:spacing w:after="0" w:line="312" w:lineRule="auto"/>
        <w:rPr>
          <w:sz w:val="20"/>
          <w:szCs w:val="20"/>
          <w:color w:val="auto"/>
        </w:rPr>
      </w:pPr>
      <w:r>
        <w:rPr>
          <w:rFonts w:ascii="Arial" w:cs="Arial" w:eastAsia="Arial" w:hAnsi="Arial"/>
          <w:sz w:val="16"/>
          <w:szCs w:val="16"/>
          <w:color w:val="auto"/>
        </w:rPr>
        <w:t>In February 2017, the Company entered into an agreement to sell the assets of one of these businesses, the Broadband operations. The transaction closed on April 4, 2017. Based on the terms of the agreement, the Company received sale consideration of $23.0 million in cash proceeds. The divestiture resulted in a pre-tax gain on sale of $8.2 million, which is included in income from discontinued operations in the consolidated statements of operations.</w:t>
      </w:r>
    </w:p>
    <w:p>
      <w:pPr>
        <w:spacing w:after="0" w:line="147" w:lineRule="exact"/>
        <w:rPr>
          <w:sz w:val="20"/>
          <w:szCs w:val="20"/>
          <w:color w:val="auto"/>
        </w:rPr>
      </w:pPr>
    </w:p>
    <w:p>
      <w:pPr>
        <w:ind w:right="260" w:firstLine="405"/>
        <w:spacing w:after="0" w:line="264" w:lineRule="auto"/>
        <w:rPr>
          <w:sz w:val="20"/>
          <w:szCs w:val="20"/>
          <w:color w:val="auto"/>
        </w:rPr>
      </w:pPr>
      <w:r>
        <w:rPr>
          <w:rFonts w:ascii="Arial" w:cs="Arial" w:eastAsia="Arial" w:hAnsi="Arial"/>
          <w:sz w:val="18"/>
          <w:szCs w:val="18"/>
          <w:color w:val="auto"/>
        </w:rPr>
        <w:t>In May 2017, the Company sold the assets of a second business, the LTE thin-modem operations. The transaction closed on May 18, 2017. Based on the terms of the agreement, the Company received sale consideration of $52.9 million. The divestiture resulted in a pre-tax gain on sale of $34.0 million, which is included in income from discontinued operations in the consolidated statements of operations.</w:t>
      </w:r>
    </w:p>
    <w:p>
      <w:pPr>
        <w:spacing w:after="0" w:line="181" w:lineRule="exact"/>
        <w:rPr>
          <w:sz w:val="20"/>
          <w:szCs w:val="20"/>
          <w:color w:val="auto"/>
        </w:rPr>
      </w:pPr>
    </w:p>
    <w:p>
      <w:pPr>
        <w:ind w:right="60" w:firstLine="405"/>
        <w:spacing w:after="0" w:line="312" w:lineRule="auto"/>
        <w:rPr>
          <w:sz w:val="20"/>
          <w:szCs w:val="20"/>
          <w:color w:val="auto"/>
        </w:rPr>
      </w:pPr>
      <w:r>
        <w:rPr>
          <w:rFonts w:ascii="Arial" w:cs="Arial" w:eastAsia="Arial" w:hAnsi="Arial"/>
          <w:sz w:val="16"/>
          <w:szCs w:val="16"/>
          <w:color w:val="auto"/>
        </w:rPr>
        <w:t>In June 2017, the Company entered into an agreement to sell the assets of a third business, the Multimedia operations. The transaction closed on September 8, 2017. Based on the terms of the agreement, the Company received sale consideration of $93.7 million in cash proceeds. The divestiture resulted in a pre-tax gain on sale of $46.2 million which is included in income from discontinued operations in the consolidated statements of operations.</w:t>
      </w:r>
    </w:p>
    <w:p>
      <w:pPr>
        <w:spacing w:after="0" w:line="147" w:lineRule="exact"/>
        <w:rPr>
          <w:sz w:val="20"/>
          <w:szCs w:val="20"/>
          <w:color w:val="auto"/>
        </w:rPr>
      </w:pPr>
    </w:p>
    <w:p>
      <w:pPr>
        <w:ind w:right="120" w:firstLine="392"/>
        <w:spacing w:after="0" w:line="342" w:lineRule="auto"/>
        <w:rPr>
          <w:sz w:val="20"/>
          <w:szCs w:val="20"/>
          <w:color w:val="auto"/>
        </w:rPr>
      </w:pPr>
      <w:r>
        <w:rPr>
          <w:rFonts w:ascii="Arial" w:cs="Arial" w:eastAsia="Arial" w:hAnsi="Arial"/>
          <w:sz w:val="16"/>
          <w:szCs w:val="16"/>
          <w:color w:val="auto"/>
        </w:rPr>
        <w:t>The following table presents a reconciliation of the carrying amounts of major classes of assets and liabilities of the discontinued operations to the total assets and liabilities of the disposal group classified as held for sale that are presented separately in the consolidated balance sheets (in thousands):</w:t>
      </w:r>
    </w:p>
    <w:p>
      <w:pPr>
        <w:spacing w:after="0" w:line="26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40"/>
              <w:spacing w:after="0"/>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4"/>
                <w:szCs w:val="14"/>
                <w:color w:val="auto"/>
              </w:rPr>
            </w:pPr>
          </w:p>
        </w:tc>
        <w:tc>
          <w:tcPr>
            <w:tcW w:w="1240" w:type="dxa"/>
            <w:vAlign w:val="bottom"/>
          </w:tcPr>
          <w:p>
            <w:pPr>
              <w:jc w:val="right"/>
              <w:ind w:right="313"/>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34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2017</w:t>
            </w: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Assets held for sale: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40" w:type="dxa"/>
            <w:vAlign w:val="bottom"/>
          </w:tcPr>
          <w:p>
            <w:pPr>
              <w:ind w:left="360"/>
              <w:spacing w:after="0"/>
              <w:rPr>
                <w:sz w:val="20"/>
                <w:szCs w:val="20"/>
                <w:color w:val="auto"/>
              </w:rPr>
            </w:pPr>
            <w:r>
              <w:rPr>
                <w:rFonts w:ascii="Arial" w:cs="Arial" w:eastAsia="Arial" w:hAnsi="Arial"/>
                <w:sz w:val="18"/>
                <w:szCs w:val="18"/>
                <w:color w:val="auto"/>
              </w:rPr>
              <w:t>Inventory</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9,281</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Property and equipment, net</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5,270</w:t>
            </w:r>
          </w:p>
        </w:tc>
      </w:tr>
      <w:tr>
        <w:trPr>
          <w:trHeight w:val="243"/>
        </w:trPr>
        <w:tc>
          <w:tcPr>
            <w:tcW w:w="8340" w:type="dxa"/>
            <w:vAlign w:val="bottom"/>
          </w:tcPr>
          <w:p>
            <w:pPr>
              <w:ind w:left="360"/>
              <w:spacing w:after="0"/>
              <w:rPr>
                <w:sz w:val="20"/>
                <w:szCs w:val="20"/>
                <w:color w:val="auto"/>
              </w:rPr>
            </w:pPr>
            <w:r>
              <w:rPr>
                <w:rFonts w:ascii="Arial" w:cs="Arial" w:eastAsia="Arial" w:hAnsi="Arial"/>
                <w:sz w:val="18"/>
                <w:szCs w:val="18"/>
                <w:color w:val="auto"/>
              </w:rPr>
              <w:t>Goodwill</w:t>
            </w:r>
          </w:p>
        </w:tc>
        <w:tc>
          <w:tcPr>
            <w:tcW w:w="240" w:type="dxa"/>
            <w:vAlign w:val="bottom"/>
          </w:tcPr>
          <w:p>
            <w:pPr>
              <w:spacing w:after="0"/>
              <w:rPr>
                <w:sz w:val="21"/>
                <w:szCs w:val="21"/>
                <w:color w:val="auto"/>
              </w:rPr>
            </w:pPr>
          </w:p>
        </w:tc>
        <w:tc>
          <w:tcPr>
            <w:tcW w:w="13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36,636</w:t>
            </w:r>
          </w:p>
        </w:tc>
      </w:tr>
      <w:tr>
        <w:trPr>
          <w:trHeight w:val="27"/>
        </w:trPr>
        <w:tc>
          <w:tcPr>
            <w:tcW w:w="834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40" w:type="dxa"/>
            <w:vAlign w:val="bottom"/>
            <w:tcBorders>
              <w:bottom w:val="single" w:sz="8" w:color="CCEEFF"/>
            </w:tcBorders>
            <w:shd w:val="clear" w:color="auto" w:fill="CCEEFF"/>
          </w:tcPr>
          <w:p>
            <w:pPr>
              <w:ind w:left="340"/>
              <w:spacing w:after="0"/>
              <w:rPr>
                <w:sz w:val="20"/>
                <w:szCs w:val="20"/>
                <w:color w:val="auto"/>
              </w:rPr>
            </w:pPr>
            <w:r>
              <w:rPr>
                <w:rFonts w:ascii="Arial" w:cs="Arial" w:eastAsia="Arial" w:hAnsi="Arial"/>
                <w:sz w:val="18"/>
                <w:szCs w:val="18"/>
                <w:color w:val="auto"/>
              </w:rPr>
              <w:t>Acquired intangible assets, net</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3,799</w:t>
            </w:r>
          </w:p>
        </w:tc>
      </w:tr>
      <w:tr>
        <w:trPr>
          <w:trHeight w:val="243"/>
        </w:trPr>
        <w:tc>
          <w:tcPr>
            <w:tcW w:w="8340" w:type="dxa"/>
            <w:vAlign w:val="bottom"/>
          </w:tcPr>
          <w:p>
            <w:pPr>
              <w:ind w:left="360"/>
              <w:spacing w:after="0"/>
              <w:rPr>
                <w:sz w:val="20"/>
                <w:szCs w:val="20"/>
                <w:color w:val="auto"/>
              </w:rPr>
            </w:pPr>
            <w:r>
              <w:rPr>
                <w:rFonts w:ascii="Arial" w:cs="Arial" w:eastAsia="Arial" w:hAnsi="Arial"/>
                <w:sz w:val="18"/>
                <w:szCs w:val="18"/>
                <w:color w:val="auto"/>
              </w:rPr>
              <w:t>Other</w:t>
            </w:r>
          </w:p>
        </w:tc>
        <w:tc>
          <w:tcPr>
            <w:tcW w:w="240" w:type="dxa"/>
            <w:vAlign w:val="bottom"/>
          </w:tcPr>
          <w:p>
            <w:pPr>
              <w:spacing w:after="0"/>
              <w:rPr>
                <w:sz w:val="21"/>
                <w:szCs w:val="21"/>
                <w:color w:val="auto"/>
              </w:rPr>
            </w:pPr>
          </w:p>
        </w:tc>
        <w:tc>
          <w:tcPr>
            <w:tcW w:w="13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1,490</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Assets held for sale for discontinued operations</w:t>
            </w:r>
          </w:p>
        </w:tc>
        <w:tc>
          <w:tcPr>
            <w:tcW w:w="2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56,476</w:t>
            </w:r>
          </w:p>
        </w:tc>
      </w:tr>
      <w:tr>
        <w:trPr>
          <w:trHeight w:val="243"/>
        </w:trPr>
        <w:tc>
          <w:tcPr>
            <w:tcW w:w="8340" w:type="dxa"/>
            <w:vAlign w:val="bottom"/>
          </w:tcPr>
          <w:p>
            <w:pPr>
              <w:ind w:left="40"/>
              <w:spacing w:after="0"/>
              <w:rPr>
                <w:sz w:val="20"/>
                <w:szCs w:val="20"/>
                <w:color w:val="auto"/>
              </w:rPr>
            </w:pPr>
            <w:r>
              <w:rPr>
                <w:rFonts w:ascii="Arial" w:cs="Arial" w:eastAsia="Arial" w:hAnsi="Arial"/>
                <w:sz w:val="18"/>
                <w:szCs w:val="18"/>
                <w:color w:val="auto"/>
              </w:rPr>
              <w:t>Other assets held for sale</w:t>
            </w:r>
          </w:p>
        </w:tc>
        <w:tc>
          <w:tcPr>
            <w:tcW w:w="240" w:type="dxa"/>
            <w:vAlign w:val="bottom"/>
          </w:tcPr>
          <w:p>
            <w:pPr>
              <w:spacing w:after="0"/>
              <w:rPr>
                <w:sz w:val="21"/>
                <w:szCs w:val="21"/>
                <w:color w:val="auto"/>
              </w:rPr>
            </w:pPr>
          </w:p>
        </w:tc>
        <w:tc>
          <w:tcPr>
            <w:tcW w:w="1260" w:type="dxa"/>
            <w:vAlign w:val="bottom"/>
          </w:tcPr>
          <w:p>
            <w:pPr>
              <w:jc w:val="right"/>
              <w:ind w:right="13"/>
              <w:spacing w:after="0"/>
              <w:rPr>
                <w:sz w:val="20"/>
                <w:szCs w:val="20"/>
                <w:color w:val="auto"/>
              </w:rPr>
            </w:pPr>
            <w:r>
              <w:rPr>
                <w:rFonts w:ascii="Arial" w:cs="Arial" w:eastAsia="Arial" w:hAnsi="Arial"/>
                <w:sz w:val="18"/>
                <w:szCs w:val="18"/>
                <w:color w:val="auto"/>
              </w:rPr>
              <w:t>36,571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601</w:t>
            </w:r>
          </w:p>
        </w:tc>
      </w:tr>
      <w:tr>
        <w:trPr>
          <w:trHeight w:val="27"/>
        </w:trPr>
        <w:tc>
          <w:tcPr>
            <w:tcW w:w="834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57"/>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assets of the disposal group classified as held for sale</w:t>
            </w: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36,571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auto"/>
            </w:tcBorders>
            <w:shd w:val="clear" w:color="auto" w:fill="CCEEFF"/>
          </w:tcPr>
          <w:p>
            <w:pPr>
              <w:jc w:val="right"/>
              <w:ind w:right="13"/>
              <w:spacing w:after="0"/>
              <w:rPr>
                <w:sz w:val="20"/>
                <w:szCs w:val="20"/>
                <w:color w:val="auto"/>
              </w:rPr>
            </w:pPr>
            <w:r>
              <w:rPr>
                <w:rFonts w:ascii="Arial" w:cs="Arial" w:eastAsia="Arial" w:hAnsi="Arial"/>
                <w:sz w:val="18"/>
                <w:szCs w:val="18"/>
                <w:color w:val="auto"/>
              </w:rPr>
              <w:t>57,077</w:t>
            </w:r>
          </w:p>
        </w:tc>
      </w:tr>
      <w:tr>
        <w:trPr>
          <w:trHeight w:val="20"/>
        </w:trPr>
        <w:tc>
          <w:tcPr>
            <w:tcW w:w="834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r>
        <w:trPr>
          <w:trHeight w:val="311"/>
        </w:trPr>
        <w:tc>
          <w:tcPr>
            <w:tcW w:w="83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r>
      <w:tr>
        <w:trPr>
          <w:trHeight w:val="250"/>
        </w:trPr>
        <w:tc>
          <w:tcPr>
            <w:tcW w:w="8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Liabilities held for sale: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64"/>
        </w:trPr>
        <w:tc>
          <w:tcPr>
            <w:tcW w:w="8340" w:type="dxa"/>
            <w:vAlign w:val="bottom"/>
          </w:tcPr>
          <w:p>
            <w:pPr>
              <w:ind w:left="360"/>
              <w:spacing w:after="0"/>
              <w:rPr>
                <w:sz w:val="20"/>
                <w:szCs w:val="20"/>
                <w:color w:val="auto"/>
              </w:rPr>
            </w:pPr>
            <w:r>
              <w:rPr>
                <w:rFonts w:ascii="Arial" w:cs="Arial" w:eastAsia="Arial" w:hAnsi="Arial"/>
                <w:sz w:val="18"/>
                <w:szCs w:val="18"/>
                <w:color w:val="auto"/>
              </w:rPr>
              <w:t>Deferred income</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5,818</w:t>
            </w:r>
          </w:p>
        </w:tc>
      </w:tr>
      <w:tr>
        <w:trPr>
          <w:trHeight w:val="20"/>
        </w:trPr>
        <w:tc>
          <w:tcPr>
            <w:tcW w:w="834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left="400"/>
        <w:spacing w:after="0"/>
        <w:rPr>
          <w:sz w:val="20"/>
          <w:szCs w:val="20"/>
          <w:color w:val="auto"/>
        </w:rPr>
      </w:pPr>
      <w:r>
        <w:rPr>
          <w:rFonts w:ascii="Arial" w:cs="Arial" w:eastAsia="Arial" w:hAnsi="Arial"/>
          <w:sz w:val="18"/>
          <w:szCs w:val="18"/>
          <w:color w:val="auto"/>
        </w:rPr>
        <w:t>Other assets held for sale as of October 28, 2017 consist of buildings and land.</w:t>
      </w: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420"/>
          </w:cols>
          <w:pgMar w:left="240" w:top="140" w:right="239" w:bottom="1440" w:gutter="0" w:footer="0" w:header="0"/>
        </w:sectPr>
      </w:pPr>
    </w:p>
    <w:bookmarkStart w:id="10" w:name="page11"/>
    <w:bookmarkEnd w:id="1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8" w:lineRule="exact"/>
        <w:rPr>
          <w:sz w:val="20"/>
          <w:szCs w:val="20"/>
          <w:color w:val="auto"/>
        </w:rPr>
      </w:pPr>
    </w:p>
    <w:p>
      <w:pPr>
        <w:ind w:right="420" w:firstLine="405"/>
        <w:spacing w:after="0" w:line="308" w:lineRule="auto"/>
        <w:rPr>
          <w:sz w:val="20"/>
          <w:szCs w:val="20"/>
          <w:color w:val="auto"/>
        </w:rPr>
      </w:pPr>
      <w:r>
        <w:rPr>
          <w:rFonts w:ascii="Arial" w:cs="Arial" w:eastAsia="Arial" w:hAnsi="Arial"/>
          <w:sz w:val="17"/>
          <w:szCs w:val="17"/>
          <w:color w:val="auto"/>
        </w:rPr>
        <w:t>The following table presents a reconciliation of the major financial lines constituting the results of operations for discontinued operations to the net income (loss) from discontinued operations presented separately in the consolidated statements of operations (in thousands):</w:t>
      </w:r>
    </w:p>
    <w:p>
      <w:pPr>
        <w:spacing w:after="0" w:line="152"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4"/>
          </w:tcPr>
          <w:p>
            <w:pPr>
              <w:jc w:val="right"/>
              <w:ind w:right="793"/>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13"/>
              <w:spacing w:after="0"/>
              <w:rPr>
                <w:sz w:val="20"/>
                <w:szCs w:val="20"/>
                <w:color w:val="auto"/>
              </w:rPr>
            </w:pPr>
            <w:r>
              <w:rPr>
                <w:rFonts w:ascii="Arial" w:cs="Arial" w:eastAsia="Arial" w:hAnsi="Arial"/>
                <w:sz w:val="14"/>
                <w:szCs w:val="14"/>
                <w:b w:val="1"/>
                <w:bCs w:val="1"/>
                <w:color w:val="auto"/>
              </w:rPr>
              <w:t>Nine Months Ended</w:t>
            </w:r>
          </w:p>
        </w:tc>
      </w:tr>
      <w:tr>
        <w:trPr>
          <w:trHeight w:val="152"/>
        </w:trPr>
        <w:tc>
          <w:tcPr>
            <w:tcW w:w="51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8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240" w:type="dxa"/>
            <w:vAlign w:val="bottom"/>
          </w:tcPr>
          <w:p>
            <w:pPr>
              <w:jc w:val="right"/>
              <w:ind w:right="313"/>
              <w:spacing w:after="0" w:line="153" w:lineRule="exact"/>
              <w:rPr>
                <w:sz w:val="20"/>
                <w:szCs w:val="20"/>
                <w:color w:val="auto"/>
              </w:rPr>
            </w:pPr>
            <w:r>
              <w:rPr>
                <w:rFonts w:ascii="Arial" w:cs="Arial" w:eastAsia="Arial" w:hAnsi="Arial"/>
                <w:sz w:val="14"/>
                <w:szCs w:val="14"/>
                <w:b w:val="1"/>
                <w:bCs w:val="1"/>
                <w:color w:val="auto"/>
              </w:rPr>
              <w:t>October 29,</w:t>
            </w:r>
          </w:p>
        </w:tc>
      </w:tr>
      <w:tr>
        <w:trPr>
          <w:trHeight w:val="192"/>
        </w:trPr>
        <w:tc>
          <w:tcPr>
            <w:tcW w:w="51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2016</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22,117</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30,771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94,137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87,018</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Operating costs and expenses:</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Cost of goods sold</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10,521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19,306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47,499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55,766</w:t>
            </w: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Research and development</w:t>
            </w:r>
          </w:p>
        </w:tc>
        <w:tc>
          <w:tcPr>
            <w:tcW w:w="240" w:type="dxa"/>
            <w:vAlign w:val="bottom"/>
          </w:tcPr>
          <w:p>
            <w:pPr>
              <w:spacing w:after="0"/>
              <w:rPr>
                <w:sz w:val="21"/>
                <w:szCs w:val="21"/>
                <w:color w:val="auto"/>
              </w:rPr>
            </w:pP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2,360</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20,047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34,530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62,045</w:t>
            </w: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Selling, general and administrative</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4,284</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1,691</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6,925</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5,240</w:t>
            </w: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Operating costs and expenses</w:t>
            </w: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17,165</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41,044</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88,954</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123,051</w:t>
            </w:r>
          </w:p>
        </w:tc>
      </w:tr>
      <w:tr>
        <w:trPr>
          <w:trHeight w:val="27"/>
        </w:trPr>
        <w:tc>
          <w:tcPr>
            <w:tcW w:w="51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w w:val="99"/>
              </w:rPr>
              <w:t>Income (loss) from discontinued operations before income taxes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4,952</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(10,273)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5,183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(36,033)</w:t>
            </w: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Gain from sale of discontinued operations</w:t>
            </w:r>
          </w:p>
        </w:tc>
        <w:tc>
          <w:tcPr>
            <w:tcW w:w="240" w:type="dxa"/>
            <w:vAlign w:val="bottom"/>
          </w:tcPr>
          <w:p>
            <w:pPr>
              <w:spacing w:after="0"/>
              <w:rPr>
                <w:sz w:val="21"/>
                <w:szCs w:val="21"/>
                <w:color w:val="auto"/>
              </w:rPr>
            </w:pP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46,219</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88,406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for income taxes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320</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284</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5,900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1,072</w:t>
            </w:r>
          </w:p>
        </w:tc>
      </w:tr>
      <w:tr>
        <w:trPr>
          <w:trHeight w:val="257"/>
        </w:trPr>
        <w:tc>
          <w:tcPr>
            <w:tcW w:w="5160" w:type="dxa"/>
            <w:vAlign w:val="bottom"/>
          </w:tcPr>
          <w:p>
            <w:pPr>
              <w:ind w:left="40"/>
              <w:spacing w:after="0"/>
              <w:rPr>
                <w:sz w:val="20"/>
                <w:szCs w:val="20"/>
                <w:color w:val="auto"/>
              </w:rPr>
            </w:pPr>
            <w:r>
              <w:rPr>
                <w:rFonts w:ascii="Arial" w:cs="Arial" w:eastAsia="Arial" w:hAnsi="Arial"/>
                <w:sz w:val="18"/>
                <w:szCs w:val="18"/>
                <w:color w:val="auto"/>
              </w:rPr>
              <w:t>Income (loss) from discontinued operations, net of tax</w:t>
            </w: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8"/>
                <w:szCs w:val="18"/>
                <w:color w:val="auto"/>
              </w:rPr>
              <w:t>50,851</w:t>
            </w:r>
          </w:p>
        </w:tc>
        <w:tc>
          <w:tcPr>
            <w:tcW w:w="120" w:type="dxa"/>
            <w:vAlign w:val="bottom"/>
          </w:tcPr>
          <w:p>
            <w:pPr>
              <w:spacing w:after="0"/>
              <w:rPr>
                <w:sz w:val="22"/>
                <w:szCs w:val="22"/>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(10,557)</w:t>
            </w:r>
          </w:p>
        </w:tc>
        <w:tc>
          <w:tcPr>
            <w:tcW w:w="100" w:type="dxa"/>
            <w:vAlign w:val="bottom"/>
          </w:tcPr>
          <w:p>
            <w:pPr>
              <w:spacing w:after="0"/>
              <w:rPr>
                <w:sz w:val="22"/>
                <w:szCs w:val="22"/>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auto"/>
            </w:tcBorders>
          </w:tcPr>
          <w:p>
            <w:pPr>
              <w:jc w:val="right"/>
              <w:ind w:right="14"/>
              <w:spacing w:after="0"/>
              <w:rPr>
                <w:sz w:val="20"/>
                <w:szCs w:val="20"/>
                <w:color w:val="auto"/>
              </w:rPr>
            </w:pPr>
            <w:r>
              <w:rPr>
                <w:rFonts w:ascii="Arial" w:cs="Arial" w:eastAsia="Arial" w:hAnsi="Arial"/>
                <w:sz w:val="18"/>
                <w:szCs w:val="18"/>
                <w:color w:val="auto"/>
              </w:rPr>
              <w:t>87,689</w:t>
            </w:r>
          </w:p>
        </w:tc>
        <w:tc>
          <w:tcPr>
            <w:tcW w:w="100" w:type="dxa"/>
            <w:vAlign w:val="bottom"/>
          </w:tcPr>
          <w:p>
            <w:pPr>
              <w:spacing w:after="0"/>
              <w:rPr>
                <w:sz w:val="22"/>
                <w:szCs w:val="22"/>
                <w:color w:val="auto"/>
              </w:rPr>
            </w:pPr>
          </w:p>
        </w:tc>
        <w:tc>
          <w:tcPr>
            <w:tcW w:w="24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(37,105)</w:t>
            </w:r>
          </w:p>
        </w:tc>
      </w:tr>
      <w:tr>
        <w:trPr>
          <w:trHeight w:val="20"/>
        </w:trPr>
        <w:tc>
          <w:tcPr>
            <w:tcW w:w="51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right="80" w:firstLine="392"/>
        <w:spacing w:after="0" w:line="269" w:lineRule="auto"/>
        <w:rPr>
          <w:sz w:val="20"/>
          <w:szCs w:val="20"/>
          <w:color w:val="auto"/>
        </w:rPr>
      </w:pPr>
      <w:r>
        <w:rPr>
          <w:rFonts w:ascii="Arial" w:cs="Arial" w:eastAsia="Arial" w:hAnsi="Arial"/>
          <w:sz w:val="17"/>
          <w:szCs w:val="17"/>
          <w:color w:val="auto"/>
        </w:rPr>
        <w:t>Non-cash operating amounts reported for discontinued operations include share-based compensation credit of $1.8 million for the three months ended October 28, 2017 and share-based compensation expense of $1.6 million for the nine months ended October 28, 2017 and share-based compensation expense of $3.0 million and $10.2 million for the three and nine months ended October 29, 2016, respectively. The net credit recognized in the quarter ended October 28, 2017 is due to the effect of forfeitures. Depreciation, amortization and capital expenditures are not material. The proceeds from sale of the Multimedia business of $93.7 million, proceeds from sale of the LTE thin-modem business of $49.2 million and proceeds from sale of the Broadband business of $23.0 million are classified in investing activities for the nine months ended October 28, 2017, and the gain on sale of such business is presented in operating activities in the consolidated statements of cash flows. Due to the Company's transfer pricing arrangements, the Company generates income in most jurisdictions in which it operates, regardless of a loss that may exist on a consolidated basis. In addition, the Company recognized a tax expense of $0.5 million on the sale of its Multimedia business for the three and nine months ended October 28, 2017 and a tax expense of $4.5 million on the sale of its LTE thin-modem business for the nine month period ended October 28, 2017. As such, the Company has reflected a tax expense of $0.3 million and $5.9 million for the three and nine months ended October 28, 2017 and $0.3 million and $1.1 million for the three and nine months ended October 29, 2016, respectively, attributable to discontinued operations.</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420"/>
          </w:cols>
          <w:pgMar w:left="240" w:top="140" w:right="239" w:bottom="1440" w:gutter="0" w:footer="0" w:header="0"/>
        </w:sectPr>
      </w:pPr>
    </w:p>
    <w:bookmarkStart w:id="11" w:name="page12"/>
    <w:bookmarkEnd w:id="1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4. Restructuring Related Charges</w:t>
      </w:r>
    </w:p>
    <w:p>
      <w:pPr>
        <w:spacing w:after="0" w:line="175" w:lineRule="exact"/>
        <w:rPr>
          <w:sz w:val="20"/>
          <w:szCs w:val="20"/>
          <w:color w:val="auto"/>
        </w:rPr>
      </w:pPr>
    </w:p>
    <w:p>
      <w:pPr>
        <w:ind w:right="160" w:firstLine="405"/>
        <w:spacing w:after="0" w:line="259" w:lineRule="auto"/>
        <w:rPr>
          <w:sz w:val="20"/>
          <w:szCs w:val="20"/>
          <w:color w:val="auto"/>
        </w:rPr>
      </w:pPr>
      <w:r>
        <w:rPr>
          <w:rFonts w:ascii="Arial" w:cs="Arial" w:eastAsia="Arial" w:hAnsi="Arial"/>
          <w:sz w:val="18"/>
          <w:szCs w:val="18"/>
          <w:color w:val="auto"/>
        </w:rPr>
        <w:t>In November 2016, the Company announced a restructuring plan intended to refocus its research and development, increase operational efficiency and improve profitability. As a continuation of such plan, the Company recorded restructuring related charges of $3.3 million and $8.5 million in the three and nine months ended October 28, 2017. The following table presents details of charges recorded by the Company related to the restructuring actions described below (in thousands):</w:t>
      </w:r>
    </w:p>
    <w:p>
      <w:pPr>
        <w:spacing w:after="0" w:line="38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4"/>
          </w:tcPr>
          <w:p>
            <w:pPr>
              <w:jc w:val="right"/>
              <w:ind w:right="793"/>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13"/>
              <w:spacing w:after="0"/>
              <w:rPr>
                <w:sz w:val="20"/>
                <w:szCs w:val="20"/>
                <w:color w:val="auto"/>
              </w:rPr>
            </w:pPr>
            <w:r>
              <w:rPr>
                <w:rFonts w:ascii="Arial" w:cs="Arial" w:eastAsia="Arial" w:hAnsi="Arial"/>
                <w:sz w:val="14"/>
                <w:szCs w:val="14"/>
                <w:b w:val="1"/>
                <w:bCs w:val="1"/>
                <w:color w:val="auto"/>
              </w:rPr>
              <w:t>Nine Months Ended</w:t>
            </w:r>
          </w:p>
        </w:tc>
      </w:tr>
      <w:tr>
        <w:trPr>
          <w:trHeight w:val="152"/>
        </w:trPr>
        <w:tc>
          <w:tcPr>
            <w:tcW w:w="51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8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240" w:type="dxa"/>
            <w:vAlign w:val="bottom"/>
          </w:tcPr>
          <w:p>
            <w:pPr>
              <w:jc w:val="right"/>
              <w:ind w:right="313"/>
              <w:spacing w:after="0" w:line="153" w:lineRule="exact"/>
              <w:rPr>
                <w:sz w:val="20"/>
                <w:szCs w:val="20"/>
                <w:color w:val="auto"/>
              </w:rPr>
            </w:pPr>
            <w:r>
              <w:rPr>
                <w:rFonts w:ascii="Arial" w:cs="Arial" w:eastAsia="Arial" w:hAnsi="Arial"/>
                <w:sz w:val="14"/>
                <w:szCs w:val="14"/>
                <w:b w:val="1"/>
                <w:bCs w:val="1"/>
                <w:color w:val="auto"/>
              </w:rPr>
              <w:t>October 29,</w:t>
            </w:r>
          </w:p>
        </w:tc>
      </w:tr>
      <w:tr>
        <w:trPr>
          <w:trHeight w:val="192"/>
        </w:trPr>
        <w:tc>
          <w:tcPr>
            <w:tcW w:w="51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2016</w:t>
            </w: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Restructuring related charges: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260"/>
              <w:spacing w:after="0"/>
              <w:rPr>
                <w:sz w:val="20"/>
                <w:szCs w:val="20"/>
                <w:color w:val="auto"/>
              </w:rPr>
            </w:pPr>
            <w:r>
              <w:rPr>
                <w:rFonts w:ascii="Arial" w:cs="Arial" w:eastAsia="Arial" w:hAnsi="Arial"/>
                <w:sz w:val="18"/>
                <w:szCs w:val="18"/>
                <w:color w:val="auto"/>
              </w:rPr>
              <w:t>Severance and related costs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1,547</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7,383</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15</w:t>
            </w: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516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Facilities and related costs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1,109</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1,551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4,585</w:t>
            </w:r>
          </w:p>
        </w:tc>
      </w:tr>
      <w:tr>
        <w:trPr>
          <w:trHeight w:val="243"/>
        </w:trPr>
        <w:tc>
          <w:tcPr>
            <w:tcW w:w="5160" w:type="dxa"/>
            <w:vAlign w:val="bottom"/>
          </w:tcPr>
          <w:p>
            <w:pPr>
              <w:ind w:left="260"/>
              <w:spacing w:after="0"/>
              <w:rPr>
                <w:sz w:val="20"/>
                <w:szCs w:val="20"/>
                <w:color w:val="auto"/>
              </w:rPr>
            </w:pPr>
            <w:r>
              <w:rPr>
                <w:rFonts w:ascii="Arial" w:cs="Arial" w:eastAsia="Arial" w:hAnsi="Arial"/>
                <w:sz w:val="18"/>
                <w:szCs w:val="18"/>
                <w:color w:val="auto"/>
              </w:rPr>
              <w:t>Other exit-related costs</w:t>
            </w:r>
          </w:p>
        </w:tc>
        <w:tc>
          <w:tcPr>
            <w:tcW w:w="240" w:type="dxa"/>
            <w:vAlign w:val="bottom"/>
          </w:tcPr>
          <w:p>
            <w:pPr>
              <w:spacing w:after="0"/>
              <w:rPr>
                <w:sz w:val="21"/>
                <w:szCs w:val="21"/>
                <w:color w:val="auto"/>
              </w:rPr>
            </w:pP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922</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1,342</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51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4"/>
        </w:trPr>
        <w:tc>
          <w:tcPr>
            <w:tcW w:w="516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3,578</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108</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10,276</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4,600</w:t>
            </w:r>
          </w:p>
        </w:tc>
      </w:tr>
      <w:tr>
        <w:trPr>
          <w:trHeight w:val="223"/>
        </w:trPr>
        <w:tc>
          <w:tcPr>
            <w:tcW w:w="5160" w:type="dxa"/>
            <w:vAlign w:val="bottom"/>
          </w:tcPr>
          <w:p>
            <w:pPr>
              <w:ind w:left="40"/>
              <w:spacing w:after="0"/>
              <w:rPr>
                <w:sz w:val="20"/>
                <w:szCs w:val="20"/>
                <w:color w:val="auto"/>
              </w:rPr>
            </w:pPr>
            <w:r>
              <w:rPr>
                <w:rFonts w:ascii="Arial" w:cs="Arial" w:eastAsia="Arial" w:hAnsi="Arial"/>
                <w:sz w:val="18"/>
                <w:szCs w:val="18"/>
                <w:color w:val="auto"/>
              </w:rPr>
              <w:t>Release of reserves:</w:t>
            </w:r>
          </w:p>
        </w:tc>
        <w:tc>
          <w:tcPr>
            <w:tcW w:w="240" w:type="dxa"/>
            <w:vAlign w:val="bottom"/>
            <w:tcBorders>
              <w:top w:val="single" w:sz="8" w:color="auto"/>
            </w:tcBorders>
          </w:tcPr>
          <w:p>
            <w:pPr>
              <w:spacing w:after="0"/>
              <w:rPr>
                <w:sz w:val="19"/>
                <w:szCs w:val="19"/>
                <w:color w:val="auto"/>
              </w:rPr>
            </w:pPr>
          </w:p>
        </w:tc>
        <w:tc>
          <w:tcPr>
            <w:tcW w:w="126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r>
      <w:tr>
        <w:trPr>
          <w:trHeight w:val="41"/>
        </w:trPr>
        <w:tc>
          <w:tcPr>
            <w:tcW w:w="516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60" w:type="dxa"/>
            <w:vAlign w:val="bottom"/>
          </w:tcPr>
          <w:p>
            <w:pPr>
              <w:spacing w:after="0"/>
              <w:rPr>
                <w:sz w:val="3"/>
                <w:szCs w:val="3"/>
                <w:color w:val="auto"/>
              </w:rPr>
            </w:pPr>
          </w:p>
        </w:tc>
        <w:tc>
          <w:tcPr>
            <w:tcW w:w="12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(937)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(86)</w:t>
            </w: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Facilities and related costs</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(75)</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(145)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5160" w:type="dxa"/>
            <w:vAlign w:val="bottom"/>
            <w:tcBorders>
              <w:bottom w:val="single" w:sz="8" w:color="BFE4FF"/>
            </w:tcBorders>
            <w:shd w:val="clear" w:color="auto" w:fill="BFE4FF"/>
          </w:tcPr>
          <w:p>
            <w:pPr>
              <w:ind w:left="380"/>
              <w:spacing w:after="0"/>
              <w:rPr>
                <w:sz w:val="20"/>
                <w:szCs w:val="20"/>
                <w:color w:val="auto"/>
              </w:rPr>
            </w:pPr>
            <w:r>
              <w:rPr>
                <w:rFonts w:ascii="Arial" w:cs="Arial" w:eastAsia="Arial" w:hAnsi="Arial"/>
                <w:sz w:val="18"/>
                <w:szCs w:val="18"/>
                <w:color w:val="auto"/>
              </w:rPr>
              <w:t>Other exit-related</w:t>
            </w:r>
          </w:p>
        </w:tc>
        <w:tc>
          <w:tcPr>
            <w:tcW w:w="240" w:type="dxa"/>
            <w:vAlign w:val="bottom"/>
            <w:tcBorders>
              <w:bottom w:val="single" w:sz="8" w:color="BFE4FF"/>
            </w:tcBorders>
            <w:shd w:val="clear" w:color="auto" w:fill="BFE4FF"/>
          </w:tcPr>
          <w:p>
            <w:pPr>
              <w:spacing w:after="0"/>
              <w:rPr>
                <w:sz w:val="23"/>
                <w:szCs w:val="23"/>
                <w:color w:val="auto"/>
              </w:rPr>
            </w:pPr>
          </w:p>
        </w:tc>
        <w:tc>
          <w:tcPr>
            <w:tcW w:w="1260" w:type="dxa"/>
            <w:vAlign w:val="bottom"/>
            <w:tcBorders>
              <w:bottom w:val="single" w:sz="8" w:color="BFE4FF"/>
            </w:tcBorders>
            <w:shd w:val="clear" w:color="auto" w:fill="BFE4FF"/>
          </w:tcPr>
          <w:p>
            <w:pPr>
              <w:jc w:val="right"/>
              <w:spacing w:after="0"/>
              <w:rPr>
                <w:sz w:val="20"/>
                <w:szCs w:val="20"/>
                <w:color w:val="auto"/>
              </w:rPr>
            </w:pPr>
            <w:r>
              <w:rPr>
                <w:rFonts w:ascii="Arial" w:cs="Arial" w:eastAsia="Arial" w:hAnsi="Arial"/>
                <w:sz w:val="18"/>
                <w:szCs w:val="18"/>
                <w:color w:val="auto"/>
              </w:rPr>
              <w:t>(237)</w:t>
            </w:r>
          </w:p>
        </w:tc>
        <w:tc>
          <w:tcPr>
            <w:tcW w:w="120" w:type="dxa"/>
            <w:vAlign w:val="bottom"/>
            <w:tcBorders>
              <w:bottom w:val="single" w:sz="8" w:color="BFE4FF"/>
            </w:tcBorders>
            <w:shd w:val="clear" w:color="auto" w:fill="BFE4FF"/>
          </w:tcPr>
          <w:p>
            <w:pPr>
              <w:spacing w:after="0"/>
              <w:rPr>
                <w:sz w:val="23"/>
                <w:szCs w:val="23"/>
                <w:color w:val="auto"/>
              </w:rPr>
            </w:pPr>
          </w:p>
        </w:tc>
        <w:tc>
          <w:tcPr>
            <w:tcW w:w="240" w:type="dxa"/>
            <w:vAlign w:val="bottom"/>
            <w:tcBorders>
              <w:bottom w:val="single" w:sz="8" w:color="BFE4FF"/>
            </w:tcBorders>
            <w:shd w:val="clear" w:color="auto" w:fill="BFE4FF"/>
          </w:tcPr>
          <w:p>
            <w:pPr>
              <w:spacing w:after="0"/>
              <w:rPr>
                <w:sz w:val="23"/>
                <w:szCs w:val="23"/>
                <w:color w:val="auto"/>
              </w:rPr>
            </w:pPr>
          </w:p>
        </w:tc>
        <w:tc>
          <w:tcPr>
            <w:tcW w:w="1340" w:type="dxa"/>
            <w:vAlign w:val="bottom"/>
            <w:tcBorders>
              <w:bottom w:val="single" w:sz="8" w:color="BFE4FF"/>
            </w:tcBorders>
            <w:gridSpan w:val="2"/>
            <w:shd w:val="clear" w:color="auto" w:fill="BFE4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BFE4FF"/>
            </w:tcBorders>
            <w:shd w:val="clear" w:color="auto" w:fill="BFE4FF"/>
          </w:tcPr>
          <w:p>
            <w:pPr>
              <w:spacing w:after="0"/>
              <w:rPr>
                <w:sz w:val="23"/>
                <w:szCs w:val="23"/>
                <w:color w:val="auto"/>
              </w:rPr>
            </w:pPr>
          </w:p>
        </w:tc>
        <w:tc>
          <w:tcPr>
            <w:tcW w:w="1240" w:type="dxa"/>
            <w:vAlign w:val="bottom"/>
            <w:tcBorders>
              <w:bottom w:val="single" w:sz="8" w:color="BFE4FF"/>
            </w:tcBorders>
            <w:shd w:val="clear" w:color="auto" w:fill="BFE4FF"/>
          </w:tcPr>
          <w:p>
            <w:pPr>
              <w:jc w:val="right"/>
              <w:spacing w:after="0"/>
              <w:rPr>
                <w:sz w:val="20"/>
                <w:szCs w:val="20"/>
                <w:color w:val="auto"/>
              </w:rPr>
            </w:pPr>
            <w:r>
              <w:rPr>
                <w:rFonts w:ascii="Arial" w:cs="Arial" w:eastAsia="Arial" w:hAnsi="Arial"/>
                <w:sz w:val="18"/>
                <w:szCs w:val="18"/>
                <w:color w:val="auto"/>
              </w:rPr>
              <w:t>(337)</w:t>
            </w:r>
          </w:p>
        </w:tc>
        <w:tc>
          <w:tcPr>
            <w:tcW w:w="100" w:type="dxa"/>
            <w:vAlign w:val="bottom"/>
            <w:tcBorders>
              <w:bottom w:val="single" w:sz="8" w:color="BFE4FF"/>
            </w:tcBorders>
            <w:shd w:val="clear" w:color="auto" w:fill="BFE4FF"/>
          </w:tcPr>
          <w:p>
            <w:pPr>
              <w:spacing w:after="0"/>
              <w:rPr>
                <w:sz w:val="23"/>
                <w:szCs w:val="23"/>
                <w:color w:val="auto"/>
              </w:rPr>
            </w:pPr>
          </w:p>
        </w:tc>
        <w:tc>
          <w:tcPr>
            <w:tcW w:w="240" w:type="dxa"/>
            <w:vAlign w:val="bottom"/>
            <w:tcBorders>
              <w:bottom w:val="single" w:sz="8" w:color="BFE4FF"/>
            </w:tcBorders>
            <w:shd w:val="clear" w:color="auto" w:fill="BFE4FF"/>
          </w:tcPr>
          <w:p>
            <w:pPr>
              <w:spacing w:after="0"/>
              <w:rPr>
                <w:sz w:val="23"/>
                <w:szCs w:val="23"/>
                <w:color w:val="auto"/>
              </w:rPr>
            </w:pPr>
          </w:p>
        </w:tc>
        <w:tc>
          <w:tcPr>
            <w:tcW w:w="1240" w:type="dxa"/>
            <w:vAlign w:val="bottom"/>
            <w:tcBorders>
              <w:bottom w:val="single" w:sz="8" w:color="BFE4FF"/>
            </w:tcBorders>
            <w:shd w:val="clear" w:color="auto" w:fill="BFE4FF"/>
          </w:tcPr>
          <w:p>
            <w:pPr>
              <w:jc w:val="right"/>
              <w:spacing w:after="0"/>
              <w:rPr>
                <w:sz w:val="20"/>
                <w:szCs w:val="20"/>
                <w:color w:val="auto"/>
              </w:rPr>
            </w:pPr>
            <w:r>
              <w:rPr>
                <w:rFonts w:ascii="Arial" w:cs="Arial" w:eastAsia="Arial" w:hAnsi="Arial"/>
                <w:sz w:val="18"/>
                <w:szCs w:val="18"/>
                <w:color w:val="auto"/>
              </w:rPr>
              <w:t>(269)</w:t>
            </w:r>
          </w:p>
        </w:tc>
      </w:tr>
      <w:tr>
        <w:trPr>
          <w:trHeight w:val="237"/>
        </w:trPr>
        <w:tc>
          <w:tcPr>
            <w:tcW w:w="516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(338)</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(1,419)</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(355)</w:t>
            </w:r>
          </w:p>
        </w:tc>
      </w:tr>
      <w:tr>
        <w:trPr>
          <w:trHeight w:val="27"/>
        </w:trPr>
        <w:tc>
          <w:tcPr>
            <w:tcW w:w="51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44"/>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Impairment and write-off of assets: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Technology license</w:t>
            </w:r>
          </w:p>
        </w:tc>
        <w:tc>
          <w:tcPr>
            <w:tcW w:w="240" w:type="dxa"/>
            <w:vAlign w:val="bottom"/>
          </w:tcPr>
          <w:p>
            <w:pPr>
              <w:spacing w:after="0"/>
              <w:rPr>
                <w:sz w:val="21"/>
                <w:szCs w:val="21"/>
                <w:color w:val="auto"/>
              </w:rPr>
            </w:pPr>
          </w:p>
        </w:tc>
        <w:tc>
          <w:tcPr>
            <w:tcW w:w="138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174</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w:t>
            </w: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Equipment and other</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44</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1,056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(576)</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2,081</w:t>
            </w:r>
          </w:p>
        </w:tc>
      </w:tr>
      <w:tr>
        <w:trPr>
          <w:trHeight w:val="237"/>
        </w:trPr>
        <w:tc>
          <w:tcPr>
            <w:tcW w:w="516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44</w:t>
            </w:r>
          </w:p>
        </w:tc>
        <w:tc>
          <w:tcPr>
            <w:tcW w:w="1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1,056</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(402)</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2,081</w:t>
            </w:r>
          </w:p>
        </w:tc>
      </w:tr>
      <w:tr>
        <w:trPr>
          <w:trHeight w:val="27"/>
        </w:trPr>
        <w:tc>
          <w:tcPr>
            <w:tcW w:w="51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129"/>
        </w:trPr>
        <w:tc>
          <w:tcPr>
            <w:tcW w:w="5160" w:type="dxa"/>
            <w:vAlign w:val="bottom"/>
            <w:shd w:val="clear" w:color="auto" w:fill="CCEEFF"/>
          </w:tcPr>
          <w:p>
            <w:pPr>
              <w:spacing w:after="0"/>
              <w:rPr>
                <w:sz w:val="11"/>
                <w:szCs w:val="11"/>
                <w:color w:val="auto"/>
              </w:rPr>
            </w:pPr>
          </w:p>
        </w:tc>
        <w:tc>
          <w:tcPr>
            <w:tcW w:w="240" w:type="dxa"/>
            <w:vAlign w:val="bottom"/>
            <w:tcBorders>
              <w:bottom w:val="single" w:sz="8" w:color="auto"/>
            </w:tcBorders>
            <w:shd w:val="clear" w:color="auto" w:fill="CCEEFF"/>
          </w:tcPr>
          <w:p>
            <w:pPr>
              <w:spacing w:after="0"/>
              <w:rPr>
                <w:sz w:val="11"/>
                <w:szCs w:val="11"/>
                <w:color w:val="auto"/>
              </w:rPr>
            </w:pPr>
          </w:p>
        </w:tc>
        <w:tc>
          <w:tcPr>
            <w:tcW w:w="1260" w:type="dxa"/>
            <w:vAlign w:val="bottom"/>
            <w:tcBorders>
              <w:bottom w:val="single" w:sz="8" w:color="auto"/>
            </w:tcBorders>
            <w:shd w:val="clear" w:color="auto" w:fill="CCEEFF"/>
          </w:tcPr>
          <w:p>
            <w:pPr>
              <w:spacing w:after="0"/>
              <w:rPr>
                <w:sz w:val="11"/>
                <w:szCs w:val="11"/>
                <w:color w:val="auto"/>
              </w:rPr>
            </w:pPr>
          </w:p>
        </w:tc>
        <w:tc>
          <w:tcPr>
            <w:tcW w:w="120" w:type="dxa"/>
            <w:vAlign w:val="bottom"/>
            <w:shd w:val="clear" w:color="auto" w:fill="CCEEFF"/>
          </w:tcPr>
          <w:p>
            <w:pPr>
              <w:spacing w:after="0"/>
              <w:rPr>
                <w:sz w:val="11"/>
                <w:szCs w:val="11"/>
                <w:color w:val="auto"/>
              </w:rPr>
            </w:pPr>
          </w:p>
        </w:tc>
        <w:tc>
          <w:tcPr>
            <w:tcW w:w="240" w:type="dxa"/>
            <w:vAlign w:val="bottom"/>
            <w:tcBorders>
              <w:bottom w:val="single" w:sz="8" w:color="auto"/>
            </w:tcBorders>
            <w:shd w:val="clear" w:color="auto" w:fill="CCEEFF"/>
          </w:tcPr>
          <w:p>
            <w:pPr>
              <w:spacing w:after="0"/>
              <w:rPr>
                <w:sz w:val="11"/>
                <w:szCs w:val="11"/>
                <w:color w:val="auto"/>
              </w:rPr>
            </w:pPr>
          </w:p>
        </w:tc>
        <w:tc>
          <w:tcPr>
            <w:tcW w:w="1240" w:type="dxa"/>
            <w:vAlign w:val="bottom"/>
            <w:tcBorders>
              <w:bottom w:val="single" w:sz="8" w:color="auto"/>
            </w:tcBorders>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40" w:type="dxa"/>
            <w:vAlign w:val="bottom"/>
            <w:tcBorders>
              <w:bottom w:val="single" w:sz="8" w:color="auto"/>
            </w:tcBorders>
            <w:shd w:val="clear" w:color="auto" w:fill="CCEEFF"/>
          </w:tcPr>
          <w:p>
            <w:pPr>
              <w:spacing w:after="0"/>
              <w:rPr>
                <w:sz w:val="11"/>
                <w:szCs w:val="11"/>
                <w:color w:val="auto"/>
              </w:rPr>
            </w:pPr>
          </w:p>
        </w:tc>
        <w:tc>
          <w:tcPr>
            <w:tcW w:w="1240" w:type="dxa"/>
            <w:vAlign w:val="bottom"/>
            <w:tcBorders>
              <w:bottom w:val="single" w:sz="8" w:color="auto"/>
            </w:tcBorders>
            <w:shd w:val="clear" w:color="auto" w:fill="CCEEFF"/>
          </w:tcPr>
          <w:p>
            <w:pPr>
              <w:spacing w:after="0"/>
              <w:rPr>
                <w:sz w:val="11"/>
                <w:szCs w:val="11"/>
                <w:color w:val="auto"/>
              </w:rPr>
            </w:pPr>
          </w:p>
        </w:tc>
        <w:tc>
          <w:tcPr>
            <w:tcW w:w="100" w:type="dxa"/>
            <w:vAlign w:val="bottom"/>
            <w:shd w:val="clear" w:color="auto" w:fill="CCEEFF"/>
          </w:tcPr>
          <w:p>
            <w:pPr>
              <w:spacing w:after="0"/>
              <w:rPr>
                <w:sz w:val="11"/>
                <w:szCs w:val="11"/>
                <w:color w:val="auto"/>
              </w:rPr>
            </w:pPr>
          </w:p>
        </w:tc>
        <w:tc>
          <w:tcPr>
            <w:tcW w:w="240" w:type="dxa"/>
            <w:vAlign w:val="bottom"/>
            <w:tcBorders>
              <w:bottom w:val="single" w:sz="8" w:color="auto"/>
            </w:tcBorders>
            <w:shd w:val="clear" w:color="auto" w:fill="CCEEFF"/>
          </w:tcPr>
          <w:p>
            <w:pPr>
              <w:spacing w:after="0"/>
              <w:rPr>
                <w:sz w:val="11"/>
                <w:szCs w:val="11"/>
                <w:color w:val="auto"/>
              </w:rPr>
            </w:pPr>
          </w:p>
        </w:tc>
        <w:tc>
          <w:tcPr>
            <w:tcW w:w="1240" w:type="dxa"/>
            <w:vAlign w:val="bottom"/>
            <w:tcBorders>
              <w:bottom w:val="single" w:sz="8" w:color="auto"/>
            </w:tcBorders>
            <w:shd w:val="clear" w:color="auto" w:fill="CCEEFF"/>
          </w:tcPr>
          <w:p>
            <w:pPr>
              <w:spacing w:after="0"/>
              <w:rPr>
                <w:sz w:val="11"/>
                <w:szCs w:val="11"/>
                <w:color w:val="auto"/>
              </w:rPr>
            </w:pP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Restructuring related charges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3,284</w:t>
            </w:r>
          </w:p>
        </w:tc>
        <w:tc>
          <w:tcPr>
            <w:tcW w:w="120" w:type="dxa"/>
            <w:vAlign w:val="bottom"/>
          </w:tcPr>
          <w:p>
            <w:pPr>
              <w:spacing w:after="0"/>
              <w:rPr>
                <w:sz w:val="20"/>
                <w:szCs w:val="20"/>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1,164</w:t>
            </w:r>
          </w:p>
        </w:tc>
        <w:tc>
          <w:tcPr>
            <w:tcW w:w="100" w:type="dxa"/>
            <w:vAlign w:val="bottom"/>
          </w:tcPr>
          <w:p>
            <w:pPr>
              <w:spacing w:after="0"/>
              <w:rPr>
                <w:sz w:val="20"/>
                <w:szCs w:val="20"/>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8,455</w:t>
            </w:r>
          </w:p>
        </w:tc>
        <w:tc>
          <w:tcPr>
            <w:tcW w:w="100" w:type="dxa"/>
            <w:vAlign w:val="bottom"/>
          </w:tcPr>
          <w:p>
            <w:pPr>
              <w:spacing w:after="0"/>
              <w:rPr>
                <w:sz w:val="20"/>
                <w:szCs w:val="20"/>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6,326</w:t>
            </w:r>
          </w:p>
        </w:tc>
      </w:tr>
      <w:tr>
        <w:trPr>
          <w:trHeight w:val="27"/>
        </w:trPr>
        <w:tc>
          <w:tcPr>
            <w:tcW w:w="51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51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9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Company is on track to complete activities related to the restructuring plan as previously announced.</w:t>
      </w:r>
    </w:p>
    <w:p>
      <w:pPr>
        <w:spacing w:after="0" w:line="117" w:lineRule="exact"/>
        <w:rPr>
          <w:sz w:val="20"/>
          <w:szCs w:val="20"/>
          <w:color w:val="auto"/>
        </w:rPr>
      </w:pPr>
    </w:p>
    <w:p>
      <w:pPr>
        <w:jc w:val="both"/>
        <w:ind w:right="20" w:firstLine="432"/>
        <w:spacing w:after="0" w:line="277"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 associated with the restructuring charges (in thousands):</w:t>
      </w: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4440" w:type="dxa"/>
            <w:vAlign w:val="bottom"/>
            <w:tcBorders>
              <w:bottom w:val="single" w:sz="8" w:color="auto"/>
            </w:tcBorders>
            <w:gridSpan w:val="7"/>
          </w:tcPr>
          <w:p>
            <w:pPr>
              <w:jc w:val="center"/>
              <w:ind w:right="135"/>
              <w:spacing w:after="0"/>
              <w:rPr>
                <w:sz w:val="20"/>
                <w:szCs w:val="20"/>
                <w:color w:val="auto"/>
              </w:rPr>
            </w:pPr>
            <w:r>
              <w:rPr>
                <w:rFonts w:ascii="Arial" w:cs="Arial" w:eastAsia="Arial" w:hAnsi="Arial"/>
                <w:sz w:val="14"/>
                <w:szCs w:val="14"/>
                <w:b w:val="1"/>
                <w:bCs w:val="1"/>
                <w:color w:val="auto"/>
                <w:w w:val="95"/>
              </w:rPr>
              <w:t>November 2016 &amp; Other Prior Restructuring</w:t>
            </w:r>
          </w:p>
        </w:tc>
        <w:tc>
          <w:tcPr>
            <w:tcW w:w="100" w:type="dxa"/>
            <w:vAlign w:val="bottom"/>
            <w:tcBorders>
              <w:bottom w:val="single" w:sz="8" w:color="CCEEFF"/>
            </w:tcBorders>
          </w:tcPr>
          <w:p>
            <w:pPr>
              <w:spacing w:after="0"/>
              <w:rPr>
                <w:sz w:val="16"/>
                <w:szCs w:val="16"/>
                <w:color w:val="auto"/>
              </w:rPr>
            </w:pPr>
          </w:p>
        </w:tc>
        <w:tc>
          <w:tcPr>
            <w:tcW w:w="360" w:type="dxa"/>
            <w:vAlign w:val="bottom"/>
            <w:tcBorders>
              <w:bottom w:val="single" w:sz="8" w:color="CCEEFF"/>
            </w:tcBorders>
          </w:tcPr>
          <w:p>
            <w:pPr>
              <w:spacing w:after="0"/>
              <w:rPr>
                <w:sz w:val="16"/>
                <w:szCs w:val="16"/>
                <w:color w:val="auto"/>
              </w:rPr>
            </w:pPr>
          </w:p>
        </w:tc>
        <w:tc>
          <w:tcPr>
            <w:tcW w:w="1120" w:type="dxa"/>
            <w:vAlign w:val="bottom"/>
            <w:tcBorders>
              <w:bottom w:val="single" w:sz="8" w:color="CCEEFF"/>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160" w:type="dxa"/>
            <w:vAlign w:val="bottom"/>
            <w:shd w:val="clear" w:color="auto" w:fill="CCEEFF"/>
          </w:tcPr>
          <w:p>
            <w:pPr>
              <w:spacing w:after="0"/>
              <w:rPr>
                <w:sz w:val="13"/>
                <w:szCs w:val="13"/>
                <w:color w:val="auto"/>
              </w:rPr>
            </w:pPr>
          </w:p>
        </w:tc>
        <w:tc>
          <w:tcPr>
            <w:tcW w:w="240" w:type="dxa"/>
            <w:vAlign w:val="bottom"/>
            <w:shd w:val="clear" w:color="auto" w:fill="CCEEFF"/>
          </w:tcPr>
          <w:p>
            <w:pPr>
              <w:spacing w:after="0"/>
              <w:rPr>
                <w:sz w:val="13"/>
                <w:szCs w:val="13"/>
                <w:color w:val="auto"/>
              </w:rPr>
            </w:pPr>
          </w:p>
        </w:tc>
        <w:tc>
          <w:tcPr>
            <w:tcW w:w="1380" w:type="dxa"/>
            <w:vAlign w:val="bottom"/>
            <w:gridSpan w:val="2"/>
            <w:shd w:val="clear" w:color="auto" w:fill="CCEEFF"/>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Severance</w:t>
            </w:r>
          </w:p>
        </w:tc>
        <w:tc>
          <w:tcPr>
            <w:tcW w:w="240" w:type="dxa"/>
            <w:vAlign w:val="bottom"/>
            <w:shd w:val="clear" w:color="auto" w:fill="CCEEFF"/>
          </w:tcPr>
          <w:p>
            <w:pPr>
              <w:spacing w:after="0"/>
              <w:rPr>
                <w:sz w:val="13"/>
                <w:szCs w:val="13"/>
                <w:color w:val="auto"/>
              </w:rPr>
            </w:pPr>
          </w:p>
        </w:tc>
        <w:tc>
          <w:tcPr>
            <w:tcW w:w="1340" w:type="dxa"/>
            <w:vAlign w:val="bottom"/>
            <w:gridSpan w:val="2"/>
            <w:shd w:val="clear" w:color="auto" w:fill="CCEEFF"/>
          </w:tcPr>
          <w:p>
            <w:pPr>
              <w:jc w:val="center"/>
              <w:ind w:right="340"/>
              <w:spacing w:after="0" w:line="153" w:lineRule="exact"/>
              <w:rPr>
                <w:sz w:val="20"/>
                <w:szCs w:val="20"/>
                <w:color w:val="auto"/>
              </w:rPr>
            </w:pPr>
            <w:r>
              <w:rPr>
                <w:rFonts w:ascii="Arial" w:cs="Arial" w:eastAsia="Arial" w:hAnsi="Arial"/>
                <w:sz w:val="14"/>
                <w:szCs w:val="14"/>
                <w:b w:val="1"/>
                <w:bCs w:val="1"/>
                <w:color w:val="auto"/>
                <w:w w:val="93"/>
              </w:rPr>
              <w:t>Facilities</w:t>
            </w:r>
          </w:p>
        </w:tc>
        <w:tc>
          <w:tcPr>
            <w:tcW w:w="240" w:type="dxa"/>
            <w:vAlign w:val="bottom"/>
            <w:shd w:val="clear" w:color="auto" w:fill="CCEEFF"/>
          </w:tcPr>
          <w:p>
            <w:pPr>
              <w:spacing w:after="0"/>
              <w:rPr>
                <w:sz w:val="13"/>
                <w:szCs w:val="13"/>
                <w:color w:val="auto"/>
              </w:rPr>
            </w:pPr>
          </w:p>
        </w:tc>
        <w:tc>
          <w:tcPr>
            <w:tcW w:w="1340" w:type="dxa"/>
            <w:vAlign w:val="bottom"/>
            <w:gridSpan w:val="2"/>
            <w:shd w:val="clear" w:color="auto" w:fill="CCEEFF"/>
          </w:tcPr>
          <w:p>
            <w:pPr>
              <w:jc w:val="center"/>
              <w:ind w:right="340"/>
              <w:spacing w:after="0" w:line="153" w:lineRule="exact"/>
              <w:rPr>
                <w:sz w:val="20"/>
                <w:szCs w:val="20"/>
                <w:color w:val="auto"/>
              </w:rPr>
            </w:pPr>
            <w:r>
              <w:rPr>
                <w:rFonts w:ascii="Arial" w:cs="Arial" w:eastAsia="Arial" w:hAnsi="Arial"/>
                <w:sz w:val="14"/>
                <w:szCs w:val="14"/>
                <w:b w:val="1"/>
                <w:bCs w:val="1"/>
                <w:color w:val="auto"/>
                <w:w w:val="96"/>
              </w:rPr>
              <w:t>Other</w:t>
            </w:r>
          </w:p>
        </w:tc>
        <w:tc>
          <w:tcPr>
            <w:tcW w:w="360" w:type="dxa"/>
            <w:vAlign w:val="bottom"/>
            <w:shd w:val="clear" w:color="auto" w:fill="CCEEFF"/>
          </w:tcPr>
          <w:p>
            <w:pPr>
              <w:spacing w:after="0"/>
              <w:rPr>
                <w:sz w:val="13"/>
                <w:szCs w:val="13"/>
                <w:color w:val="auto"/>
              </w:rPr>
            </w:pPr>
          </w:p>
        </w:tc>
        <w:tc>
          <w:tcPr>
            <w:tcW w:w="1120" w:type="dxa"/>
            <w:vAlign w:val="bottom"/>
            <w:shd w:val="clear" w:color="auto" w:fill="CCEEFF"/>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516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1380" w:type="dxa"/>
            <w:vAlign w:val="bottom"/>
            <w:gridSpan w:val="2"/>
            <w:shd w:val="clear" w:color="auto" w:fill="CCEEFF"/>
          </w:tcPr>
          <w:p>
            <w:pPr>
              <w:jc w:val="center"/>
              <w:ind w:right="360"/>
              <w:spacing w:after="0" w:line="149" w:lineRule="exact"/>
              <w:rPr>
                <w:sz w:val="20"/>
                <w:szCs w:val="20"/>
                <w:color w:val="auto"/>
              </w:rPr>
            </w:pPr>
            <w:r>
              <w:rPr>
                <w:rFonts w:ascii="Arial" w:cs="Arial" w:eastAsia="Arial" w:hAnsi="Arial"/>
                <w:sz w:val="14"/>
                <w:szCs w:val="14"/>
                <w:b w:val="1"/>
                <w:bCs w:val="1"/>
                <w:color w:val="auto"/>
                <w:w w:val="93"/>
              </w:rPr>
              <w:t>and Related</w:t>
            </w:r>
          </w:p>
        </w:tc>
        <w:tc>
          <w:tcPr>
            <w:tcW w:w="240" w:type="dxa"/>
            <w:vAlign w:val="bottom"/>
            <w:shd w:val="clear" w:color="auto" w:fill="CCEEFF"/>
          </w:tcPr>
          <w:p>
            <w:pPr>
              <w:spacing w:after="0"/>
              <w:rPr>
                <w:sz w:val="12"/>
                <w:szCs w:val="12"/>
                <w:color w:val="auto"/>
              </w:rPr>
            </w:pPr>
          </w:p>
        </w:tc>
        <w:tc>
          <w:tcPr>
            <w:tcW w:w="1340" w:type="dxa"/>
            <w:vAlign w:val="bottom"/>
            <w:gridSpan w:val="2"/>
            <w:shd w:val="clear" w:color="auto" w:fill="CCEEFF"/>
          </w:tcPr>
          <w:p>
            <w:pPr>
              <w:jc w:val="center"/>
              <w:ind w:right="320"/>
              <w:spacing w:after="0" w:line="149" w:lineRule="exact"/>
              <w:rPr>
                <w:sz w:val="20"/>
                <w:szCs w:val="20"/>
                <w:color w:val="auto"/>
              </w:rPr>
            </w:pPr>
            <w:r>
              <w:rPr>
                <w:rFonts w:ascii="Arial" w:cs="Arial" w:eastAsia="Arial" w:hAnsi="Arial"/>
                <w:sz w:val="14"/>
                <w:szCs w:val="14"/>
                <w:b w:val="1"/>
                <w:bCs w:val="1"/>
                <w:color w:val="auto"/>
                <w:w w:val="93"/>
              </w:rPr>
              <w:t>and Related</w:t>
            </w:r>
          </w:p>
        </w:tc>
        <w:tc>
          <w:tcPr>
            <w:tcW w:w="240" w:type="dxa"/>
            <w:vAlign w:val="bottom"/>
            <w:shd w:val="clear" w:color="auto" w:fill="CCEEFF"/>
          </w:tcPr>
          <w:p>
            <w:pPr>
              <w:spacing w:after="0"/>
              <w:rPr>
                <w:sz w:val="12"/>
                <w:szCs w:val="12"/>
                <w:color w:val="auto"/>
              </w:rPr>
            </w:pPr>
          </w:p>
        </w:tc>
        <w:tc>
          <w:tcPr>
            <w:tcW w:w="1340" w:type="dxa"/>
            <w:vAlign w:val="bottom"/>
            <w:gridSpan w:val="2"/>
            <w:shd w:val="clear" w:color="auto" w:fill="CCEEFF"/>
          </w:tcPr>
          <w:p>
            <w:pPr>
              <w:jc w:val="center"/>
              <w:ind w:right="320"/>
              <w:spacing w:after="0" w:line="149" w:lineRule="exact"/>
              <w:rPr>
                <w:sz w:val="20"/>
                <w:szCs w:val="20"/>
                <w:color w:val="auto"/>
              </w:rPr>
            </w:pPr>
            <w:r>
              <w:rPr>
                <w:rFonts w:ascii="Arial" w:cs="Arial" w:eastAsia="Arial" w:hAnsi="Arial"/>
                <w:sz w:val="14"/>
                <w:szCs w:val="14"/>
                <w:b w:val="1"/>
                <w:bCs w:val="1"/>
                <w:color w:val="auto"/>
                <w:w w:val="96"/>
              </w:rPr>
              <w:t>Exit-Related</w:t>
            </w:r>
          </w:p>
        </w:tc>
        <w:tc>
          <w:tcPr>
            <w:tcW w:w="360" w:type="dxa"/>
            <w:vAlign w:val="bottom"/>
            <w:shd w:val="clear" w:color="auto" w:fill="CCEEFF"/>
          </w:tcPr>
          <w:p>
            <w:pPr>
              <w:spacing w:after="0"/>
              <w:rPr>
                <w:sz w:val="12"/>
                <w:szCs w:val="12"/>
                <w:color w:val="auto"/>
              </w:rPr>
            </w:pPr>
          </w:p>
        </w:tc>
        <w:tc>
          <w:tcPr>
            <w:tcW w:w="1120" w:type="dxa"/>
            <w:vAlign w:val="bottom"/>
            <w:vMerge w:val="restart"/>
            <w:shd w:val="clear" w:color="auto" w:fill="CCEEFF"/>
          </w:tcPr>
          <w:p>
            <w:pPr>
              <w:jc w:val="right"/>
              <w:ind w:right="492"/>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8"/>
        </w:trPr>
        <w:tc>
          <w:tcPr>
            <w:tcW w:w="516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380" w:type="dxa"/>
            <w:vAlign w:val="bottom"/>
            <w:gridSpan w:val="2"/>
            <w:shd w:val="clear" w:color="auto" w:fill="CCEEFF"/>
          </w:tcPr>
          <w:p>
            <w:pPr>
              <w:jc w:val="center"/>
              <w:ind w:right="360"/>
              <w:spacing w:after="0"/>
              <w:rPr>
                <w:sz w:val="20"/>
                <w:szCs w:val="20"/>
                <w:color w:val="auto"/>
              </w:rPr>
            </w:pPr>
            <w:r>
              <w:rPr>
                <w:rFonts w:ascii="Arial" w:cs="Arial" w:eastAsia="Arial" w:hAnsi="Arial"/>
                <w:sz w:val="14"/>
                <w:szCs w:val="14"/>
                <w:b w:val="1"/>
                <w:bCs w:val="1"/>
                <w:color w:val="auto"/>
                <w:w w:val="87"/>
              </w:rPr>
              <w:t>Costs</w:t>
            </w:r>
          </w:p>
        </w:tc>
        <w:tc>
          <w:tcPr>
            <w:tcW w:w="240" w:type="dxa"/>
            <w:vAlign w:val="bottom"/>
            <w:shd w:val="clear" w:color="auto" w:fill="CCEEFF"/>
          </w:tcPr>
          <w:p>
            <w:pPr>
              <w:spacing w:after="0"/>
              <w:rPr>
                <w:sz w:val="17"/>
                <w:szCs w:val="17"/>
                <w:color w:val="auto"/>
              </w:rPr>
            </w:pPr>
          </w:p>
        </w:tc>
        <w:tc>
          <w:tcPr>
            <w:tcW w:w="1340" w:type="dxa"/>
            <w:vAlign w:val="bottom"/>
            <w:gridSpan w:val="2"/>
            <w:shd w:val="clear" w:color="auto" w:fill="CCEEFF"/>
          </w:tcPr>
          <w:p>
            <w:pPr>
              <w:jc w:val="center"/>
              <w:ind w:right="320"/>
              <w:spacing w:after="0"/>
              <w:rPr>
                <w:sz w:val="20"/>
                <w:szCs w:val="20"/>
                <w:color w:val="auto"/>
              </w:rPr>
            </w:pPr>
            <w:r>
              <w:rPr>
                <w:rFonts w:ascii="Arial" w:cs="Arial" w:eastAsia="Arial" w:hAnsi="Arial"/>
                <w:sz w:val="14"/>
                <w:szCs w:val="14"/>
                <w:b w:val="1"/>
                <w:bCs w:val="1"/>
                <w:color w:val="auto"/>
                <w:w w:val="87"/>
              </w:rPr>
              <w:t>Costs</w:t>
            </w:r>
          </w:p>
        </w:tc>
        <w:tc>
          <w:tcPr>
            <w:tcW w:w="240" w:type="dxa"/>
            <w:vAlign w:val="bottom"/>
            <w:shd w:val="clear" w:color="auto" w:fill="CCEEFF"/>
          </w:tcPr>
          <w:p>
            <w:pPr>
              <w:spacing w:after="0"/>
              <w:rPr>
                <w:sz w:val="17"/>
                <w:szCs w:val="17"/>
                <w:color w:val="auto"/>
              </w:rPr>
            </w:pPr>
          </w:p>
        </w:tc>
        <w:tc>
          <w:tcPr>
            <w:tcW w:w="1340" w:type="dxa"/>
            <w:vAlign w:val="bottom"/>
            <w:gridSpan w:val="2"/>
            <w:shd w:val="clear" w:color="auto" w:fill="CCEEFF"/>
          </w:tcPr>
          <w:p>
            <w:pPr>
              <w:jc w:val="center"/>
              <w:ind w:right="320"/>
              <w:spacing w:after="0"/>
              <w:rPr>
                <w:sz w:val="20"/>
                <w:szCs w:val="20"/>
                <w:color w:val="auto"/>
              </w:rPr>
            </w:pPr>
            <w:r>
              <w:rPr>
                <w:rFonts w:ascii="Arial" w:cs="Arial" w:eastAsia="Arial" w:hAnsi="Arial"/>
                <w:sz w:val="14"/>
                <w:szCs w:val="14"/>
                <w:b w:val="1"/>
                <w:bCs w:val="1"/>
                <w:color w:val="auto"/>
                <w:w w:val="87"/>
              </w:rPr>
              <w:t>Costs</w:t>
            </w:r>
          </w:p>
        </w:tc>
        <w:tc>
          <w:tcPr>
            <w:tcW w:w="360" w:type="dxa"/>
            <w:vAlign w:val="bottom"/>
            <w:shd w:val="clear" w:color="auto" w:fill="CCEEFF"/>
          </w:tcPr>
          <w:p>
            <w:pPr>
              <w:spacing w:after="0"/>
              <w:rPr>
                <w:sz w:val="17"/>
                <w:szCs w:val="17"/>
                <w:color w:val="auto"/>
              </w:rPr>
            </w:pPr>
          </w:p>
        </w:tc>
        <w:tc>
          <w:tcPr>
            <w:tcW w:w="1120" w:type="dxa"/>
            <w:vAlign w:val="bottom"/>
            <w:vMerge w:val="continue"/>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Balance at January 28, 2017</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17,000</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2,474</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4,625</w:t>
            </w:r>
          </w:p>
        </w:tc>
        <w:tc>
          <w:tcPr>
            <w:tcW w:w="100" w:type="dxa"/>
            <w:vAlign w:val="bottom"/>
          </w:tcPr>
          <w:p>
            <w:pPr>
              <w:spacing w:after="0"/>
              <w:rPr>
                <w:sz w:val="20"/>
                <w:szCs w:val="20"/>
                <w:color w:val="auto"/>
              </w:rPr>
            </w:pPr>
          </w:p>
        </w:tc>
        <w:tc>
          <w:tcPr>
            <w:tcW w:w="360" w:type="dxa"/>
            <w:vAlign w:val="bottom"/>
            <w:tcBorders>
              <w:top w:val="single" w:sz="8" w:color="auto"/>
            </w:tcBorders>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24,099</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charges - continuing operations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7,383</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1,551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1,342</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10,276</w:t>
            </w: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Release of reserves - continuing operations</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(937)</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(145)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(337)</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(1,419)</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charges - discontinued operations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7,015</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3,560</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10,584</w:t>
            </w: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Net cash payments</w:t>
            </w:r>
          </w:p>
        </w:tc>
        <w:tc>
          <w:tcPr>
            <w:tcW w:w="240" w:type="dxa"/>
            <w:vAlign w:val="bottom"/>
          </w:tcPr>
          <w:p>
            <w:pPr>
              <w:spacing w:after="0"/>
              <w:rPr>
                <w:sz w:val="21"/>
                <w:szCs w:val="21"/>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(29,040)</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(2,998)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(5,152)</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(37,190)</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Other</w:t>
            </w:r>
          </w:p>
        </w:tc>
        <w:tc>
          <w:tcPr>
            <w:tcW w:w="240" w:type="dxa"/>
            <w:vAlign w:val="bottom"/>
            <w:tcBorders>
              <w:bottom w:val="single" w:sz="8" w:color="CCEEFF"/>
            </w:tcBorders>
            <w:shd w:val="clear" w:color="auto" w:fill="CCEEFF"/>
          </w:tcPr>
          <w:p>
            <w:pPr>
              <w:spacing w:after="0"/>
              <w:rPr>
                <w:sz w:val="23"/>
                <w:szCs w:val="23"/>
                <w:color w:val="auto"/>
              </w:rPr>
            </w:pPr>
          </w:p>
        </w:tc>
        <w:tc>
          <w:tcPr>
            <w:tcW w:w="1380" w:type="dxa"/>
            <w:vAlign w:val="bottom"/>
            <w:tcBorders>
              <w:bottom w:val="single" w:sz="8" w:color="CCEEFF"/>
            </w:tcBorders>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5"/>
              <w:spacing w:after="0"/>
              <w:rPr>
                <w:sz w:val="20"/>
                <w:szCs w:val="20"/>
                <w:color w:val="auto"/>
              </w:rPr>
            </w:pPr>
            <w:r>
              <w:rPr>
                <w:rFonts w:ascii="Arial" w:cs="Arial" w:eastAsia="Arial" w:hAnsi="Arial"/>
                <w:sz w:val="18"/>
                <w:szCs w:val="18"/>
                <w:color w:val="auto"/>
              </w:rPr>
              <w:t>1,792</w:t>
            </w:r>
          </w:p>
        </w:tc>
        <w:tc>
          <w:tcPr>
            <w:tcW w:w="100" w:type="dxa"/>
            <w:vAlign w:val="bottom"/>
            <w:tcBorders>
              <w:bottom w:val="single" w:sz="8" w:color="CCEEFF"/>
            </w:tcBorders>
            <w:shd w:val="clear" w:color="auto" w:fill="CCEEFF"/>
          </w:tcPr>
          <w:p>
            <w:pPr>
              <w:spacing w:after="0"/>
              <w:rPr>
                <w:sz w:val="23"/>
                <w:szCs w:val="23"/>
                <w:color w:val="auto"/>
              </w:rPr>
            </w:pPr>
          </w:p>
        </w:tc>
        <w:tc>
          <w:tcPr>
            <w:tcW w:w="36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1,792</w:t>
            </w:r>
          </w:p>
        </w:tc>
        <w:tc>
          <w:tcPr>
            <w:tcW w:w="0" w:type="dxa"/>
            <w:vAlign w:val="bottom"/>
          </w:tcPr>
          <w:p>
            <w:pPr>
              <w:spacing w:after="0"/>
              <w:rPr>
                <w:sz w:val="1"/>
                <w:szCs w:val="1"/>
                <w:color w:val="auto"/>
              </w:rPr>
            </w:pPr>
          </w:p>
        </w:tc>
      </w:tr>
      <w:tr>
        <w:trPr>
          <w:trHeight w:val="237"/>
        </w:trPr>
        <w:tc>
          <w:tcPr>
            <w:tcW w:w="5160" w:type="dxa"/>
            <w:vAlign w:val="bottom"/>
          </w:tcPr>
          <w:p>
            <w:pPr>
              <w:ind w:left="40"/>
              <w:spacing w:after="0"/>
              <w:rPr>
                <w:sz w:val="20"/>
                <w:szCs w:val="20"/>
                <w:color w:val="auto"/>
              </w:rPr>
            </w:pPr>
            <w:r>
              <w:rPr>
                <w:rFonts w:ascii="Arial" w:cs="Arial" w:eastAsia="Arial" w:hAnsi="Arial"/>
                <w:sz w:val="18"/>
                <w:szCs w:val="18"/>
                <w:color w:val="auto"/>
              </w:rPr>
              <w:t>Balance at October 28, 2017</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1,421</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891</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5"/>
              <w:spacing w:after="0"/>
              <w:rPr>
                <w:sz w:val="20"/>
                <w:szCs w:val="20"/>
                <w:color w:val="auto"/>
              </w:rPr>
            </w:pPr>
            <w:r>
              <w:rPr>
                <w:rFonts w:ascii="Arial" w:cs="Arial" w:eastAsia="Arial" w:hAnsi="Arial"/>
                <w:sz w:val="18"/>
                <w:szCs w:val="18"/>
                <w:color w:val="auto"/>
              </w:rPr>
              <w:t>5,830</w:t>
            </w:r>
          </w:p>
        </w:tc>
        <w:tc>
          <w:tcPr>
            <w:tcW w:w="100" w:type="dxa"/>
            <w:vAlign w:val="bottom"/>
          </w:tcPr>
          <w:p>
            <w:pPr>
              <w:spacing w:after="0"/>
              <w:rPr>
                <w:sz w:val="20"/>
                <w:szCs w:val="20"/>
                <w:color w:val="auto"/>
              </w:rPr>
            </w:pPr>
          </w:p>
        </w:tc>
        <w:tc>
          <w:tcPr>
            <w:tcW w:w="360" w:type="dxa"/>
            <w:vAlign w:val="bottom"/>
            <w:tcBorders>
              <w:top w:val="single" w:sz="8" w:color="auto"/>
            </w:tcBorders>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8,142</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516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02"/>
        </w:trPr>
        <w:tc>
          <w:tcPr>
            <w:tcW w:w="5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jc w:val="right"/>
              <w:ind w:right="776"/>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40" w:right="239" w:bottom="1440" w:gutter="0" w:footer="0" w:header="0"/>
        </w:sectPr>
      </w:pPr>
    </w:p>
    <w:bookmarkStart w:id="12" w:name="page13"/>
    <w:bookmarkEnd w:id="1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8" w:lineRule="exact"/>
        <w:rPr>
          <w:sz w:val="20"/>
          <w:szCs w:val="20"/>
          <w:color w:val="auto"/>
        </w:rPr>
      </w:pPr>
    </w:p>
    <w:p>
      <w:pPr>
        <w:ind w:right="60" w:firstLine="432"/>
        <w:spacing w:after="0" w:line="270" w:lineRule="auto"/>
        <w:rPr>
          <w:sz w:val="20"/>
          <w:szCs w:val="20"/>
          <w:color w:val="auto"/>
        </w:rPr>
      </w:pPr>
      <w:r>
        <w:rPr>
          <w:rFonts w:ascii="Arial" w:cs="Arial" w:eastAsia="Arial" w:hAnsi="Arial"/>
          <w:sz w:val="17"/>
          <w:szCs w:val="17"/>
          <w:color w:val="auto"/>
        </w:rPr>
        <w:t>The remaining accrued severance represents termination benefits determined to have been established under a substantive ongoing benefit arrangement for which payment was considered probable due to the timing of notification to certain additional employee groups, and is expected to be paid in the fourth quarter of fiscal 2018 through first quarter of fiscal 2019. Severance charges of $0.9 million and $7.0 million in the three and nine months ended October 28, 2017, respectively, relate to discontinued operations and have been included in income (loss) from discontinued operations, net of tax, in the Company's condensed consolidated statements of operations. Other exit-related costs of $3.6 million in both the three and nine months ended October 28, 2017, respectively, relate to discontinued operations and have been included in income (loss) from discontinued operations, net of tax, in the Company's condensed consolidated statements of operations. The accrued balance at October 28, 2017 for facilities and related costs includes remaining payments under lease obligations related to vacated space that are expected to be paid through fiscal 2020. Other exit-related costs are expected to be paid in the fourth quarter of fiscal 2018 through first quarter of fiscal 2019.</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Supplemental Financial Information (in thousands)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3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40"/>
              <w:spacing w:after="0"/>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3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Inventories: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Work-in-process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7"/>
              <w:spacing w:after="0"/>
              <w:rPr>
                <w:sz w:val="20"/>
                <w:szCs w:val="20"/>
                <w:color w:val="auto"/>
              </w:rPr>
            </w:pPr>
            <w:r>
              <w:rPr>
                <w:rFonts w:ascii="Arial" w:cs="Arial" w:eastAsia="Arial" w:hAnsi="Arial"/>
                <w:sz w:val="18"/>
                <w:szCs w:val="18"/>
                <w:color w:val="auto"/>
              </w:rPr>
              <w:t>123,351</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7"/>
              <w:spacing w:after="0"/>
              <w:rPr>
                <w:sz w:val="20"/>
                <w:szCs w:val="20"/>
                <w:color w:val="auto"/>
              </w:rPr>
            </w:pPr>
            <w:r>
              <w:rPr>
                <w:rFonts w:ascii="Arial" w:cs="Arial" w:eastAsia="Arial" w:hAnsi="Arial"/>
                <w:sz w:val="18"/>
                <w:szCs w:val="18"/>
                <w:color w:val="auto"/>
              </w:rPr>
              <w:t>109,362</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Finished goods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50,390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61,480</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Total inventories</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173,741</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170,842</w:t>
            </w:r>
          </w:p>
        </w:tc>
      </w:tr>
      <w:tr>
        <w:trPr>
          <w:trHeight w:val="27"/>
        </w:trPr>
        <w:tc>
          <w:tcPr>
            <w:tcW w:w="83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Inventory held by third-party logistics providers is recorded as consigned inventory on the Company’s unaudited condensed consolidated balance sheet.</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The amount of inventory held at third-party logistics providers was $12.8 million and $26.5 million at October 28, 2017 and January 28, 2017, respectively.</w:t>
      </w:r>
    </w:p>
    <w:p>
      <w:pPr>
        <w:spacing w:after="0" w:line="3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60" w:type="dxa"/>
            <w:vAlign w:val="bottom"/>
            <w:gridSpan w:val="2"/>
          </w:tcPr>
          <w:p>
            <w:pPr>
              <w:ind w:left="140"/>
              <w:spacing w:after="0"/>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240" w:type="dxa"/>
            <w:vAlign w:val="bottom"/>
          </w:tcPr>
          <w:p>
            <w:pPr>
              <w:jc w:val="right"/>
              <w:ind w:right="314"/>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3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Property and equipment, net:</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Machinery and equipment</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525,825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589,280</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Land, buildings, and leasehold improvements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245,276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296,800</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Computer software</w:t>
            </w:r>
          </w:p>
        </w:tc>
        <w:tc>
          <w:tcPr>
            <w:tcW w:w="240" w:type="dxa"/>
            <w:vAlign w:val="bottom"/>
          </w:tcPr>
          <w:p>
            <w:pPr>
              <w:spacing w:after="0"/>
              <w:rPr>
                <w:sz w:val="21"/>
                <w:szCs w:val="21"/>
                <w:color w:val="auto"/>
              </w:rPr>
            </w:pPr>
          </w:p>
        </w:tc>
        <w:tc>
          <w:tcPr>
            <w:tcW w:w="1260" w:type="dxa"/>
            <w:vAlign w:val="bottom"/>
          </w:tcPr>
          <w:p>
            <w:pPr>
              <w:jc w:val="right"/>
              <w:ind w:right="34"/>
              <w:spacing w:after="0"/>
              <w:rPr>
                <w:sz w:val="20"/>
                <w:szCs w:val="20"/>
                <w:color w:val="auto"/>
              </w:rPr>
            </w:pPr>
            <w:r>
              <w:rPr>
                <w:rFonts w:ascii="Arial" w:cs="Arial" w:eastAsia="Arial" w:hAnsi="Arial"/>
                <w:sz w:val="18"/>
                <w:szCs w:val="18"/>
                <w:color w:val="auto"/>
              </w:rPr>
              <w:t>98,185</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34"/>
              <w:spacing w:after="0"/>
              <w:rPr>
                <w:sz w:val="20"/>
                <w:szCs w:val="20"/>
                <w:color w:val="auto"/>
              </w:rPr>
            </w:pPr>
            <w:r>
              <w:rPr>
                <w:rFonts w:ascii="Arial" w:cs="Arial" w:eastAsia="Arial" w:hAnsi="Arial"/>
                <w:sz w:val="18"/>
                <w:szCs w:val="18"/>
                <w:color w:val="auto"/>
              </w:rPr>
              <w:t>99,186</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Furniture and fixtures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21,287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23,978</w:t>
            </w:r>
          </w:p>
        </w:tc>
      </w:tr>
      <w:tr>
        <w:trPr>
          <w:trHeight w:val="237"/>
        </w:trPr>
        <w:tc>
          <w:tcPr>
            <w:tcW w:w="832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6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890,573</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1,009,244</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Less: Accumulated depreciation and amortization</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(692,400)</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(765,847)</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Total property and equipment, net</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198,173</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4"/>
              <w:spacing w:after="0"/>
              <w:rPr>
                <w:sz w:val="20"/>
                <w:szCs w:val="20"/>
                <w:color w:val="auto"/>
              </w:rPr>
            </w:pPr>
            <w:r>
              <w:rPr>
                <w:rFonts w:ascii="Arial" w:cs="Arial" w:eastAsia="Arial" w:hAnsi="Arial"/>
                <w:sz w:val="18"/>
                <w:szCs w:val="18"/>
                <w:color w:val="auto"/>
              </w:rPr>
              <w:t>243,397</w:t>
            </w:r>
          </w:p>
        </w:tc>
      </w:tr>
      <w:tr>
        <w:trPr>
          <w:trHeight w:val="27"/>
        </w:trPr>
        <w:tc>
          <w:tcPr>
            <w:tcW w:w="83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400"/>
          </w:cols>
          <w:pgMar w:left="240" w:top="140" w:right="259" w:bottom="1440" w:gutter="0" w:footer="0" w:header="0"/>
        </w:sectPr>
      </w:pPr>
    </w:p>
    <w:bookmarkStart w:id="13" w:name="page14"/>
    <w:bookmarkEnd w:id="1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Current accrued liabilities are comprised of the following at October 28, 2017 and January 28, 2017, respectively:</w:t>
      </w:r>
    </w:p>
    <w:p>
      <w:pPr>
        <w:spacing w:after="0" w:line="366"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20"/>
              <w:spacing w:after="0"/>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4"/>
                <w:szCs w:val="14"/>
                <w:color w:val="auto"/>
              </w:rPr>
            </w:pPr>
          </w:p>
        </w:tc>
        <w:tc>
          <w:tcPr>
            <w:tcW w:w="1220" w:type="dxa"/>
            <w:vAlign w:val="bottom"/>
          </w:tcPr>
          <w:p>
            <w:pPr>
              <w:jc w:val="right"/>
              <w:ind w:right="294"/>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3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jc w:val="right"/>
              <w:ind w:right="494"/>
              <w:spacing w:after="0"/>
              <w:rPr>
                <w:sz w:val="20"/>
                <w:szCs w:val="20"/>
                <w:color w:val="auto"/>
              </w:rPr>
            </w:pPr>
            <w:r>
              <w:rPr>
                <w:rFonts w:ascii="Arial" w:cs="Arial" w:eastAsia="Arial" w:hAnsi="Arial"/>
                <w:sz w:val="14"/>
                <w:szCs w:val="14"/>
                <w:b w:val="1"/>
                <w:bCs w:val="1"/>
                <w:color w:val="auto"/>
              </w:rPr>
              <w:t>2017</w:t>
            </w: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Technology license obligations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21,319</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21,905</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royalties</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15,318</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17,349</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Accrued rebates</w:t>
            </w: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10,920</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26,095</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Accrued legal related expenses</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13,164</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7,727</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Unsettled investment trades</w:t>
            </w: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11,194</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15,371</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Restructuring liabilities</w:t>
            </w: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7,826</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23,150</w:t>
            </w:r>
          </w:p>
        </w:tc>
      </w:tr>
      <w:tr>
        <w:trPr>
          <w:trHeight w:val="243"/>
        </w:trPr>
        <w:tc>
          <w:tcPr>
            <w:tcW w:w="8320" w:type="dxa"/>
            <w:vAlign w:val="bottom"/>
          </w:tcPr>
          <w:p>
            <w:pPr>
              <w:ind w:left="20"/>
              <w:spacing w:after="0"/>
              <w:rPr>
                <w:sz w:val="20"/>
                <w:szCs w:val="20"/>
                <w:color w:val="auto"/>
              </w:rPr>
            </w:pPr>
            <w:r>
              <w:rPr>
                <w:rFonts w:ascii="Arial" w:cs="Arial" w:eastAsia="Arial" w:hAnsi="Arial"/>
                <w:sz w:val="18"/>
                <w:szCs w:val="18"/>
                <w:color w:val="auto"/>
              </w:rPr>
              <w:t>Other</w:t>
            </w: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28,266</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20" w:type="dxa"/>
            <w:vAlign w:val="bottom"/>
          </w:tcPr>
          <w:p>
            <w:pPr>
              <w:jc w:val="right"/>
              <w:ind w:right="14"/>
              <w:spacing w:after="0"/>
              <w:rPr>
                <w:sz w:val="20"/>
                <w:szCs w:val="20"/>
                <w:color w:val="auto"/>
              </w:rPr>
            </w:pPr>
            <w:r>
              <w:rPr>
                <w:rFonts w:ascii="Arial" w:cs="Arial" w:eastAsia="Arial" w:hAnsi="Arial"/>
                <w:sz w:val="18"/>
                <w:szCs w:val="18"/>
                <w:color w:val="auto"/>
              </w:rPr>
              <w:t>31,894</w:t>
            </w:r>
          </w:p>
        </w:tc>
      </w:tr>
      <w:tr>
        <w:trPr>
          <w:trHeight w:val="27"/>
        </w:trPr>
        <w:tc>
          <w:tcPr>
            <w:tcW w:w="83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9"/>
        </w:trPr>
        <w:tc>
          <w:tcPr>
            <w:tcW w:w="83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accrued liabilities</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108,007</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143,491</w:t>
            </w:r>
          </w:p>
        </w:tc>
      </w:tr>
      <w:tr>
        <w:trPr>
          <w:trHeight w:val="20"/>
        </w:trPr>
        <w:tc>
          <w:tcPr>
            <w:tcW w:w="83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r>
    </w:tbl>
    <w:p>
      <w:pPr>
        <w:spacing w:after="0" w:line="202" w:lineRule="exact"/>
        <w:rPr>
          <w:sz w:val="20"/>
          <w:szCs w:val="20"/>
          <w:color w:val="auto"/>
        </w:rPr>
      </w:pPr>
    </w:p>
    <w:p>
      <w:pPr>
        <w:ind w:right="120" w:firstLine="405"/>
        <w:spacing w:after="0" w:line="259" w:lineRule="auto"/>
        <w:rPr>
          <w:sz w:val="20"/>
          <w:szCs w:val="20"/>
          <w:color w:val="auto"/>
        </w:rPr>
      </w:pPr>
      <w:r>
        <w:rPr>
          <w:rFonts w:ascii="Arial" w:cs="Arial" w:eastAsia="Arial" w:hAnsi="Arial"/>
          <w:sz w:val="18"/>
          <w:szCs w:val="18"/>
          <w:color w:val="auto"/>
        </w:rPr>
        <w:t>Unsettled investment trades represent the accrual to address the timing difference between trade date and cash settlement date. Other restructuring related accrued liabilities of $0.3 million and $1.0 million as of October 28, 2017 and January 28, 2017, respectively, are included in other non-current liabilities and accounts payable in the accompanying condensed consolidated balance sheets, not presented within current accrued liabilities above due to the nature of the balances.</w:t>
      </w:r>
    </w:p>
    <w:p>
      <w:pPr>
        <w:spacing w:after="0" w:line="32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3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360" w:type="dxa"/>
            <w:vAlign w:val="bottom"/>
            <w:gridSpan w:val="2"/>
          </w:tcPr>
          <w:p>
            <w:pPr>
              <w:ind w:left="140"/>
              <w:spacing w:after="0"/>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4"/>
                <w:szCs w:val="14"/>
                <w:color w:val="auto"/>
              </w:rPr>
            </w:pPr>
          </w:p>
        </w:tc>
        <w:tc>
          <w:tcPr>
            <w:tcW w:w="1240" w:type="dxa"/>
            <w:vAlign w:val="bottom"/>
          </w:tcPr>
          <w:p>
            <w:pPr>
              <w:jc w:val="right"/>
              <w:ind w:right="317"/>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3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2017</w:t>
            </w: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Deferred income: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Deferred revenue</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7"/>
              <w:spacing w:after="0"/>
              <w:rPr>
                <w:sz w:val="20"/>
                <w:szCs w:val="20"/>
                <w:color w:val="auto"/>
              </w:rPr>
            </w:pPr>
            <w:r>
              <w:rPr>
                <w:rFonts w:ascii="Arial" w:cs="Arial" w:eastAsia="Arial" w:hAnsi="Arial"/>
                <w:sz w:val="18"/>
                <w:szCs w:val="18"/>
                <w:color w:val="auto"/>
              </w:rPr>
              <w:t>98,021</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37"/>
              <w:spacing w:after="0"/>
              <w:rPr>
                <w:sz w:val="20"/>
                <w:szCs w:val="20"/>
                <w:color w:val="auto"/>
              </w:rPr>
            </w:pPr>
            <w:r>
              <w:rPr>
                <w:rFonts w:ascii="Arial" w:cs="Arial" w:eastAsia="Arial" w:hAnsi="Arial"/>
                <w:sz w:val="18"/>
                <w:szCs w:val="18"/>
                <w:color w:val="auto"/>
              </w:rPr>
              <w:t>87,968</w:t>
            </w:r>
          </w:p>
        </w:tc>
      </w:tr>
      <w:tr>
        <w:trPr>
          <w:trHeight w:val="27"/>
        </w:trPr>
        <w:tc>
          <w:tcPr>
            <w:tcW w:w="83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Deferred cost of goods sold</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(23,078)</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(23,992)</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Deferred income</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74,943</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7"/>
              <w:spacing w:after="0"/>
              <w:rPr>
                <w:sz w:val="20"/>
                <w:szCs w:val="20"/>
                <w:color w:val="auto"/>
              </w:rPr>
            </w:pPr>
            <w:r>
              <w:rPr>
                <w:rFonts w:ascii="Arial" w:cs="Arial" w:eastAsia="Arial" w:hAnsi="Arial"/>
                <w:sz w:val="18"/>
                <w:szCs w:val="18"/>
                <w:color w:val="auto"/>
              </w:rPr>
              <w:t>63,976</w:t>
            </w:r>
          </w:p>
        </w:tc>
      </w:tr>
      <w:tr>
        <w:trPr>
          <w:trHeight w:val="27"/>
        </w:trPr>
        <w:tc>
          <w:tcPr>
            <w:tcW w:w="832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20"/>
          </w:cols>
          <w:pgMar w:left="240" w:top="140" w:right="239" w:bottom="1440" w:gutter="0" w:footer="0" w:header="0"/>
        </w:sectPr>
      </w:pPr>
    </w:p>
    <w:p>
      <w:pPr>
        <w:spacing w:after="0" w:line="128" w:lineRule="exact"/>
        <w:rPr>
          <w:sz w:val="20"/>
          <w:szCs w:val="20"/>
          <w:color w:val="auto"/>
        </w:rPr>
      </w:pPr>
    </w:p>
    <w:p>
      <w:pPr>
        <w:ind w:left="8700"/>
        <w:spacing w:after="0"/>
        <w:rPr>
          <w:sz w:val="20"/>
          <w:szCs w:val="20"/>
          <w:color w:val="auto"/>
        </w:rPr>
      </w:pPr>
      <w:r>
        <w:rPr>
          <w:rFonts w:ascii="Arial" w:cs="Arial" w:eastAsia="Arial" w:hAnsi="Arial"/>
          <w:sz w:val="13"/>
          <w:szCs w:val="13"/>
          <w:b w:val="1"/>
          <w:bCs w:val="1"/>
          <w:color w:val="auto"/>
        </w:rPr>
        <w:t>October 28,</w:t>
      </w:r>
    </w:p>
    <w:p>
      <w:pPr>
        <w:spacing w:after="0" w:line="15" w:lineRule="exact"/>
        <w:rPr>
          <w:sz w:val="20"/>
          <w:szCs w:val="20"/>
          <w:color w:val="auto"/>
        </w:rPr>
      </w:pPr>
    </w:p>
    <w:p>
      <w:pPr>
        <w:ind w:left="8920"/>
        <w:spacing w:after="0"/>
        <w:rPr>
          <w:sz w:val="20"/>
          <w:szCs w:val="20"/>
          <w:color w:val="auto"/>
        </w:rPr>
      </w:pPr>
      <w:r>
        <w:rPr>
          <w:rFonts w:ascii="Arial" w:cs="Arial" w:eastAsia="Arial" w:hAnsi="Arial"/>
          <w:sz w:val="14"/>
          <w:szCs w:val="14"/>
          <w:b w:val="1"/>
          <w:bCs w:val="1"/>
          <w:color w:val="auto"/>
        </w:rPr>
        <w:t>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13335</wp:posOffset>
            </wp:positionV>
            <wp:extent cx="7229475" cy="1803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29475" cy="18034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08"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January 28,</w:t>
      </w:r>
    </w:p>
    <w:p>
      <w:pPr>
        <w:spacing w:after="0" w:line="15" w:lineRule="exact"/>
        <w:rPr>
          <w:sz w:val="20"/>
          <w:szCs w:val="20"/>
          <w:color w:val="auto"/>
        </w:rPr>
      </w:pPr>
    </w:p>
    <w:p>
      <w:pPr>
        <w:ind w:left="240"/>
        <w:spacing w:after="0"/>
        <w:rPr>
          <w:sz w:val="20"/>
          <w:szCs w:val="20"/>
          <w:color w:val="auto"/>
        </w:rPr>
      </w:pPr>
      <w:r>
        <w:rPr>
          <w:rFonts w:ascii="Arial" w:cs="Arial" w:eastAsia="Arial" w:hAnsi="Arial"/>
          <w:sz w:val="14"/>
          <w:szCs w:val="14"/>
          <w:b w:val="1"/>
          <w:bCs w:val="1"/>
          <w:color w:val="auto"/>
        </w:rPr>
        <w:t>2017</w:t>
      </w:r>
    </w:p>
    <w:p>
      <w:pPr>
        <w:spacing w:after="0" w:line="30" w:lineRule="exact"/>
        <w:rPr>
          <w:sz w:val="20"/>
          <w:szCs w:val="20"/>
          <w:color w:val="auto"/>
        </w:rPr>
      </w:pPr>
    </w:p>
    <w:p>
      <w:pPr>
        <w:sectPr>
          <w:pgSz w:w="11900" w:h="16838" w:orient="portrait"/>
          <w:cols w:equalWidth="0" w:num="2">
            <w:col w:w="9560" w:space="720"/>
            <w:col w:w="1140"/>
          </w:cols>
          <w:pgMar w:left="240" w:top="140" w:right="239" w:bottom="1440" w:gutter="0" w:footer="0" w:header="0"/>
          <w:type w:val="continuous"/>
        </w:sectPr>
      </w:pPr>
    </w:p>
    <w:p>
      <w:pPr>
        <w:ind w:left="40"/>
        <w:spacing w:after="0"/>
        <w:rPr>
          <w:sz w:val="20"/>
          <w:szCs w:val="20"/>
          <w:color w:val="auto"/>
        </w:rPr>
      </w:pPr>
      <w:r>
        <w:rPr>
          <w:rFonts w:ascii="Arial" w:cs="Arial" w:eastAsia="Arial" w:hAnsi="Arial"/>
          <w:sz w:val="18"/>
          <w:szCs w:val="18"/>
          <w:b w:val="1"/>
          <w:bCs w:val="1"/>
          <w:color w:val="auto"/>
        </w:rPr>
        <w:t>Other non-current liabilities:</w:t>
      </w:r>
    </w:p>
    <w:p>
      <w:pPr>
        <w:spacing w:after="0" w:line="8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8320" w:type="dxa"/>
            <w:vAlign w:val="bottom"/>
          </w:tcPr>
          <w:p>
            <w:pPr>
              <w:ind w:left="40"/>
              <w:spacing w:after="0"/>
              <w:rPr>
                <w:sz w:val="20"/>
                <w:szCs w:val="20"/>
                <w:color w:val="auto"/>
              </w:rPr>
            </w:pPr>
            <w:r>
              <w:rPr>
                <w:rFonts w:ascii="Arial" w:cs="Arial" w:eastAsia="Arial" w:hAnsi="Arial"/>
                <w:sz w:val="18"/>
                <w:szCs w:val="18"/>
                <w:color w:val="auto"/>
              </w:rPr>
              <w:t>Deferred tax liabilities</w:t>
            </w:r>
          </w:p>
        </w:tc>
        <w:tc>
          <w:tcPr>
            <w:tcW w:w="500" w:type="dxa"/>
            <w:vAlign w:val="bottom"/>
          </w:tcPr>
          <w:p>
            <w:pPr>
              <w:jc w:val="right"/>
              <w:ind w:right="290"/>
              <w:spacing w:after="0"/>
              <w:rPr>
                <w:sz w:val="20"/>
                <w:szCs w:val="20"/>
                <w:color w:val="auto"/>
              </w:rPr>
            </w:pPr>
            <w:r>
              <w:rPr>
                <w:rFonts w:ascii="Arial" w:cs="Arial" w:eastAsia="Arial" w:hAnsi="Arial"/>
                <w:sz w:val="18"/>
                <w:szCs w:val="18"/>
                <w:color w:val="auto"/>
                <w:w w:val="99"/>
              </w:rPr>
              <w:t>$</w:t>
            </w:r>
          </w:p>
        </w:tc>
        <w:tc>
          <w:tcPr>
            <w:tcW w:w="1000" w:type="dxa"/>
            <w:vAlign w:val="bottom"/>
          </w:tcPr>
          <w:p>
            <w:pPr>
              <w:jc w:val="right"/>
              <w:ind w:right="30"/>
              <w:spacing w:after="0"/>
              <w:rPr>
                <w:sz w:val="20"/>
                <w:szCs w:val="20"/>
                <w:color w:val="auto"/>
              </w:rPr>
            </w:pPr>
            <w:r>
              <w:rPr>
                <w:rFonts w:ascii="Arial" w:cs="Arial" w:eastAsia="Arial" w:hAnsi="Arial"/>
                <w:sz w:val="18"/>
                <w:szCs w:val="18"/>
                <w:color w:val="auto"/>
              </w:rPr>
              <w:t>51,129</w:t>
            </w:r>
          </w:p>
        </w:tc>
        <w:tc>
          <w:tcPr>
            <w:tcW w:w="100" w:type="dxa"/>
            <w:vAlign w:val="bottom"/>
          </w:tcPr>
          <w:p>
            <w:pPr>
              <w:spacing w:after="0"/>
              <w:rPr>
                <w:sz w:val="20"/>
                <w:szCs w:val="20"/>
                <w:color w:val="auto"/>
              </w:rPr>
            </w:pPr>
          </w:p>
        </w:tc>
        <w:tc>
          <w:tcPr>
            <w:tcW w:w="500" w:type="dxa"/>
            <w:vAlign w:val="bottom"/>
          </w:tcPr>
          <w:p>
            <w:pPr>
              <w:jc w:val="right"/>
              <w:ind w:right="29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38,777</w:t>
            </w:r>
          </w:p>
        </w:tc>
      </w:tr>
      <w:tr>
        <w:trPr>
          <w:trHeight w:val="27"/>
        </w:trPr>
        <w:tc>
          <w:tcPr>
            <w:tcW w:w="832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5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Technology license obligations</w:t>
            </w:r>
          </w:p>
        </w:tc>
        <w:tc>
          <w:tcPr>
            <w:tcW w:w="500" w:type="dxa"/>
            <w:vAlign w:val="bottom"/>
            <w:tcBorders>
              <w:bottom w:val="single" w:sz="8" w:color="CCEEFF"/>
            </w:tcBorders>
            <w:shd w:val="clear" w:color="auto" w:fill="CCEEFF"/>
          </w:tcPr>
          <w:p>
            <w:pPr>
              <w:spacing w:after="0"/>
              <w:rPr>
                <w:sz w:val="21"/>
                <w:szCs w:val="21"/>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32,948</w:t>
            </w:r>
          </w:p>
        </w:tc>
        <w:tc>
          <w:tcPr>
            <w:tcW w:w="10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14,949</w:t>
            </w:r>
          </w:p>
        </w:tc>
      </w:tr>
      <w:tr>
        <w:trPr>
          <w:trHeight w:val="243"/>
        </w:trPr>
        <w:tc>
          <w:tcPr>
            <w:tcW w:w="8320" w:type="dxa"/>
            <w:vAlign w:val="bottom"/>
          </w:tcPr>
          <w:p>
            <w:pPr>
              <w:ind w:left="40"/>
              <w:spacing w:after="0"/>
              <w:rPr>
                <w:sz w:val="20"/>
                <w:szCs w:val="20"/>
                <w:color w:val="auto"/>
              </w:rPr>
            </w:pPr>
            <w:r>
              <w:rPr>
                <w:rFonts w:ascii="Arial" w:cs="Arial" w:eastAsia="Arial" w:hAnsi="Arial"/>
                <w:sz w:val="18"/>
                <w:szCs w:val="18"/>
                <w:color w:val="auto"/>
              </w:rPr>
              <w:t>Long-term accrued employee compensation</w:t>
            </w:r>
          </w:p>
        </w:tc>
        <w:tc>
          <w:tcPr>
            <w:tcW w:w="500" w:type="dxa"/>
            <w:vAlign w:val="bottom"/>
          </w:tcPr>
          <w:p>
            <w:pPr>
              <w:spacing w:after="0"/>
              <w:rPr>
                <w:sz w:val="21"/>
                <w:szCs w:val="21"/>
                <w:color w:val="auto"/>
              </w:rPr>
            </w:pPr>
          </w:p>
        </w:tc>
        <w:tc>
          <w:tcPr>
            <w:tcW w:w="1000" w:type="dxa"/>
            <w:vAlign w:val="bottom"/>
          </w:tcPr>
          <w:p>
            <w:pPr>
              <w:jc w:val="right"/>
              <w:ind w:right="30"/>
              <w:spacing w:after="0"/>
              <w:rPr>
                <w:sz w:val="20"/>
                <w:szCs w:val="20"/>
                <w:color w:val="auto"/>
              </w:rPr>
            </w:pPr>
            <w:r>
              <w:rPr>
                <w:rFonts w:ascii="Arial" w:cs="Arial" w:eastAsia="Arial" w:hAnsi="Arial"/>
                <w:sz w:val="18"/>
                <w:szCs w:val="18"/>
                <w:color w:val="auto"/>
              </w:rPr>
              <w:t>931</w:t>
            </w:r>
          </w:p>
        </w:tc>
        <w:tc>
          <w:tcPr>
            <w:tcW w:w="1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980" w:type="dxa"/>
            <w:vAlign w:val="bottom"/>
          </w:tcPr>
          <w:p>
            <w:pPr>
              <w:jc w:val="right"/>
              <w:ind w:right="30"/>
              <w:spacing w:after="0"/>
              <w:rPr>
                <w:sz w:val="20"/>
                <w:szCs w:val="20"/>
                <w:color w:val="auto"/>
              </w:rPr>
            </w:pPr>
            <w:r>
              <w:rPr>
                <w:rFonts w:ascii="Arial" w:cs="Arial" w:eastAsia="Arial" w:hAnsi="Arial"/>
                <w:sz w:val="18"/>
                <w:szCs w:val="18"/>
                <w:color w:val="auto"/>
              </w:rPr>
              <w:t>4,075</w:t>
            </w:r>
          </w:p>
        </w:tc>
      </w:tr>
      <w:tr>
        <w:trPr>
          <w:trHeight w:val="27"/>
        </w:trPr>
        <w:tc>
          <w:tcPr>
            <w:tcW w:w="8320" w:type="dxa"/>
            <w:vAlign w:val="bottom"/>
          </w:tcPr>
          <w:p>
            <w:pPr>
              <w:spacing w:after="0"/>
              <w:rPr>
                <w:sz w:val="2"/>
                <w:szCs w:val="2"/>
                <w:color w:val="auto"/>
              </w:rPr>
            </w:pPr>
          </w:p>
        </w:tc>
        <w:tc>
          <w:tcPr>
            <w:tcW w:w="5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Pr>
          <w:p>
            <w:pPr>
              <w:spacing w:after="0"/>
              <w:rPr>
                <w:sz w:val="2"/>
                <w:szCs w:val="2"/>
                <w:color w:val="auto"/>
              </w:rPr>
            </w:pPr>
          </w:p>
        </w:tc>
        <w:tc>
          <w:tcPr>
            <w:tcW w:w="980" w:type="dxa"/>
            <w:vAlign w:val="bottom"/>
          </w:tcPr>
          <w:p>
            <w:pPr>
              <w:spacing w:after="0"/>
              <w:rPr>
                <w:sz w:val="2"/>
                <w:szCs w:val="2"/>
                <w:color w:val="auto"/>
              </w:rPr>
            </w:pPr>
          </w:p>
        </w:tc>
      </w:tr>
      <w:tr>
        <w:trPr>
          <w:trHeight w:val="270"/>
        </w:trPr>
        <w:tc>
          <w:tcPr>
            <w:tcW w:w="83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w:t>
            </w:r>
          </w:p>
        </w:tc>
        <w:tc>
          <w:tcPr>
            <w:tcW w:w="500" w:type="dxa"/>
            <w:vAlign w:val="bottom"/>
            <w:tcBorders>
              <w:bottom w:val="single" w:sz="8" w:color="CCEEFF"/>
            </w:tcBorders>
            <w:shd w:val="clear" w:color="auto" w:fill="CCEEFF"/>
          </w:tcPr>
          <w:p>
            <w:pPr>
              <w:spacing w:after="0"/>
              <w:rPr>
                <w:sz w:val="23"/>
                <w:szCs w:val="23"/>
                <w:color w:val="auto"/>
              </w:rPr>
            </w:pPr>
          </w:p>
        </w:tc>
        <w:tc>
          <w:tcPr>
            <w:tcW w:w="10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1,525</w:t>
            </w:r>
          </w:p>
        </w:tc>
        <w:tc>
          <w:tcPr>
            <w:tcW w:w="10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6,136</w:t>
            </w:r>
          </w:p>
        </w:tc>
      </w:tr>
      <w:tr>
        <w:trPr>
          <w:trHeight w:val="237"/>
        </w:trPr>
        <w:tc>
          <w:tcPr>
            <w:tcW w:w="8320" w:type="dxa"/>
            <w:vAlign w:val="bottom"/>
          </w:tcPr>
          <w:p>
            <w:pPr>
              <w:ind w:left="40"/>
              <w:spacing w:after="0"/>
              <w:rPr>
                <w:sz w:val="20"/>
                <w:szCs w:val="20"/>
                <w:color w:val="auto"/>
              </w:rPr>
            </w:pPr>
            <w:r>
              <w:rPr>
                <w:rFonts w:ascii="Arial" w:cs="Arial" w:eastAsia="Arial" w:hAnsi="Arial"/>
                <w:sz w:val="18"/>
                <w:szCs w:val="18"/>
                <w:color w:val="auto"/>
              </w:rPr>
              <w:t>Other non-current liabilities</w:t>
            </w:r>
          </w:p>
        </w:tc>
        <w:tc>
          <w:tcPr>
            <w:tcW w:w="500" w:type="dxa"/>
            <w:vAlign w:val="bottom"/>
            <w:tcBorders>
              <w:top w:val="single" w:sz="8" w:color="auto"/>
            </w:tcBorders>
          </w:tcPr>
          <w:p>
            <w:pPr>
              <w:jc w:val="right"/>
              <w:ind w:right="290"/>
              <w:spacing w:after="0"/>
              <w:rPr>
                <w:sz w:val="20"/>
                <w:szCs w:val="20"/>
                <w:color w:val="auto"/>
              </w:rPr>
            </w:pPr>
            <w:r>
              <w:rPr>
                <w:rFonts w:ascii="Arial" w:cs="Arial" w:eastAsia="Arial" w:hAnsi="Arial"/>
                <w:sz w:val="18"/>
                <w:szCs w:val="18"/>
                <w:color w:val="auto"/>
                <w:w w:val="99"/>
              </w:rPr>
              <w:t>$</w:t>
            </w:r>
          </w:p>
        </w:tc>
        <w:tc>
          <w:tcPr>
            <w:tcW w:w="100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86,533</w:t>
            </w:r>
          </w:p>
        </w:tc>
        <w:tc>
          <w:tcPr>
            <w:tcW w:w="100" w:type="dxa"/>
            <w:vAlign w:val="bottom"/>
          </w:tcPr>
          <w:p>
            <w:pPr>
              <w:spacing w:after="0"/>
              <w:rPr>
                <w:sz w:val="20"/>
                <w:szCs w:val="20"/>
                <w:color w:val="auto"/>
              </w:rPr>
            </w:pPr>
          </w:p>
        </w:tc>
        <w:tc>
          <w:tcPr>
            <w:tcW w:w="500" w:type="dxa"/>
            <w:vAlign w:val="bottom"/>
            <w:tcBorders>
              <w:top w:val="single" w:sz="8" w:color="auto"/>
            </w:tcBorders>
          </w:tcPr>
          <w:p>
            <w:pPr>
              <w:jc w:val="right"/>
              <w:ind w:right="290"/>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63,937</w:t>
            </w:r>
          </w:p>
        </w:tc>
      </w:tr>
      <w:tr>
        <w:trPr>
          <w:trHeight w:val="27"/>
        </w:trPr>
        <w:tc>
          <w:tcPr>
            <w:tcW w:w="8320" w:type="dxa"/>
            <w:vAlign w:val="bottom"/>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r>
      <w:tr>
        <w:trPr>
          <w:trHeight w:val="20"/>
        </w:trPr>
        <w:tc>
          <w:tcPr>
            <w:tcW w:w="832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r>
    </w:tbl>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income (loss)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changes in accumulated other comprehensive income (loss) by components are presented in the following tables (in thousands):</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38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5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6"/>
              </w:rPr>
              <w:t>Unrealized Gain</w:t>
            </w:r>
          </w:p>
        </w:tc>
        <w:tc>
          <w:tcPr>
            <w:tcW w:w="180" w:type="dxa"/>
            <w:vAlign w:val="bottom"/>
          </w:tcPr>
          <w:p>
            <w:pPr>
              <w:spacing w:after="0"/>
              <w:rPr>
                <w:sz w:val="14"/>
                <w:szCs w:val="14"/>
                <w:color w:val="auto"/>
              </w:rPr>
            </w:pPr>
          </w:p>
        </w:tc>
        <w:tc>
          <w:tcPr>
            <w:tcW w:w="140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w w:val="94"/>
              </w:rPr>
              <w:t>Unrealized Gain</w:t>
            </w:r>
          </w:p>
        </w:tc>
        <w:tc>
          <w:tcPr>
            <w:tcW w:w="36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38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50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1"/>
              </w:rPr>
              <w:t>(Loss) on</w:t>
            </w:r>
          </w:p>
        </w:tc>
        <w:tc>
          <w:tcPr>
            <w:tcW w:w="180" w:type="dxa"/>
            <w:vAlign w:val="bottom"/>
          </w:tcPr>
          <w:p>
            <w:pPr>
              <w:spacing w:after="0"/>
              <w:rPr>
                <w:sz w:val="12"/>
                <w:szCs w:val="12"/>
                <w:color w:val="auto"/>
              </w:rPr>
            </w:pPr>
          </w:p>
        </w:tc>
        <w:tc>
          <w:tcPr>
            <w:tcW w:w="1400" w:type="dxa"/>
            <w:vAlign w:val="bottom"/>
            <w:gridSpan w:val="2"/>
            <w:vMerge w:val="continue"/>
          </w:tcPr>
          <w:p>
            <w:pPr>
              <w:spacing w:after="0"/>
              <w:rPr>
                <w:sz w:val="12"/>
                <w:szCs w:val="12"/>
                <w:color w:val="auto"/>
              </w:rPr>
            </w:pPr>
          </w:p>
        </w:tc>
        <w:tc>
          <w:tcPr>
            <w:tcW w:w="36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38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5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98"/>
              </w:rPr>
              <w:t>Marketable</w:t>
            </w:r>
          </w:p>
        </w:tc>
        <w:tc>
          <w:tcPr>
            <w:tcW w:w="180" w:type="dxa"/>
            <w:vAlign w:val="bottom"/>
          </w:tcPr>
          <w:p>
            <w:pPr>
              <w:spacing w:after="0"/>
              <w:rPr>
                <w:sz w:val="12"/>
                <w:szCs w:val="12"/>
                <w:color w:val="auto"/>
              </w:rPr>
            </w:pPr>
          </w:p>
        </w:tc>
        <w:tc>
          <w:tcPr>
            <w:tcW w:w="14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(Loss) on Cash</w:t>
            </w:r>
          </w:p>
        </w:tc>
        <w:tc>
          <w:tcPr>
            <w:tcW w:w="360" w:type="dxa"/>
            <w:vAlign w:val="bottom"/>
          </w:tcPr>
          <w:p>
            <w:pPr>
              <w:spacing w:after="0"/>
              <w:rPr>
                <w:sz w:val="12"/>
                <w:szCs w:val="12"/>
                <w:color w:val="auto"/>
              </w:rPr>
            </w:pPr>
          </w:p>
        </w:tc>
        <w:tc>
          <w:tcPr>
            <w:tcW w:w="1120" w:type="dxa"/>
            <w:vAlign w:val="bottom"/>
            <w:vMerge w:val="restart"/>
          </w:tcPr>
          <w:p>
            <w:pPr>
              <w:jc w:val="right"/>
              <w:ind w:right="493"/>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2"/>
        </w:trPr>
        <w:tc>
          <w:tcPr>
            <w:tcW w:w="5380" w:type="dxa"/>
            <w:vAlign w:val="bottom"/>
            <w:tcBorders>
              <w:bottom w:val="single" w:sz="8" w:color="CCEEFF"/>
            </w:tcBorders>
          </w:tcPr>
          <w:p>
            <w:pPr>
              <w:spacing w:after="0"/>
              <w:rPr>
                <w:sz w:val="16"/>
                <w:szCs w:val="16"/>
                <w:color w:val="auto"/>
              </w:rPr>
            </w:pPr>
          </w:p>
        </w:tc>
        <w:tc>
          <w:tcPr>
            <w:tcW w:w="126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jc w:val="center"/>
              <w:ind w:right="158"/>
              <w:spacing w:after="0"/>
              <w:rPr>
                <w:sz w:val="20"/>
                <w:szCs w:val="20"/>
                <w:color w:val="auto"/>
              </w:rPr>
            </w:pPr>
            <w:r>
              <w:rPr>
                <w:rFonts w:ascii="Arial" w:cs="Arial" w:eastAsia="Arial" w:hAnsi="Arial"/>
                <w:sz w:val="14"/>
                <w:szCs w:val="14"/>
                <w:b w:val="1"/>
                <w:bCs w:val="1"/>
                <w:color w:val="auto"/>
                <w:w w:val="89"/>
              </w:rPr>
              <w:t>Securities</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center"/>
              <w:ind w:right="77"/>
              <w:spacing w:after="0"/>
              <w:rPr>
                <w:sz w:val="20"/>
                <w:szCs w:val="20"/>
                <w:color w:val="auto"/>
              </w:rPr>
            </w:pPr>
            <w:r>
              <w:rPr>
                <w:rFonts w:ascii="Arial" w:cs="Arial" w:eastAsia="Arial" w:hAnsi="Arial"/>
                <w:sz w:val="14"/>
                <w:szCs w:val="14"/>
                <w:b w:val="1"/>
                <w:bCs w:val="1"/>
                <w:color w:val="auto"/>
                <w:w w:val="90"/>
              </w:rPr>
              <w:t>Flow Hedges</w:t>
            </w:r>
          </w:p>
        </w:tc>
        <w:tc>
          <w:tcPr>
            <w:tcW w:w="100" w:type="dxa"/>
            <w:vAlign w:val="bottom"/>
            <w:tcBorders>
              <w:bottom w:val="single" w:sz="8" w:color="CCEEFF"/>
            </w:tcBorders>
          </w:tcPr>
          <w:p>
            <w:pPr>
              <w:spacing w:after="0"/>
              <w:rPr>
                <w:sz w:val="16"/>
                <w:szCs w:val="16"/>
                <w:color w:val="auto"/>
              </w:rPr>
            </w:pPr>
          </w:p>
        </w:tc>
        <w:tc>
          <w:tcPr>
            <w:tcW w:w="36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53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28, 2017</w:t>
            </w:r>
          </w:p>
        </w:tc>
        <w:tc>
          <w:tcPr>
            <w:tcW w:w="148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(801)</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824</w:t>
            </w:r>
          </w:p>
        </w:tc>
        <w:tc>
          <w:tcPr>
            <w:tcW w:w="100" w:type="dxa"/>
            <w:vAlign w:val="bottom"/>
            <w:tcBorders>
              <w:bottom w:val="single" w:sz="8" w:color="CCEEFF"/>
            </w:tcBorders>
            <w:shd w:val="clear" w:color="auto" w:fill="CCEEFF"/>
          </w:tcPr>
          <w:p>
            <w:pPr>
              <w:spacing w:after="0"/>
              <w:rPr>
                <w:sz w:val="21"/>
                <w:szCs w:val="21"/>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243"/>
        </w:trPr>
        <w:tc>
          <w:tcPr>
            <w:tcW w:w="5380" w:type="dxa"/>
            <w:vAlign w:val="bottom"/>
          </w:tcPr>
          <w:p>
            <w:pPr>
              <w:ind w:left="380"/>
              <w:spacing w:after="0"/>
              <w:rPr>
                <w:sz w:val="20"/>
                <w:szCs w:val="20"/>
                <w:color w:val="auto"/>
              </w:rPr>
            </w:pPr>
            <w:r>
              <w:rPr>
                <w:rFonts w:ascii="Arial" w:cs="Arial" w:eastAsia="Arial" w:hAnsi="Arial"/>
                <w:sz w:val="18"/>
                <w:szCs w:val="18"/>
                <w:color w:val="auto"/>
              </w:rPr>
              <w:t>Other comprehensive income (loss) before reclassifications</w:t>
            </w:r>
          </w:p>
        </w:tc>
        <w:tc>
          <w:tcPr>
            <w:tcW w:w="12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400" w:type="dxa"/>
            <w:vAlign w:val="bottom"/>
          </w:tcPr>
          <w:p>
            <w:pPr>
              <w:jc w:val="right"/>
              <w:ind w:right="18"/>
              <w:spacing w:after="0"/>
              <w:rPr>
                <w:sz w:val="20"/>
                <w:szCs w:val="20"/>
                <w:color w:val="auto"/>
              </w:rPr>
            </w:pPr>
            <w:r>
              <w:rPr>
                <w:rFonts w:ascii="Arial" w:cs="Arial" w:eastAsia="Arial" w:hAnsi="Arial"/>
                <w:sz w:val="18"/>
                <w:szCs w:val="18"/>
                <w:color w:val="auto"/>
              </w:rPr>
              <w:t>653</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300" w:type="dxa"/>
            <w:vAlign w:val="bottom"/>
          </w:tcPr>
          <w:p>
            <w:pPr>
              <w:jc w:val="right"/>
              <w:ind w:right="17"/>
              <w:spacing w:after="0"/>
              <w:rPr>
                <w:sz w:val="20"/>
                <w:szCs w:val="20"/>
                <w:color w:val="auto"/>
              </w:rPr>
            </w:pPr>
            <w:r>
              <w:rPr>
                <w:rFonts w:ascii="Arial" w:cs="Arial" w:eastAsia="Arial" w:hAnsi="Arial"/>
                <w:sz w:val="18"/>
                <w:szCs w:val="18"/>
                <w:color w:val="auto"/>
              </w:rPr>
              <w:t>2,341</w:t>
            </w:r>
          </w:p>
        </w:tc>
        <w:tc>
          <w:tcPr>
            <w:tcW w:w="10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120" w:type="dxa"/>
            <w:vAlign w:val="bottom"/>
          </w:tcPr>
          <w:p>
            <w:pPr>
              <w:jc w:val="right"/>
              <w:ind w:right="13"/>
              <w:spacing w:after="0"/>
              <w:rPr>
                <w:sz w:val="20"/>
                <w:szCs w:val="20"/>
                <w:color w:val="auto"/>
              </w:rPr>
            </w:pPr>
            <w:r>
              <w:rPr>
                <w:rFonts w:ascii="Arial" w:cs="Arial" w:eastAsia="Arial" w:hAnsi="Arial"/>
                <w:sz w:val="18"/>
                <w:szCs w:val="18"/>
                <w:color w:val="auto"/>
              </w:rPr>
              <w:t>2,994</w:t>
            </w:r>
          </w:p>
        </w:tc>
        <w:tc>
          <w:tcPr>
            <w:tcW w:w="0" w:type="dxa"/>
            <w:vAlign w:val="bottom"/>
          </w:tcPr>
          <w:p>
            <w:pPr>
              <w:spacing w:after="0"/>
              <w:rPr>
                <w:sz w:val="1"/>
                <w:szCs w:val="1"/>
                <w:color w:val="auto"/>
              </w:rPr>
            </w:pPr>
          </w:p>
        </w:tc>
      </w:tr>
      <w:tr>
        <w:trPr>
          <w:trHeight w:val="27"/>
        </w:trPr>
        <w:tc>
          <w:tcPr>
            <w:tcW w:w="5380" w:type="dxa"/>
            <w:vAlign w:val="bottom"/>
          </w:tcPr>
          <w:p>
            <w:pPr>
              <w:spacing w:after="0"/>
              <w:rPr>
                <w:sz w:val="2"/>
                <w:szCs w:val="2"/>
                <w:color w:val="auto"/>
              </w:rPr>
            </w:pPr>
          </w:p>
        </w:tc>
        <w:tc>
          <w:tcPr>
            <w:tcW w:w="12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3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w w:val="94"/>
              </w:rPr>
              <w:t>Amounts reclassified from accumulated other comprehensive loss</w:t>
            </w:r>
          </w:p>
        </w:tc>
        <w:tc>
          <w:tcPr>
            <w:tcW w:w="126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(45)</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(3,164)</w:t>
            </w:r>
          </w:p>
        </w:tc>
        <w:tc>
          <w:tcPr>
            <w:tcW w:w="100" w:type="dxa"/>
            <w:vAlign w:val="bottom"/>
            <w:tcBorders>
              <w:bottom w:val="single" w:sz="8" w:color="CCEEFF"/>
            </w:tcBorders>
            <w:shd w:val="clear" w:color="auto" w:fill="CCEEFF"/>
          </w:tcPr>
          <w:p>
            <w:pPr>
              <w:spacing w:after="0"/>
              <w:rPr>
                <w:sz w:val="23"/>
                <w:szCs w:val="23"/>
                <w:color w:val="auto"/>
              </w:rPr>
            </w:pPr>
          </w:p>
        </w:tc>
        <w:tc>
          <w:tcPr>
            <w:tcW w:w="36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(3,209)</w:t>
            </w:r>
          </w:p>
        </w:tc>
        <w:tc>
          <w:tcPr>
            <w:tcW w:w="0" w:type="dxa"/>
            <w:vAlign w:val="bottom"/>
          </w:tcPr>
          <w:p>
            <w:pPr>
              <w:spacing w:after="0"/>
              <w:rPr>
                <w:sz w:val="1"/>
                <w:szCs w:val="1"/>
                <w:color w:val="auto"/>
              </w:rPr>
            </w:pPr>
          </w:p>
        </w:tc>
      </w:tr>
      <w:tr>
        <w:trPr>
          <w:trHeight w:val="237"/>
        </w:trPr>
        <w:tc>
          <w:tcPr>
            <w:tcW w:w="5380" w:type="dxa"/>
            <w:vAlign w:val="bottom"/>
          </w:tcPr>
          <w:p>
            <w:pPr>
              <w:ind w:left="720"/>
              <w:spacing w:after="0"/>
              <w:rPr>
                <w:sz w:val="20"/>
                <w:szCs w:val="20"/>
                <w:color w:val="auto"/>
              </w:rPr>
            </w:pPr>
            <w:r>
              <w:rPr>
                <w:rFonts w:ascii="Arial" w:cs="Arial" w:eastAsia="Arial" w:hAnsi="Arial"/>
                <w:sz w:val="18"/>
                <w:szCs w:val="18"/>
                <w:color w:val="auto"/>
              </w:rPr>
              <w:t>Other comprehensive income (loss)</w:t>
            </w:r>
          </w:p>
        </w:tc>
        <w:tc>
          <w:tcPr>
            <w:tcW w:w="1260" w:type="dxa"/>
            <w:vAlign w:val="bottom"/>
          </w:tcPr>
          <w:p>
            <w:pPr>
              <w:spacing w:after="0"/>
              <w:rPr>
                <w:sz w:val="20"/>
                <w:szCs w:val="20"/>
                <w:color w:val="auto"/>
              </w:rPr>
            </w:pPr>
          </w:p>
        </w:tc>
        <w:tc>
          <w:tcPr>
            <w:tcW w:w="220" w:type="dxa"/>
            <w:vAlign w:val="bottom"/>
            <w:tcBorders>
              <w:top w:val="single" w:sz="8" w:color="auto"/>
            </w:tcBorders>
          </w:tcPr>
          <w:p>
            <w:pPr>
              <w:spacing w:after="0"/>
              <w:rPr>
                <w:sz w:val="20"/>
                <w:szCs w:val="20"/>
                <w:color w:val="auto"/>
              </w:rPr>
            </w:pPr>
          </w:p>
        </w:tc>
        <w:tc>
          <w:tcPr>
            <w:tcW w:w="1400" w:type="dxa"/>
            <w:vAlign w:val="bottom"/>
            <w:tcBorders>
              <w:top w:val="single" w:sz="8" w:color="auto"/>
            </w:tcBorders>
          </w:tcPr>
          <w:p>
            <w:pPr>
              <w:jc w:val="right"/>
              <w:ind w:right="18"/>
              <w:spacing w:after="0"/>
              <w:rPr>
                <w:sz w:val="20"/>
                <w:szCs w:val="20"/>
                <w:color w:val="auto"/>
              </w:rPr>
            </w:pPr>
            <w:r>
              <w:rPr>
                <w:rFonts w:ascii="Arial" w:cs="Arial" w:eastAsia="Arial" w:hAnsi="Arial"/>
                <w:sz w:val="18"/>
                <w:szCs w:val="18"/>
                <w:color w:val="auto"/>
              </w:rPr>
              <w:t>608</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(823)</w:t>
            </w:r>
          </w:p>
        </w:tc>
        <w:tc>
          <w:tcPr>
            <w:tcW w:w="100" w:type="dxa"/>
            <w:vAlign w:val="bottom"/>
          </w:tcPr>
          <w:p>
            <w:pPr>
              <w:spacing w:after="0"/>
              <w:rPr>
                <w:sz w:val="20"/>
                <w:szCs w:val="20"/>
                <w:color w:val="auto"/>
              </w:rPr>
            </w:pPr>
          </w:p>
        </w:tc>
        <w:tc>
          <w:tcPr>
            <w:tcW w:w="360" w:type="dxa"/>
            <w:vAlign w:val="bottom"/>
            <w:tcBorders>
              <w:top w:val="single" w:sz="8" w:color="auto"/>
            </w:tcBorders>
          </w:tcPr>
          <w:p>
            <w:pPr>
              <w:spacing w:after="0"/>
              <w:rPr>
                <w:sz w:val="20"/>
                <w:szCs w:val="20"/>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(215)</w:t>
            </w:r>
          </w:p>
        </w:tc>
        <w:tc>
          <w:tcPr>
            <w:tcW w:w="0" w:type="dxa"/>
            <w:vAlign w:val="bottom"/>
          </w:tcPr>
          <w:p>
            <w:pPr>
              <w:spacing w:after="0"/>
              <w:rPr>
                <w:sz w:val="1"/>
                <w:szCs w:val="1"/>
                <w:color w:val="auto"/>
              </w:rPr>
            </w:pPr>
          </w:p>
        </w:tc>
      </w:tr>
      <w:tr>
        <w:trPr>
          <w:trHeight w:val="27"/>
        </w:trPr>
        <w:tc>
          <w:tcPr>
            <w:tcW w:w="5380" w:type="dxa"/>
            <w:vAlign w:val="bottom"/>
            <w:tcBorders>
              <w:bottom w:val="single" w:sz="8" w:color="CCEEFF"/>
            </w:tcBorders>
          </w:tcPr>
          <w:p>
            <w:pPr>
              <w:spacing w:after="0"/>
              <w:rPr>
                <w:sz w:val="2"/>
                <w:szCs w:val="2"/>
                <w:color w:val="auto"/>
              </w:rPr>
            </w:pPr>
          </w:p>
        </w:tc>
        <w:tc>
          <w:tcPr>
            <w:tcW w:w="126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6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3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October 28, 2017</w:t>
            </w:r>
          </w:p>
        </w:tc>
        <w:tc>
          <w:tcPr>
            <w:tcW w:w="1480" w:type="dxa"/>
            <w:vAlign w:val="bottom"/>
            <w:tcBorders>
              <w:bottom w:val="single" w:sz="8" w:color="CCEEFF"/>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(193)</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w:t>
            </w:r>
          </w:p>
        </w:tc>
        <w:tc>
          <w:tcPr>
            <w:tcW w:w="100" w:type="dxa"/>
            <w:vAlign w:val="bottom"/>
            <w:tcBorders>
              <w:bottom w:val="single" w:sz="8" w:color="CCEEFF"/>
            </w:tcBorders>
            <w:shd w:val="clear" w:color="auto" w:fill="CCEEFF"/>
          </w:tcPr>
          <w:p>
            <w:pPr>
              <w:spacing w:after="0"/>
              <w:rPr>
                <w:sz w:val="22"/>
                <w:szCs w:val="22"/>
                <w:color w:val="auto"/>
              </w:rPr>
            </w:pPr>
          </w:p>
        </w:tc>
        <w:tc>
          <w:tcPr>
            <w:tcW w:w="360" w:type="dxa"/>
            <w:vAlign w:val="bottom"/>
            <w:tcBorders>
              <w:bottom w:val="single" w:sz="8" w:color="CCEEFF"/>
            </w:tcBorders>
            <w:shd w:val="clear" w:color="auto" w:fill="CCEEFF"/>
          </w:tcPr>
          <w:p>
            <w:pPr>
              <w:jc w:val="right"/>
              <w:ind w:right="15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(192)</w:t>
            </w:r>
          </w:p>
        </w:tc>
        <w:tc>
          <w:tcPr>
            <w:tcW w:w="0" w:type="dxa"/>
            <w:vAlign w:val="bottom"/>
          </w:tcPr>
          <w:p>
            <w:pPr>
              <w:spacing w:after="0"/>
              <w:rPr>
                <w:sz w:val="1"/>
                <w:szCs w:val="1"/>
                <w:color w:val="auto"/>
              </w:rPr>
            </w:pPr>
          </w:p>
        </w:tc>
      </w:tr>
      <w:tr>
        <w:trPr>
          <w:trHeight w:val="20"/>
        </w:trPr>
        <w:tc>
          <w:tcPr>
            <w:tcW w:w="5380" w:type="dxa"/>
            <w:vAlign w:val="bottom"/>
            <w:tcBorders>
              <w:top w:val="single" w:sz="8" w:color="CCEEFF"/>
            </w:tcBorders>
          </w:tcPr>
          <w:p>
            <w:pPr>
              <w:spacing w:after="0" w:line="20" w:lineRule="exact"/>
              <w:rPr>
                <w:sz w:val="1"/>
                <w:szCs w:val="1"/>
                <w:color w:val="auto"/>
              </w:rPr>
            </w:pPr>
          </w:p>
        </w:tc>
        <w:tc>
          <w:tcPr>
            <w:tcW w:w="1260" w:type="dxa"/>
            <w:vAlign w:val="bottom"/>
            <w:tcBorders>
              <w:top w:val="single" w:sz="8" w:color="CCEEFF"/>
              <w:bottom w:val="single" w:sz="8" w:color="CCEEFF"/>
            </w:tcBorders>
            <w:vMerge w:val="restart"/>
          </w:tcPr>
          <w:p>
            <w:pPr>
              <w:jc w:val="right"/>
              <w:ind w:right="750"/>
              <w:spacing w:after="0"/>
              <w:rPr>
                <w:sz w:val="20"/>
                <w:szCs w:val="20"/>
                <w:color w:val="auto"/>
              </w:rPr>
            </w:pPr>
            <w:r>
              <w:rPr>
                <w:rFonts w:ascii="Arial" w:cs="Arial" w:eastAsia="Arial" w:hAnsi="Arial"/>
                <w:sz w:val="18"/>
                <w:szCs w:val="18"/>
                <w:color w:val="auto"/>
              </w:rPr>
              <w:t>13</w:t>
            </w:r>
          </w:p>
        </w:tc>
        <w:tc>
          <w:tcPr>
            <w:tcW w:w="220" w:type="dxa"/>
            <w:vAlign w:val="bottom"/>
            <w:tcBorders>
              <w:top w:val="single" w:sz="8" w:color="auto"/>
              <w:bottom w:val="single" w:sz="8" w:color="auto"/>
            </w:tcBorders>
          </w:tcPr>
          <w:p>
            <w:pPr>
              <w:spacing w:after="0" w:line="20" w:lineRule="exact"/>
              <w:rPr>
                <w:sz w:val="1"/>
                <w:szCs w:val="1"/>
                <w:color w:val="auto"/>
              </w:rPr>
            </w:pPr>
          </w:p>
        </w:tc>
        <w:tc>
          <w:tcPr>
            <w:tcW w:w="1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40"/>
        </w:trPr>
        <w:tc>
          <w:tcPr>
            <w:tcW w:w="5380" w:type="dxa"/>
            <w:vAlign w:val="bottom"/>
          </w:tcPr>
          <w:p>
            <w:pPr>
              <w:spacing w:after="0"/>
              <w:rPr>
                <w:sz w:val="24"/>
                <w:szCs w:val="24"/>
                <w:color w:val="auto"/>
              </w:rPr>
            </w:pPr>
          </w:p>
        </w:tc>
        <w:tc>
          <w:tcPr>
            <w:tcW w:w="1260" w:type="dxa"/>
            <w:vAlign w:val="bottom"/>
            <w:vMerge w:val="continue"/>
          </w:tcPr>
          <w:p>
            <w:pPr>
              <w:spacing w:after="0"/>
              <w:rPr>
                <w:sz w:val="24"/>
                <w:szCs w:val="24"/>
                <w:color w:val="auto"/>
              </w:rPr>
            </w:pPr>
          </w:p>
        </w:tc>
        <w:tc>
          <w:tcPr>
            <w:tcW w:w="2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40" w:right="239" w:bottom="1440" w:gutter="0" w:footer="0" w:header="0"/>
          <w:type w:val="continuous"/>
        </w:sectPr>
      </w:pPr>
    </w:p>
    <w:bookmarkStart w:id="14" w:name="page15"/>
    <w:bookmarkEnd w:id="1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37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1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96"/>
              </w:rPr>
              <w:t>Unrealized Gain</w:t>
            </w:r>
          </w:p>
        </w:tc>
        <w:tc>
          <w:tcPr>
            <w:tcW w:w="180" w:type="dxa"/>
            <w:vAlign w:val="bottom"/>
          </w:tcPr>
          <w:p>
            <w:pPr>
              <w:spacing w:after="0"/>
              <w:rPr>
                <w:sz w:val="14"/>
                <w:szCs w:val="14"/>
                <w:color w:val="auto"/>
              </w:rPr>
            </w:pPr>
          </w:p>
        </w:tc>
        <w:tc>
          <w:tcPr>
            <w:tcW w:w="140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w w:val="94"/>
              </w:rPr>
              <w:t>Unrealized Gain</w:t>
            </w:r>
          </w:p>
        </w:tc>
        <w:tc>
          <w:tcPr>
            <w:tcW w:w="24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40" w:type="dxa"/>
            <w:vAlign w:val="bottom"/>
            <w:gridSpan w:val="2"/>
          </w:tcPr>
          <w:p>
            <w:pPr>
              <w:jc w:val="center"/>
              <w:ind w:right="380"/>
              <w:spacing w:after="0" w:line="149" w:lineRule="exact"/>
              <w:rPr>
                <w:sz w:val="20"/>
                <w:szCs w:val="20"/>
                <w:color w:val="auto"/>
              </w:rPr>
            </w:pPr>
            <w:r>
              <w:rPr>
                <w:rFonts w:ascii="Arial" w:cs="Arial" w:eastAsia="Arial" w:hAnsi="Arial"/>
                <w:sz w:val="14"/>
                <w:szCs w:val="14"/>
                <w:b w:val="1"/>
                <w:bCs w:val="1"/>
                <w:color w:val="auto"/>
                <w:w w:val="91"/>
              </w:rPr>
              <w:t>(Loss) on</w:t>
            </w:r>
          </w:p>
        </w:tc>
        <w:tc>
          <w:tcPr>
            <w:tcW w:w="180" w:type="dxa"/>
            <w:vAlign w:val="bottom"/>
          </w:tcPr>
          <w:p>
            <w:pPr>
              <w:spacing w:after="0"/>
              <w:rPr>
                <w:sz w:val="12"/>
                <w:szCs w:val="12"/>
                <w:color w:val="auto"/>
              </w:rPr>
            </w:pPr>
          </w:p>
        </w:tc>
        <w:tc>
          <w:tcPr>
            <w:tcW w:w="1400" w:type="dxa"/>
            <w:vAlign w:val="bottom"/>
            <w:gridSpan w:val="2"/>
            <w:vMerge w:val="continue"/>
          </w:tcPr>
          <w:p>
            <w:pPr>
              <w:spacing w:after="0"/>
              <w:rPr>
                <w:sz w:val="12"/>
                <w:szCs w:val="12"/>
                <w:color w:val="auto"/>
              </w:rPr>
            </w:pPr>
          </w:p>
        </w:tc>
        <w:tc>
          <w:tcPr>
            <w:tcW w:w="24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51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44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8"/>
              </w:rPr>
              <w:t>Marketable</w:t>
            </w:r>
          </w:p>
        </w:tc>
        <w:tc>
          <w:tcPr>
            <w:tcW w:w="180" w:type="dxa"/>
            <w:vAlign w:val="bottom"/>
          </w:tcPr>
          <w:p>
            <w:pPr>
              <w:spacing w:after="0"/>
              <w:rPr>
                <w:sz w:val="12"/>
                <w:szCs w:val="12"/>
                <w:color w:val="auto"/>
              </w:rPr>
            </w:pPr>
          </w:p>
        </w:tc>
        <w:tc>
          <w:tcPr>
            <w:tcW w:w="1400" w:type="dxa"/>
            <w:vAlign w:val="bottom"/>
            <w:gridSpan w:val="2"/>
          </w:tcPr>
          <w:p>
            <w:pPr>
              <w:jc w:val="center"/>
              <w:ind w:right="280"/>
              <w:spacing w:after="0" w:line="149" w:lineRule="exact"/>
              <w:rPr>
                <w:sz w:val="20"/>
                <w:szCs w:val="20"/>
                <w:color w:val="auto"/>
              </w:rPr>
            </w:pPr>
            <w:r>
              <w:rPr>
                <w:rFonts w:ascii="Arial" w:cs="Arial" w:eastAsia="Arial" w:hAnsi="Arial"/>
                <w:sz w:val="14"/>
                <w:szCs w:val="14"/>
                <w:b w:val="1"/>
                <w:bCs w:val="1"/>
                <w:color w:val="auto"/>
                <w:w w:val="90"/>
              </w:rPr>
              <w:t>(Loss) on Cash</w:t>
            </w:r>
          </w:p>
        </w:tc>
        <w:tc>
          <w:tcPr>
            <w:tcW w:w="240" w:type="dxa"/>
            <w:vAlign w:val="bottom"/>
          </w:tcPr>
          <w:p>
            <w:pPr>
              <w:spacing w:after="0"/>
              <w:rPr>
                <w:sz w:val="12"/>
                <w:szCs w:val="12"/>
                <w:color w:val="auto"/>
              </w:rPr>
            </w:pPr>
          </w:p>
        </w:tc>
        <w:tc>
          <w:tcPr>
            <w:tcW w:w="1240" w:type="dxa"/>
            <w:vAlign w:val="bottom"/>
            <w:vMerge w:val="restart"/>
          </w:tcPr>
          <w:p>
            <w:pPr>
              <w:jc w:val="center"/>
              <w:ind w:right="154"/>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92"/>
        </w:trPr>
        <w:tc>
          <w:tcPr>
            <w:tcW w:w="516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44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9"/>
              </w:rPr>
              <w:t>Securities</w:t>
            </w:r>
          </w:p>
        </w:tc>
        <w:tc>
          <w:tcPr>
            <w:tcW w:w="180" w:type="dxa"/>
            <w:vAlign w:val="bottom"/>
          </w:tcPr>
          <w:p>
            <w:pPr>
              <w:spacing w:after="0"/>
              <w:rPr>
                <w:sz w:val="16"/>
                <w:szCs w:val="16"/>
                <w:color w:val="auto"/>
              </w:rPr>
            </w:pPr>
          </w:p>
        </w:tc>
        <w:tc>
          <w:tcPr>
            <w:tcW w:w="14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0"/>
              </w:rPr>
              <w:t>Flow Hedges</w:t>
            </w:r>
          </w:p>
        </w:tc>
        <w:tc>
          <w:tcPr>
            <w:tcW w:w="240" w:type="dxa"/>
            <w:vAlign w:val="bottom"/>
          </w:tcPr>
          <w:p>
            <w:pPr>
              <w:spacing w:after="0"/>
              <w:rPr>
                <w:sz w:val="16"/>
                <w:szCs w:val="16"/>
                <w:color w:val="auto"/>
              </w:rPr>
            </w:pPr>
          </w:p>
        </w:tc>
        <w:tc>
          <w:tcPr>
            <w:tcW w:w="124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January 30, 2016</w:t>
            </w:r>
          </w:p>
        </w:tc>
        <w:tc>
          <w:tcPr>
            <w:tcW w:w="300" w:type="dxa"/>
            <w:vAlign w:val="bottom"/>
            <w:tcBorders>
              <w:top w:val="single" w:sz="8" w:color="CCEEFF"/>
              <w:bottom w:val="single" w:sz="8" w:color="CCEEFF"/>
            </w:tcBorders>
            <w:shd w:val="clear" w:color="auto" w:fill="CCEEFF"/>
          </w:tcPr>
          <w:p>
            <w:pPr>
              <w:spacing w:after="0"/>
              <w:rPr>
                <w:sz w:val="21"/>
                <w:szCs w:val="21"/>
                <w:color w:val="auto"/>
              </w:rPr>
            </w:pPr>
          </w:p>
        </w:tc>
        <w:tc>
          <w:tcPr>
            <w:tcW w:w="118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140" w:type="dxa"/>
            <w:vAlign w:val="bottom"/>
            <w:tcBorders>
              <w:top w:val="single" w:sz="8" w:color="auto"/>
              <w:bottom w:val="single" w:sz="8" w:color="CCEEFF"/>
            </w:tcBorders>
            <w:shd w:val="clear" w:color="auto" w:fill="CCEEFF"/>
          </w:tcPr>
          <w:p>
            <w:pPr>
              <w:spacing w:after="0"/>
              <w:rPr>
                <w:sz w:val="21"/>
                <w:szCs w:val="21"/>
                <w:color w:val="auto"/>
              </w:rPr>
            </w:pPr>
          </w:p>
        </w:tc>
        <w:tc>
          <w:tcPr>
            <w:tcW w:w="13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(656)</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(139)</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Other comprehensive income before reclassifications</w:t>
            </w: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tcPr>
          <w:p>
            <w:pPr>
              <w:jc w:val="right"/>
              <w:ind w:right="16"/>
              <w:spacing w:after="0"/>
              <w:rPr>
                <w:sz w:val="20"/>
                <w:szCs w:val="20"/>
                <w:color w:val="auto"/>
              </w:rPr>
            </w:pPr>
            <w:r>
              <w:rPr>
                <w:rFonts w:ascii="Arial" w:cs="Arial" w:eastAsia="Arial" w:hAnsi="Arial"/>
                <w:sz w:val="18"/>
                <w:szCs w:val="18"/>
                <w:color w:val="auto"/>
              </w:rPr>
              <w:t>2,868</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300" w:type="dxa"/>
            <w:vAlign w:val="bottom"/>
          </w:tcPr>
          <w:p>
            <w:pPr>
              <w:jc w:val="right"/>
              <w:ind w:right="16"/>
              <w:spacing w:after="0"/>
              <w:rPr>
                <w:sz w:val="20"/>
                <w:szCs w:val="20"/>
                <w:color w:val="auto"/>
              </w:rPr>
            </w:pPr>
            <w:r>
              <w:rPr>
                <w:rFonts w:ascii="Arial" w:cs="Arial" w:eastAsia="Arial" w:hAnsi="Arial"/>
                <w:sz w:val="18"/>
                <w:szCs w:val="18"/>
                <w:color w:val="auto"/>
              </w:rPr>
              <w:t>479</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3,347</w:t>
            </w:r>
          </w:p>
        </w:tc>
        <w:tc>
          <w:tcPr>
            <w:tcW w:w="0" w:type="dxa"/>
            <w:vAlign w:val="bottom"/>
          </w:tcPr>
          <w:p>
            <w:pPr>
              <w:spacing w:after="0"/>
              <w:rPr>
                <w:sz w:val="1"/>
                <w:szCs w:val="1"/>
                <w:color w:val="auto"/>
              </w:rPr>
            </w:pPr>
          </w:p>
        </w:tc>
      </w:tr>
      <w:tr>
        <w:trPr>
          <w:trHeight w:val="27"/>
        </w:trPr>
        <w:tc>
          <w:tcPr>
            <w:tcW w:w="5460" w:type="dxa"/>
            <w:vAlign w:val="bottom"/>
            <w:gridSpan w:val="2"/>
          </w:tcPr>
          <w:p>
            <w:pPr>
              <w:spacing w:after="0"/>
              <w:rPr>
                <w:sz w:val="2"/>
                <w:szCs w:val="2"/>
                <w:color w:val="auto"/>
              </w:rPr>
            </w:pPr>
          </w:p>
        </w:tc>
        <w:tc>
          <w:tcPr>
            <w:tcW w:w="118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460" w:type="dxa"/>
            <w:vAlign w:val="bottom"/>
            <w:tcBorders>
              <w:bottom w:val="single" w:sz="8" w:color="CCEEFF"/>
            </w:tcBorders>
            <w:gridSpan w:val="2"/>
            <w:shd w:val="clear" w:color="auto" w:fill="CCEEFF"/>
          </w:tcPr>
          <w:p>
            <w:pPr>
              <w:ind w:left="380"/>
              <w:spacing w:after="0"/>
              <w:rPr>
                <w:sz w:val="20"/>
                <w:szCs w:val="20"/>
                <w:color w:val="auto"/>
              </w:rPr>
            </w:pPr>
            <w:r>
              <w:rPr>
                <w:rFonts w:ascii="Arial" w:cs="Arial" w:eastAsia="Arial" w:hAnsi="Arial"/>
                <w:sz w:val="18"/>
                <w:szCs w:val="18"/>
                <w:color w:val="auto"/>
                <w:w w:val="91"/>
              </w:rPr>
              <w:t>Amounts reclassified from accumulated other comprehensive income</w:t>
            </w:r>
          </w:p>
        </w:tc>
        <w:tc>
          <w:tcPr>
            <w:tcW w:w="118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(477)</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(522)</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(999)</w:t>
            </w:r>
          </w:p>
        </w:tc>
        <w:tc>
          <w:tcPr>
            <w:tcW w:w="0" w:type="dxa"/>
            <w:vAlign w:val="bottom"/>
          </w:tcPr>
          <w:p>
            <w:pPr>
              <w:spacing w:after="0"/>
              <w:rPr>
                <w:sz w:val="1"/>
                <w:szCs w:val="1"/>
                <w:color w:val="auto"/>
              </w:rPr>
            </w:pPr>
          </w:p>
        </w:tc>
      </w:tr>
      <w:tr>
        <w:trPr>
          <w:trHeight w:val="237"/>
        </w:trPr>
        <w:tc>
          <w:tcPr>
            <w:tcW w:w="5160" w:type="dxa"/>
            <w:vAlign w:val="bottom"/>
          </w:tcPr>
          <w:p>
            <w:pPr>
              <w:ind w:left="720"/>
              <w:spacing w:after="0"/>
              <w:rPr>
                <w:sz w:val="20"/>
                <w:szCs w:val="20"/>
                <w:color w:val="auto"/>
              </w:rPr>
            </w:pPr>
            <w:r>
              <w:rPr>
                <w:rFonts w:ascii="Arial" w:cs="Arial" w:eastAsia="Arial" w:hAnsi="Arial"/>
                <w:sz w:val="18"/>
                <w:szCs w:val="18"/>
                <w:color w:val="auto"/>
              </w:rPr>
              <w:t>Other comprehensive income (loss)</w:t>
            </w:r>
          </w:p>
        </w:tc>
        <w:tc>
          <w:tcPr>
            <w:tcW w:w="30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20" w:type="dxa"/>
            <w:vAlign w:val="bottom"/>
            <w:tcBorders>
              <w:top w:val="single" w:sz="8" w:color="auto"/>
            </w:tcBorders>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34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2,391</w:t>
            </w:r>
          </w:p>
        </w:tc>
        <w:tc>
          <w:tcPr>
            <w:tcW w:w="100" w:type="dxa"/>
            <w:vAlign w:val="bottom"/>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1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0"/>
                <w:szCs w:val="20"/>
                <w:color w:val="auto"/>
              </w:rPr>
            </w:pPr>
          </w:p>
        </w:tc>
        <w:tc>
          <w:tcPr>
            <w:tcW w:w="2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2,348</w:t>
            </w:r>
          </w:p>
        </w:tc>
        <w:tc>
          <w:tcPr>
            <w:tcW w:w="0" w:type="dxa"/>
            <w:vAlign w:val="bottom"/>
          </w:tcPr>
          <w:p>
            <w:pPr>
              <w:spacing w:after="0"/>
              <w:rPr>
                <w:sz w:val="1"/>
                <w:szCs w:val="1"/>
                <w:color w:val="auto"/>
              </w:rPr>
            </w:pPr>
          </w:p>
        </w:tc>
      </w:tr>
      <w:tr>
        <w:trPr>
          <w:trHeight w:val="27"/>
        </w:trPr>
        <w:tc>
          <w:tcPr>
            <w:tcW w:w="5160" w:type="dxa"/>
            <w:vAlign w:val="bottom"/>
            <w:tcBorders>
              <w:bottom w:val="single" w:sz="8" w:color="CCEEFF"/>
            </w:tcBorders>
          </w:tcPr>
          <w:p>
            <w:pPr>
              <w:spacing w:after="0"/>
              <w:rPr>
                <w:sz w:val="2"/>
                <w:szCs w:val="2"/>
                <w:color w:val="auto"/>
              </w:rPr>
            </w:pPr>
          </w:p>
        </w:tc>
        <w:tc>
          <w:tcPr>
            <w:tcW w:w="300" w:type="dxa"/>
            <w:vAlign w:val="bottom"/>
            <w:tcBorders>
              <w:bottom w:val="single" w:sz="8" w:color="CCEEFF"/>
            </w:tcBorders>
          </w:tcPr>
          <w:p>
            <w:pPr>
              <w:spacing w:after="0"/>
              <w:rPr>
                <w:sz w:val="2"/>
                <w:szCs w:val="2"/>
                <w:color w:val="auto"/>
              </w:rPr>
            </w:pPr>
          </w:p>
        </w:tc>
        <w:tc>
          <w:tcPr>
            <w:tcW w:w="1180" w:type="dxa"/>
            <w:vAlign w:val="bottom"/>
            <w:tcBorders>
              <w:bottom w:val="single" w:sz="8" w:color="CCEEFF"/>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Balance at October 29, 2016</w:t>
            </w:r>
          </w:p>
        </w:tc>
        <w:tc>
          <w:tcPr>
            <w:tcW w:w="30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gridSpan w:val="2"/>
            <w:shd w:val="clear" w:color="auto" w:fill="CCEEFF"/>
          </w:tcPr>
          <w:p>
            <w:pPr>
              <w:jc w:val="center"/>
              <w:spacing w:after="0"/>
              <w:rPr>
                <w:sz w:val="20"/>
                <w:szCs w:val="20"/>
                <w:color w:val="auto"/>
              </w:rPr>
            </w:pPr>
            <w:r>
              <w:rPr>
                <w:rFonts w:ascii="Arial" w:cs="Arial" w:eastAsia="Arial" w:hAnsi="Arial"/>
                <w:sz w:val="18"/>
                <w:szCs w:val="18"/>
                <w:color w:val="auto"/>
                <w:w w:val="99"/>
              </w:rPr>
              <w:t>$</w:t>
            </w:r>
          </w:p>
        </w:tc>
        <w:tc>
          <w:tcPr>
            <w:tcW w:w="140" w:type="dxa"/>
            <w:vAlign w:val="bottom"/>
            <w:tcBorders>
              <w:bottom w:val="single" w:sz="8" w:color="CCEEFF"/>
            </w:tcBorders>
            <w:shd w:val="clear" w:color="auto" w:fill="CCEEFF"/>
          </w:tcPr>
          <w:p>
            <w:pPr>
              <w:spacing w:after="0"/>
              <w:rPr>
                <w:sz w:val="22"/>
                <w:szCs w:val="22"/>
                <w:color w:val="auto"/>
              </w:rPr>
            </w:pPr>
          </w:p>
        </w:tc>
        <w:tc>
          <w:tcPr>
            <w:tcW w:w="13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1,735</w:t>
            </w:r>
          </w:p>
        </w:tc>
        <w:tc>
          <w:tcPr>
            <w:tcW w:w="10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1,553</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bottom w:val="single" w:sz="8" w:color="CCEEFF"/>
            </w:tcBorders>
            <w:vMerge w:val="restart"/>
          </w:tcPr>
          <w:p>
            <w:pPr>
              <w:spacing w:after="0"/>
              <w:rPr>
                <w:sz w:val="20"/>
                <w:szCs w:val="20"/>
                <w:color w:val="auto"/>
              </w:rPr>
            </w:pPr>
            <w:r>
              <w:rPr>
                <w:rFonts w:ascii="Arial" w:cs="Arial" w:eastAsia="Arial" w:hAnsi="Arial"/>
                <w:sz w:val="18"/>
                <w:szCs w:val="18"/>
                <w:b w:val="1"/>
                <w:bCs w:val="1"/>
                <w:color w:val="auto"/>
              </w:rPr>
              <w:t>Consolidated Statements of Operations</w:t>
            </w:r>
          </w:p>
        </w:tc>
        <w:tc>
          <w:tcPr>
            <w:tcW w:w="300" w:type="dxa"/>
            <w:vAlign w:val="bottom"/>
            <w:tcBorders>
              <w:top w:val="single" w:sz="8" w:color="CCEEFF"/>
            </w:tcBorders>
          </w:tcPr>
          <w:p>
            <w:pPr>
              <w:spacing w:after="0" w:line="20" w:lineRule="exact"/>
              <w:rPr>
                <w:sz w:val="1"/>
                <w:szCs w:val="1"/>
                <w:color w:val="auto"/>
              </w:rPr>
            </w:pPr>
          </w:p>
        </w:tc>
        <w:tc>
          <w:tcPr>
            <w:tcW w:w="118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3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3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764"/>
        </w:trPr>
        <w:tc>
          <w:tcPr>
            <w:tcW w:w="5160" w:type="dxa"/>
            <w:vAlign w:val="bottom"/>
            <w:vMerge w:val="continue"/>
          </w:tcPr>
          <w:p>
            <w:pPr>
              <w:spacing w:after="0"/>
              <w:rPr>
                <w:sz w:val="24"/>
                <w:szCs w:val="24"/>
                <w:color w:val="auto"/>
              </w:rPr>
            </w:pPr>
          </w:p>
        </w:tc>
        <w:tc>
          <w:tcPr>
            <w:tcW w:w="30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615"/>
        </w:trPr>
        <w:tc>
          <w:tcPr>
            <w:tcW w:w="5160" w:type="dxa"/>
            <w:vAlign w:val="bottom"/>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2800" w:type="dxa"/>
            <w:vAlign w:val="bottom"/>
            <w:tcBorders>
              <w:bottom w:val="single" w:sz="8" w:color="auto"/>
            </w:tcBorders>
            <w:gridSpan w:val="5"/>
          </w:tcPr>
          <w:p>
            <w:pPr>
              <w:jc w:val="center"/>
              <w:ind w:right="196"/>
              <w:spacing w:after="0"/>
              <w:rPr>
                <w:sz w:val="20"/>
                <w:szCs w:val="20"/>
                <w:color w:val="auto"/>
              </w:rPr>
            </w:pPr>
            <w:r>
              <w:rPr>
                <w:rFonts w:ascii="Arial" w:cs="Arial" w:eastAsia="Arial" w:hAnsi="Arial"/>
                <w:sz w:val="14"/>
                <w:szCs w:val="14"/>
                <w:b w:val="1"/>
                <w:bCs w:val="1"/>
                <w:color w:val="auto"/>
                <w:w w:val="95"/>
              </w:rPr>
              <w:t>Three Months Ended</w:t>
            </w:r>
          </w:p>
        </w:tc>
        <w:tc>
          <w:tcPr>
            <w:tcW w:w="100" w:type="dxa"/>
            <w:vAlign w:val="bottom"/>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880" w:type="dxa"/>
            <w:vAlign w:val="bottom"/>
            <w:tcBorders>
              <w:bottom w:val="single" w:sz="8" w:color="auto"/>
            </w:tcBorders>
            <w:gridSpan w:val="4"/>
          </w:tcPr>
          <w:p>
            <w:pPr>
              <w:jc w:val="right"/>
              <w:ind w:right="814"/>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52"/>
        </w:trPr>
        <w:tc>
          <w:tcPr>
            <w:tcW w:w="516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180" w:type="dxa"/>
            <w:vAlign w:val="bottom"/>
          </w:tcPr>
          <w:p>
            <w:pPr>
              <w:jc w:val="right"/>
              <w:ind w:right="296"/>
              <w:spacing w:after="0" w:line="153" w:lineRule="exact"/>
              <w:rPr>
                <w:sz w:val="20"/>
                <w:szCs w:val="20"/>
                <w:color w:val="auto"/>
              </w:rPr>
            </w:pPr>
            <w:r>
              <w:rPr>
                <w:rFonts w:ascii="Arial" w:cs="Arial" w:eastAsia="Arial" w:hAnsi="Arial"/>
                <w:sz w:val="14"/>
                <w:szCs w:val="14"/>
                <w:b w:val="1"/>
                <w:bCs w:val="1"/>
                <w:color w:val="auto"/>
              </w:rPr>
              <w:t>October 28,</w:t>
            </w: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440" w:type="dxa"/>
            <w:vAlign w:val="bottom"/>
            <w:gridSpan w:val="2"/>
          </w:tcPr>
          <w:p>
            <w:pPr>
              <w:ind w:left="220"/>
              <w:spacing w:after="0" w:line="153" w:lineRule="exact"/>
              <w:rPr>
                <w:sz w:val="20"/>
                <w:szCs w:val="20"/>
                <w:color w:val="auto"/>
              </w:rPr>
            </w:pPr>
            <w:r>
              <w:rPr>
                <w:rFonts w:ascii="Arial" w:cs="Arial" w:eastAsia="Arial" w:hAnsi="Arial"/>
                <w:sz w:val="14"/>
                <w:szCs w:val="14"/>
                <w:b w:val="1"/>
                <w:bCs w:val="1"/>
                <w:color w:val="auto"/>
              </w:rPr>
              <w:t>October 29,</w:t>
            </w:r>
          </w:p>
        </w:tc>
        <w:tc>
          <w:tcPr>
            <w:tcW w:w="180" w:type="dxa"/>
            <w:vAlign w:val="bottom"/>
          </w:tcPr>
          <w:p>
            <w:pPr>
              <w:spacing w:after="0"/>
              <w:rPr>
                <w:sz w:val="13"/>
                <w:szCs w:val="13"/>
                <w:color w:val="auto"/>
              </w:rPr>
            </w:pPr>
          </w:p>
        </w:tc>
        <w:tc>
          <w:tcPr>
            <w:tcW w:w="140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3"/>
              </w:rPr>
              <w:t>October 28,</w:t>
            </w:r>
          </w:p>
        </w:tc>
        <w:tc>
          <w:tcPr>
            <w:tcW w:w="240" w:type="dxa"/>
            <w:vAlign w:val="bottom"/>
          </w:tcPr>
          <w:p>
            <w:pPr>
              <w:spacing w:after="0"/>
              <w:rPr>
                <w:sz w:val="13"/>
                <w:szCs w:val="13"/>
                <w:color w:val="auto"/>
              </w:rPr>
            </w:pPr>
          </w:p>
        </w:tc>
        <w:tc>
          <w:tcPr>
            <w:tcW w:w="1240" w:type="dxa"/>
            <w:vAlign w:val="bottom"/>
          </w:tcPr>
          <w:p>
            <w:pPr>
              <w:jc w:val="center"/>
              <w:ind w:right="194"/>
              <w:spacing w:after="0" w:line="153" w:lineRule="exact"/>
              <w:rPr>
                <w:sz w:val="20"/>
                <w:szCs w:val="20"/>
                <w:color w:val="auto"/>
              </w:rPr>
            </w:pPr>
            <w:r>
              <w:rPr>
                <w:rFonts w:ascii="Arial" w:cs="Arial" w:eastAsia="Arial" w:hAnsi="Arial"/>
                <w:sz w:val="14"/>
                <w:szCs w:val="14"/>
                <w:b w:val="1"/>
                <w:bCs w:val="1"/>
                <w:color w:val="auto"/>
                <w:w w:val="93"/>
              </w:rPr>
              <w:t>October 29,</w:t>
            </w:r>
          </w:p>
        </w:tc>
        <w:tc>
          <w:tcPr>
            <w:tcW w:w="0" w:type="dxa"/>
            <w:vAlign w:val="bottom"/>
          </w:tcPr>
          <w:p>
            <w:pPr>
              <w:spacing w:after="0"/>
              <w:rPr>
                <w:sz w:val="1"/>
                <w:szCs w:val="1"/>
                <w:color w:val="auto"/>
              </w:rPr>
            </w:pPr>
          </w:p>
        </w:tc>
      </w:tr>
      <w:tr>
        <w:trPr>
          <w:trHeight w:val="192"/>
        </w:trPr>
        <w:tc>
          <w:tcPr>
            <w:tcW w:w="516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2017</w:t>
            </w:r>
          </w:p>
        </w:tc>
        <w:tc>
          <w:tcPr>
            <w:tcW w:w="2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2016</w:t>
            </w:r>
          </w:p>
        </w:tc>
        <w:tc>
          <w:tcPr>
            <w:tcW w:w="10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center"/>
              <w:ind w:right="96"/>
              <w:spacing w:after="0"/>
              <w:rPr>
                <w:sz w:val="20"/>
                <w:szCs w:val="20"/>
                <w:color w:val="auto"/>
              </w:rPr>
            </w:pPr>
            <w:r>
              <w:rPr>
                <w:rFonts w:ascii="Arial" w:cs="Arial" w:eastAsia="Arial" w:hAnsi="Arial"/>
                <w:sz w:val="14"/>
                <w:szCs w:val="14"/>
                <w:b w:val="1"/>
                <w:bCs w:val="1"/>
                <w:color w:val="auto"/>
                <w:w w:val="89"/>
              </w:rPr>
              <w:t>2017</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4"/>
              <w:spacing w:after="0"/>
              <w:rPr>
                <w:sz w:val="20"/>
                <w:szCs w:val="20"/>
                <w:color w:val="auto"/>
              </w:rPr>
            </w:pPr>
            <w:r>
              <w:rPr>
                <w:rFonts w:ascii="Arial" w:cs="Arial" w:eastAsia="Arial" w:hAnsi="Arial"/>
                <w:sz w:val="14"/>
                <w:szCs w:val="14"/>
                <w:b w:val="1"/>
                <w:bCs w:val="1"/>
                <w:color w:val="auto"/>
                <w:w w:val="89"/>
              </w:rPr>
              <w:t>2016</w:t>
            </w:r>
          </w:p>
        </w:tc>
        <w:tc>
          <w:tcPr>
            <w:tcW w:w="0" w:type="dxa"/>
            <w:vAlign w:val="bottom"/>
          </w:tcPr>
          <w:p>
            <w:pPr>
              <w:spacing w:after="0"/>
              <w:rPr>
                <w:sz w:val="1"/>
                <w:szCs w:val="1"/>
                <w:color w:val="auto"/>
              </w:rPr>
            </w:pPr>
          </w:p>
        </w:tc>
      </w:tr>
      <w:tr>
        <w:trPr>
          <w:trHeight w:val="230"/>
        </w:trPr>
        <w:tc>
          <w:tcPr>
            <w:tcW w:w="5160" w:type="dxa"/>
            <w:vAlign w:val="bottom"/>
          </w:tcPr>
          <w:p>
            <w:pPr>
              <w:ind w:left="40"/>
              <w:spacing w:after="0"/>
              <w:rPr>
                <w:sz w:val="20"/>
                <w:szCs w:val="20"/>
                <w:color w:val="auto"/>
              </w:rPr>
            </w:pPr>
            <w:r>
              <w:rPr>
                <w:rFonts w:ascii="Arial" w:cs="Arial" w:eastAsia="Arial" w:hAnsi="Arial"/>
                <w:sz w:val="18"/>
                <w:szCs w:val="18"/>
                <w:b w:val="1"/>
                <w:bCs w:val="1"/>
                <w:color w:val="auto"/>
              </w:rPr>
              <w:t>Interest and other income, net:</w:t>
            </w:r>
          </w:p>
        </w:tc>
        <w:tc>
          <w:tcPr>
            <w:tcW w:w="30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5160" w:type="dxa"/>
            <w:vAlign w:val="bottom"/>
          </w:tcPr>
          <w:p>
            <w:pPr>
              <w:spacing w:after="0"/>
              <w:rPr>
                <w:sz w:val="3"/>
                <w:szCs w:val="3"/>
                <w:color w:val="auto"/>
              </w:rPr>
            </w:pPr>
          </w:p>
        </w:tc>
        <w:tc>
          <w:tcPr>
            <w:tcW w:w="300" w:type="dxa"/>
            <w:vAlign w:val="bottom"/>
          </w:tcPr>
          <w:p>
            <w:pPr>
              <w:spacing w:after="0"/>
              <w:rPr>
                <w:sz w:val="3"/>
                <w:szCs w:val="3"/>
                <w:color w:val="auto"/>
              </w:rPr>
            </w:pPr>
          </w:p>
        </w:tc>
        <w:tc>
          <w:tcPr>
            <w:tcW w:w="118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340" w:type="dxa"/>
            <w:vAlign w:val="bottom"/>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1300" w:type="dxa"/>
            <w:vAlign w:val="bottom"/>
          </w:tcPr>
          <w:p>
            <w:pPr>
              <w:spacing w:after="0"/>
              <w:rPr>
                <w:sz w:val="3"/>
                <w:szCs w:val="3"/>
                <w:color w:val="auto"/>
              </w:rPr>
            </w:pPr>
          </w:p>
        </w:tc>
        <w:tc>
          <w:tcPr>
            <w:tcW w:w="1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income</w:t>
            </w:r>
          </w:p>
        </w:tc>
        <w:tc>
          <w:tcPr>
            <w:tcW w:w="30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4,301</w:t>
            </w:r>
          </w:p>
        </w:tc>
        <w:tc>
          <w:tcPr>
            <w:tcW w:w="28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3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3,370</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11,643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10,005</w:t>
            </w: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Net realized gain (loss) on investments</w:t>
            </w:r>
          </w:p>
        </w:tc>
        <w:tc>
          <w:tcPr>
            <w:tcW w:w="3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(2,755)</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tcPr>
          <w:p>
            <w:pPr>
              <w:jc w:val="right"/>
              <w:ind w:right="16"/>
              <w:spacing w:after="0"/>
              <w:rPr>
                <w:sz w:val="20"/>
                <w:szCs w:val="20"/>
                <w:color w:val="auto"/>
              </w:rPr>
            </w:pPr>
            <w:r>
              <w:rPr>
                <w:rFonts w:ascii="Arial" w:cs="Arial" w:eastAsia="Arial" w:hAnsi="Arial"/>
                <w:sz w:val="18"/>
                <w:szCs w:val="18"/>
                <w:color w:val="auto"/>
              </w:rPr>
              <w:t>252</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(2,783)</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677</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Currency remeasurement gain (loss)</w:t>
            </w:r>
          </w:p>
        </w:tc>
        <w:tc>
          <w:tcPr>
            <w:tcW w:w="30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374</w:t>
            </w:r>
          </w:p>
        </w:tc>
        <w:tc>
          <w:tcPr>
            <w:tcW w:w="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944</w:t>
            </w:r>
          </w:p>
        </w:tc>
        <w:tc>
          <w:tcPr>
            <w:tcW w:w="10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(183)</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1,961</w:t>
            </w: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Other income (expense)</w:t>
            </w:r>
          </w:p>
        </w:tc>
        <w:tc>
          <w:tcPr>
            <w:tcW w:w="300" w:type="dxa"/>
            <w:vAlign w:val="bottom"/>
          </w:tcPr>
          <w:p>
            <w:pPr>
              <w:spacing w:after="0"/>
              <w:rPr>
                <w:sz w:val="21"/>
                <w:szCs w:val="21"/>
                <w:color w:val="auto"/>
              </w:rPr>
            </w:pP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4,542</w:t>
            </w: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tcPr>
          <w:p>
            <w:pPr>
              <w:jc w:val="right"/>
              <w:ind w:right="16"/>
              <w:spacing w:after="0"/>
              <w:rPr>
                <w:sz w:val="20"/>
                <w:szCs w:val="20"/>
                <w:color w:val="auto"/>
              </w:rPr>
            </w:pPr>
            <w:r>
              <w:rPr>
                <w:rFonts w:ascii="Arial" w:cs="Arial" w:eastAsia="Arial" w:hAnsi="Arial"/>
                <w:sz w:val="18"/>
                <w:szCs w:val="18"/>
                <w:color w:val="auto"/>
              </w:rPr>
              <w:t>986</w:t>
            </w: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300" w:type="dxa"/>
            <w:vAlign w:val="bottom"/>
          </w:tcPr>
          <w:p>
            <w:pPr>
              <w:jc w:val="right"/>
              <w:ind w:right="16"/>
              <w:spacing w:after="0"/>
              <w:rPr>
                <w:sz w:val="20"/>
                <w:szCs w:val="20"/>
                <w:color w:val="auto"/>
              </w:rPr>
            </w:pPr>
            <w:r>
              <w:rPr>
                <w:rFonts w:ascii="Arial" w:cs="Arial" w:eastAsia="Arial" w:hAnsi="Arial"/>
                <w:sz w:val="18"/>
                <w:szCs w:val="18"/>
                <w:color w:val="auto"/>
              </w:rPr>
              <w:t>8,437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896</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expense</w:t>
            </w:r>
          </w:p>
        </w:tc>
        <w:tc>
          <w:tcPr>
            <w:tcW w:w="30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(262)</w:t>
            </w:r>
          </w:p>
        </w:tc>
        <w:tc>
          <w:tcPr>
            <w:tcW w:w="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(82)</w:t>
            </w:r>
          </w:p>
        </w:tc>
        <w:tc>
          <w:tcPr>
            <w:tcW w:w="10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(297)</w:t>
            </w:r>
          </w:p>
        </w:tc>
        <w:tc>
          <w:tcPr>
            <w:tcW w:w="0" w:type="dxa"/>
            <w:vAlign w:val="bottom"/>
          </w:tcPr>
          <w:p>
            <w:pPr>
              <w:spacing w:after="0"/>
              <w:rPr>
                <w:sz w:val="1"/>
                <w:szCs w:val="1"/>
                <w:color w:val="auto"/>
              </w:rPr>
            </w:pPr>
          </w:p>
        </w:tc>
      </w:tr>
      <w:tr>
        <w:trPr>
          <w:trHeight w:val="237"/>
        </w:trPr>
        <w:tc>
          <w:tcPr>
            <w:tcW w:w="5160" w:type="dxa"/>
            <w:vAlign w:val="bottom"/>
          </w:tcPr>
          <w:p>
            <w:pPr>
              <w:spacing w:after="0"/>
              <w:rPr>
                <w:sz w:val="20"/>
                <w:szCs w:val="20"/>
                <w:color w:val="auto"/>
              </w:rPr>
            </w:pPr>
          </w:p>
        </w:tc>
        <w:tc>
          <w:tcPr>
            <w:tcW w:w="30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6,200</w:t>
            </w:r>
          </w:p>
        </w:tc>
        <w:tc>
          <w:tcPr>
            <w:tcW w:w="20" w:type="dxa"/>
            <w:vAlign w:val="bottom"/>
            <w:tcBorders>
              <w:top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4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5,470</w:t>
            </w:r>
          </w:p>
        </w:tc>
        <w:tc>
          <w:tcPr>
            <w:tcW w:w="100" w:type="dxa"/>
            <w:vAlign w:val="bottom"/>
          </w:tcPr>
          <w:p>
            <w:pPr>
              <w:spacing w:after="0"/>
              <w:rPr>
                <w:sz w:val="20"/>
                <w:szCs w:val="20"/>
                <w:color w:val="auto"/>
              </w:rPr>
            </w:pPr>
          </w:p>
        </w:tc>
        <w:tc>
          <w:tcPr>
            <w:tcW w:w="1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0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16,721</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13,242</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516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3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Share Repurchase Program</w:t>
      </w:r>
    </w:p>
    <w:p>
      <w:pPr>
        <w:spacing w:after="0" w:line="94" w:lineRule="exact"/>
        <w:rPr>
          <w:sz w:val="20"/>
          <w:szCs w:val="20"/>
          <w:color w:val="auto"/>
        </w:rPr>
      </w:pPr>
    </w:p>
    <w:p>
      <w:pPr>
        <w:ind w:right="180" w:firstLine="392"/>
        <w:spacing w:after="0" w:line="264" w:lineRule="auto"/>
        <w:rPr>
          <w:sz w:val="20"/>
          <w:szCs w:val="20"/>
          <w:color w:val="auto"/>
        </w:rPr>
      </w:pPr>
      <w:r>
        <w:rPr>
          <w:rFonts w:ascii="Arial" w:cs="Arial" w:eastAsia="Arial" w:hAnsi="Arial"/>
          <w:sz w:val="18"/>
          <w:szCs w:val="18"/>
          <w:color w:val="auto"/>
        </w:rPr>
        <w:t>The Company repurchased 31.5 million of its common shares for $527.6 million during the nine months ended October 28, 2017. The Company repurchased 4.4 million shares for $56.5 million during the nine months ended October 29, 2016. The repurchased shares were retired immediately after the repurchases were completed.</w:t>
      </w:r>
    </w:p>
    <w:p>
      <w:pPr>
        <w:spacing w:after="0" w:line="46" w:lineRule="exact"/>
        <w:rPr>
          <w:sz w:val="20"/>
          <w:szCs w:val="20"/>
          <w:color w:val="auto"/>
        </w:rPr>
      </w:pPr>
    </w:p>
    <w:p>
      <w:pPr>
        <w:ind w:right="280" w:firstLine="392"/>
        <w:spacing w:after="0" w:line="277" w:lineRule="auto"/>
        <w:rPr>
          <w:sz w:val="20"/>
          <w:szCs w:val="20"/>
          <w:color w:val="auto"/>
        </w:rPr>
      </w:pPr>
      <w:r>
        <w:rPr>
          <w:rFonts w:ascii="Arial" w:cs="Arial" w:eastAsia="Arial" w:hAnsi="Arial"/>
          <w:sz w:val="18"/>
          <w:szCs w:val="18"/>
          <w:color w:val="auto"/>
        </w:rPr>
        <w:t>As of October 28, 2017, a total of 286.4 million shares have been repurchased to date under the Company’s share repurchase program for a total $3.8 billion in cash and there was $358.0 million remaining available for future share repurchases.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140" w:right="239" w:bottom="1440" w:gutter="0" w:footer="0" w:header="0"/>
        </w:sectPr>
      </w:pPr>
    </w:p>
    <w:bookmarkStart w:id="15" w:name="page16"/>
    <w:bookmarkEnd w:id="1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Investments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16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900" w:type="dxa"/>
            <w:vAlign w:val="bottom"/>
            <w:tcBorders>
              <w:bottom w:val="single" w:sz="8" w:color="auto"/>
            </w:tcBorders>
            <w:gridSpan w:val="5"/>
          </w:tcPr>
          <w:p>
            <w:pPr>
              <w:ind w:left="740"/>
              <w:spacing w:after="0"/>
              <w:rPr>
                <w:sz w:val="20"/>
                <w:szCs w:val="20"/>
                <w:color w:val="auto"/>
              </w:rPr>
            </w:pPr>
            <w:r>
              <w:rPr>
                <w:rFonts w:ascii="Arial" w:cs="Arial" w:eastAsia="Arial" w:hAnsi="Arial"/>
                <w:sz w:val="14"/>
                <w:szCs w:val="14"/>
                <w:b w:val="1"/>
                <w:bCs w:val="1"/>
                <w:color w:val="auto"/>
              </w:rPr>
              <w:t>October 28, 2017</w:t>
            </w:r>
          </w:p>
        </w:tc>
        <w:tc>
          <w:tcPr>
            <w:tcW w:w="26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52"/>
        </w:trPr>
        <w:tc>
          <w:tcPr>
            <w:tcW w:w="51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96"/>
              </w:rPr>
              <w:t>Amortized</w:t>
            </w:r>
          </w:p>
        </w:tc>
        <w:tc>
          <w:tcPr>
            <w:tcW w:w="260" w:type="dxa"/>
            <w:vAlign w:val="bottom"/>
          </w:tcPr>
          <w:p>
            <w:pPr>
              <w:spacing w:after="0"/>
              <w:rPr>
                <w:sz w:val="13"/>
                <w:szCs w:val="13"/>
                <w:color w:val="auto"/>
              </w:rPr>
            </w:pPr>
          </w:p>
        </w:tc>
        <w:tc>
          <w:tcPr>
            <w:tcW w:w="13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Gross</w:t>
            </w:r>
          </w:p>
        </w:tc>
        <w:tc>
          <w:tcPr>
            <w:tcW w:w="260" w:type="dxa"/>
            <w:vAlign w:val="bottom"/>
          </w:tcPr>
          <w:p>
            <w:pPr>
              <w:spacing w:after="0"/>
              <w:rPr>
                <w:sz w:val="13"/>
                <w:szCs w:val="13"/>
                <w:color w:val="auto"/>
              </w:rPr>
            </w:pPr>
          </w:p>
        </w:tc>
        <w:tc>
          <w:tcPr>
            <w:tcW w:w="13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Gross</w:t>
            </w:r>
          </w:p>
        </w:tc>
        <w:tc>
          <w:tcPr>
            <w:tcW w:w="260" w:type="dxa"/>
            <w:vAlign w:val="bottom"/>
          </w:tcPr>
          <w:p>
            <w:pPr>
              <w:spacing w:after="0"/>
              <w:rPr>
                <w:sz w:val="13"/>
                <w:szCs w:val="13"/>
                <w:color w:val="auto"/>
              </w:rPr>
            </w:pPr>
          </w:p>
        </w:tc>
        <w:tc>
          <w:tcPr>
            <w:tcW w:w="1220" w:type="dxa"/>
            <w:vAlign w:val="bottom"/>
            <w:vMerge w:val="restart"/>
          </w:tcPr>
          <w:p>
            <w:pPr>
              <w:ind w:left="16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60" w:type="dxa"/>
            <w:vAlign w:val="bottom"/>
          </w:tcPr>
          <w:p>
            <w:pPr>
              <w:spacing w:after="0"/>
              <w:rPr>
                <w:sz w:val="12"/>
                <w:szCs w:val="12"/>
                <w:color w:val="auto"/>
              </w:rPr>
            </w:pPr>
          </w:p>
        </w:tc>
        <w:tc>
          <w:tcPr>
            <w:tcW w:w="12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5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Cost</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2"/>
              </w:rPr>
              <w:t>Gains</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2"/>
              </w:rPr>
              <w:t>Losses</w:t>
            </w:r>
          </w:p>
        </w:tc>
        <w:tc>
          <w:tcPr>
            <w:tcW w:w="260" w:type="dxa"/>
            <w:vAlign w:val="bottom"/>
          </w:tcPr>
          <w:p>
            <w:pPr>
              <w:spacing w:after="0"/>
              <w:rPr>
                <w:sz w:val="16"/>
                <w:szCs w:val="16"/>
                <w:color w:val="auto"/>
              </w:rPr>
            </w:pPr>
          </w:p>
        </w:tc>
        <w:tc>
          <w:tcPr>
            <w:tcW w:w="1220" w:type="dxa"/>
            <w:vAlign w:val="bottom"/>
          </w:tcPr>
          <w:p>
            <w:pPr>
              <w:ind w:left="16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Short-term investments:</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177,184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60</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176,880</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6,846</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(15)</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Arial" w:cs="Arial" w:eastAsia="Arial" w:hAnsi="Arial"/>
                <w:sz w:val="18"/>
                <w:szCs w:val="18"/>
                <w:color w:val="auto"/>
              </w:rPr>
              <w:t>6,831</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2,926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2,926</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552,282</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6"/>
              <w:spacing w:after="0"/>
              <w:rPr>
                <w:sz w:val="20"/>
                <w:szCs w:val="20"/>
                <w:color w:val="auto"/>
              </w:rPr>
            </w:pPr>
            <w:r>
              <w:rPr>
                <w:rFonts w:ascii="Arial" w:cs="Arial" w:eastAsia="Arial" w:hAnsi="Arial"/>
                <w:sz w:val="18"/>
                <w:szCs w:val="18"/>
                <w:color w:val="auto"/>
              </w:rPr>
              <w:t>673</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(528)</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Arial" w:cs="Arial" w:eastAsia="Arial" w:hAnsi="Arial"/>
                <w:sz w:val="18"/>
                <w:szCs w:val="18"/>
                <w:color w:val="auto"/>
              </w:rPr>
              <w:t>552,427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42,931</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15</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42,912</w:t>
            </w: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Held-to-maturity:</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28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150,000</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b w:val="1"/>
                <w:bCs w:val="1"/>
                <w:color w:val="auto"/>
              </w:rPr>
              <w:t>Total investments</w:t>
            </w: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932,169</w:t>
            </w:r>
          </w:p>
        </w:tc>
        <w:tc>
          <w:tcPr>
            <w:tcW w:w="10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748</w:t>
            </w:r>
          </w:p>
        </w:tc>
        <w:tc>
          <w:tcPr>
            <w:tcW w:w="10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(941)</w:t>
            </w:r>
          </w:p>
        </w:tc>
        <w:tc>
          <w:tcPr>
            <w:tcW w:w="10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931,976</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51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90"/>
        </w:trPr>
        <w:tc>
          <w:tcPr>
            <w:tcW w:w="514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2900" w:type="dxa"/>
            <w:vAlign w:val="bottom"/>
            <w:tcBorders>
              <w:bottom w:val="single" w:sz="8" w:color="auto"/>
            </w:tcBorders>
            <w:gridSpan w:val="5"/>
          </w:tcPr>
          <w:p>
            <w:pPr>
              <w:ind w:left="740"/>
              <w:spacing w:after="0"/>
              <w:rPr>
                <w:sz w:val="20"/>
                <w:szCs w:val="20"/>
                <w:color w:val="auto"/>
              </w:rPr>
            </w:pPr>
            <w:r>
              <w:rPr>
                <w:rFonts w:ascii="Arial" w:cs="Arial" w:eastAsia="Arial" w:hAnsi="Arial"/>
                <w:sz w:val="14"/>
                <w:szCs w:val="14"/>
                <w:b w:val="1"/>
                <w:bCs w:val="1"/>
                <w:color w:val="auto"/>
              </w:rPr>
              <w:t>January 28, 2017</w:t>
            </w:r>
          </w:p>
        </w:tc>
        <w:tc>
          <w:tcPr>
            <w:tcW w:w="260" w:type="dxa"/>
            <w:vAlign w:val="bottom"/>
            <w:tcBorders>
              <w:bottom w:val="single" w:sz="8" w:color="auto"/>
            </w:tcBorders>
          </w:tcPr>
          <w:p>
            <w:pPr>
              <w:spacing w:after="0"/>
              <w:rPr>
                <w:sz w:val="24"/>
                <w:szCs w:val="24"/>
                <w:color w:val="auto"/>
              </w:rPr>
            </w:pPr>
          </w:p>
        </w:tc>
        <w:tc>
          <w:tcPr>
            <w:tcW w:w="122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52"/>
        </w:trPr>
        <w:tc>
          <w:tcPr>
            <w:tcW w:w="51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vMerge w:val="restart"/>
          </w:tcPr>
          <w:p>
            <w:pPr>
              <w:jc w:val="center"/>
              <w:ind w:right="400"/>
              <w:spacing w:after="0"/>
              <w:rPr>
                <w:sz w:val="20"/>
                <w:szCs w:val="20"/>
                <w:color w:val="auto"/>
              </w:rPr>
            </w:pPr>
            <w:r>
              <w:rPr>
                <w:rFonts w:ascii="Arial" w:cs="Arial" w:eastAsia="Arial" w:hAnsi="Arial"/>
                <w:sz w:val="14"/>
                <w:szCs w:val="14"/>
                <w:b w:val="1"/>
                <w:bCs w:val="1"/>
                <w:color w:val="auto"/>
                <w:w w:val="96"/>
              </w:rPr>
              <w:t>Amortized</w:t>
            </w:r>
          </w:p>
        </w:tc>
        <w:tc>
          <w:tcPr>
            <w:tcW w:w="260" w:type="dxa"/>
            <w:vAlign w:val="bottom"/>
          </w:tcPr>
          <w:p>
            <w:pPr>
              <w:spacing w:after="0"/>
              <w:rPr>
                <w:sz w:val="13"/>
                <w:szCs w:val="13"/>
                <w:color w:val="auto"/>
              </w:rPr>
            </w:pPr>
          </w:p>
        </w:tc>
        <w:tc>
          <w:tcPr>
            <w:tcW w:w="13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Gross</w:t>
            </w:r>
          </w:p>
        </w:tc>
        <w:tc>
          <w:tcPr>
            <w:tcW w:w="260" w:type="dxa"/>
            <w:vAlign w:val="bottom"/>
          </w:tcPr>
          <w:p>
            <w:pPr>
              <w:spacing w:after="0"/>
              <w:rPr>
                <w:sz w:val="13"/>
                <w:szCs w:val="13"/>
                <w:color w:val="auto"/>
              </w:rPr>
            </w:pPr>
          </w:p>
        </w:tc>
        <w:tc>
          <w:tcPr>
            <w:tcW w:w="1320" w:type="dxa"/>
            <w:vAlign w:val="bottom"/>
            <w:gridSpan w:val="2"/>
          </w:tcPr>
          <w:p>
            <w:pPr>
              <w:jc w:val="center"/>
              <w:ind w:right="360"/>
              <w:spacing w:after="0" w:line="153" w:lineRule="exact"/>
              <w:rPr>
                <w:sz w:val="20"/>
                <w:szCs w:val="20"/>
                <w:color w:val="auto"/>
              </w:rPr>
            </w:pPr>
            <w:r>
              <w:rPr>
                <w:rFonts w:ascii="Arial" w:cs="Arial" w:eastAsia="Arial" w:hAnsi="Arial"/>
                <w:sz w:val="14"/>
                <w:szCs w:val="14"/>
                <w:b w:val="1"/>
                <w:bCs w:val="1"/>
                <w:color w:val="auto"/>
                <w:w w:val="88"/>
              </w:rPr>
              <w:t>Gross</w:t>
            </w:r>
          </w:p>
        </w:tc>
        <w:tc>
          <w:tcPr>
            <w:tcW w:w="260" w:type="dxa"/>
            <w:vAlign w:val="bottom"/>
          </w:tcPr>
          <w:p>
            <w:pPr>
              <w:spacing w:after="0"/>
              <w:rPr>
                <w:sz w:val="13"/>
                <w:szCs w:val="13"/>
                <w:color w:val="auto"/>
              </w:rPr>
            </w:pPr>
          </w:p>
        </w:tc>
        <w:tc>
          <w:tcPr>
            <w:tcW w:w="1220" w:type="dxa"/>
            <w:vAlign w:val="bottom"/>
            <w:vMerge w:val="restart"/>
          </w:tcPr>
          <w:p>
            <w:pPr>
              <w:ind w:left="160"/>
              <w:spacing w:after="0"/>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49"/>
        </w:trPr>
        <w:tc>
          <w:tcPr>
            <w:tcW w:w="51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340" w:type="dxa"/>
            <w:vAlign w:val="bottom"/>
            <w:gridSpan w:val="2"/>
            <w:vMerge w:val="continue"/>
          </w:tcPr>
          <w:p>
            <w:pPr>
              <w:spacing w:after="0"/>
              <w:rPr>
                <w:sz w:val="12"/>
                <w:szCs w:val="12"/>
                <w:color w:val="auto"/>
              </w:rPr>
            </w:pP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60" w:type="dxa"/>
            <w:vAlign w:val="bottom"/>
          </w:tcPr>
          <w:p>
            <w:pPr>
              <w:spacing w:after="0"/>
              <w:rPr>
                <w:sz w:val="12"/>
                <w:szCs w:val="12"/>
                <w:color w:val="auto"/>
              </w:rPr>
            </w:pPr>
          </w:p>
        </w:tc>
        <w:tc>
          <w:tcPr>
            <w:tcW w:w="13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95"/>
              </w:rPr>
              <w:t>Unrealized</w:t>
            </w:r>
          </w:p>
        </w:tc>
        <w:tc>
          <w:tcPr>
            <w:tcW w:w="260" w:type="dxa"/>
            <w:vAlign w:val="bottom"/>
          </w:tcPr>
          <w:p>
            <w:pPr>
              <w:spacing w:after="0"/>
              <w:rPr>
                <w:sz w:val="12"/>
                <w:szCs w:val="12"/>
                <w:color w:val="auto"/>
              </w:rPr>
            </w:pPr>
          </w:p>
        </w:tc>
        <w:tc>
          <w:tcPr>
            <w:tcW w:w="122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2"/>
        </w:trPr>
        <w:tc>
          <w:tcPr>
            <w:tcW w:w="5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Cost</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2"/>
              </w:rPr>
              <w:t>Gains</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2"/>
              </w:rPr>
              <w:t>Losses</w:t>
            </w:r>
          </w:p>
        </w:tc>
        <w:tc>
          <w:tcPr>
            <w:tcW w:w="260" w:type="dxa"/>
            <w:vAlign w:val="bottom"/>
          </w:tcPr>
          <w:p>
            <w:pPr>
              <w:spacing w:after="0"/>
              <w:rPr>
                <w:sz w:val="16"/>
                <w:szCs w:val="16"/>
                <w:color w:val="auto"/>
              </w:rPr>
            </w:pPr>
          </w:p>
        </w:tc>
        <w:tc>
          <w:tcPr>
            <w:tcW w:w="1220" w:type="dxa"/>
            <w:vAlign w:val="bottom"/>
          </w:tcPr>
          <w:p>
            <w:pPr>
              <w:ind w:left="16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Short-term investments:</w:t>
            </w:r>
          </w:p>
        </w:tc>
        <w:tc>
          <w:tcPr>
            <w:tcW w:w="280" w:type="dxa"/>
            <w:vAlign w:val="bottom"/>
            <w:tcBorders>
              <w:top w:val="single" w:sz="8" w:color="auto"/>
              <w:bottom w:val="single" w:sz="8" w:color="CCEEFF"/>
            </w:tcBorders>
            <w:shd w:val="clear" w:color="auto" w:fill="CCEEFF"/>
          </w:tcPr>
          <w:p>
            <w:pPr>
              <w:spacing w:after="0"/>
              <w:rPr>
                <w:sz w:val="21"/>
                <w:szCs w:val="21"/>
                <w:color w:val="auto"/>
              </w:rPr>
            </w:pPr>
          </w:p>
        </w:tc>
        <w:tc>
          <w:tcPr>
            <w:tcW w:w="124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spacing w:after="0"/>
              <w:rPr>
                <w:sz w:val="21"/>
                <w:szCs w:val="21"/>
                <w:color w:val="auto"/>
              </w:rPr>
            </w:pPr>
          </w:p>
        </w:tc>
        <w:tc>
          <w:tcPr>
            <w:tcW w:w="122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185,584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86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(283)</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185,387</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13,425</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(50)</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Arial" w:cs="Arial" w:eastAsia="Arial" w:hAnsi="Arial"/>
                <w:sz w:val="18"/>
                <w:szCs w:val="18"/>
                <w:color w:val="auto"/>
              </w:rPr>
              <w:t>13,375</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27,916</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4</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27,871</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1240" w:type="dxa"/>
            <w:vAlign w:val="bottom"/>
          </w:tcPr>
          <w:p>
            <w:pPr>
              <w:jc w:val="right"/>
              <w:ind w:right="33"/>
              <w:spacing w:after="0"/>
              <w:rPr>
                <w:sz w:val="20"/>
                <w:szCs w:val="20"/>
                <w:color w:val="auto"/>
              </w:rPr>
            </w:pPr>
            <w:r>
              <w:rPr>
                <w:rFonts w:ascii="Arial" w:cs="Arial" w:eastAsia="Arial" w:hAnsi="Arial"/>
                <w:sz w:val="18"/>
                <w:szCs w:val="18"/>
                <w:color w:val="auto"/>
              </w:rPr>
              <w:t>432,603</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6"/>
              <w:spacing w:after="0"/>
              <w:rPr>
                <w:sz w:val="20"/>
                <w:szCs w:val="20"/>
                <w:color w:val="auto"/>
              </w:rPr>
            </w:pPr>
            <w:r>
              <w:rPr>
                <w:rFonts w:ascii="Arial" w:cs="Arial" w:eastAsia="Arial" w:hAnsi="Arial"/>
                <w:sz w:val="18"/>
                <w:szCs w:val="18"/>
                <w:color w:val="auto"/>
              </w:rPr>
              <w:t>281</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(776)</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3"/>
              <w:spacing w:after="0"/>
              <w:rPr>
                <w:sz w:val="20"/>
                <w:szCs w:val="20"/>
                <w:color w:val="auto"/>
              </w:rPr>
            </w:pPr>
            <w:r>
              <w:rPr>
                <w:rFonts w:ascii="Arial" w:cs="Arial" w:eastAsia="Arial" w:hAnsi="Arial"/>
                <w:sz w:val="18"/>
                <w:szCs w:val="18"/>
                <w:color w:val="auto"/>
              </w:rPr>
              <w:t>432,108</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45,541</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33</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45,527</w:t>
            </w: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Held-to-maturity:</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gridSpan w:val="2"/>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gridSpan w:val="2"/>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Time deposits</w:t>
            </w:r>
          </w:p>
        </w:tc>
        <w:tc>
          <w:tcPr>
            <w:tcW w:w="28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150,000</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b w:val="1"/>
                <w:bCs w:val="1"/>
                <w:color w:val="auto"/>
              </w:rPr>
              <w:t>Total short-term investments</w:t>
            </w:r>
          </w:p>
        </w:tc>
        <w:tc>
          <w:tcPr>
            <w:tcW w:w="28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855,069</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404</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(1,205)</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854,268</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Long-term investments:</w:t>
            </w:r>
          </w:p>
        </w:tc>
        <w:tc>
          <w:tcPr>
            <w:tcW w:w="28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Available-for-sale:</w:t>
            </w:r>
          </w:p>
        </w:tc>
        <w:tc>
          <w:tcPr>
            <w:tcW w:w="28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gridSpan w:val="2"/>
          </w:tcPr>
          <w:p>
            <w:pPr>
              <w:spacing w:after="0"/>
              <w:rPr>
                <w:sz w:val="2"/>
                <w:szCs w:val="2"/>
                <w:color w:val="auto"/>
              </w:rPr>
            </w:pPr>
          </w:p>
        </w:tc>
        <w:tc>
          <w:tcPr>
            <w:tcW w:w="260" w:type="dxa"/>
            <w:vAlign w:val="bottom"/>
          </w:tcPr>
          <w:p>
            <w:pPr>
              <w:spacing w:after="0"/>
              <w:rPr>
                <w:sz w:val="2"/>
                <w:szCs w:val="2"/>
                <w:color w:val="auto"/>
              </w:rPr>
            </w:pPr>
          </w:p>
        </w:tc>
        <w:tc>
          <w:tcPr>
            <w:tcW w:w="1320" w:type="dxa"/>
            <w:vAlign w:val="bottom"/>
            <w:gridSpan w:val="2"/>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Auction rate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4,615</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4,615</w:t>
            </w:r>
          </w:p>
        </w:tc>
        <w:tc>
          <w:tcPr>
            <w:tcW w:w="0" w:type="dxa"/>
            <w:vAlign w:val="bottom"/>
          </w:tcPr>
          <w:p>
            <w:pPr>
              <w:spacing w:after="0"/>
              <w:rPr>
                <w:sz w:val="1"/>
                <w:szCs w:val="1"/>
                <w:color w:val="auto"/>
              </w:rPr>
            </w:pPr>
          </w:p>
        </w:tc>
      </w:tr>
      <w:tr>
        <w:trPr>
          <w:trHeight w:val="237"/>
        </w:trPr>
        <w:tc>
          <w:tcPr>
            <w:tcW w:w="5140" w:type="dxa"/>
            <w:vAlign w:val="bottom"/>
          </w:tcPr>
          <w:p>
            <w:pPr>
              <w:ind w:left="380"/>
              <w:spacing w:after="0"/>
              <w:rPr>
                <w:sz w:val="20"/>
                <w:szCs w:val="20"/>
                <w:color w:val="auto"/>
              </w:rPr>
            </w:pPr>
            <w:r>
              <w:rPr>
                <w:rFonts w:ascii="Arial" w:cs="Arial" w:eastAsia="Arial" w:hAnsi="Arial"/>
                <w:sz w:val="18"/>
                <w:szCs w:val="18"/>
                <w:color w:val="auto"/>
              </w:rPr>
              <w:t>Long-term investments</w:t>
            </w:r>
          </w:p>
        </w:tc>
        <w:tc>
          <w:tcPr>
            <w:tcW w:w="28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4,615</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5"/>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26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4,615</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Total investments</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859,684</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404</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(1,205)</w:t>
            </w:r>
          </w:p>
        </w:tc>
        <w:tc>
          <w:tcPr>
            <w:tcW w:w="100" w:type="dxa"/>
            <w:vAlign w:val="bottom"/>
            <w:tcBorders>
              <w:bottom w:val="single" w:sz="8" w:color="CCEEFF"/>
            </w:tcBorders>
            <w:shd w:val="clear" w:color="auto" w:fill="CCEEFF"/>
          </w:tcPr>
          <w:p>
            <w:pPr>
              <w:spacing w:after="0"/>
              <w:rPr>
                <w:sz w:val="22"/>
                <w:szCs w:val="22"/>
                <w:color w:val="auto"/>
              </w:rPr>
            </w:pPr>
          </w:p>
        </w:tc>
        <w:tc>
          <w:tcPr>
            <w:tcW w:w="260" w:type="dxa"/>
            <w:vAlign w:val="bottom"/>
            <w:tcBorders>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858,883</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4" w:lineRule="exact"/>
        <w:rPr>
          <w:sz w:val="20"/>
          <w:szCs w:val="20"/>
          <w:color w:val="auto"/>
        </w:rPr>
      </w:pPr>
    </w:p>
    <w:p>
      <w:pPr>
        <w:ind w:left="420"/>
        <w:spacing w:after="0"/>
        <w:rPr>
          <w:sz w:val="20"/>
          <w:szCs w:val="20"/>
          <w:color w:val="auto"/>
        </w:rPr>
      </w:pPr>
      <w:r>
        <w:rPr>
          <w:rFonts w:ascii="Arial" w:cs="Arial" w:eastAsia="Arial" w:hAnsi="Arial"/>
          <w:sz w:val="17"/>
          <w:szCs w:val="17"/>
          <w:color w:val="auto"/>
        </w:rPr>
        <w:t>Gross realized gains and gross realized losses on sales of available-for-sale securities are presented in the following tables (in thousands):</w:t>
      </w:r>
    </w:p>
    <w:p>
      <w:pPr>
        <w:spacing w:after="0" w:line="200" w:lineRule="exact"/>
        <w:rPr>
          <w:sz w:val="20"/>
          <w:szCs w:val="20"/>
          <w:color w:val="auto"/>
        </w:rPr>
      </w:pP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900" w:type="dxa"/>
            <w:vAlign w:val="bottom"/>
            <w:tcBorders>
              <w:bottom w:val="single" w:sz="8" w:color="auto"/>
            </w:tcBorders>
          </w:tcPr>
          <w:p>
            <w:pPr>
              <w:spacing w:after="0"/>
              <w:rPr>
                <w:sz w:val="16"/>
                <w:szCs w:val="16"/>
                <w:color w:val="auto"/>
              </w:rPr>
            </w:pPr>
          </w:p>
        </w:tc>
        <w:tc>
          <w:tcPr>
            <w:tcW w:w="1800" w:type="dxa"/>
            <w:vAlign w:val="bottom"/>
            <w:tcBorders>
              <w:bottom w:val="single" w:sz="8" w:color="auto"/>
            </w:tcBorders>
            <w:gridSpan w:val="3"/>
          </w:tcPr>
          <w:p>
            <w:pPr>
              <w:jc w:val="right"/>
              <w:ind w:right="399"/>
              <w:spacing w:after="0"/>
              <w:rPr>
                <w:sz w:val="20"/>
                <w:szCs w:val="20"/>
                <w:color w:val="auto"/>
              </w:rPr>
            </w:pPr>
            <w:r>
              <w:rPr>
                <w:rFonts w:ascii="Arial" w:cs="Arial" w:eastAsia="Arial" w:hAnsi="Arial"/>
                <w:sz w:val="14"/>
                <w:szCs w:val="14"/>
                <w:b w:val="1"/>
                <w:bCs w:val="1"/>
                <w:color w:val="auto"/>
                <w:w w:val="93"/>
              </w:rPr>
              <w:t>Three Months Ended</w:t>
            </w:r>
          </w:p>
        </w:tc>
        <w:tc>
          <w:tcPr>
            <w:tcW w:w="40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17"/>
              <w:spacing w:after="0"/>
              <w:rPr>
                <w:sz w:val="20"/>
                <w:szCs w:val="20"/>
                <w:color w:val="auto"/>
              </w:rPr>
            </w:pPr>
            <w:r>
              <w:rPr>
                <w:rFonts w:ascii="Arial" w:cs="Arial" w:eastAsia="Arial" w:hAnsi="Arial"/>
                <w:sz w:val="14"/>
                <w:szCs w:val="14"/>
                <w:b w:val="1"/>
                <w:bCs w:val="1"/>
                <w:color w:val="auto"/>
              </w:rPr>
              <w:t>Nine Months Ended</w:t>
            </w:r>
          </w:p>
        </w:tc>
      </w:tr>
      <w:tr>
        <w:trPr>
          <w:trHeight w:val="152"/>
        </w:trPr>
        <w:tc>
          <w:tcPr>
            <w:tcW w:w="5140" w:type="dxa"/>
            <w:vAlign w:val="bottom"/>
          </w:tcPr>
          <w:p>
            <w:pPr>
              <w:spacing w:after="0"/>
              <w:rPr>
                <w:sz w:val="13"/>
                <w:szCs w:val="13"/>
                <w:color w:val="auto"/>
              </w:rPr>
            </w:pPr>
          </w:p>
        </w:tc>
        <w:tc>
          <w:tcPr>
            <w:tcW w:w="1620" w:type="dxa"/>
            <w:vAlign w:val="bottom"/>
            <w:gridSpan w:val="3"/>
          </w:tcPr>
          <w:p>
            <w:pPr>
              <w:ind w:left="380"/>
              <w:spacing w:after="0" w:line="153" w:lineRule="exact"/>
              <w:rPr>
                <w:sz w:val="20"/>
                <w:szCs w:val="20"/>
                <w:color w:val="auto"/>
              </w:rPr>
            </w:pPr>
            <w:r>
              <w:rPr>
                <w:rFonts w:ascii="Arial" w:cs="Arial" w:eastAsia="Arial" w:hAnsi="Arial"/>
                <w:sz w:val="14"/>
                <w:szCs w:val="14"/>
                <w:b w:val="1"/>
                <w:bCs w:val="1"/>
                <w:color w:val="auto"/>
              </w:rPr>
              <w:t>October 28,</w:t>
            </w:r>
          </w:p>
        </w:tc>
        <w:tc>
          <w:tcPr>
            <w:tcW w:w="1080" w:type="dxa"/>
            <w:vAlign w:val="bottom"/>
          </w:tcPr>
          <w:p>
            <w:pPr>
              <w:jc w:val="right"/>
              <w:spacing w:after="0" w:line="153" w:lineRule="exact"/>
              <w:rPr>
                <w:sz w:val="20"/>
                <w:szCs w:val="20"/>
                <w:color w:val="auto"/>
              </w:rPr>
            </w:pPr>
            <w:r>
              <w:rPr>
                <w:rFonts w:ascii="Arial" w:cs="Arial" w:eastAsia="Arial" w:hAnsi="Arial"/>
                <w:sz w:val="14"/>
                <w:szCs w:val="14"/>
                <w:b w:val="1"/>
                <w:bCs w:val="1"/>
                <w:color w:val="auto"/>
              </w:rPr>
              <w:t>October 29,</w:t>
            </w:r>
          </w:p>
        </w:tc>
        <w:tc>
          <w:tcPr>
            <w:tcW w:w="4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240" w:type="dxa"/>
            <w:vAlign w:val="bottom"/>
          </w:tcPr>
          <w:p>
            <w:pPr>
              <w:jc w:val="right"/>
              <w:ind w:right="317"/>
              <w:spacing w:after="0" w:line="153" w:lineRule="exact"/>
              <w:rPr>
                <w:sz w:val="20"/>
                <w:szCs w:val="20"/>
                <w:color w:val="auto"/>
              </w:rPr>
            </w:pPr>
            <w:r>
              <w:rPr>
                <w:rFonts w:ascii="Arial" w:cs="Arial" w:eastAsia="Arial" w:hAnsi="Arial"/>
                <w:sz w:val="14"/>
                <w:szCs w:val="14"/>
                <w:b w:val="1"/>
                <w:bCs w:val="1"/>
                <w:color w:val="auto"/>
              </w:rPr>
              <w:t>October 29,</w:t>
            </w:r>
          </w:p>
        </w:tc>
      </w:tr>
      <w:tr>
        <w:trPr>
          <w:trHeight w:val="192"/>
        </w:trPr>
        <w:tc>
          <w:tcPr>
            <w:tcW w:w="5140" w:type="dxa"/>
            <w:vAlign w:val="bottom"/>
            <w:tcBorders>
              <w:bottom w:val="single" w:sz="8" w:color="CCEEFF"/>
            </w:tcBorders>
          </w:tcPr>
          <w:p>
            <w:pPr>
              <w:spacing w:after="0"/>
              <w:rPr>
                <w:sz w:val="16"/>
                <w:szCs w:val="16"/>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2017</w:t>
            </w:r>
          </w:p>
        </w:tc>
        <w:tc>
          <w:tcPr>
            <w:tcW w:w="62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080" w:type="dxa"/>
            <w:vAlign w:val="bottom"/>
            <w:tcBorders>
              <w:bottom w:val="single" w:sz="8" w:color="auto"/>
            </w:tcBorders>
          </w:tcPr>
          <w:p>
            <w:pPr>
              <w:jc w:val="right"/>
              <w:ind w:right="119"/>
              <w:spacing w:after="0"/>
              <w:rPr>
                <w:sz w:val="20"/>
                <w:szCs w:val="20"/>
                <w:color w:val="auto"/>
              </w:rPr>
            </w:pPr>
            <w:r>
              <w:rPr>
                <w:rFonts w:ascii="Arial" w:cs="Arial" w:eastAsia="Arial" w:hAnsi="Arial"/>
                <w:sz w:val="14"/>
                <w:szCs w:val="14"/>
                <w:b w:val="1"/>
                <w:bCs w:val="1"/>
                <w:color w:val="auto"/>
              </w:rPr>
              <w:t>2016</w:t>
            </w:r>
          </w:p>
        </w:tc>
        <w:tc>
          <w:tcPr>
            <w:tcW w:w="4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7"/>
              <w:spacing w:after="0"/>
              <w:rPr>
                <w:sz w:val="20"/>
                <w:szCs w:val="20"/>
                <w:color w:val="auto"/>
              </w:rPr>
            </w:pPr>
            <w:r>
              <w:rPr>
                <w:rFonts w:ascii="Arial" w:cs="Arial" w:eastAsia="Arial" w:hAnsi="Arial"/>
                <w:sz w:val="14"/>
                <w:szCs w:val="14"/>
                <w:b w:val="1"/>
                <w:bCs w:val="1"/>
                <w:color w:val="auto"/>
              </w:rPr>
              <w:t>2016</w:t>
            </w: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realized gains</w:t>
            </w:r>
          </w:p>
        </w:tc>
        <w:tc>
          <w:tcPr>
            <w:tcW w:w="900" w:type="dxa"/>
            <w:vAlign w:val="bottom"/>
            <w:tcBorders>
              <w:bottom w:val="single" w:sz="8" w:color="CCEEFF"/>
            </w:tcBorders>
            <w:shd w:val="clear" w:color="auto" w:fill="CCEEFF"/>
          </w:tcPr>
          <w:p>
            <w:pPr>
              <w:jc w:val="right"/>
              <w:ind w:right="699"/>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CCEEFF"/>
            </w:tcBorders>
            <w:shd w:val="clear" w:color="auto" w:fill="CCEEFF"/>
          </w:tcPr>
          <w:p>
            <w:pPr>
              <w:jc w:val="right"/>
              <w:ind w:right="34"/>
              <w:spacing w:after="0"/>
              <w:rPr>
                <w:sz w:val="20"/>
                <w:szCs w:val="20"/>
                <w:color w:val="auto"/>
              </w:rPr>
            </w:pPr>
            <w:r>
              <w:rPr>
                <w:rFonts w:ascii="Arial" w:cs="Arial" w:eastAsia="Arial" w:hAnsi="Arial"/>
                <w:sz w:val="18"/>
                <w:szCs w:val="18"/>
                <w:color w:val="auto"/>
              </w:rPr>
              <w:t>92</w:t>
            </w:r>
          </w:p>
        </w:tc>
        <w:tc>
          <w:tcPr>
            <w:tcW w:w="10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879"/>
              <w:spacing w:after="0"/>
              <w:rPr>
                <w:sz w:val="20"/>
                <w:szCs w:val="20"/>
                <w:color w:val="auto"/>
              </w:rPr>
            </w:pPr>
            <w:r>
              <w:rPr>
                <w:rFonts w:ascii="Arial" w:cs="Arial" w:eastAsia="Arial" w:hAnsi="Arial"/>
                <w:sz w:val="18"/>
                <w:szCs w:val="18"/>
                <w:color w:val="auto"/>
                <w:w w:val="99"/>
              </w:rPr>
              <w:t>$</w:t>
            </w:r>
          </w:p>
        </w:tc>
        <w:tc>
          <w:tcPr>
            <w:tcW w:w="4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86"/>
              </w:rPr>
              <w:t>298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8"/>
                <w:szCs w:val="18"/>
                <w:color w:val="auto"/>
              </w:rPr>
              <w:t>177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966</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Gross realized losses</w:t>
            </w:r>
          </w:p>
        </w:tc>
        <w:tc>
          <w:tcPr>
            <w:tcW w:w="900" w:type="dxa"/>
            <w:vAlign w:val="bottom"/>
          </w:tcPr>
          <w:p>
            <w:pPr>
              <w:spacing w:after="0"/>
              <w:rPr>
                <w:sz w:val="21"/>
                <w:szCs w:val="21"/>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w w:val="94"/>
              </w:rPr>
              <w:t>(2,847)</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99"/>
              </w:rPr>
              <w:t>(46)</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(2,960)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(289)</w:t>
            </w:r>
          </w:p>
        </w:tc>
      </w:tr>
      <w:tr>
        <w:trPr>
          <w:trHeight w:val="27"/>
        </w:trPr>
        <w:tc>
          <w:tcPr>
            <w:tcW w:w="5140" w:type="dxa"/>
            <w:vAlign w:val="bottom"/>
            <w:tcBorders>
              <w:bottom w:val="single" w:sz="8" w:color="CCEEFF"/>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6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net realized gains (losses)</w:t>
            </w:r>
          </w:p>
        </w:tc>
        <w:tc>
          <w:tcPr>
            <w:tcW w:w="900" w:type="dxa"/>
            <w:vAlign w:val="bottom"/>
            <w:tcBorders>
              <w:bottom w:val="single" w:sz="8" w:color="CCEEFF"/>
            </w:tcBorders>
            <w:shd w:val="clear" w:color="auto" w:fill="CCEEFF"/>
          </w:tcPr>
          <w:p>
            <w:pPr>
              <w:jc w:val="right"/>
              <w:ind w:right="699"/>
              <w:spacing w:after="0"/>
              <w:rPr>
                <w:sz w:val="20"/>
                <w:szCs w:val="20"/>
                <w:color w:val="auto"/>
              </w:rPr>
            </w:pPr>
            <w:r>
              <w:rPr>
                <w:rFonts w:ascii="Arial" w:cs="Arial" w:eastAsia="Arial" w:hAnsi="Arial"/>
                <w:sz w:val="18"/>
                <w:szCs w:val="18"/>
                <w:color w:val="auto"/>
                <w:w w:val="99"/>
              </w:rPr>
              <w:t>$</w:t>
            </w:r>
          </w:p>
        </w:tc>
        <w:tc>
          <w:tcPr>
            <w:tcW w:w="6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4"/>
              </w:rPr>
              <w:t>(2,755)</w:t>
            </w:r>
          </w:p>
        </w:tc>
        <w:tc>
          <w:tcPr>
            <w:tcW w:w="10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879"/>
              <w:spacing w:after="0"/>
              <w:rPr>
                <w:sz w:val="20"/>
                <w:szCs w:val="20"/>
                <w:color w:val="auto"/>
              </w:rPr>
            </w:pPr>
            <w:r>
              <w:rPr>
                <w:rFonts w:ascii="Arial" w:cs="Arial" w:eastAsia="Arial" w:hAnsi="Arial"/>
                <w:sz w:val="18"/>
                <w:szCs w:val="18"/>
                <w:color w:val="auto"/>
                <w:w w:val="99"/>
              </w:rPr>
              <w:t>$</w:t>
            </w:r>
          </w:p>
        </w:tc>
        <w:tc>
          <w:tcPr>
            <w:tcW w:w="40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86"/>
              </w:rPr>
              <w:t>252</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(2,783)</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37"/>
              <w:spacing w:after="0"/>
              <w:rPr>
                <w:sz w:val="20"/>
                <w:szCs w:val="20"/>
                <w:color w:val="auto"/>
              </w:rPr>
            </w:pPr>
            <w:r>
              <w:rPr>
                <w:rFonts w:ascii="Arial" w:cs="Arial" w:eastAsia="Arial" w:hAnsi="Arial"/>
                <w:sz w:val="18"/>
                <w:szCs w:val="18"/>
                <w:color w:val="auto"/>
              </w:rPr>
              <w:t>677</w:t>
            </w:r>
          </w:p>
        </w:tc>
      </w:tr>
      <w:tr>
        <w:trPr>
          <w:trHeight w:val="20"/>
        </w:trPr>
        <w:tc>
          <w:tcPr>
            <w:tcW w:w="5140" w:type="dxa"/>
            <w:vAlign w:val="bottom"/>
            <w:tcBorders>
              <w:top w:val="single" w:sz="8" w:color="CCEEFF"/>
            </w:tcBorders>
          </w:tcPr>
          <w:p>
            <w:pPr>
              <w:spacing w:after="0" w:line="20" w:lineRule="exact"/>
              <w:rPr>
                <w:sz w:val="1"/>
                <w:szCs w:val="1"/>
                <w:color w:val="auto"/>
              </w:rPr>
            </w:pPr>
          </w:p>
        </w:tc>
        <w:tc>
          <w:tcPr>
            <w:tcW w:w="9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400"/>
          </w:cols>
          <w:pgMar w:left="240" w:top="140" w:right="259" w:bottom="1440" w:gutter="0" w:footer="0" w:header="0"/>
        </w:sectPr>
      </w:pPr>
    </w:p>
    <w:p>
      <w:pPr>
        <w:spacing w:after="0" w:line="2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15</w:t>
      </w:r>
    </w:p>
    <w:p>
      <w:pPr>
        <w:sectPr>
          <w:pgSz w:w="11900" w:h="16838" w:orient="portrait"/>
          <w:cols w:equalWidth="0" w:num="1">
            <w:col w:w="11400"/>
          </w:cols>
          <w:pgMar w:left="240" w:top="140" w:right="259" w:bottom="1440" w:gutter="0" w:footer="0" w:header="0"/>
          <w:type w:val="continuous"/>
        </w:sectPr>
      </w:pPr>
    </w:p>
    <w:bookmarkStart w:id="16" w:name="page17"/>
    <w:bookmarkEnd w:id="1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400"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contractual maturities of available-for-sale securities are presented in the following tables (in thousands):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936"/>
              <w:spacing w:after="0"/>
              <w:rPr>
                <w:sz w:val="20"/>
                <w:szCs w:val="20"/>
                <w:color w:val="auto"/>
              </w:rPr>
            </w:pPr>
            <w:r>
              <w:rPr>
                <w:rFonts w:ascii="Arial" w:cs="Arial" w:eastAsia="Arial" w:hAnsi="Arial"/>
                <w:sz w:val="14"/>
                <w:szCs w:val="14"/>
                <w:b w:val="1"/>
                <w:bCs w:val="1"/>
                <w:color w:val="auto"/>
              </w:rPr>
              <w:t>October 28, 2017</w:t>
            </w:r>
          </w:p>
        </w:tc>
        <w:tc>
          <w:tcPr>
            <w:tcW w:w="10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800" w:type="dxa"/>
            <w:vAlign w:val="bottom"/>
            <w:tcBorders>
              <w:bottom w:val="single" w:sz="8" w:color="auto"/>
            </w:tcBorders>
            <w:gridSpan w:val="4"/>
          </w:tcPr>
          <w:p>
            <w:pPr>
              <w:jc w:val="right"/>
              <w:ind w:right="916"/>
              <w:spacing w:after="0"/>
              <w:rPr>
                <w:sz w:val="20"/>
                <w:szCs w:val="20"/>
                <w:color w:val="auto"/>
              </w:rPr>
            </w:pPr>
            <w:r>
              <w:rPr>
                <w:rFonts w:ascii="Arial" w:cs="Arial" w:eastAsia="Arial" w:hAnsi="Arial"/>
                <w:sz w:val="14"/>
                <w:szCs w:val="14"/>
                <w:b w:val="1"/>
                <w:bCs w:val="1"/>
                <w:color w:val="auto"/>
              </w:rPr>
              <w:t>January 28, 2017</w:t>
            </w:r>
          </w:p>
        </w:tc>
      </w:tr>
      <w:tr>
        <w:trPr>
          <w:trHeight w:val="152"/>
        </w:trPr>
        <w:tc>
          <w:tcPr>
            <w:tcW w:w="51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4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w w:val="96"/>
              </w:rPr>
              <w:t>Amortized</w:t>
            </w:r>
          </w:p>
        </w:tc>
        <w:tc>
          <w:tcPr>
            <w:tcW w:w="260" w:type="dxa"/>
            <w:vAlign w:val="bottom"/>
          </w:tcPr>
          <w:p>
            <w:pPr>
              <w:spacing w:after="0"/>
              <w:rPr>
                <w:sz w:val="13"/>
                <w:szCs w:val="13"/>
                <w:color w:val="auto"/>
              </w:rPr>
            </w:pPr>
          </w:p>
        </w:tc>
        <w:tc>
          <w:tcPr>
            <w:tcW w:w="1320" w:type="dxa"/>
            <w:vAlign w:val="bottom"/>
            <w:gridSpan w:val="2"/>
          </w:tcPr>
          <w:p>
            <w:pPr>
              <w:ind w:left="160"/>
              <w:spacing w:after="0" w:line="153" w:lineRule="exact"/>
              <w:rPr>
                <w:sz w:val="20"/>
                <w:szCs w:val="20"/>
                <w:color w:val="auto"/>
              </w:rPr>
            </w:pPr>
            <w:r>
              <w:rPr>
                <w:rFonts w:ascii="Arial" w:cs="Arial" w:eastAsia="Arial" w:hAnsi="Arial"/>
                <w:sz w:val="14"/>
                <w:szCs w:val="14"/>
                <w:b w:val="1"/>
                <w:bCs w:val="1"/>
                <w:color w:val="auto"/>
              </w:rPr>
              <w:t>Estimated</w:t>
            </w:r>
          </w:p>
        </w:tc>
        <w:tc>
          <w:tcPr>
            <w:tcW w:w="260" w:type="dxa"/>
            <w:vAlign w:val="bottom"/>
          </w:tcPr>
          <w:p>
            <w:pPr>
              <w:spacing w:after="0"/>
              <w:rPr>
                <w:sz w:val="13"/>
                <w:szCs w:val="13"/>
                <w:color w:val="auto"/>
              </w:rPr>
            </w:pPr>
          </w:p>
        </w:tc>
        <w:tc>
          <w:tcPr>
            <w:tcW w:w="132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w w:val="96"/>
              </w:rPr>
              <w:t>Amortized</w:t>
            </w:r>
          </w:p>
        </w:tc>
        <w:tc>
          <w:tcPr>
            <w:tcW w:w="260" w:type="dxa"/>
            <w:vAlign w:val="bottom"/>
          </w:tcPr>
          <w:p>
            <w:pPr>
              <w:spacing w:after="0"/>
              <w:rPr>
                <w:sz w:val="13"/>
                <w:szCs w:val="13"/>
                <w:color w:val="auto"/>
              </w:rPr>
            </w:pPr>
          </w:p>
        </w:tc>
        <w:tc>
          <w:tcPr>
            <w:tcW w:w="1220" w:type="dxa"/>
            <w:vAlign w:val="bottom"/>
          </w:tcPr>
          <w:p>
            <w:pPr>
              <w:jc w:val="right"/>
              <w:ind w:right="356"/>
              <w:spacing w:after="0" w:line="153" w:lineRule="exact"/>
              <w:rPr>
                <w:sz w:val="20"/>
                <w:szCs w:val="20"/>
                <w:color w:val="auto"/>
              </w:rPr>
            </w:pPr>
            <w:r>
              <w:rPr>
                <w:rFonts w:ascii="Arial" w:cs="Arial" w:eastAsia="Arial" w:hAnsi="Arial"/>
                <w:sz w:val="14"/>
                <w:szCs w:val="14"/>
                <w:b w:val="1"/>
                <w:bCs w:val="1"/>
                <w:color w:val="auto"/>
              </w:rPr>
              <w:t>Estimated</w:t>
            </w:r>
          </w:p>
        </w:tc>
      </w:tr>
      <w:tr>
        <w:trPr>
          <w:trHeight w:val="192"/>
        </w:trPr>
        <w:tc>
          <w:tcPr>
            <w:tcW w:w="51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34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9"/>
              </w:rPr>
              <w:t>Cost</w:t>
            </w:r>
          </w:p>
        </w:tc>
        <w:tc>
          <w:tcPr>
            <w:tcW w:w="260" w:type="dxa"/>
            <w:vAlign w:val="bottom"/>
          </w:tcPr>
          <w:p>
            <w:pPr>
              <w:spacing w:after="0"/>
              <w:rPr>
                <w:sz w:val="16"/>
                <w:szCs w:val="16"/>
                <w:color w:val="auto"/>
              </w:rPr>
            </w:pPr>
          </w:p>
        </w:tc>
        <w:tc>
          <w:tcPr>
            <w:tcW w:w="1320" w:type="dxa"/>
            <w:vAlign w:val="bottom"/>
            <w:gridSpan w:val="2"/>
          </w:tcPr>
          <w:p>
            <w:pPr>
              <w:ind w:left="160"/>
              <w:spacing w:after="0"/>
              <w:rPr>
                <w:sz w:val="20"/>
                <w:szCs w:val="20"/>
                <w:color w:val="auto"/>
              </w:rPr>
            </w:pPr>
            <w:r>
              <w:rPr>
                <w:rFonts w:ascii="Arial" w:cs="Arial" w:eastAsia="Arial" w:hAnsi="Arial"/>
                <w:sz w:val="14"/>
                <w:szCs w:val="14"/>
                <w:b w:val="1"/>
                <w:bCs w:val="1"/>
                <w:color w:val="auto"/>
              </w:rPr>
              <w:t>Fair Value</w:t>
            </w:r>
          </w:p>
        </w:tc>
        <w:tc>
          <w:tcPr>
            <w:tcW w:w="260" w:type="dxa"/>
            <w:vAlign w:val="bottom"/>
          </w:tcPr>
          <w:p>
            <w:pPr>
              <w:spacing w:after="0"/>
              <w:rPr>
                <w:sz w:val="16"/>
                <w:szCs w:val="16"/>
                <w:color w:val="auto"/>
              </w:rPr>
            </w:pPr>
          </w:p>
        </w:tc>
        <w:tc>
          <w:tcPr>
            <w:tcW w:w="132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89"/>
              </w:rPr>
              <w:t>Cost</w:t>
            </w:r>
          </w:p>
        </w:tc>
        <w:tc>
          <w:tcPr>
            <w:tcW w:w="260" w:type="dxa"/>
            <w:vAlign w:val="bottom"/>
          </w:tcPr>
          <w:p>
            <w:pPr>
              <w:spacing w:after="0"/>
              <w:rPr>
                <w:sz w:val="16"/>
                <w:szCs w:val="16"/>
                <w:color w:val="auto"/>
              </w:rPr>
            </w:pPr>
          </w:p>
        </w:tc>
        <w:tc>
          <w:tcPr>
            <w:tcW w:w="1220" w:type="dxa"/>
            <w:vAlign w:val="bottom"/>
          </w:tcPr>
          <w:p>
            <w:pPr>
              <w:jc w:val="right"/>
              <w:ind w:right="336"/>
              <w:spacing w:after="0"/>
              <w:rPr>
                <w:sz w:val="20"/>
                <w:szCs w:val="20"/>
                <w:color w:val="auto"/>
              </w:rPr>
            </w:pPr>
            <w:r>
              <w:rPr>
                <w:rFonts w:ascii="Arial" w:cs="Arial" w:eastAsia="Arial" w:hAnsi="Arial"/>
                <w:sz w:val="14"/>
                <w:szCs w:val="14"/>
                <w:b w:val="1"/>
                <w:bCs w:val="1"/>
                <w:color w:val="auto"/>
              </w:rPr>
              <w:t>Fair Value</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Due in one year or less</w:t>
            </w:r>
          </w:p>
        </w:tc>
        <w:tc>
          <w:tcPr>
            <w:tcW w:w="280" w:type="dxa"/>
            <w:vAlign w:val="bottom"/>
            <w:tcBorders>
              <w:top w:val="single" w:sz="8" w:color="auto"/>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38"/>
              <w:spacing w:after="0"/>
              <w:rPr>
                <w:sz w:val="20"/>
                <w:szCs w:val="20"/>
                <w:color w:val="auto"/>
              </w:rPr>
            </w:pPr>
            <w:r>
              <w:rPr>
                <w:rFonts w:ascii="Arial" w:cs="Arial" w:eastAsia="Arial" w:hAnsi="Arial"/>
                <w:sz w:val="18"/>
                <w:szCs w:val="18"/>
                <w:color w:val="auto"/>
              </w:rPr>
              <w:t>484,064</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483,982</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ind w:right="38"/>
              <w:spacing w:after="0"/>
              <w:rPr>
                <w:sz w:val="20"/>
                <w:szCs w:val="20"/>
                <w:color w:val="auto"/>
              </w:rPr>
            </w:pPr>
            <w:r>
              <w:rPr>
                <w:rFonts w:ascii="Arial" w:cs="Arial" w:eastAsia="Arial" w:hAnsi="Arial"/>
                <w:sz w:val="18"/>
                <w:szCs w:val="18"/>
                <w:color w:val="auto"/>
              </w:rPr>
              <w:t>423,151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60" w:type="dxa"/>
            <w:vAlign w:val="bottom"/>
            <w:tcBorders>
              <w:top w:val="single" w:sz="8" w:color="auto"/>
              <w:bottom w:val="single" w:sz="8" w:color="CCEEFF"/>
            </w:tcBorders>
            <w:shd w:val="clear" w:color="auto" w:fill="CCEEFF"/>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423,058</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Due between one and five years</w:t>
            </w:r>
          </w:p>
        </w:tc>
        <w:tc>
          <w:tcPr>
            <w:tcW w:w="280" w:type="dxa"/>
            <w:vAlign w:val="bottom"/>
          </w:tcPr>
          <w:p>
            <w:pPr>
              <w:spacing w:after="0"/>
              <w:rPr>
                <w:sz w:val="21"/>
                <w:szCs w:val="21"/>
                <w:color w:val="auto"/>
              </w:rPr>
            </w:pPr>
          </w:p>
        </w:tc>
        <w:tc>
          <w:tcPr>
            <w:tcW w:w="1240" w:type="dxa"/>
            <w:vAlign w:val="bottom"/>
          </w:tcPr>
          <w:p>
            <w:pPr>
              <w:jc w:val="right"/>
              <w:ind w:right="38"/>
              <w:spacing w:after="0"/>
              <w:rPr>
                <w:sz w:val="20"/>
                <w:szCs w:val="20"/>
                <w:color w:val="auto"/>
              </w:rPr>
            </w:pPr>
            <w:r>
              <w:rPr>
                <w:rFonts w:ascii="Arial" w:cs="Arial" w:eastAsia="Arial" w:hAnsi="Arial"/>
                <w:sz w:val="18"/>
                <w:szCs w:val="18"/>
                <w:color w:val="auto"/>
              </w:rPr>
              <w:t>448,105</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6"/>
              <w:spacing w:after="0"/>
              <w:rPr>
                <w:sz w:val="20"/>
                <w:szCs w:val="20"/>
                <w:color w:val="auto"/>
              </w:rPr>
            </w:pPr>
            <w:r>
              <w:rPr>
                <w:rFonts w:ascii="Arial" w:cs="Arial" w:eastAsia="Arial" w:hAnsi="Arial"/>
                <w:sz w:val="18"/>
                <w:szCs w:val="18"/>
                <w:color w:val="auto"/>
              </w:rPr>
              <w:t>447,994</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8"/>
              <w:spacing w:after="0"/>
              <w:rPr>
                <w:sz w:val="20"/>
                <w:szCs w:val="20"/>
                <w:color w:val="auto"/>
              </w:rPr>
            </w:pPr>
            <w:r>
              <w:rPr>
                <w:rFonts w:ascii="Arial" w:cs="Arial" w:eastAsia="Arial" w:hAnsi="Arial"/>
                <w:sz w:val="18"/>
                <w:szCs w:val="18"/>
                <w:color w:val="auto"/>
              </w:rPr>
              <w:t>423,669</w:t>
            </w:r>
          </w:p>
        </w:tc>
        <w:tc>
          <w:tcPr>
            <w:tcW w:w="1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220" w:type="dxa"/>
            <w:vAlign w:val="bottom"/>
          </w:tcPr>
          <w:p>
            <w:pPr>
              <w:jc w:val="right"/>
              <w:ind w:right="36"/>
              <w:spacing w:after="0"/>
              <w:rPr>
                <w:sz w:val="20"/>
                <w:szCs w:val="20"/>
                <w:color w:val="auto"/>
              </w:rPr>
            </w:pPr>
            <w:r>
              <w:rPr>
                <w:rFonts w:ascii="Arial" w:cs="Arial" w:eastAsia="Arial" w:hAnsi="Arial"/>
                <w:sz w:val="18"/>
                <w:szCs w:val="18"/>
                <w:color w:val="auto"/>
              </w:rPr>
              <w:t>422,995</w:t>
            </w:r>
          </w:p>
        </w:tc>
      </w:tr>
      <w:tr>
        <w:trPr>
          <w:trHeight w:val="27"/>
        </w:trPr>
        <w:tc>
          <w:tcPr>
            <w:tcW w:w="5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Due over five years</w:t>
            </w:r>
          </w:p>
        </w:tc>
        <w:tc>
          <w:tcPr>
            <w:tcW w:w="280" w:type="dxa"/>
            <w:vAlign w:val="bottom"/>
            <w:tcBorders>
              <w:bottom w:val="single" w:sz="8" w:color="CCEEFF"/>
            </w:tcBorders>
            <w:shd w:val="clear" w:color="auto" w:fill="CCEEFF"/>
          </w:tcPr>
          <w:p>
            <w:pPr>
              <w:spacing w:after="0"/>
              <w:rPr>
                <w:sz w:val="23"/>
                <w:szCs w:val="23"/>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8"/>
              <w:spacing w:after="0"/>
              <w:rPr>
                <w:sz w:val="20"/>
                <w:szCs w:val="20"/>
                <w:color w:val="auto"/>
              </w:rPr>
            </w:pPr>
            <w:r>
              <w:rPr>
                <w:rFonts w:ascii="Arial" w:cs="Arial" w:eastAsia="Arial" w:hAnsi="Arial"/>
                <w:sz w:val="18"/>
                <w:szCs w:val="18"/>
                <w:color w:val="auto"/>
              </w:rPr>
              <w:t>12,864</w:t>
            </w:r>
          </w:p>
        </w:tc>
        <w:tc>
          <w:tcPr>
            <w:tcW w:w="100" w:type="dxa"/>
            <w:vAlign w:val="bottom"/>
            <w:tcBorders>
              <w:bottom w:val="single" w:sz="8" w:color="CCEEFF"/>
            </w:tcBorders>
            <w:shd w:val="clear" w:color="auto" w:fill="CCEEFF"/>
          </w:tcPr>
          <w:p>
            <w:pPr>
              <w:spacing w:after="0"/>
              <w:rPr>
                <w:sz w:val="23"/>
                <w:szCs w:val="23"/>
                <w:color w:val="auto"/>
              </w:rPr>
            </w:pPr>
          </w:p>
        </w:tc>
        <w:tc>
          <w:tcPr>
            <w:tcW w:w="26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12,830</w:t>
            </w:r>
          </w:p>
        </w:tc>
      </w:tr>
      <w:tr>
        <w:trPr>
          <w:trHeight w:val="237"/>
        </w:trPr>
        <w:tc>
          <w:tcPr>
            <w:tcW w:w="514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38"/>
              <w:spacing w:after="0"/>
              <w:rPr>
                <w:sz w:val="20"/>
                <w:szCs w:val="20"/>
                <w:color w:val="auto"/>
              </w:rPr>
            </w:pPr>
            <w:r>
              <w:rPr>
                <w:rFonts w:ascii="Arial" w:cs="Arial" w:eastAsia="Arial" w:hAnsi="Arial"/>
                <w:sz w:val="18"/>
                <w:szCs w:val="18"/>
                <w:color w:val="auto"/>
              </w:rPr>
              <w:t>932,169</w:t>
            </w:r>
          </w:p>
        </w:tc>
        <w:tc>
          <w:tcPr>
            <w:tcW w:w="10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931,976</w:t>
            </w:r>
          </w:p>
        </w:tc>
        <w:tc>
          <w:tcPr>
            <w:tcW w:w="10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8"/>
              <w:spacing w:after="0"/>
              <w:rPr>
                <w:sz w:val="20"/>
                <w:szCs w:val="20"/>
                <w:color w:val="auto"/>
              </w:rPr>
            </w:pPr>
            <w:r>
              <w:rPr>
                <w:rFonts w:ascii="Arial" w:cs="Arial" w:eastAsia="Arial" w:hAnsi="Arial"/>
                <w:sz w:val="18"/>
                <w:szCs w:val="18"/>
                <w:color w:val="auto"/>
              </w:rPr>
              <w:t>859,684</w:t>
            </w:r>
          </w:p>
        </w:tc>
        <w:tc>
          <w:tcPr>
            <w:tcW w:w="100" w:type="dxa"/>
            <w:vAlign w:val="bottom"/>
          </w:tcPr>
          <w:p>
            <w:pPr>
              <w:spacing w:after="0"/>
              <w:rPr>
                <w:sz w:val="20"/>
                <w:szCs w:val="20"/>
                <w:color w:val="auto"/>
              </w:rPr>
            </w:pPr>
          </w:p>
        </w:tc>
        <w:tc>
          <w:tcPr>
            <w:tcW w:w="260" w:type="dxa"/>
            <w:vAlign w:val="bottom"/>
            <w:tcBorders>
              <w:top w:val="single" w:sz="8" w:color="auto"/>
            </w:tcBorders>
          </w:tcPr>
          <w:p>
            <w:pPr>
              <w:jc w:val="right"/>
              <w:ind w:right="50"/>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36"/>
              <w:spacing w:after="0"/>
              <w:rPr>
                <w:sz w:val="20"/>
                <w:szCs w:val="20"/>
                <w:color w:val="auto"/>
              </w:rPr>
            </w:pPr>
            <w:r>
              <w:rPr>
                <w:rFonts w:ascii="Arial" w:cs="Arial" w:eastAsia="Arial" w:hAnsi="Arial"/>
                <w:sz w:val="18"/>
                <w:szCs w:val="18"/>
                <w:color w:val="auto"/>
              </w:rPr>
              <w:t>858,883</w:t>
            </w:r>
          </w:p>
        </w:tc>
      </w:tr>
      <w:tr>
        <w:trPr>
          <w:trHeight w:val="27"/>
        </w:trPr>
        <w:tc>
          <w:tcPr>
            <w:tcW w:w="51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6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pacing w:after="0" w:line="148" w:lineRule="exact"/>
        <w:rPr>
          <w:sz w:val="20"/>
          <w:szCs w:val="20"/>
          <w:color w:val="auto"/>
        </w:rPr>
      </w:pPr>
    </w:p>
    <w:p>
      <w:pPr>
        <w:ind w:right="160" w:firstLine="405"/>
        <w:spacing w:after="0" w:line="308" w:lineRule="auto"/>
        <w:rPr>
          <w:sz w:val="20"/>
          <w:szCs w:val="20"/>
          <w:color w:val="auto"/>
        </w:rPr>
      </w:pPr>
      <w:r>
        <w:rPr>
          <w:rFonts w:ascii="Arial" w:cs="Arial" w:eastAsia="Arial" w:hAnsi="Arial"/>
          <w:sz w:val="17"/>
          <w:szCs w:val="17"/>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27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3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440" w:type="dxa"/>
            <w:vAlign w:val="bottom"/>
            <w:tcBorders>
              <w:bottom w:val="single" w:sz="8" w:color="auto"/>
            </w:tcBorders>
            <w:gridSpan w:val="5"/>
          </w:tcPr>
          <w:p>
            <w:pPr>
              <w:jc w:val="center"/>
              <w:ind w:right="400"/>
              <w:spacing w:after="0"/>
              <w:rPr>
                <w:sz w:val="20"/>
                <w:szCs w:val="20"/>
                <w:color w:val="auto"/>
              </w:rPr>
            </w:pPr>
            <w:r>
              <w:rPr>
                <w:rFonts w:ascii="Arial" w:cs="Arial" w:eastAsia="Arial" w:hAnsi="Arial"/>
                <w:sz w:val="14"/>
                <w:szCs w:val="14"/>
                <w:b w:val="1"/>
                <w:bCs w:val="1"/>
                <w:color w:val="auto"/>
                <w:w w:val="92"/>
              </w:rPr>
              <w:t>October 28, 2017</w:t>
            </w: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spacing w:after="0"/>
              <w:rPr>
                <w:sz w:val="16"/>
                <w:szCs w:val="16"/>
                <w:color w:val="auto"/>
              </w:rPr>
            </w:pPr>
          </w:p>
        </w:tc>
      </w:tr>
      <w:tr>
        <w:trPr>
          <w:trHeight w:val="264"/>
        </w:trPr>
        <w:tc>
          <w:tcPr>
            <w:tcW w:w="334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center"/>
              <w:ind w:right="174"/>
              <w:spacing w:after="0"/>
              <w:rPr>
                <w:sz w:val="20"/>
                <w:szCs w:val="20"/>
                <w:color w:val="auto"/>
              </w:rPr>
            </w:pPr>
            <w:r>
              <w:rPr>
                <w:rFonts w:ascii="Arial" w:cs="Arial" w:eastAsia="Arial" w:hAnsi="Arial"/>
                <w:sz w:val="14"/>
                <w:szCs w:val="14"/>
                <w:b w:val="1"/>
                <w:bCs w:val="1"/>
                <w:color w:val="auto"/>
                <w:w w:val="92"/>
              </w:rPr>
              <w:t>12 months or more</w:t>
            </w:r>
          </w:p>
        </w:tc>
        <w:tc>
          <w:tcPr>
            <w:tcW w:w="10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4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89"/>
              </w:rPr>
              <w:t>Total</w:t>
            </w:r>
          </w:p>
        </w:tc>
        <w:tc>
          <w:tcPr>
            <w:tcW w:w="1060" w:type="dxa"/>
            <w:vAlign w:val="bottom"/>
            <w:tcBorders>
              <w:bottom w:val="single" w:sz="8" w:color="auto"/>
            </w:tcBorders>
          </w:tcPr>
          <w:p>
            <w:pPr>
              <w:spacing w:after="0"/>
              <w:rPr>
                <w:sz w:val="22"/>
                <w:szCs w:val="22"/>
                <w:color w:val="auto"/>
              </w:rPr>
            </w:pPr>
          </w:p>
        </w:tc>
      </w:tr>
      <w:tr>
        <w:trPr>
          <w:trHeight w:val="152"/>
        </w:trPr>
        <w:tc>
          <w:tcPr>
            <w:tcW w:w="3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8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rPr>
              <w:t>Fair</w:t>
            </w:r>
          </w:p>
        </w:tc>
        <w:tc>
          <w:tcPr>
            <w:tcW w:w="22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108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rPr>
              <w:t>Fair</w:t>
            </w:r>
          </w:p>
        </w:tc>
        <w:tc>
          <w:tcPr>
            <w:tcW w:w="20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880" w:type="dxa"/>
            <w:vAlign w:val="bottom"/>
          </w:tcPr>
          <w:p>
            <w:pPr>
              <w:jc w:val="center"/>
              <w:ind w:right="94"/>
              <w:spacing w:after="0" w:line="153" w:lineRule="exact"/>
              <w:rPr>
                <w:sz w:val="20"/>
                <w:szCs w:val="20"/>
                <w:color w:val="auto"/>
              </w:rPr>
            </w:pPr>
            <w:r>
              <w:rPr>
                <w:rFonts w:ascii="Arial" w:cs="Arial" w:eastAsia="Arial" w:hAnsi="Arial"/>
                <w:sz w:val="14"/>
                <w:szCs w:val="14"/>
                <w:b w:val="1"/>
                <w:bCs w:val="1"/>
                <w:color w:val="auto"/>
              </w:rPr>
              <w:t>Fair</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60" w:type="dxa"/>
            <w:vAlign w:val="bottom"/>
          </w:tcPr>
          <w:p>
            <w:pPr>
              <w:jc w:val="center"/>
              <w:ind w:right="114"/>
              <w:spacing w:after="0" w:line="153" w:lineRule="exact"/>
              <w:rPr>
                <w:sz w:val="20"/>
                <w:szCs w:val="20"/>
                <w:color w:val="auto"/>
              </w:rPr>
            </w:pPr>
            <w:r>
              <w:rPr>
                <w:rFonts w:ascii="Arial" w:cs="Arial" w:eastAsia="Arial" w:hAnsi="Arial"/>
                <w:sz w:val="14"/>
                <w:szCs w:val="14"/>
                <w:b w:val="1"/>
                <w:bCs w:val="1"/>
                <w:color w:val="auto"/>
                <w:w w:val="93"/>
              </w:rPr>
              <w:t>Unrealized</w:t>
            </w:r>
          </w:p>
        </w:tc>
      </w:tr>
      <w:tr>
        <w:trPr>
          <w:trHeight w:val="192"/>
        </w:trPr>
        <w:tc>
          <w:tcPr>
            <w:tcW w:w="3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center"/>
              <w:ind w:right="196"/>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center"/>
              <w:ind w:right="114"/>
              <w:spacing w:after="0"/>
              <w:rPr>
                <w:sz w:val="20"/>
                <w:szCs w:val="20"/>
                <w:color w:val="auto"/>
              </w:rPr>
            </w:pPr>
            <w:r>
              <w:rPr>
                <w:rFonts w:ascii="Arial" w:cs="Arial" w:eastAsia="Arial" w:hAnsi="Arial"/>
                <w:sz w:val="14"/>
                <w:szCs w:val="14"/>
                <w:b w:val="1"/>
                <w:bCs w:val="1"/>
                <w:color w:val="auto"/>
                <w:w w:val="85"/>
              </w:rPr>
              <w:t>Loss</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197"/>
              <w:spacing w:after="0"/>
              <w:rPr>
                <w:sz w:val="20"/>
                <w:szCs w:val="20"/>
                <w:color w:val="auto"/>
              </w:rPr>
            </w:pPr>
            <w:r>
              <w:rPr>
                <w:rFonts w:ascii="Arial" w:cs="Arial" w:eastAsia="Arial" w:hAnsi="Arial"/>
                <w:sz w:val="14"/>
                <w:szCs w:val="14"/>
                <w:b w:val="1"/>
                <w:bCs w:val="1"/>
                <w:color w:val="auto"/>
                <w:w w:val="96"/>
              </w:rPr>
              <w:t>Value</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85"/>
              </w:rPr>
              <w:t>Loss</w:t>
            </w: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95,102</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(273)</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11,423</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(91)</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106,525</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(364)</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2,094</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4,737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6,831</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1,266</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1,266</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193,182</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(382)</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24,731</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(146)</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217,913</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(528)</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15,111</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2,179</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17,290</w:t>
            </w:r>
          </w:p>
        </w:tc>
        <w:tc>
          <w:tcPr>
            <w:tcW w:w="1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(34)</w:t>
            </w:r>
          </w:p>
        </w:tc>
      </w:tr>
      <w:tr>
        <w:trPr>
          <w:trHeight w:val="237"/>
        </w:trPr>
        <w:tc>
          <w:tcPr>
            <w:tcW w:w="3340" w:type="dxa"/>
            <w:vAlign w:val="bottom"/>
          </w:tcPr>
          <w:p>
            <w:pPr>
              <w:ind w:left="40"/>
              <w:spacing w:after="0"/>
              <w:rPr>
                <w:sz w:val="20"/>
                <w:szCs w:val="20"/>
                <w:color w:val="auto"/>
              </w:rPr>
            </w:pPr>
            <w:r>
              <w:rPr>
                <w:rFonts w:ascii="Arial" w:cs="Arial" w:eastAsia="Arial" w:hAnsi="Arial"/>
                <w:sz w:val="18"/>
                <w:szCs w:val="18"/>
                <w:color w:val="auto"/>
              </w:rPr>
              <w:t>Total securities</w:t>
            </w: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306,755</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(671)</w:t>
            </w: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43,070</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(270)</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349,825</w:t>
            </w:r>
          </w:p>
        </w:tc>
        <w:tc>
          <w:tcPr>
            <w:tcW w:w="1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(941)</w:t>
            </w:r>
          </w:p>
        </w:tc>
      </w:tr>
      <w:tr>
        <w:trPr>
          <w:trHeight w:val="27"/>
        </w:trPr>
        <w:tc>
          <w:tcPr>
            <w:tcW w:w="3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0"/>
        </w:trPr>
        <w:tc>
          <w:tcPr>
            <w:tcW w:w="3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6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r>
        <w:trPr>
          <w:trHeight w:val="717"/>
        </w:trPr>
        <w:tc>
          <w:tcPr>
            <w:tcW w:w="3340" w:type="dxa"/>
            <w:vAlign w:val="bottom"/>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9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04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2440" w:type="dxa"/>
            <w:vAlign w:val="bottom"/>
            <w:tcBorders>
              <w:bottom w:val="single" w:sz="8" w:color="auto"/>
            </w:tcBorders>
            <w:gridSpan w:val="5"/>
          </w:tcPr>
          <w:p>
            <w:pPr>
              <w:jc w:val="center"/>
              <w:ind w:right="380"/>
              <w:spacing w:after="0"/>
              <w:rPr>
                <w:sz w:val="20"/>
                <w:szCs w:val="20"/>
                <w:color w:val="auto"/>
              </w:rPr>
            </w:pPr>
            <w:r>
              <w:rPr>
                <w:rFonts w:ascii="Arial" w:cs="Arial" w:eastAsia="Arial" w:hAnsi="Arial"/>
                <w:sz w:val="14"/>
                <w:szCs w:val="14"/>
                <w:b w:val="1"/>
                <w:bCs w:val="1"/>
                <w:color w:val="auto"/>
                <w:w w:val="94"/>
              </w:rPr>
              <w:t>January 28, 2017</w:t>
            </w:r>
          </w:p>
        </w:tc>
        <w:tc>
          <w:tcPr>
            <w:tcW w:w="28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060" w:type="dxa"/>
            <w:vAlign w:val="bottom"/>
            <w:tcBorders>
              <w:bottom w:val="single" w:sz="8" w:color="auto"/>
            </w:tcBorders>
          </w:tcPr>
          <w:p>
            <w:pPr>
              <w:spacing w:after="0"/>
              <w:rPr>
                <w:sz w:val="24"/>
                <w:szCs w:val="24"/>
                <w:color w:val="auto"/>
              </w:rPr>
            </w:pPr>
          </w:p>
        </w:tc>
      </w:tr>
      <w:tr>
        <w:trPr>
          <w:trHeight w:val="264"/>
        </w:trPr>
        <w:tc>
          <w:tcPr>
            <w:tcW w:w="334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right"/>
              <w:ind w:right="574"/>
              <w:spacing w:after="0"/>
              <w:rPr>
                <w:sz w:val="20"/>
                <w:szCs w:val="20"/>
                <w:color w:val="auto"/>
              </w:rPr>
            </w:pPr>
            <w:r>
              <w:rPr>
                <w:rFonts w:ascii="Arial" w:cs="Arial" w:eastAsia="Arial" w:hAnsi="Arial"/>
                <w:sz w:val="14"/>
                <w:szCs w:val="14"/>
                <w:b w:val="1"/>
                <w:bCs w:val="1"/>
                <w:color w:val="auto"/>
              </w:rPr>
              <w:t>Less than 12 months</w:t>
            </w:r>
          </w:p>
        </w:tc>
        <w:tc>
          <w:tcPr>
            <w:tcW w:w="12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2340" w:type="dxa"/>
            <w:vAlign w:val="bottom"/>
            <w:tcBorders>
              <w:bottom w:val="single" w:sz="8" w:color="auto"/>
            </w:tcBorders>
            <w:gridSpan w:val="4"/>
          </w:tcPr>
          <w:p>
            <w:pPr>
              <w:jc w:val="center"/>
              <w:ind w:right="174"/>
              <w:spacing w:after="0"/>
              <w:rPr>
                <w:sz w:val="20"/>
                <w:szCs w:val="20"/>
                <w:color w:val="auto"/>
              </w:rPr>
            </w:pPr>
            <w:r>
              <w:rPr>
                <w:rFonts w:ascii="Arial" w:cs="Arial" w:eastAsia="Arial" w:hAnsi="Arial"/>
                <w:sz w:val="14"/>
                <w:szCs w:val="14"/>
                <w:b w:val="1"/>
                <w:bCs w:val="1"/>
                <w:color w:val="auto"/>
                <w:w w:val="92"/>
              </w:rPr>
              <w:t>12 months or more</w:t>
            </w:r>
          </w:p>
        </w:tc>
        <w:tc>
          <w:tcPr>
            <w:tcW w:w="100" w:type="dxa"/>
            <w:vAlign w:val="bottom"/>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880" w:type="dxa"/>
            <w:vAlign w:val="bottom"/>
            <w:tcBorders>
              <w:bottom w:val="single" w:sz="8" w:color="auto"/>
            </w:tcBorders>
          </w:tcPr>
          <w:p>
            <w:pPr>
              <w:spacing w:after="0"/>
              <w:rPr>
                <w:sz w:val="22"/>
                <w:szCs w:val="22"/>
                <w:color w:val="auto"/>
              </w:rPr>
            </w:pPr>
          </w:p>
        </w:tc>
        <w:tc>
          <w:tcPr>
            <w:tcW w:w="4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w w:val="89"/>
              </w:rPr>
              <w:t>Total</w:t>
            </w:r>
          </w:p>
        </w:tc>
        <w:tc>
          <w:tcPr>
            <w:tcW w:w="1060" w:type="dxa"/>
            <w:vAlign w:val="bottom"/>
            <w:tcBorders>
              <w:bottom w:val="single" w:sz="8" w:color="auto"/>
            </w:tcBorders>
          </w:tcPr>
          <w:p>
            <w:pPr>
              <w:spacing w:after="0"/>
              <w:rPr>
                <w:sz w:val="22"/>
                <w:szCs w:val="22"/>
                <w:color w:val="auto"/>
              </w:rPr>
            </w:pPr>
          </w:p>
        </w:tc>
      </w:tr>
      <w:tr>
        <w:trPr>
          <w:trHeight w:val="152"/>
        </w:trPr>
        <w:tc>
          <w:tcPr>
            <w:tcW w:w="33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080" w:type="dxa"/>
            <w:vAlign w:val="bottom"/>
            <w:gridSpan w:val="2"/>
          </w:tcPr>
          <w:p>
            <w:pPr>
              <w:jc w:val="center"/>
              <w:ind w:right="380"/>
              <w:spacing w:after="0" w:line="153" w:lineRule="exact"/>
              <w:rPr>
                <w:sz w:val="20"/>
                <w:szCs w:val="20"/>
                <w:color w:val="auto"/>
              </w:rPr>
            </w:pPr>
            <w:r>
              <w:rPr>
                <w:rFonts w:ascii="Arial" w:cs="Arial" w:eastAsia="Arial" w:hAnsi="Arial"/>
                <w:sz w:val="14"/>
                <w:szCs w:val="14"/>
                <w:b w:val="1"/>
                <w:bCs w:val="1"/>
                <w:color w:val="auto"/>
              </w:rPr>
              <w:t>Fair</w:t>
            </w:r>
          </w:p>
        </w:tc>
        <w:tc>
          <w:tcPr>
            <w:tcW w:w="22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1080" w:type="dxa"/>
            <w:vAlign w:val="bottom"/>
            <w:gridSpan w:val="2"/>
          </w:tcPr>
          <w:p>
            <w:pPr>
              <w:jc w:val="center"/>
              <w:ind w:right="400"/>
              <w:spacing w:after="0" w:line="153" w:lineRule="exact"/>
              <w:rPr>
                <w:sz w:val="20"/>
                <w:szCs w:val="20"/>
                <w:color w:val="auto"/>
              </w:rPr>
            </w:pPr>
            <w:r>
              <w:rPr>
                <w:rFonts w:ascii="Arial" w:cs="Arial" w:eastAsia="Arial" w:hAnsi="Arial"/>
                <w:sz w:val="14"/>
                <w:szCs w:val="14"/>
                <w:b w:val="1"/>
                <w:bCs w:val="1"/>
                <w:color w:val="auto"/>
              </w:rPr>
              <w:t>Fair</w:t>
            </w:r>
          </w:p>
        </w:tc>
        <w:tc>
          <w:tcPr>
            <w:tcW w:w="200" w:type="dxa"/>
            <w:vAlign w:val="bottom"/>
          </w:tcPr>
          <w:p>
            <w:pPr>
              <w:spacing w:after="0"/>
              <w:rPr>
                <w:sz w:val="13"/>
                <w:szCs w:val="13"/>
                <w:color w:val="auto"/>
              </w:rPr>
            </w:pPr>
          </w:p>
        </w:tc>
        <w:tc>
          <w:tcPr>
            <w:tcW w:w="1160" w:type="dxa"/>
            <w:vAlign w:val="bottom"/>
            <w:gridSpan w:val="2"/>
          </w:tcPr>
          <w:p>
            <w:pPr>
              <w:jc w:val="center"/>
              <w:ind w:right="320"/>
              <w:spacing w:after="0" w:line="153" w:lineRule="exact"/>
              <w:rPr>
                <w:sz w:val="20"/>
                <w:szCs w:val="20"/>
                <w:color w:val="auto"/>
              </w:rPr>
            </w:pPr>
            <w:r>
              <w:rPr>
                <w:rFonts w:ascii="Arial" w:cs="Arial" w:eastAsia="Arial" w:hAnsi="Arial"/>
                <w:sz w:val="14"/>
                <w:szCs w:val="14"/>
                <w:b w:val="1"/>
                <w:bCs w:val="1"/>
                <w:color w:val="auto"/>
                <w:w w:val="95"/>
              </w:rPr>
              <w:t>Unrealized</w:t>
            </w:r>
          </w:p>
        </w:tc>
        <w:tc>
          <w:tcPr>
            <w:tcW w:w="280" w:type="dxa"/>
            <w:vAlign w:val="bottom"/>
          </w:tcPr>
          <w:p>
            <w:pPr>
              <w:spacing w:after="0"/>
              <w:rPr>
                <w:sz w:val="13"/>
                <w:szCs w:val="13"/>
                <w:color w:val="auto"/>
              </w:rPr>
            </w:pPr>
          </w:p>
        </w:tc>
        <w:tc>
          <w:tcPr>
            <w:tcW w:w="880" w:type="dxa"/>
            <w:vAlign w:val="bottom"/>
          </w:tcPr>
          <w:p>
            <w:pPr>
              <w:jc w:val="center"/>
              <w:ind w:right="94"/>
              <w:spacing w:after="0" w:line="153" w:lineRule="exact"/>
              <w:rPr>
                <w:sz w:val="20"/>
                <w:szCs w:val="20"/>
                <w:color w:val="auto"/>
              </w:rPr>
            </w:pPr>
            <w:r>
              <w:rPr>
                <w:rFonts w:ascii="Arial" w:cs="Arial" w:eastAsia="Arial" w:hAnsi="Arial"/>
                <w:sz w:val="14"/>
                <w:szCs w:val="14"/>
                <w:b w:val="1"/>
                <w:bCs w:val="1"/>
                <w:color w:val="auto"/>
              </w:rPr>
              <w:t>Fair</w:t>
            </w: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060" w:type="dxa"/>
            <w:vAlign w:val="bottom"/>
          </w:tcPr>
          <w:p>
            <w:pPr>
              <w:jc w:val="center"/>
              <w:ind w:right="114"/>
              <w:spacing w:after="0" w:line="153" w:lineRule="exact"/>
              <w:rPr>
                <w:sz w:val="20"/>
                <w:szCs w:val="20"/>
                <w:color w:val="auto"/>
              </w:rPr>
            </w:pPr>
            <w:r>
              <w:rPr>
                <w:rFonts w:ascii="Arial" w:cs="Arial" w:eastAsia="Arial" w:hAnsi="Arial"/>
                <w:sz w:val="14"/>
                <w:szCs w:val="14"/>
                <w:b w:val="1"/>
                <w:bCs w:val="1"/>
                <w:color w:val="auto"/>
                <w:w w:val="93"/>
              </w:rPr>
              <w:t>Unrealized</w:t>
            </w:r>
          </w:p>
        </w:tc>
      </w:tr>
      <w:tr>
        <w:trPr>
          <w:trHeight w:val="192"/>
        </w:trPr>
        <w:tc>
          <w:tcPr>
            <w:tcW w:w="33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center"/>
              <w:ind w:right="196"/>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CCEEFF"/>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center"/>
              <w:ind w:right="114"/>
              <w:spacing w:after="0"/>
              <w:rPr>
                <w:sz w:val="20"/>
                <w:szCs w:val="20"/>
                <w:color w:val="auto"/>
              </w:rPr>
            </w:pPr>
            <w:r>
              <w:rPr>
                <w:rFonts w:ascii="Arial" w:cs="Arial" w:eastAsia="Arial" w:hAnsi="Arial"/>
                <w:sz w:val="14"/>
                <w:szCs w:val="14"/>
                <w:b w:val="1"/>
                <w:bCs w:val="1"/>
                <w:color w:val="auto"/>
                <w:w w:val="85"/>
              </w:rPr>
              <w:t>Loss</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960" w:type="dxa"/>
            <w:vAlign w:val="bottom"/>
            <w:tcBorders>
              <w:bottom w:val="single" w:sz="8" w:color="auto"/>
            </w:tcBorders>
          </w:tcPr>
          <w:p>
            <w:pPr>
              <w:jc w:val="center"/>
              <w:ind w:right="197"/>
              <w:spacing w:after="0"/>
              <w:rPr>
                <w:sz w:val="20"/>
                <w:szCs w:val="20"/>
                <w:color w:val="auto"/>
              </w:rPr>
            </w:pPr>
            <w:r>
              <w:rPr>
                <w:rFonts w:ascii="Arial" w:cs="Arial" w:eastAsia="Arial" w:hAnsi="Arial"/>
                <w:sz w:val="14"/>
                <w:szCs w:val="14"/>
                <w:b w:val="1"/>
                <w:bCs w:val="1"/>
                <w:color w:val="auto"/>
                <w:w w:val="96"/>
              </w:rPr>
              <w:t>Value</w:t>
            </w:r>
          </w:p>
        </w:tc>
        <w:tc>
          <w:tcPr>
            <w:tcW w:w="1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134"/>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8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94"/>
              <w:spacing w:after="0"/>
              <w:rPr>
                <w:sz w:val="20"/>
                <w:szCs w:val="20"/>
                <w:color w:val="auto"/>
              </w:rPr>
            </w:pPr>
            <w:r>
              <w:rPr>
                <w:rFonts w:ascii="Arial" w:cs="Arial" w:eastAsia="Arial" w:hAnsi="Arial"/>
                <w:sz w:val="14"/>
                <w:szCs w:val="14"/>
                <w:b w:val="1"/>
                <w:bCs w:val="1"/>
                <w:color w:val="auto"/>
                <w:w w:val="85"/>
              </w:rPr>
              <w:t>Loss</w:t>
            </w: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U.S. government and agency debt</w:t>
            </w: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94,064</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(283)</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94,064</w:t>
            </w:r>
          </w:p>
        </w:tc>
        <w:tc>
          <w:tcPr>
            <w:tcW w:w="400" w:type="dxa"/>
            <w:vAlign w:val="bottom"/>
            <w:tcBorders>
              <w:bottom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(283)</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Foreign government and agency debt</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11,875</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(48)</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1,499</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13,374</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5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Municipal debt securities</w:t>
            </w: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17,450</w:t>
            </w: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6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1,248</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18,698</w:t>
            </w:r>
          </w:p>
        </w:tc>
        <w:tc>
          <w:tcPr>
            <w:tcW w:w="1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(49)</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Corporate debt securities</w:t>
            </w:r>
          </w:p>
        </w:tc>
        <w:tc>
          <w:tcPr>
            <w:tcW w:w="280" w:type="dxa"/>
            <w:vAlign w:val="bottom"/>
          </w:tcPr>
          <w:p>
            <w:pPr>
              <w:spacing w:after="0"/>
              <w:rPr>
                <w:sz w:val="21"/>
                <w:szCs w:val="21"/>
                <w:color w:val="auto"/>
              </w:rPr>
            </w:pPr>
          </w:p>
        </w:tc>
        <w:tc>
          <w:tcPr>
            <w:tcW w:w="980" w:type="dxa"/>
            <w:vAlign w:val="bottom"/>
          </w:tcPr>
          <w:p>
            <w:pPr>
              <w:jc w:val="right"/>
              <w:ind w:right="16"/>
              <w:spacing w:after="0"/>
              <w:rPr>
                <w:sz w:val="20"/>
                <w:szCs w:val="20"/>
                <w:color w:val="auto"/>
              </w:rPr>
            </w:pPr>
            <w:r>
              <w:rPr>
                <w:rFonts w:ascii="Arial" w:cs="Arial" w:eastAsia="Arial" w:hAnsi="Arial"/>
                <w:sz w:val="18"/>
                <w:szCs w:val="18"/>
                <w:color w:val="auto"/>
              </w:rPr>
              <w:t>199,382</w:t>
            </w:r>
          </w:p>
        </w:tc>
        <w:tc>
          <w:tcPr>
            <w:tcW w:w="10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(751)</w:t>
            </w:r>
          </w:p>
        </w:tc>
        <w:tc>
          <w:tcPr>
            <w:tcW w:w="1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60" w:type="dxa"/>
            <w:vAlign w:val="bottom"/>
          </w:tcPr>
          <w:p>
            <w:pPr>
              <w:jc w:val="right"/>
              <w:ind w:right="17"/>
              <w:spacing w:after="0"/>
              <w:rPr>
                <w:sz w:val="20"/>
                <w:szCs w:val="20"/>
                <w:color w:val="auto"/>
              </w:rPr>
            </w:pPr>
            <w:r>
              <w:rPr>
                <w:rFonts w:ascii="Arial" w:cs="Arial" w:eastAsia="Arial" w:hAnsi="Arial"/>
                <w:sz w:val="18"/>
                <w:szCs w:val="18"/>
                <w:color w:val="auto"/>
              </w:rPr>
              <w:t>16,063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880" w:type="dxa"/>
            <w:vAlign w:val="bottom"/>
          </w:tcPr>
          <w:p>
            <w:pPr>
              <w:jc w:val="right"/>
              <w:spacing w:after="0"/>
              <w:rPr>
                <w:sz w:val="20"/>
                <w:szCs w:val="20"/>
                <w:color w:val="auto"/>
              </w:rPr>
            </w:pPr>
            <w:r>
              <w:rPr>
                <w:rFonts w:ascii="Arial" w:cs="Arial" w:eastAsia="Arial" w:hAnsi="Arial"/>
                <w:sz w:val="18"/>
                <w:szCs w:val="18"/>
                <w:color w:val="auto"/>
              </w:rPr>
              <w:t>215,445</w:t>
            </w:r>
          </w:p>
        </w:tc>
        <w:tc>
          <w:tcPr>
            <w:tcW w:w="1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(776)</w:t>
            </w:r>
          </w:p>
        </w:tc>
      </w:tr>
      <w:tr>
        <w:trPr>
          <w:trHeight w:val="27"/>
        </w:trPr>
        <w:tc>
          <w:tcPr>
            <w:tcW w:w="3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270"/>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Asset backed securities</w:t>
            </w: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16,754</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0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1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80" w:type="dxa"/>
            <w:vAlign w:val="bottom"/>
            <w:tcBorders>
              <w:bottom w:val="single" w:sz="8" w:color="CCEEFF"/>
            </w:tcBorders>
            <w:shd w:val="clear" w:color="auto" w:fill="CCEEFF"/>
          </w:tcPr>
          <w:p>
            <w:pPr>
              <w:spacing w:after="0"/>
              <w:rPr>
                <w:sz w:val="23"/>
                <w:szCs w:val="23"/>
                <w:color w:val="auto"/>
              </w:rPr>
            </w:pPr>
          </w:p>
        </w:tc>
        <w:tc>
          <w:tcPr>
            <w:tcW w:w="8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16,754</w:t>
            </w:r>
          </w:p>
        </w:tc>
        <w:tc>
          <w:tcPr>
            <w:tcW w:w="10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0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(47)</w:t>
            </w:r>
          </w:p>
        </w:tc>
      </w:tr>
      <w:tr>
        <w:trPr>
          <w:trHeight w:val="237"/>
        </w:trPr>
        <w:tc>
          <w:tcPr>
            <w:tcW w:w="3340" w:type="dxa"/>
            <w:vAlign w:val="bottom"/>
          </w:tcPr>
          <w:p>
            <w:pPr>
              <w:ind w:left="40"/>
              <w:spacing w:after="0"/>
              <w:rPr>
                <w:sz w:val="20"/>
                <w:szCs w:val="20"/>
                <w:color w:val="auto"/>
              </w:rPr>
            </w:pPr>
            <w:r>
              <w:rPr>
                <w:rFonts w:ascii="Arial" w:cs="Arial" w:eastAsia="Arial" w:hAnsi="Arial"/>
                <w:sz w:val="18"/>
                <w:szCs w:val="18"/>
                <w:color w:val="auto"/>
              </w:rPr>
              <w:t>Total securities</w:t>
            </w: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80" w:type="dxa"/>
            <w:vAlign w:val="bottom"/>
            <w:tcBorders>
              <w:top w:val="single" w:sz="8" w:color="auto"/>
            </w:tcBorders>
          </w:tcPr>
          <w:p>
            <w:pPr>
              <w:jc w:val="right"/>
              <w:ind w:right="16"/>
              <w:spacing w:after="0"/>
              <w:rPr>
                <w:sz w:val="20"/>
                <w:szCs w:val="20"/>
                <w:color w:val="auto"/>
              </w:rPr>
            </w:pPr>
            <w:r>
              <w:rPr>
                <w:rFonts w:ascii="Arial" w:cs="Arial" w:eastAsia="Arial" w:hAnsi="Arial"/>
                <w:sz w:val="18"/>
                <w:szCs w:val="18"/>
                <w:color w:val="auto"/>
              </w:rPr>
              <w:t>339,525</w:t>
            </w:r>
          </w:p>
        </w:tc>
        <w:tc>
          <w:tcPr>
            <w:tcW w:w="100" w:type="dxa"/>
            <w:vAlign w:val="bottom"/>
          </w:tcPr>
          <w:p>
            <w:pPr>
              <w:spacing w:after="0"/>
              <w:rPr>
                <w:sz w:val="20"/>
                <w:szCs w:val="20"/>
                <w:color w:val="auto"/>
              </w:rPr>
            </w:pPr>
          </w:p>
        </w:tc>
        <w:tc>
          <w:tcPr>
            <w:tcW w:w="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(1,176)</w:t>
            </w:r>
          </w:p>
        </w:tc>
        <w:tc>
          <w:tcPr>
            <w:tcW w:w="120" w:type="dxa"/>
            <w:vAlign w:val="bottom"/>
          </w:tcPr>
          <w:p>
            <w:pPr>
              <w:spacing w:after="0"/>
              <w:rPr>
                <w:sz w:val="20"/>
                <w:szCs w:val="20"/>
                <w:color w:val="auto"/>
              </w:rPr>
            </w:pPr>
          </w:p>
        </w:tc>
        <w:tc>
          <w:tcPr>
            <w:tcW w:w="280" w:type="dxa"/>
            <w:vAlign w:val="bottom"/>
            <w:tcBorders>
              <w:top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96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18,810</w:t>
            </w:r>
          </w:p>
        </w:tc>
        <w:tc>
          <w:tcPr>
            <w:tcW w:w="12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(29)</w:t>
            </w:r>
          </w:p>
        </w:tc>
        <w:tc>
          <w:tcPr>
            <w:tcW w:w="100" w:type="dxa"/>
            <w:vAlign w:val="bottom"/>
          </w:tcPr>
          <w:p>
            <w:pPr>
              <w:spacing w:after="0"/>
              <w:rPr>
                <w:sz w:val="20"/>
                <w:szCs w:val="20"/>
                <w:color w:val="auto"/>
              </w:rPr>
            </w:pPr>
          </w:p>
        </w:tc>
        <w:tc>
          <w:tcPr>
            <w:tcW w:w="280" w:type="dxa"/>
            <w:vAlign w:val="bottom"/>
            <w:tcBorders>
              <w:top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8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358,335</w:t>
            </w:r>
          </w:p>
        </w:tc>
        <w:tc>
          <w:tcPr>
            <w:tcW w:w="1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(1,205)</w:t>
            </w:r>
          </w:p>
        </w:tc>
      </w:tr>
      <w:tr>
        <w:trPr>
          <w:trHeight w:val="27"/>
        </w:trPr>
        <w:tc>
          <w:tcPr>
            <w:tcW w:w="33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6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060" w:type="dxa"/>
            <w:vAlign w:val="bottom"/>
            <w:tcBorders>
              <w:bottom w:val="single" w:sz="8" w:color="auto"/>
            </w:tcBorders>
          </w:tcPr>
          <w:p>
            <w:pPr>
              <w:spacing w:after="0"/>
              <w:rPr>
                <w:sz w:val="2"/>
                <w:szCs w:val="2"/>
                <w:color w:val="auto"/>
              </w:rPr>
            </w:pPr>
          </w:p>
        </w:tc>
      </w:tr>
      <w:tr>
        <w:trPr>
          <w:trHeight w:val="20"/>
        </w:trPr>
        <w:tc>
          <w:tcPr>
            <w:tcW w:w="33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right="100" w:firstLine="405"/>
        <w:spacing w:after="0" w:line="257" w:lineRule="auto"/>
        <w:rPr>
          <w:sz w:val="20"/>
          <w:szCs w:val="20"/>
          <w:color w:val="auto"/>
        </w:rPr>
      </w:pPr>
      <w:r>
        <w:rPr>
          <w:rFonts w:ascii="Arial" w:cs="Arial" w:eastAsia="Arial" w:hAnsi="Arial"/>
          <w:sz w:val="18"/>
          <w:szCs w:val="18"/>
          <w:color w:val="auto"/>
        </w:rPr>
        <w:t>As of October 28, 2017, for fixed income securities that were in unrealized loss positions, the Company has determined that (i) it does not have the intent to sell these investments, and (ii) it is not more likely than not that it will be required to sell any of these investments before recovery of the amortized cost basis. In addition, as of October 28, 2017, the Company anticipates that it will recover the amortized cost basis of such fixed income securities and has determined that no other-than-temporary impairments associated with credit losses were required to be recognized during the nine months ended October 28, 2017.</w:t>
      </w:r>
    </w:p>
    <w:p>
      <w:pPr>
        <w:spacing w:after="0" w:line="200" w:lineRule="exact"/>
        <w:rPr>
          <w:sz w:val="20"/>
          <w:szCs w:val="20"/>
          <w:color w:val="auto"/>
        </w:rPr>
      </w:pP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420"/>
          </w:cols>
          <w:pgMar w:left="240" w:top="140" w:right="239" w:bottom="1440" w:gutter="0" w:footer="0" w:header="0"/>
        </w:sectPr>
      </w:pPr>
    </w:p>
    <w:bookmarkStart w:id="17" w:name="page18"/>
    <w:bookmarkEnd w:id="1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Derivative Financial Instruments</w:t>
      </w:r>
    </w:p>
    <w:p>
      <w:pPr>
        <w:spacing w:after="0" w:line="94" w:lineRule="exact"/>
        <w:rPr>
          <w:sz w:val="20"/>
          <w:szCs w:val="20"/>
          <w:color w:val="auto"/>
        </w:rPr>
      </w:pPr>
    </w:p>
    <w:p>
      <w:pPr>
        <w:ind w:right="120" w:firstLine="405"/>
        <w:spacing w:after="0" w:line="293"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 There were no outstanding forward contracts at October 28, 2017. The notional amounts of outstanding forward contracts was $63.5 million at January 28, 2017 and consisted of Israeli shekel buy contracts.</w:t>
      </w:r>
    </w:p>
    <w:p>
      <w:pPr>
        <w:spacing w:after="0" w:line="165" w:lineRule="exact"/>
        <w:rPr>
          <w:sz w:val="20"/>
          <w:szCs w:val="20"/>
          <w:color w:val="auto"/>
        </w:rPr>
      </w:pPr>
    </w:p>
    <w:p>
      <w:pPr>
        <w:ind w:right="80" w:firstLine="432"/>
        <w:spacing w:after="0" w:line="259"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3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following table provides information about gains (losses) associated with the Company’s derivative financial instruments (in thousands):</w:t>
      </w:r>
    </w:p>
    <w:p>
      <w:pPr>
        <w:spacing w:after="0" w:line="200" w:lineRule="exact"/>
        <w:rPr>
          <w:sz w:val="20"/>
          <w:szCs w:val="20"/>
          <w:color w:val="auto"/>
        </w:rPr>
      </w:pP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080" w:type="dxa"/>
            <w:vAlign w:val="bottom"/>
          </w:tcPr>
          <w:p>
            <w:pPr>
              <w:spacing w:after="0"/>
              <w:rPr>
                <w:sz w:val="16"/>
                <w:szCs w:val="16"/>
                <w:color w:val="auto"/>
              </w:rPr>
            </w:pPr>
          </w:p>
        </w:tc>
        <w:tc>
          <w:tcPr>
            <w:tcW w:w="29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spacing w:after="0"/>
              <w:rPr>
                <w:sz w:val="16"/>
                <w:szCs w:val="16"/>
                <w:color w:val="auto"/>
              </w:rPr>
            </w:pPr>
          </w:p>
        </w:tc>
        <w:tc>
          <w:tcPr>
            <w:tcW w:w="3380" w:type="dxa"/>
            <w:vAlign w:val="bottom"/>
            <w:tcBorders>
              <w:bottom w:val="single" w:sz="8" w:color="auto"/>
            </w:tcBorders>
            <w:gridSpan w:val="10"/>
          </w:tcPr>
          <w:p>
            <w:pPr>
              <w:ind w:left="40"/>
              <w:spacing w:after="0"/>
              <w:rPr>
                <w:sz w:val="20"/>
                <w:szCs w:val="20"/>
                <w:color w:val="auto"/>
              </w:rPr>
            </w:pPr>
            <w:r>
              <w:rPr>
                <w:rFonts w:ascii="Arial" w:cs="Arial" w:eastAsia="Arial" w:hAnsi="Arial"/>
                <w:sz w:val="14"/>
                <w:szCs w:val="14"/>
                <w:b w:val="1"/>
                <w:bCs w:val="1"/>
                <w:color w:val="auto"/>
                <w:w w:val="90"/>
              </w:rPr>
              <w:t>Amount of Gains (Losses) in Statements of Operations</w:t>
            </w:r>
          </w:p>
        </w:tc>
        <w:tc>
          <w:tcPr>
            <w:tcW w:w="2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63"/>
        </w:trPr>
        <w:tc>
          <w:tcPr>
            <w:tcW w:w="2080" w:type="dxa"/>
            <w:vAlign w:val="bottom"/>
          </w:tcPr>
          <w:p>
            <w:pPr>
              <w:spacing w:after="0"/>
              <w:rPr>
                <w:sz w:val="22"/>
                <w:szCs w:val="22"/>
                <w:color w:val="auto"/>
              </w:rPr>
            </w:pPr>
          </w:p>
        </w:tc>
        <w:tc>
          <w:tcPr>
            <w:tcW w:w="29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20" w:type="dxa"/>
            <w:vAlign w:val="bottom"/>
            <w:tcBorders>
              <w:bottom w:val="single" w:sz="8" w:color="auto"/>
            </w:tcBorders>
          </w:tcPr>
          <w:p>
            <w:pPr>
              <w:spacing w:after="0"/>
              <w:rPr>
                <w:sz w:val="22"/>
                <w:szCs w:val="22"/>
                <w:color w:val="auto"/>
              </w:rPr>
            </w:pPr>
          </w:p>
        </w:tc>
        <w:tc>
          <w:tcPr>
            <w:tcW w:w="2480" w:type="dxa"/>
            <w:vAlign w:val="bottom"/>
            <w:tcBorders>
              <w:bottom w:val="single" w:sz="8" w:color="auto"/>
            </w:tcBorders>
            <w:gridSpan w:val="5"/>
          </w:tcPr>
          <w:p>
            <w:pPr>
              <w:jc w:val="right"/>
              <w:ind w:right="424"/>
              <w:spacing w:after="0"/>
              <w:rPr>
                <w:sz w:val="20"/>
                <w:szCs w:val="20"/>
                <w:color w:val="auto"/>
              </w:rPr>
            </w:pPr>
            <w:r>
              <w:rPr>
                <w:rFonts w:ascii="Arial" w:cs="Arial" w:eastAsia="Arial" w:hAnsi="Arial"/>
                <w:sz w:val="14"/>
                <w:szCs w:val="14"/>
                <w:b w:val="1"/>
                <w:bCs w:val="1"/>
                <w:color w:val="auto"/>
              </w:rPr>
              <w:t>Three Months Ended</w:t>
            </w:r>
          </w:p>
        </w:tc>
        <w:tc>
          <w:tcPr>
            <w:tcW w:w="380" w:type="dxa"/>
            <w:vAlign w:val="bottom"/>
            <w:tcBorders>
              <w:bottom w:val="single" w:sz="8" w:color="auto"/>
            </w:tcBorders>
          </w:tcPr>
          <w:p>
            <w:pPr>
              <w:spacing w:after="0"/>
              <w:rPr>
                <w:sz w:val="22"/>
                <w:szCs w:val="22"/>
                <w:color w:val="auto"/>
              </w:rPr>
            </w:pPr>
          </w:p>
        </w:tc>
        <w:tc>
          <w:tcPr>
            <w:tcW w:w="100" w:type="dxa"/>
            <w:vAlign w:val="bottom"/>
          </w:tcPr>
          <w:p>
            <w:pPr>
              <w:spacing w:after="0"/>
              <w:rPr>
                <w:sz w:val="22"/>
                <w:szCs w:val="22"/>
                <w:color w:val="auto"/>
              </w:rPr>
            </w:pPr>
          </w:p>
        </w:tc>
        <w:tc>
          <w:tcPr>
            <w:tcW w:w="240" w:type="dxa"/>
            <w:vAlign w:val="bottom"/>
            <w:tcBorders>
              <w:bottom w:val="single" w:sz="8" w:color="auto"/>
            </w:tcBorders>
          </w:tcPr>
          <w:p>
            <w:pPr>
              <w:spacing w:after="0"/>
              <w:rPr>
                <w:sz w:val="22"/>
                <w:szCs w:val="22"/>
                <w:color w:val="auto"/>
              </w:rPr>
            </w:pPr>
          </w:p>
        </w:tc>
        <w:tc>
          <w:tcPr>
            <w:tcW w:w="2820" w:type="dxa"/>
            <w:vAlign w:val="bottom"/>
            <w:tcBorders>
              <w:bottom w:val="single" w:sz="8" w:color="auto"/>
            </w:tcBorders>
            <w:gridSpan w:val="5"/>
          </w:tcPr>
          <w:p>
            <w:pPr>
              <w:jc w:val="right"/>
              <w:ind w:right="817"/>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53"/>
        </w:trPr>
        <w:tc>
          <w:tcPr>
            <w:tcW w:w="2080" w:type="dxa"/>
            <w:vAlign w:val="bottom"/>
          </w:tcPr>
          <w:p>
            <w:pPr>
              <w:spacing w:after="0"/>
              <w:rPr>
                <w:sz w:val="13"/>
                <w:szCs w:val="13"/>
                <w:color w:val="auto"/>
              </w:rPr>
            </w:pPr>
          </w:p>
        </w:tc>
        <w:tc>
          <w:tcPr>
            <w:tcW w:w="3100" w:type="dxa"/>
            <w:vAlign w:val="bottom"/>
            <w:gridSpan w:val="4"/>
          </w:tcPr>
          <w:p>
            <w:pPr>
              <w:jc w:val="center"/>
              <w:ind w:right="140"/>
              <w:spacing w:after="0" w:line="153" w:lineRule="exact"/>
              <w:rPr>
                <w:sz w:val="20"/>
                <w:szCs w:val="20"/>
                <w:color w:val="auto"/>
              </w:rPr>
            </w:pPr>
            <w:r>
              <w:rPr>
                <w:rFonts w:ascii="Arial" w:cs="Arial" w:eastAsia="Arial" w:hAnsi="Arial"/>
                <w:sz w:val="14"/>
                <w:szCs w:val="14"/>
                <w:b w:val="1"/>
                <w:bCs w:val="1"/>
                <w:color w:val="auto"/>
                <w:w w:val="91"/>
              </w:rPr>
              <w:t>Location of Gains (Losses)</w:t>
            </w:r>
          </w:p>
        </w:tc>
        <w:tc>
          <w:tcPr>
            <w:tcW w:w="220" w:type="dxa"/>
            <w:vAlign w:val="bottom"/>
          </w:tcPr>
          <w:p>
            <w:pPr>
              <w:spacing w:after="0"/>
              <w:rPr>
                <w:sz w:val="13"/>
                <w:szCs w:val="13"/>
                <w:color w:val="auto"/>
              </w:rPr>
            </w:pPr>
          </w:p>
        </w:tc>
        <w:tc>
          <w:tcPr>
            <w:tcW w:w="1200" w:type="dxa"/>
            <w:vAlign w:val="bottom"/>
          </w:tcPr>
          <w:p>
            <w:pPr>
              <w:jc w:val="center"/>
              <w:ind w:right="119"/>
              <w:spacing w:after="0" w:line="153" w:lineRule="exact"/>
              <w:rPr>
                <w:sz w:val="20"/>
                <w:szCs w:val="20"/>
                <w:color w:val="auto"/>
              </w:rPr>
            </w:pPr>
            <w:r>
              <w:rPr>
                <w:rFonts w:ascii="Arial" w:cs="Arial" w:eastAsia="Arial" w:hAnsi="Arial"/>
                <w:sz w:val="14"/>
                <w:szCs w:val="14"/>
                <w:b w:val="1"/>
                <w:bCs w:val="1"/>
                <w:color w:val="auto"/>
                <w:w w:val="93"/>
              </w:rPr>
              <w:t>October 28,</w:t>
            </w: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00" w:type="dxa"/>
            <w:vAlign w:val="bottom"/>
          </w:tcPr>
          <w:p>
            <w:pPr>
              <w:jc w:val="center"/>
              <w:ind w:left="264"/>
              <w:spacing w:after="0" w:line="153" w:lineRule="exact"/>
              <w:rPr>
                <w:sz w:val="20"/>
                <w:szCs w:val="20"/>
                <w:color w:val="auto"/>
              </w:rPr>
            </w:pPr>
            <w:r>
              <w:rPr>
                <w:rFonts w:ascii="Arial" w:cs="Arial" w:eastAsia="Arial" w:hAnsi="Arial"/>
                <w:sz w:val="14"/>
                <w:szCs w:val="14"/>
                <w:b w:val="1"/>
                <w:bCs w:val="1"/>
                <w:color w:val="auto"/>
                <w:w w:val="93"/>
              </w:rPr>
              <w:t>October 29,</w:t>
            </w:r>
          </w:p>
        </w:tc>
        <w:tc>
          <w:tcPr>
            <w:tcW w:w="3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80" w:type="dxa"/>
            <w:vAlign w:val="bottom"/>
            <w:gridSpan w:val="3"/>
          </w:tcPr>
          <w:p>
            <w:pPr>
              <w:jc w:val="center"/>
              <w:ind w:right="420"/>
              <w:spacing w:after="0" w:line="153" w:lineRule="exact"/>
              <w:rPr>
                <w:sz w:val="20"/>
                <w:szCs w:val="20"/>
                <w:color w:val="auto"/>
              </w:rPr>
            </w:pPr>
            <w:r>
              <w:rPr>
                <w:rFonts w:ascii="Arial" w:cs="Arial" w:eastAsia="Arial" w:hAnsi="Arial"/>
                <w:sz w:val="14"/>
                <w:szCs w:val="14"/>
                <w:b w:val="1"/>
                <w:bCs w:val="1"/>
                <w:color w:val="auto"/>
                <w:w w:val="93"/>
              </w:rPr>
              <w:t>October 28,</w:t>
            </w:r>
          </w:p>
        </w:tc>
        <w:tc>
          <w:tcPr>
            <w:tcW w:w="200" w:type="dxa"/>
            <w:vAlign w:val="bottom"/>
          </w:tcPr>
          <w:p>
            <w:pPr>
              <w:spacing w:after="0"/>
              <w:rPr>
                <w:sz w:val="13"/>
                <w:szCs w:val="13"/>
                <w:color w:val="auto"/>
              </w:rPr>
            </w:pPr>
          </w:p>
        </w:tc>
        <w:tc>
          <w:tcPr>
            <w:tcW w:w="1240" w:type="dxa"/>
            <w:vAlign w:val="bottom"/>
          </w:tcPr>
          <w:p>
            <w:pPr>
              <w:jc w:val="center"/>
              <w:ind w:right="197"/>
              <w:spacing w:after="0" w:line="153" w:lineRule="exact"/>
              <w:rPr>
                <w:sz w:val="20"/>
                <w:szCs w:val="20"/>
                <w:color w:val="auto"/>
              </w:rPr>
            </w:pPr>
            <w:r>
              <w:rPr>
                <w:rFonts w:ascii="Arial" w:cs="Arial" w:eastAsia="Arial" w:hAnsi="Arial"/>
                <w:sz w:val="14"/>
                <w:szCs w:val="14"/>
                <w:b w:val="1"/>
                <w:bCs w:val="1"/>
                <w:color w:val="auto"/>
                <w:w w:val="93"/>
              </w:rPr>
              <w:t>October 29,</w:t>
            </w:r>
          </w:p>
        </w:tc>
        <w:tc>
          <w:tcPr>
            <w:tcW w:w="0" w:type="dxa"/>
            <w:vAlign w:val="bottom"/>
          </w:tcPr>
          <w:p>
            <w:pPr>
              <w:spacing w:after="0"/>
              <w:rPr>
                <w:sz w:val="1"/>
                <w:szCs w:val="1"/>
                <w:color w:val="auto"/>
              </w:rPr>
            </w:pPr>
          </w:p>
        </w:tc>
      </w:tr>
      <w:tr>
        <w:trPr>
          <w:trHeight w:val="192"/>
        </w:trPr>
        <w:tc>
          <w:tcPr>
            <w:tcW w:w="2080" w:type="dxa"/>
            <w:vAlign w:val="bottom"/>
          </w:tcPr>
          <w:p>
            <w:pPr>
              <w:spacing w:after="0"/>
              <w:rPr>
                <w:sz w:val="16"/>
                <w:szCs w:val="16"/>
                <w:color w:val="auto"/>
              </w:rPr>
            </w:pPr>
          </w:p>
        </w:tc>
        <w:tc>
          <w:tcPr>
            <w:tcW w:w="3100" w:type="dxa"/>
            <w:vAlign w:val="bottom"/>
            <w:gridSpan w:val="4"/>
          </w:tcPr>
          <w:p>
            <w:pPr>
              <w:jc w:val="center"/>
              <w:ind w:right="140"/>
              <w:spacing w:after="0"/>
              <w:rPr>
                <w:sz w:val="20"/>
                <w:szCs w:val="20"/>
                <w:color w:val="auto"/>
              </w:rPr>
            </w:pPr>
            <w:r>
              <w:rPr>
                <w:rFonts w:ascii="Arial" w:cs="Arial" w:eastAsia="Arial" w:hAnsi="Arial"/>
                <w:sz w:val="14"/>
                <w:szCs w:val="14"/>
                <w:b w:val="1"/>
                <w:bCs w:val="1"/>
                <w:color w:val="auto"/>
                <w:w w:val="92"/>
              </w:rPr>
              <w:t>in Statements of Operations</w:t>
            </w:r>
          </w:p>
        </w:tc>
        <w:tc>
          <w:tcPr>
            <w:tcW w:w="220" w:type="dxa"/>
            <w:vAlign w:val="bottom"/>
          </w:tcPr>
          <w:p>
            <w:pPr>
              <w:spacing w:after="0"/>
              <w:rPr>
                <w:sz w:val="16"/>
                <w:szCs w:val="16"/>
                <w:color w:val="auto"/>
              </w:rPr>
            </w:pPr>
          </w:p>
        </w:tc>
        <w:tc>
          <w:tcPr>
            <w:tcW w:w="1200" w:type="dxa"/>
            <w:vAlign w:val="bottom"/>
          </w:tcPr>
          <w:p>
            <w:pPr>
              <w:jc w:val="center"/>
              <w:ind w:right="79"/>
              <w:spacing w:after="0"/>
              <w:rPr>
                <w:sz w:val="20"/>
                <w:szCs w:val="20"/>
                <w:color w:val="auto"/>
              </w:rPr>
            </w:pPr>
            <w:r>
              <w:rPr>
                <w:rFonts w:ascii="Arial" w:cs="Arial" w:eastAsia="Arial" w:hAnsi="Arial"/>
                <w:sz w:val="14"/>
                <w:szCs w:val="14"/>
                <w:b w:val="1"/>
                <w:bCs w:val="1"/>
                <w:color w:val="auto"/>
                <w:w w:val="89"/>
              </w:rPr>
              <w:t>2017</w:t>
            </w:r>
          </w:p>
        </w:tc>
        <w:tc>
          <w:tcPr>
            <w:tcW w:w="1280" w:type="dxa"/>
            <w:vAlign w:val="bottom"/>
            <w:gridSpan w:val="4"/>
          </w:tcPr>
          <w:p>
            <w:pPr>
              <w:jc w:val="center"/>
              <w:ind w:left="477"/>
              <w:spacing w:after="0"/>
              <w:rPr>
                <w:sz w:val="20"/>
                <w:szCs w:val="20"/>
                <w:color w:val="auto"/>
              </w:rPr>
            </w:pPr>
            <w:r>
              <w:rPr>
                <w:rFonts w:ascii="Arial" w:cs="Arial" w:eastAsia="Arial" w:hAnsi="Arial"/>
                <w:sz w:val="14"/>
                <w:szCs w:val="14"/>
                <w:b w:val="1"/>
                <w:bCs w:val="1"/>
                <w:color w:val="auto"/>
                <w:w w:val="89"/>
              </w:rPr>
              <w:t>2016</w:t>
            </w:r>
          </w:p>
        </w:tc>
        <w:tc>
          <w:tcPr>
            <w:tcW w:w="3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240" w:type="dxa"/>
            <w:vAlign w:val="bottom"/>
          </w:tcPr>
          <w:p>
            <w:pPr>
              <w:jc w:val="center"/>
              <w:ind w:right="159"/>
              <w:spacing w:after="0"/>
              <w:rPr>
                <w:sz w:val="20"/>
                <w:szCs w:val="20"/>
                <w:color w:val="auto"/>
              </w:rPr>
            </w:pPr>
            <w:r>
              <w:rPr>
                <w:rFonts w:ascii="Arial" w:cs="Arial" w:eastAsia="Arial" w:hAnsi="Arial"/>
                <w:sz w:val="14"/>
                <w:szCs w:val="14"/>
                <w:b w:val="1"/>
                <w:bCs w:val="1"/>
                <w:color w:val="auto"/>
                <w:w w:val="89"/>
              </w:rPr>
              <w:t>2017</w:t>
            </w:r>
          </w:p>
        </w:tc>
        <w:tc>
          <w:tcPr>
            <w:tcW w:w="1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240" w:type="dxa"/>
            <w:vAlign w:val="bottom"/>
          </w:tcPr>
          <w:p>
            <w:pPr>
              <w:jc w:val="center"/>
              <w:ind w:right="157"/>
              <w:spacing w:after="0"/>
              <w:rPr>
                <w:sz w:val="20"/>
                <w:szCs w:val="20"/>
                <w:color w:val="auto"/>
              </w:rPr>
            </w:pPr>
            <w:r>
              <w:rPr>
                <w:rFonts w:ascii="Arial" w:cs="Arial" w:eastAsia="Arial" w:hAnsi="Arial"/>
                <w:sz w:val="14"/>
                <w:szCs w:val="14"/>
                <w:b w:val="1"/>
                <w:bCs w:val="1"/>
                <w:color w:val="auto"/>
                <w:w w:val="89"/>
              </w:rPr>
              <w:t>2016</w:t>
            </w:r>
          </w:p>
        </w:tc>
        <w:tc>
          <w:tcPr>
            <w:tcW w:w="0" w:type="dxa"/>
            <w:vAlign w:val="bottom"/>
          </w:tcPr>
          <w:p>
            <w:pPr>
              <w:spacing w:after="0"/>
              <w:rPr>
                <w:sz w:val="1"/>
                <w:szCs w:val="1"/>
                <w:color w:val="auto"/>
              </w:rPr>
            </w:pPr>
          </w:p>
        </w:tc>
      </w:tr>
      <w:tr>
        <w:trPr>
          <w:trHeight w:val="215"/>
        </w:trPr>
        <w:tc>
          <w:tcPr>
            <w:tcW w:w="2080" w:type="dxa"/>
            <w:vAlign w:val="bottom"/>
            <w:tcBorders>
              <w:top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w w:val="97"/>
              </w:rPr>
              <w:t>Derivatives designated as</w:t>
            </w:r>
          </w:p>
        </w:tc>
        <w:tc>
          <w:tcPr>
            <w:tcW w:w="296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1200" w:type="dxa"/>
            <w:vAlign w:val="bottom"/>
            <w:tcBorders>
              <w:top w:val="single" w:sz="8" w:color="auto"/>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spacing w:after="0"/>
              <w:rPr>
                <w:sz w:val="18"/>
                <w:szCs w:val="18"/>
                <w:color w:val="auto"/>
              </w:rPr>
            </w:pPr>
          </w:p>
        </w:tc>
        <w:tc>
          <w:tcPr>
            <w:tcW w:w="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100" w:type="dxa"/>
            <w:vAlign w:val="bottom"/>
            <w:tcBorders>
              <w:top w:val="single" w:sz="8" w:color="auto"/>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auto"/>
            </w:tcBorders>
            <w:shd w:val="clear" w:color="auto" w:fill="CCEEFF"/>
          </w:tcPr>
          <w:p>
            <w:pPr>
              <w:spacing w:after="0"/>
              <w:rPr>
                <w:sz w:val="18"/>
                <w:szCs w:val="18"/>
                <w:color w:val="auto"/>
              </w:rPr>
            </w:pPr>
          </w:p>
        </w:tc>
        <w:tc>
          <w:tcPr>
            <w:tcW w:w="124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auto"/>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124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2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flow hedges:</w:t>
            </w:r>
          </w:p>
        </w:tc>
        <w:tc>
          <w:tcPr>
            <w:tcW w:w="2960" w:type="dxa"/>
            <w:vAlign w:val="bottom"/>
            <w:tcBorders>
              <w:bottom w:val="single" w:sz="8" w:color="CCEEFF"/>
            </w:tcBorders>
            <w:shd w:val="clear" w:color="auto" w:fill="CCEEFF"/>
          </w:tcPr>
          <w:p>
            <w:pPr>
              <w:spacing w:after="0"/>
              <w:rPr>
                <w:sz w:val="20"/>
                <w:szCs w:val="20"/>
                <w:color w:val="auto"/>
              </w:rPr>
            </w:pPr>
          </w:p>
        </w:tc>
        <w:tc>
          <w:tcPr>
            <w:tcW w:w="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spacing w:after="0"/>
              <w:rPr>
                <w:sz w:val="20"/>
                <w:szCs w:val="20"/>
                <w:color w:val="auto"/>
              </w:rPr>
            </w:pPr>
          </w:p>
        </w:tc>
        <w:tc>
          <w:tcPr>
            <w:tcW w:w="1200" w:type="dxa"/>
            <w:vAlign w:val="bottom"/>
            <w:tcBorders>
              <w:bottom w:val="single" w:sz="8" w:color="CCEEFF"/>
            </w:tcBorders>
            <w:shd w:val="clear" w:color="auto" w:fill="CCEEFF"/>
          </w:tcPr>
          <w:p>
            <w:pPr>
              <w:spacing w:after="0"/>
              <w:rPr>
                <w:sz w:val="20"/>
                <w:szCs w:val="20"/>
                <w:color w:val="auto"/>
              </w:rPr>
            </w:pPr>
          </w:p>
        </w:tc>
        <w:tc>
          <w:tcPr>
            <w:tcW w:w="60" w:type="dxa"/>
            <w:vAlign w:val="bottom"/>
            <w:tcBorders>
              <w:bottom w:val="single" w:sz="8" w:color="CCEEFF"/>
            </w:tcBorders>
            <w:shd w:val="clear" w:color="auto" w:fill="CCEEFF"/>
          </w:tcPr>
          <w:p>
            <w:pPr>
              <w:spacing w:after="0"/>
              <w:rPr>
                <w:sz w:val="20"/>
                <w:szCs w:val="20"/>
                <w:color w:val="auto"/>
              </w:rPr>
            </w:pPr>
          </w:p>
        </w:tc>
        <w:tc>
          <w:tcPr>
            <w:tcW w:w="2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1100" w:type="dxa"/>
            <w:vAlign w:val="bottom"/>
            <w:tcBorders>
              <w:bottom w:val="single" w:sz="8" w:color="CCEEFF"/>
            </w:tcBorders>
            <w:shd w:val="clear" w:color="auto" w:fill="CCEEFF"/>
          </w:tcPr>
          <w:p>
            <w:pPr>
              <w:spacing w:after="0"/>
              <w:rPr>
                <w:sz w:val="20"/>
                <w:szCs w:val="20"/>
                <w:color w:val="auto"/>
              </w:rPr>
            </w:pPr>
          </w:p>
        </w:tc>
        <w:tc>
          <w:tcPr>
            <w:tcW w:w="38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40" w:type="dxa"/>
            <w:vAlign w:val="bottom"/>
            <w:tcBorders>
              <w:bottom w:val="single" w:sz="8" w:color="CCEEFF"/>
            </w:tcBorders>
            <w:shd w:val="clear" w:color="auto" w:fill="CCEEFF"/>
          </w:tcPr>
          <w:p>
            <w:pPr>
              <w:spacing w:after="0"/>
              <w:rPr>
                <w:sz w:val="20"/>
                <w:szCs w:val="20"/>
                <w:color w:val="auto"/>
              </w:rPr>
            </w:pPr>
          </w:p>
        </w:tc>
        <w:tc>
          <w:tcPr>
            <w:tcW w:w="20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2080" w:type="dxa"/>
            <w:vAlign w:val="bottom"/>
          </w:tcPr>
          <w:p>
            <w:pPr>
              <w:ind w:left="380"/>
              <w:spacing w:after="0"/>
              <w:rPr>
                <w:sz w:val="20"/>
                <w:szCs w:val="20"/>
                <w:color w:val="auto"/>
              </w:rPr>
            </w:pPr>
            <w:r>
              <w:rPr>
                <w:rFonts w:ascii="Arial" w:cs="Arial" w:eastAsia="Arial" w:hAnsi="Arial"/>
                <w:sz w:val="18"/>
                <w:szCs w:val="18"/>
                <w:color w:val="auto"/>
              </w:rPr>
              <w:t>Forward contracts:</w:t>
            </w:r>
          </w:p>
        </w:tc>
        <w:tc>
          <w:tcPr>
            <w:tcW w:w="3100" w:type="dxa"/>
            <w:vAlign w:val="bottom"/>
            <w:gridSpan w:val="4"/>
          </w:tcPr>
          <w:p>
            <w:pPr>
              <w:ind w:left="20"/>
              <w:spacing w:after="0"/>
              <w:rPr>
                <w:sz w:val="20"/>
                <w:szCs w:val="20"/>
                <w:color w:val="auto"/>
              </w:rPr>
            </w:pPr>
            <w:r>
              <w:rPr>
                <w:rFonts w:ascii="Arial" w:cs="Arial" w:eastAsia="Arial" w:hAnsi="Arial"/>
                <w:sz w:val="18"/>
                <w:szCs w:val="18"/>
                <w:color w:val="auto"/>
              </w:rPr>
              <w:t>Research and development</w:t>
            </w: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1,497</w:t>
            </w:r>
          </w:p>
        </w:tc>
        <w:tc>
          <w:tcPr>
            <w:tcW w:w="1280" w:type="dxa"/>
            <w:vAlign w:val="bottom"/>
            <w:gridSpan w:val="4"/>
          </w:tcPr>
          <w:p>
            <w:pPr>
              <w:jc w:val="right"/>
              <w:ind w:right="904"/>
              <w:spacing w:after="0"/>
              <w:rPr>
                <w:sz w:val="20"/>
                <w:szCs w:val="20"/>
                <w:color w:val="auto"/>
              </w:rPr>
            </w:pPr>
            <w:r>
              <w:rPr>
                <w:rFonts w:ascii="Arial" w:cs="Arial" w:eastAsia="Arial" w:hAnsi="Arial"/>
                <w:sz w:val="18"/>
                <w:szCs w:val="18"/>
                <w:color w:val="auto"/>
              </w:rPr>
              <w:t>$</w:t>
            </w:r>
          </w:p>
        </w:tc>
        <w:tc>
          <w:tcPr>
            <w:tcW w:w="380" w:type="dxa"/>
            <w:vAlign w:val="bottom"/>
          </w:tcPr>
          <w:p>
            <w:pPr>
              <w:jc w:val="right"/>
              <w:ind w:right="10"/>
              <w:spacing w:after="0"/>
              <w:rPr>
                <w:sz w:val="20"/>
                <w:szCs w:val="20"/>
                <w:color w:val="auto"/>
              </w:rPr>
            </w:pPr>
            <w:r>
              <w:rPr>
                <w:rFonts w:ascii="Arial" w:cs="Arial" w:eastAsia="Arial" w:hAnsi="Arial"/>
                <w:sz w:val="18"/>
                <w:szCs w:val="18"/>
                <w:color w:val="auto"/>
                <w:w w:val="86"/>
              </w:rPr>
              <w:t>242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9"/>
              <w:spacing w:after="0"/>
              <w:rPr>
                <w:sz w:val="20"/>
                <w:szCs w:val="20"/>
                <w:color w:val="auto"/>
              </w:rPr>
            </w:pPr>
            <w:r>
              <w:rPr>
                <w:rFonts w:ascii="Arial" w:cs="Arial" w:eastAsia="Arial" w:hAnsi="Arial"/>
                <w:sz w:val="18"/>
                <w:szCs w:val="18"/>
                <w:color w:val="auto"/>
              </w:rPr>
              <w:t>3,223</w:t>
            </w: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0" w:type="dxa"/>
            <w:vAlign w:val="bottom"/>
          </w:tcPr>
          <w:p>
            <w:pPr>
              <w:jc w:val="right"/>
              <w:ind w:right="45"/>
              <w:spacing w:after="0"/>
              <w:rPr>
                <w:sz w:val="20"/>
                <w:szCs w:val="20"/>
                <w:color w:val="auto"/>
              </w:rPr>
            </w:pPr>
            <w:r>
              <w:rPr>
                <w:rFonts w:ascii="Arial" w:cs="Arial" w:eastAsia="Arial" w:hAnsi="Arial"/>
                <w:sz w:val="15"/>
                <w:szCs w:val="15"/>
                <w:color w:val="auto"/>
                <w:w w:val="71"/>
              </w:rPr>
              <w:t>$</w:t>
            </w:r>
          </w:p>
        </w:tc>
        <w:tc>
          <w:tcPr>
            <w:tcW w:w="1240" w:type="dxa"/>
            <w:vAlign w:val="bottom"/>
          </w:tcPr>
          <w:p>
            <w:pPr>
              <w:jc w:val="right"/>
              <w:ind w:right="17"/>
              <w:spacing w:after="0"/>
              <w:rPr>
                <w:sz w:val="20"/>
                <w:szCs w:val="20"/>
                <w:color w:val="auto"/>
              </w:rPr>
            </w:pPr>
            <w:r>
              <w:rPr>
                <w:rFonts w:ascii="Arial" w:cs="Arial" w:eastAsia="Arial" w:hAnsi="Arial"/>
                <w:sz w:val="18"/>
                <w:szCs w:val="18"/>
                <w:color w:val="auto"/>
              </w:rPr>
              <w:t>693</w:t>
            </w:r>
          </w:p>
        </w:tc>
        <w:tc>
          <w:tcPr>
            <w:tcW w:w="0" w:type="dxa"/>
            <w:vAlign w:val="bottom"/>
          </w:tcPr>
          <w:p>
            <w:pPr>
              <w:spacing w:after="0"/>
              <w:rPr>
                <w:sz w:val="1"/>
                <w:szCs w:val="1"/>
                <w:color w:val="auto"/>
              </w:rPr>
            </w:pPr>
          </w:p>
        </w:tc>
      </w:tr>
      <w:tr>
        <w:trPr>
          <w:trHeight w:val="27"/>
        </w:trPr>
        <w:tc>
          <w:tcPr>
            <w:tcW w:w="2080" w:type="dxa"/>
            <w:vAlign w:val="bottom"/>
          </w:tcPr>
          <w:p>
            <w:pPr>
              <w:spacing w:after="0"/>
              <w:rPr>
                <w:sz w:val="2"/>
                <w:szCs w:val="2"/>
                <w:color w:val="auto"/>
              </w:rPr>
            </w:pPr>
          </w:p>
        </w:tc>
        <w:tc>
          <w:tcPr>
            <w:tcW w:w="296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6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2080" w:type="dxa"/>
            <w:vAlign w:val="bottom"/>
            <w:tcBorders>
              <w:bottom w:val="single" w:sz="8" w:color="CCEEFF"/>
            </w:tcBorders>
            <w:shd w:val="clear" w:color="auto" w:fill="CCEEFF"/>
          </w:tcPr>
          <w:p>
            <w:pPr>
              <w:spacing w:after="0"/>
              <w:rPr>
                <w:sz w:val="23"/>
                <w:szCs w:val="23"/>
                <w:color w:val="auto"/>
              </w:rPr>
            </w:pPr>
          </w:p>
        </w:tc>
        <w:tc>
          <w:tcPr>
            <w:tcW w:w="3100" w:type="dxa"/>
            <w:vAlign w:val="bottom"/>
            <w:tcBorders>
              <w:bottom w:val="single" w:sz="8" w:color="CCEEFF"/>
            </w:tcBorders>
            <w:gridSpan w:val="4"/>
            <w:shd w:val="clear" w:color="auto" w:fill="CCEEFF"/>
          </w:tcPr>
          <w:p>
            <w:pPr>
              <w:ind w:left="2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Borders>
              <w:bottom w:val="single" w:sz="8" w:color="CCEEFF"/>
            </w:tcBorders>
            <w:shd w:val="clear" w:color="auto" w:fill="CCEEFF"/>
          </w:tcPr>
          <w:p>
            <w:pPr>
              <w:spacing w:after="0"/>
              <w:rPr>
                <w:sz w:val="23"/>
                <w:szCs w:val="23"/>
                <w:color w:val="auto"/>
              </w:rPr>
            </w:pP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329</w:t>
            </w:r>
          </w:p>
        </w:tc>
        <w:tc>
          <w:tcPr>
            <w:tcW w:w="60" w:type="dxa"/>
            <w:vAlign w:val="bottom"/>
            <w:tcBorders>
              <w:bottom w:val="single" w:sz="8" w:color="CCEEFF"/>
            </w:tcBorders>
            <w:shd w:val="clear" w:color="auto" w:fill="CCEEFF"/>
          </w:tcPr>
          <w:p>
            <w:pPr>
              <w:spacing w:after="0"/>
              <w:rPr>
                <w:sz w:val="23"/>
                <w:szCs w:val="23"/>
                <w:color w:val="auto"/>
              </w:rPr>
            </w:pPr>
          </w:p>
        </w:tc>
        <w:tc>
          <w:tcPr>
            <w:tcW w:w="20" w:type="dxa"/>
            <w:vAlign w:val="bottom"/>
            <w:tcBorders>
              <w:bottom w:val="single" w:sz="8" w:color="CCEEFF"/>
            </w:tcBorders>
            <w:shd w:val="clear" w:color="auto" w:fill="CCEEFF"/>
          </w:tcPr>
          <w:p>
            <w:pPr>
              <w:spacing w:after="0"/>
              <w:rPr>
                <w:sz w:val="23"/>
                <w:szCs w:val="23"/>
                <w:color w:val="auto"/>
              </w:rPr>
            </w:pPr>
          </w:p>
        </w:tc>
        <w:tc>
          <w:tcPr>
            <w:tcW w:w="100" w:type="dxa"/>
            <w:vAlign w:val="bottom"/>
            <w:tcBorders>
              <w:bottom w:val="single" w:sz="8" w:color="CCEEFF"/>
            </w:tcBorders>
            <w:shd w:val="clear" w:color="auto" w:fill="CCEEFF"/>
          </w:tcPr>
          <w:p>
            <w:pPr>
              <w:spacing w:after="0"/>
              <w:rPr>
                <w:sz w:val="23"/>
                <w:szCs w:val="23"/>
                <w:color w:val="auto"/>
              </w:rPr>
            </w:pPr>
          </w:p>
        </w:tc>
        <w:tc>
          <w:tcPr>
            <w:tcW w:w="1100" w:type="dxa"/>
            <w:vAlign w:val="bottom"/>
            <w:tcBorders>
              <w:bottom w:val="single" w:sz="8" w:color="CCEEFF"/>
            </w:tcBorders>
            <w:shd w:val="clear" w:color="auto" w:fill="CCEEFF"/>
          </w:tcPr>
          <w:p>
            <w:pPr>
              <w:spacing w:after="0"/>
              <w:rPr>
                <w:sz w:val="23"/>
                <w:szCs w:val="23"/>
                <w:color w:val="auto"/>
              </w:rPr>
            </w:pPr>
          </w:p>
        </w:tc>
        <w:tc>
          <w:tcPr>
            <w:tcW w:w="3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33</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723</w:t>
            </w:r>
          </w:p>
        </w:tc>
        <w:tc>
          <w:tcPr>
            <w:tcW w:w="100" w:type="dxa"/>
            <w:vAlign w:val="bottom"/>
            <w:tcBorders>
              <w:bottom w:val="single" w:sz="8" w:color="CCEEFF"/>
            </w:tcBorders>
            <w:shd w:val="clear" w:color="auto" w:fill="CCEEFF"/>
          </w:tcPr>
          <w:p>
            <w:pPr>
              <w:spacing w:after="0"/>
              <w:rPr>
                <w:sz w:val="23"/>
                <w:szCs w:val="23"/>
                <w:color w:val="auto"/>
              </w:rPr>
            </w:pPr>
          </w:p>
        </w:tc>
        <w:tc>
          <w:tcPr>
            <w:tcW w:w="4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96</w:t>
            </w:r>
          </w:p>
        </w:tc>
        <w:tc>
          <w:tcPr>
            <w:tcW w:w="0" w:type="dxa"/>
            <w:vAlign w:val="bottom"/>
          </w:tcPr>
          <w:p>
            <w:pPr>
              <w:spacing w:after="0"/>
              <w:rPr>
                <w:sz w:val="1"/>
                <w:szCs w:val="1"/>
                <w:color w:val="auto"/>
              </w:rPr>
            </w:pPr>
          </w:p>
        </w:tc>
      </w:tr>
      <w:tr>
        <w:trPr>
          <w:trHeight w:val="237"/>
        </w:trPr>
        <w:tc>
          <w:tcPr>
            <w:tcW w:w="2080" w:type="dxa"/>
            <w:vAlign w:val="bottom"/>
          </w:tcPr>
          <w:p>
            <w:pPr>
              <w:spacing w:after="0"/>
              <w:rPr>
                <w:sz w:val="20"/>
                <w:szCs w:val="20"/>
                <w:color w:val="auto"/>
              </w:rPr>
            </w:pPr>
          </w:p>
        </w:tc>
        <w:tc>
          <w:tcPr>
            <w:tcW w:w="29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1,826</w:t>
            </w:r>
          </w:p>
        </w:tc>
        <w:tc>
          <w:tcPr>
            <w:tcW w:w="80" w:type="dxa"/>
            <w:vAlign w:val="bottom"/>
            <w:tcBorders>
              <w:top w:val="single" w:sz="8" w:color="auto"/>
            </w:tcBorders>
            <w:gridSpan w:val="2"/>
          </w:tcPr>
          <w:p>
            <w:pPr>
              <w:spacing w:after="0"/>
              <w:rPr>
                <w:sz w:val="20"/>
                <w:szCs w:val="20"/>
                <w:color w:val="auto"/>
              </w:rPr>
            </w:pPr>
          </w:p>
        </w:tc>
        <w:tc>
          <w:tcPr>
            <w:tcW w:w="100" w:type="dxa"/>
            <w:vAlign w:val="bottom"/>
          </w:tcPr>
          <w:p>
            <w:pPr>
              <w:spacing w:after="0"/>
              <w:rPr>
                <w:sz w:val="20"/>
                <w:szCs w:val="20"/>
                <w:color w:val="auto"/>
              </w:rPr>
            </w:pPr>
          </w:p>
        </w:tc>
        <w:tc>
          <w:tcPr>
            <w:tcW w:w="1100" w:type="dxa"/>
            <w:vAlign w:val="bottom"/>
            <w:tcBorders>
              <w:top w:val="single" w:sz="8" w:color="auto"/>
            </w:tcBorders>
          </w:tcPr>
          <w:p>
            <w:pPr>
              <w:jc w:val="right"/>
              <w:ind w:right="904"/>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86"/>
              </w:rPr>
              <w:t>275</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9"/>
              <w:spacing w:after="0"/>
              <w:rPr>
                <w:sz w:val="20"/>
                <w:szCs w:val="20"/>
                <w:color w:val="auto"/>
              </w:rPr>
            </w:pPr>
            <w:r>
              <w:rPr>
                <w:rFonts w:ascii="Arial" w:cs="Arial" w:eastAsia="Arial" w:hAnsi="Arial"/>
                <w:sz w:val="18"/>
                <w:szCs w:val="18"/>
                <w:color w:val="auto"/>
              </w:rPr>
              <w:t>3,946</w:t>
            </w:r>
          </w:p>
        </w:tc>
        <w:tc>
          <w:tcPr>
            <w:tcW w:w="100" w:type="dxa"/>
            <w:vAlign w:val="bottom"/>
          </w:tcPr>
          <w:p>
            <w:pPr>
              <w:spacing w:after="0"/>
              <w:rPr>
                <w:sz w:val="20"/>
                <w:szCs w:val="20"/>
                <w:color w:val="auto"/>
              </w:rPr>
            </w:pPr>
          </w:p>
        </w:tc>
        <w:tc>
          <w:tcPr>
            <w:tcW w:w="40" w:type="dxa"/>
            <w:vAlign w:val="bottom"/>
            <w:tcBorders>
              <w:top w:val="single" w:sz="8" w:color="auto"/>
            </w:tcBorders>
          </w:tcPr>
          <w:p>
            <w:pPr>
              <w:spacing w:after="0"/>
              <w:rPr>
                <w:sz w:val="20"/>
                <w:szCs w:val="20"/>
                <w:color w:val="auto"/>
              </w:rPr>
            </w:pPr>
          </w:p>
        </w:tc>
        <w:tc>
          <w:tcPr>
            <w:tcW w:w="200" w:type="dxa"/>
            <w:vAlign w:val="bottom"/>
            <w:tcBorders>
              <w:top w:val="single" w:sz="8" w:color="auto"/>
            </w:tcBorders>
          </w:tcPr>
          <w:p>
            <w:pPr>
              <w:jc w:val="right"/>
              <w:ind w:right="45"/>
              <w:spacing w:after="0"/>
              <w:rPr>
                <w:sz w:val="20"/>
                <w:szCs w:val="20"/>
                <w:color w:val="auto"/>
              </w:rPr>
            </w:pPr>
            <w:r>
              <w:rPr>
                <w:rFonts w:ascii="Arial" w:cs="Arial" w:eastAsia="Arial" w:hAnsi="Arial"/>
                <w:sz w:val="15"/>
                <w:szCs w:val="15"/>
                <w:color w:val="auto"/>
                <w:w w:val="71"/>
              </w:rPr>
              <w:t>$</w:t>
            </w:r>
          </w:p>
        </w:tc>
        <w:tc>
          <w:tcPr>
            <w:tcW w:w="1240" w:type="dxa"/>
            <w:vAlign w:val="bottom"/>
            <w:tcBorders>
              <w:top w:val="single" w:sz="8" w:color="auto"/>
            </w:tcBorders>
          </w:tcPr>
          <w:p>
            <w:pPr>
              <w:jc w:val="right"/>
              <w:ind w:right="17"/>
              <w:spacing w:after="0"/>
              <w:rPr>
                <w:sz w:val="20"/>
                <w:szCs w:val="20"/>
                <w:color w:val="auto"/>
              </w:rPr>
            </w:pPr>
            <w:r>
              <w:rPr>
                <w:rFonts w:ascii="Arial" w:cs="Arial" w:eastAsia="Arial" w:hAnsi="Arial"/>
                <w:sz w:val="18"/>
                <w:szCs w:val="18"/>
                <w:color w:val="auto"/>
              </w:rPr>
              <w:t>789</w:t>
            </w:r>
          </w:p>
        </w:tc>
        <w:tc>
          <w:tcPr>
            <w:tcW w:w="0" w:type="dxa"/>
            <w:vAlign w:val="bottom"/>
          </w:tcPr>
          <w:p>
            <w:pPr>
              <w:spacing w:after="0"/>
              <w:rPr>
                <w:sz w:val="1"/>
                <w:szCs w:val="1"/>
                <w:color w:val="auto"/>
              </w:rPr>
            </w:pPr>
          </w:p>
        </w:tc>
      </w:tr>
      <w:tr>
        <w:trPr>
          <w:trHeight w:val="27"/>
        </w:trPr>
        <w:tc>
          <w:tcPr>
            <w:tcW w:w="5040" w:type="dxa"/>
            <w:vAlign w:val="bottom"/>
            <w:gridSpan w:val="2"/>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 w:type="dxa"/>
            <w:vAlign w:val="bottom"/>
          </w:tcPr>
          <w:p>
            <w:pPr>
              <w:spacing w:after="0"/>
              <w:rPr>
                <w:sz w:val="2"/>
                <w:szCs w:val="2"/>
                <w:color w:val="auto"/>
              </w:rPr>
            </w:pPr>
          </w:p>
        </w:tc>
        <w:tc>
          <w:tcPr>
            <w:tcW w:w="1480" w:type="dxa"/>
            <w:vAlign w:val="bottom"/>
            <w:tcBorders>
              <w:bottom w:val="single" w:sz="8" w:color="auto"/>
            </w:tcBorders>
            <w:gridSpan w:val="3"/>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2"/>
          </w:tcPr>
          <w:p>
            <w:pPr>
              <w:spacing w:after="0"/>
              <w:rPr>
                <w:sz w:val="2"/>
                <w:szCs w:val="2"/>
                <w:color w:val="auto"/>
              </w:rPr>
            </w:pPr>
          </w:p>
        </w:tc>
        <w:tc>
          <w:tcPr>
            <w:tcW w:w="100" w:type="dxa"/>
            <w:vAlign w:val="bottom"/>
          </w:tcPr>
          <w:p>
            <w:pPr>
              <w:spacing w:after="0"/>
              <w:rPr>
                <w:sz w:val="2"/>
                <w:szCs w:val="2"/>
                <w:color w:val="auto"/>
              </w:rPr>
            </w:pPr>
          </w:p>
        </w:tc>
        <w:tc>
          <w:tcPr>
            <w:tcW w:w="1480" w:type="dxa"/>
            <w:vAlign w:val="bottom"/>
            <w:tcBorders>
              <w:bottom w:val="single" w:sz="8" w:color="auto"/>
            </w:tcBorders>
            <w:gridSpan w:val="3"/>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50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80" w:type="dxa"/>
            <w:vAlign w:val="bottom"/>
            <w:tcBorders>
              <w:bottom w:val="single" w:sz="8" w:color="auto"/>
            </w:tcBorders>
            <w:gridSpan w:val="3"/>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Borders>
              <w:bottom w:val="single" w:sz="8" w:color="auto"/>
            </w:tcBorders>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98"/>
        </w:trPr>
        <w:tc>
          <w:tcPr>
            <w:tcW w:w="11420" w:type="dxa"/>
            <w:vAlign w:val="bottom"/>
            <w:gridSpan w:val="19"/>
          </w:tcPr>
          <w:p>
            <w:pPr>
              <w:jc w:val="right"/>
              <w:ind w:right="417"/>
              <w:spacing w:after="0"/>
              <w:rPr>
                <w:sz w:val="20"/>
                <w:szCs w:val="20"/>
                <w:color w:val="auto"/>
              </w:rPr>
            </w:pPr>
            <w:r>
              <w:rPr>
                <w:rFonts w:ascii="Arial" w:cs="Arial" w:eastAsia="Arial" w:hAnsi="Arial"/>
                <w:sz w:val="18"/>
                <w:szCs w:val="18"/>
                <w:color w:val="auto"/>
                <w:w w:val="93"/>
              </w:rPr>
              <w:t>The amounts of gains (losses) associated with the Company's derivative financial instruments reclassified from accumulated other comprehensive</w:t>
            </w:r>
          </w:p>
        </w:tc>
        <w:tc>
          <w:tcPr>
            <w:tcW w:w="0" w:type="dxa"/>
            <w:vAlign w:val="bottom"/>
          </w:tcPr>
          <w:p>
            <w:pPr>
              <w:spacing w:after="0"/>
              <w:rPr>
                <w:sz w:val="1"/>
                <w:szCs w:val="1"/>
                <w:color w:val="auto"/>
              </w:rPr>
            </w:pPr>
          </w:p>
        </w:tc>
      </w:tr>
      <w:tr>
        <w:trPr>
          <w:trHeight w:val="230"/>
        </w:trPr>
        <w:tc>
          <w:tcPr>
            <w:tcW w:w="5180" w:type="dxa"/>
            <w:vAlign w:val="bottom"/>
            <w:gridSpan w:val="5"/>
          </w:tcPr>
          <w:p>
            <w:pPr>
              <w:spacing w:after="0"/>
              <w:rPr>
                <w:sz w:val="20"/>
                <w:szCs w:val="20"/>
                <w:color w:val="auto"/>
              </w:rPr>
            </w:pPr>
            <w:r>
              <w:rPr>
                <w:rFonts w:ascii="Arial" w:cs="Arial" w:eastAsia="Arial" w:hAnsi="Arial"/>
                <w:sz w:val="18"/>
                <w:szCs w:val="18"/>
                <w:color w:val="auto"/>
              </w:rPr>
              <w:t>income (loss) are presented in the following table (in thousands):</w:t>
            </w:r>
          </w:p>
        </w:tc>
        <w:tc>
          <w:tcPr>
            <w:tcW w:w="2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88"/>
        </w:trPr>
        <w:tc>
          <w:tcPr>
            <w:tcW w:w="208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2480" w:type="dxa"/>
            <w:vAlign w:val="bottom"/>
            <w:tcBorders>
              <w:bottom w:val="single" w:sz="8" w:color="auto"/>
            </w:tcBorders>
            <w:gridSpan w:val="5"/>
          </w:tcPr>
          <w:p>
            <w:pPr>
              <w:jc w:val="right"/>
              <w:ind w:right="424"/>
              <w:spacing w:after="0"/>
              <w:rPr>
                <w:sz w:val="20"/>
                <w:szCs w:val="20"/>
                <w:color w:val="auto"/>
              </w:rPr>
            </w:pPr>
            <w:r>
              <w:rPr>
                <w:rFonts w:ascii="Arial" w:cs="Arial" w:eastAsia="Arial" w:hAnsi="Arial"/>
                <w:sz w:val="14"/>
                <w:szCs w:val="14"/>
                <w:b w:val="1"/>
                <w:bCs w:val="1"/>
                <w:color w:val="auto"/>
              </w:rPr>
              <w:t>Three Months Ended</w:t>
            </w:r>
          </w:p>
        </w:tc>
        <w:tc>
          <w:tcPr>
            <w:tcW w:w="38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2820" w:type="dxa"/>
            <w:vAlign w:val="bottom"/>
            <w:tcBorders>
              <w:bottom w:val="single" w:sz="8" w:color="auto"/>
            </w:tcBorders>
            <w:gridSpan w:val="5"/>
          </w:tcPr>
          <w:p>
            <w:pPr>
              <w:jc w:val="right"/>
              <w:ind w:right="817"/>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52"/>
        </w:trPr>
        <w:tc>
          <w:tcPr>
            <w:tcW w:w="504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Affected Line Item in the Statements of Operations:</w:t>
            </w:r>
          </w:p>
        </w:tc>
        <w:tc>
          <w:tcPr>
            <w:tcW w:w="120" w:type="dxa"/>
            <w:vAlign w:val="bottom"/>
            <w:gridSpan w:val="2"/>
            <w:vMerge w:val="restart"/>
          </w:tcPr>
          <w:p>
            <w:pPr>
              <w:spacing w:after="0"/>
              <w:rPr>
                <w:sz w:val="13"/>
                <w:szCs w:val="13"/>
                <w:color w:val="auto"/>
              </w:rPr>
            </w:pPr>
          </w:p>
        </w:tc>
        <w:tc>
          <w:tcPr>
            <w:tcW w:w="20" w:type="dxa"/>
            <w:vAlign w:val="bottom"/>
            <w:vMerge w:val="restart"/>
          </w:tcPr>
          <w:p>
            <w:pPr>
              <w:spacing w:after="0"/>
              <w:rPr>
                <w:sz w:val="13"/>
                <w:szCs w:val="13"/>
                <w:color w:val="auto"/>
              </w:rPr>
            </w:pPr>
          </w:p>
        </w:tc>
        <w:tc>
          <w:tcPr>
            <w:tcW w:w="220" w:type="dxa"/>
            <w:vAlign w:val="bottom"/>
          </w:tcPr>
          <w:p>
            <w:pPr>
              <w:spacing w:after="0"/>
              <w:rPr>
                <w:sz w:val="13"/>
                <w:szCs w:val="13"/>
                <w:color w:val="auto"/>
              </w:rPr>
            </w:pPr>
          </w:p>
        </w:tc>
        <w:tc>
          <w:tcPr>
            <w:tcW w:w="1200" w:type="dxa"/>
            <w:vAlign w:val="bottom"/>
          </w:tcPr>
          <w:p>
            <w:pPr>
              <w:jc w:val="center"/>
              <w:ind w:right="119"/>
              <w:spacing w:after="0" w:line="153" w:lineRule="exact"/>
              <w:rPr>
                <w:sz w:val="20"/>
                <w:szCs w:val="20"/>
                <w:color w:val="auto"/>
              </w:rPr>
            </w:pPr>
            <w:r>
              <w:rPr>
                <w:rFonts w:ascii="Arial" w:cs="Arial" w:eastAsia="Arial" w:hAnsi="Arial"/>
                <w:sz w:val="14"/>
                <w:szCs w:val="14"/>
                <w:b w:val="1"/>
                <w:bCs w:val="1"/>
                <w:color w:val="auto"/>
                <w:w w:val="93"/>
              </w:rPr>
              <w:t>October 28,</w:t>
            </w: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00" w:type="dxa"/>
            <w:vAlign w:val="bottom"/>
          </w:tcPr>
          <w:p>
            <w:pPr>
              <w:jc w:val="center"/>
              <w:ind w:left="264"/>
              <w:spacing w:after="0" w:line="153" w:lineRule="exact"/>
              <w:rPr>
                <w:sz w:val="20"/>
                <w:szCs w:val="20"/>
                <w:color w:val="auto"/>
              </w:rPr>
            </w:pPr>
            <w:r>
              <w:rPr>
                <w:rFonts w:ascii="Arial" w:cs="Arial" w:eastAsia="Arial" w:hAnsi="Arial"/>
                <w:sz w:val="14"/>
                <w:szCs w:val="14"/>
                <w:b w:val="1"/>
                <w:bCs w:val="1"/>
                <w:color w:val="auto"/>
                <w:w w:val="93"/>
              </w:rPr>
              <w:t>October 29,</w:t>
            </w:r>
          </w:p>
        </w:tc>
        <w:tc>
          <w:tcPr>
            <w:tcW w:w="3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80" w:type="dxa"/>
            <w:vAlign w:val="bottom"/>
            <w:gridSpan w:val="3"/>
          </w:tcPr>
          <w:p>
            <w:pPr>
              <w:jc w:val="center"/>
              <w:ind w:right="420"/>
              <w:spacing w:after="0" w:line="153" w:lineRule="exact"/>
              <w:rPr>
                <w:sz w:val="20"/>
                <w:szCs w:val="20"/>
                <w:color w:val="auto"/>
              </w:rPr>
            </w:pPr>
            <w:r>
              <w:rPr>
                <w:rFonts w:ascii="Arial" w:cs="Arial" w:eastAsia="Arial" w:hAnsi="Arial"/>
                <w:sz w:val="14"/>
                <w:szCs w:val="14"/>
                <w:b w:val="1"/>
                <w:bCs w:val="1"/>
                <w:color w:val="auto"/>
                <w:w w:val="93"/>
              </w:rPr>
              <w:t>October 28,</w:t>
            </w:r>
          </w:p>
        </w:tc>
        <w:tc>
          <w:tcPr>
            <w:tcW w:w="200" w:type="dxa"/>
            <w:vAlign w:val="bottom"/>
          </w:tcPr>
          <w:p>
            <w:pPr>
              <w:spacing w:after="0"/>
              <w:rPr>
                <w:sz w:val="13"/>
                <w:szCs w:val="13"/>
                <w:color w:val="auto"/>
              </w:rPr>
            </w:pPr>
          </w:p>
        </w:tc>
        <w:tc>
          <w:tcPr>
            <w:tcW w:w="1240" w:type="dxa"/>
            <w:vAlign w:val="bottom"/>
          </w:tcPr>
          <w:p>
            <w:pPr>
              <w:jc w:val="center"/>
              <w:ind w:right="197"/>
              <w:spacing w:after="0" w:line="153" w:lineRule="exact"/>
              <w:rPr>
                <w:sz w:val="20"/>
                <w:szCs w:val="20"/>
                <w:color w:val="auto"/>
              </w:rPr>
            </w:pPr>
            <w:r>
              <w:rPr>
                <w:rFonts w:ascii="Arial" w:cs="Arial" w:eastAsia="Arial" w:hAnsi="Arial"/>
                <w:sz w:val="14"/>
                <w:szCs w:val="14"/>
                <w:b w:val="1"/>
                <w:bCs w:val="1"/>
                <w:color w:val="auto"/>
                <w:w w:val="93"/>
              </w:rPr>
              <w:t>October 29,</w:t>
            </w:r>
          </w:p>
        </w:tc>
        <w:tc>
          <w:tcPr>
            <w:tcW w:w="0" w:type="dxa"/>
            <w:vAlign w:val="bottom"/>
          </w:tcPr>
          <w:p>
            <w:pPr>
              <w:spacing w:after="0"/>
              <w:rPr>
                <w:sz w:val="1"/>
                <w:szCs w:val="1"/>
                <w:color w:val="auto"/>
              </w:rPr>
            </w:pPr>
          </w:p>
        </w:tc>
      </w:tr>
      <w:tr>
        <w:trPr>
          <w:trHeight w:val="192"/>
        </w:trPr>
        <w:tc>
          <w:tcPr>
            <w:tcW w:w="5040" w:type="dxa"/>
            <w:vAlign w:val="bottom"/>
            <w:tcBorders>
              <w:bottom w:val="single" w:sz="8" w:color="auto"/>
            </w:tcBorders>
            <w:gridSpan w:val="2"/>
            <w:vMerge w:val="continue"/>
          </w:tcPr>
          <w:p>
            <w:pPr>
              <w:spacing w:after="0"/>
              <w:rPr>
                <w:sz w:val="16"/>
                <w:szCs w:val="16"/>
                <w:color w:val="auto"/>
              </w:rPr>
            </w:pPr>
          </w:p>
        </w:tc>
        <w:tc>
          <w:tcPr>
            <w:tcW w:w="120" w:type="dxa"/>
            <w:vAlign w:val="bottom"/>
            <w:tcBorders>
              <w:bottom w:val="single" w:sz="8" w:color="CCEEFF"/>
            </w:tcBorders>
            <w:gridSpan w:val="2"/>
            <w:vMerge w:val="continue"/>
          </w:tcPr>
          <w:p>
            <w:pPr>
              <w:spacing w:after="0"/>
              <w:rPr>
                <w:sz w:val="16"/>
                <w:szCs w:val="16"/>
                <w:color w:val="auto"/>
              </w:rPr>
            </w:pPr>
          </w:p>
        </w:tc>
        <w:tc>
          <w:tcPr>
            <w:tcW w:w="20" w:type="dxa"/>
            <w:vAlign w:val="bottom"/>
            <w:tcBorders>
              <w:bottom w:val="single" w:sz="8" w:color="auto"/>
            </w:tcBorders>
            <w:vMerge w:val="continue"/>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99"/>
              <w:spacing w:after="0"/>
              <w:rPr>
                <w:sz w:val="20"/>
                <w:szCs w:val="20"/>
                <w:color w:val="auto"/>
              </w:rPr>
            </w:pPr>
            <w:r>
              <w:rPr>
                <w:rFonts w:ascii="Arial" w:cs="Arial" w:eastAsia="Arial" w:hAnsi="Arial"/>
                <w:sz w:val="14"/>
                <w:szCs w:val="14"/>
                <w:b w:val="1"/>
                <w:bCs w:val="1"/>
                <w:color w:val="auto"/>
                <w:w w:val="96"/>
              </w:rPr>
              <w:t>2017</w:t>
            </w:r>
          </w:p>
        </w:tc>
        <w:tc>
          <w:tcPr>
            <w:tcW w:w="60" w:type="dxa"/>
            <w:vAlign w:val="bottom"/>
            <w:tcBorders>
              <w:bottom w:val="single" w:sz="8" w:color="auto"/>
            </w:tcBorders>
          </w:tcPr>
          <w:p>
            <w:pPr>
              <w:spacing w:after="0"/>
              <w:rPr>
                <w:sz w:val="16"/>
                <w:szCs w:val="16"/>
                <w:color w:val="auto"/>
              </w:rPr>
            </w:pPr>
          </w:p>
        </w:tc>
        <w:tc>
          <w:tcPr>
            <w:tcW w:w="120" w:type="dxa"/>
            <w:vAlign w:val="bottom"/>
            <w:tcBorders>
              <w:bottom w:val="single" w:sz="8" w:color="CCEEFF"/>
            </w:tcBorders>
            <w:gridSpan w:val="2"/>
          </w:tcPr>
          <w:p>
            <w:pPr>
              <w:spacing w:after="0"/>
              <w:rPr>
                <w:sz w:val="16"/>
                <w:szCs w:val="16"/>
                <w:color w:val="auto"/>
              </w:rPr>
            </w:pPr>
          </w:p>
        </w:tc>
        <w:tc>
          <w:tcPr>
            <w:tcW w:w="1100" w:type="dxa"/>
            <w:vAlign w:val="bottom"/>
            <w:tcBorders>
              <w:bottom w:val="single" w:sz="8" w:color="auto"/>
            </w:tcBorders>
          </w:tcPr>
          <w:p>
            <w:pPr>
              <w:jc w:val="center"/>
              <w:ind w:left="304"/>
              <w:spacing w:after="0"/>
              <w:rPr>
                <w:sz w:val="20"/>
                <w:szCs w:val="20"/>
                <w:color w:val="auto"/>
              </w:rPr>
            </w:pPr>
            <w:r>
              <w:rPr>
                <w:rFonts w:ascii="Arial" w:cs="Arial" w:eastAsia="Arial" w:hAnsi="Arial"/>
                <w:sz w:val="14"/>
                <w:szCs w:val="14"/>
                <w:b w:val="1"/>
                <w:bCs w:val="1"/>
                <w:color w:val="auto"/>
                <w:w w:val="89"/>
              </w:rPr>
              <w:t>2016</w:t>
            </w:r>
          </w:p>
        </w:tc>
        <w:tc>
          <w:tcPr>
            <w:tcW w:w="3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9"/>
              <w:spacing w:after="0"/>
              <w:rPr>
                <w:sz w:val="20"/>
                <w:szCs w:val="20"/>
                <w:color w:val="auto"/>
              </w:rPr>
            </w:pPr>
            <w:r>
              <w:rPr>
                <w:rFonts w:ascii="Arial" w:cs="Arial" w:eastAsia="Arial" w:hAnsi="Arial"/>
                <w:sz w:val="14"/>
                <w:szCs w:val="14"/>
                <w:b w:val="1"/>
                <w:bCs w:val="1"/>
                <w:color w:val="auto"/>
                <w:w w:val="89"/>
              </w:rPr>
              <w:t>2017</w:t>
            </w:r>
          </w:p>
        </w:tc>
        <w:tc>
          <w:tcPr>
            <w:tcW w:w="100" w:type="dxa"/>
            <w:vAlign w:val="bottom"/>
            <w:tcBorders>
              <w:bottom w:val="single" w:sz="8" w:color="CCEEFF"/>
            </w:tcBorders>
          </w:tcPr>
          <w:p>
            <w:pPr>
              <w:spacing w:after="0"/>
              <w:rPr>
                <w:sz w:val="16"/>
                <w:szCs w:val="16"/>
                <w:color w:val="auto"/>
              </w:rPr>
            </w:pPr>
          </w:p>
        </w:tc>
        <w:tc>
          <w:tcPr>
            <w:tcW w:w="4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center"/>
              <w:ind w:right="157"/>
              <w:spacing w:after="0"/>
              <w:rPr>
                <w:sz w:val="20"/>
                <w:szCs w:val="20"/>
                <w:color w:val="auto"/>
              </w:rPr>
            </w:pPr>
            <w:r>
              <w:rPr>
                <w:rFonts w:ascii="Arial" w:cs="Arial" w:eastAsia="Arial" w:hAnsi="Arial"/>
                <w:sz w:val="14"/>
                <w:szCs w:val="14"/>
                <w:b w:val="1"/>
                <w:bCs w:val="1"/>
                <w:color w:val="auto"/>
                <w:w w:val="89"/>
              </w:rPr>
              <w:t>2016</w:t>
            </w:r>
          </w:p>
        </w:tc>
        <w:tc>
          <w:tcPr>
            <w:tcW w:w="0" w:type="dxa"/>
            <w:vAlign w:val="bottom"/>
          </w:tcPr>
          <w:p>
            <w:pPr>
              <w:spacing w:after="0"/>
              <w:rPr>
                <w:sz w:val="1"/>
                <w:szCs w:val="1"/>
                <w:color w:val="auto"/>
              </w:rPr>
            </w:pPr>
          </w:p>
        </w:tc>
      </w:tr>
      <w:tr>
        <w:trPr>
          <w:trHeight w:val="250"/>
        </w:trPr>
        <w:tc>
          <w:tcPr>
            <w:tcW w:w="5180" w:type="dxa"/>
            <w:vAlign w:val="bottom"/>
            <w:tcBorders>
              <w:bottom w:val="single" w:sz="8" w:color="CCEEFF"/>
            </w:tcBorders>
            <w:gridSpan w:val="5"/>
            <w:shd w:val="clear" w:color="auto" w:fill="CCEEFF"/>
          </w:tcPr>
          <w:p>
            <w:pPr>
              <w:ind w:left="40"/>
              <w:spacing w:after="0"/>
              <w:rPr>
                <w:sz w:val="20"/>
                <w:szCs w:val="20"/>
                <w:color w:val="auto"/>
              </w:rPr>
            </w:pPr>
            <w:r>
              <w:rPr>
                <w:rFonts w:ascii="Arial" w:cs="Arial" w:eastAsia="Arial" w:hAnsi="Arial"/>
                <w:sz w:val="18"/>
                <w:szCs w:val="18"/>
                <w:color w:val="auto"/>
              </w:rPr>
              <w:t>Operating costs and expenses:</w:t>
            </w:r>
          </w:p>
        </w:tc>
        <w:tc>
          <w:tcPr>
            <w:tcW w:w="2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6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10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080" w:type="dxa"/>
            <w:vAlign w:val="bottom"/>
          </w:tcPr>
          <w:p>
            <w:pPr>
              <w:ind w:left="260"/>
              <w:spacing w:after="0"/>
              <w:rPr>
                <w:sz w:val="20"/>
                <w:szCs w:val="20"/>
                <w:color w:val="auto"/>
              </w:rPr>
            </w:pPr>
            <w:r>
              <w:rPr>
                <w:rFonts w:ascii="Arial" w:cs="Arial" w:eastAsia="Arial" w:hAnsi="Arial"/>
                <w:sz w:val="18"/>
                <w:szCs w:val="18"/>
                <w:color w:val="auto"/>
              </w:rPr>
              <w:t>Cash flow hedges:</w:t>
            </w:r>
          </w:p>
        </w:tc>
        <w:tc>
          <w:tcPr>
            <w:tcW w:w="29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3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040" w:type="dxa"/>
            <w:vAlign w:val="bottom"/>
            <w:gridSpan w:val="2"/>
          </w:tcPr>
          <w:p>
            <w:pPr>
              <w:spacing w:after="0"/>
              <w:rPr>
                <w:sz w:val="2"/>
                <w:szCs w:val="2"/>
                <w:color w:val="auto"/>
              </w:rPr>
            </w:pPr>
          </w:p>
        </w:tc>
        <w:tc>
          <w:tcPr>
            <w:tcW w:w="120" w:type="dxa"/>
            <w:vAlign w:val="bottom"/>
            <w:gridSpan w:val="2"/>
          </w:tcPr>
          <w:p>
            <w:pPr>
              <w:spacing w:after="0"/>
              <w:rPr>
                <w:sz w:val="2"/>
                <w:szCs w:val="2"/>
                <w:color w:val="auto"/>
              </w:rPr>
            </w:pPr>
          </w:p>
        </w:tc>
        <w:tc>
          <w:tcPr>
            <w:tcW w:w="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60" w:type="dxa"/>
            <w:vAlign w:val="bottom"/>
          </w:tcPr>
          <w:p>
            <w:pPr>
              <w:spacing w:after="0"/>
              <w:rPr>
                <w:sz w:val="2"/>
                <w:szCs w:val="2"/>
                <w:color w:val="auto"/>
              </w:rPr>
            </w:pPr>
          </w:p>
        </w:tc>
        <w:tc>
          <w:tcPr>
            <w:tcW w:w="1220" w:type="dxa"/>
            <w:vAlign w:val="bottom"/>
            <w:gridSpan w:val="3"/>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80" w:type="dxa"/>
            <w:vAlign w:val="bottom"/>
            <w:tcBorders>
              <w:bottom w:val="single" w:sz="8" w:color="CCEEFF"/>
            </w:tcBorders>
            <w:gridSpan w:val="5"/>
            <w:shd w:val="clear" w:color="auto" w:fill="CCEEFF"/>
          </w:tcPr>
          <w:p>
            <w:pPr>
              <w:ind w:left="620"/>
              <w:spacing w:after="0"/>
              <w:rPr>
                <w:sz w:val="20"/>
                <w:szCs w:val="20"/>
                <w:color w:val="auto"/>
              </w:rPr>
            </w:pPr>
            <w:r>
              <w:rPr>
                <w:rFonts w:ascii="Arial" w:cs="Arial" w:eastAsia="Arial" w:hAnsi="Arial"/>
                <w:sz w:val="18"/>
                <w:szCs w:val="18"/>
                <w:color w:val="auto"/>
              </w:rPr>
              <w:t>Research and development</w:t>
            </w: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1,490</w:t>
            </w:r>
          </w:p>
        </w:tc>
        <w:tc>
          <w:tcPr>
            <w:tcW w:w="1280" w:type="dxa"/>
            <w:vAlign w:val="bottom"/>
            <w:tcBorders>
              <w:bottom w:val="single" w:sz="8" w:color="CCEEFF"/>
            </w:tcBorders>
            <w:gridSpan w:val="4"/>
            <w:shd w:val="clear" w:color="auto" w:fill="CCEEFF"/>
          </w:tcPr>
          <w:p>
            <w:pPr>
              <w:jc w:val="right"/>
              <w:ind w:right="904"/>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86"/>
              </w:rPr>
              <w:t>118</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2,564</w:t>
            </w:r>
          </w:p>
        </w:tc>
        <w:tc>
          <w:tcPr>
            <w:tcW w:w="100" w:type="dxa"/>
            <w:vAlign w:val="bottom"/>
            <w:tcBorders>
              <w:bottom w:val="single" w:sz="8" w:color="CCEEFF"/>
            </w:tcBorders>
            <w:shd w:val="clear" w:color="auto" w:fill="CCEEFF"/>
          </w:tcPr>
          <w:p>
            <w:pPr>
              <w:spacing w:after="0"/>
              <w:rPr>
                <w:sz w:val="21"/>
                <w:szCs w:val="21"/>
                <w:color w:val="auto"/>
              </w:rPr>
            </w:pPr>
          </w:p>
        </w:tc>
        <w:tc>
          <w:tcPr>
            <w:tcW w:w="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457</w:t>
            </w:r>
          </w:p>
        </w:tc>
        <w:tc>
          <w:tcPr>
            <w:tcW w:w="0" w:type="dxa"/>
            <w:vAlign w:val="bottom"/>
          </w:tcPr>
          <w:p>
            <w:pPr>
              <w:spacing w:after="0"/>
              <w:rPr>
                <w:sz w:val="1"/>
                <w:szCs w:val="1"/>
                <w:color w:val="auto"/>
              </w:rPr>
            </w:pPr>
          </w:p>
        </w:tc>
      </w:tr>
      <w:tr>
        <w:trPr>
          <w:trHeight w:val="243"/>
        </w:trPr>
        <w:tc>
          <w:tcPr>
            <w:tcW w:w="5180" w:type="dxa"/>
            <w:vAlign w:val="bottom"/>
            <w:gridSpan w:val="5"/>
          </w:tcPr>
          <w:p>
            <w:pPr>
              <w:ind w:left="620"/>
              <w:spacing w:after="0"/>
              <w:rPr>
                <w:sz w:val="20"/>
                <w:szCs w:val="20"/>
                <w:color w:val="auto"/>
              </w:rPr>
            </w:pPr>
            <w:r>
              <w:rPr>
                <w:rFonts w:ascii="Arial" w:cs="Arial" w:eastAsia="Arial" w:hAnsi="Arial"/>
                <w:sz w:val="18"/>
                <w:szCs w:val="18"/>
                <w:color w:val="auto"/>
              </w:rPr>
              <w:t>Selling, general and administrative</w:t>
            </w:r>
          </w:p>
        </w:tc>
        <w:tc>
          <w:tcPr>
            <w:tcW w:w="220" w:type="dxa"/>
            <w:vAlign w:val="bottom"/>
          </w:tcPr>
          <w:p>
            <w:pPr>
              <w:spacing w:after="0"/>
              <w:rPr>
                <w:sz w:val="21"/>
                <w:szCs w:val="21"/>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328</w:t>
            </w:r>
          </w:p>
        </w:tc>
        <w:tc>
          <w:tcPr>
            <w:tcW w:w="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380" w:type="dxa"/>
            <w:vAlign w:val="bottom"/>
          </w:tcPr>
          <w:p>
            <w:pPr>
              <w:jc w:val="right"/>
              <w:ind w:right="10"/>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9"/>
              <w:spacing w:after="0"/>
              <w:rPr>
                <w:sz w:val="20"/>
                <w:szCs w:val="20"/>
                <w:color w:val="auto"/>
              </w:rPr>
            </w:pPr>
            <w:r>
              <w:rPr>
                <w:rFonts w:ascii="Arial" w:cs="Arial" w:eastAsia="Arial" w:hAnsi="Arial"/>
                <w:sz w:val="18"/>
                <w:szCs w:val="18"/>
                <w:color w:val="auto"/>
              </w:rPr>
              <w:t>601</w:t>
            </w:r>
          </w:p>
        </w:tc>
        <w:tc>
          <w:tcPr>
            <w:tcW w:w="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240" w:type="dxa"/>
            <w:vAlign w:val="bottom"/>
          </w:tcPr>
          <w:p>
            <w:pPr>
              <w:jc w:val="right"/>
              <w:ind w:right="17"/>
              <w:spacing w:after="0"/>
              <w:rPr>
                <w:sz w:val="20"/>
                <w:szCs w:val="20"/>
                <w:color w:val="auto"/>
              </w:rPr>
            </w:pPr>
            <w:r>
              <w:rPr>
                <w:rFonts w:ascii="Arial" w:cs="Arial" w:eastAsia="Arial" w:hAnsi="Arial"/>
                <w:sz w:val="18"/>
                <w:szCs w:val="18"/>
                <w:color w:val="auto"/>
              </w:rPr>
              <w:t>65</w:t>
            </w:r>
          </w:p>
        </w:tc>
        <w:tc>
          <w:tcPr>
            <w:tcW w:w="0" w:type="dxa"/>
            <w:vAlign w:val="bottom"/>
          </w:tcPr>
          <w:p>
            <w:pPr>
              <w:spacing w:after="0"/>
              <w:rPr>
                <w:sz w:val="1"/>
                <w:szCs w:val="1"/>
                <w:color w:val="auto"/>
              </w:rPr>
            </w:pPr>
          </w:p>
        </w:tc>
      </w:tr>
      <w:tr>
        <w:trPr>
          <w:trHeight w:val="27"/>
        </w:trPr>
        <w:tc>
          <w:tcPr>
            <w:tcW w:w="2080" w:type="dxa"/>
            <w:vAlign w:val="bottom"/>
            <w:tcBorders>
              <w:bottom w:val="single" w:sz="8" w:color="CCEEFF"/>
            </w:tcBorders>
          </w:tcPr>
          <w:p>
            <w:pPr>
              <w:spacing w:after="0"/>
              <w:rPr>
                <w:sz w:val="2"/>
                <w:szCs w:val="2"/>
                <w:color w:val="auto"/>
              </w:rPr>
            </w:pPr>
          </w:p>
        </w:tc>
        <w:tc>
          <w:tcPr>
            <w:tcW w:w="2960" w:type="dxa"/>
            <w:vAlign w:val="bottom"/>
            <w:tcBorders>
              <w:bottom w:val="single" w:sz="8" w:color="CCEEFF"/>
            </w:tcBorders>
          </w:tcPr>
          <w:p>
            <w:pPr>
              <w:spacing w:after="0"/>
              <w:rPr>
                <w:sz w:val="2"/>
                <w:szCs w:val="2"/>
                <w:color w:val="auto"/>
              </w:rPr>
            </w:pPr>
          </w:p>
        </w:tc>
        <w:tc>
          <w:tcPr>
            <w:tcW w:w="20" w:type="dxa"/>
            <w:vAlign w:val="bottom"/>
            <w:tcBorders>
              <w:bottom w:val="single" w:sz="8" w:color="CCEEFF"/>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gridSpan w:val="2"/>
          </w:tcPr>
          <w:p>
            <w:pPr>
              <w:spacing w:after="0"/>
              <w:rPr>
                <w:sz w:val="2"/>
                <w:szCs w:val="2"/>
                <w:color w:val="auto"/>
              </w:rPr>
            </w:pPr>
          </w:p>
        </w:tc>
        <w:tc>
          <w:tcPr>
            <w:tcW w:w="1100" w:type="dxa"/>
            <w:vAlign w:val="bottom"/>
            <w:tcBorders>
              <w:bottom w:val="single" w:sz="8" w:color="auto"/>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20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w:t>
            </w:r>
          </w:p>
        </w:tc>
        <w:tc>
          <w:tcPr>
            <w:tcW w:w="2960" w:type="dxa"/>
            <w:vAlign w:val="bottom"/>
            <w:tcBorders>
              <w:bottom w:val="single" w:sz="8" w:color="CCEEFF"/>
            </w:tcBorders>
            <w:shd w:val="clear" w:color="auto" w:fill="CCEEFF"/>
          </w:tcPr>
          <w:p>
            <w:pPr>
              <w:spacing w:after="0"/>
              <w:rPr>
                <w:sz w:val="22"/>
                <w:szCs w:val="22"/>
                <w:color w:val="auto"/>
              </w:rPr>
            </w:pPr>
          </w:p>
        </w:tc>
        <w:tc>
          <w:tcPr>
            <w:tcW w:w="20" w:type="dxa"/>
            <w:vAlign w:val="bottom"/>
            <w:tcBorders>
              <w:bottom w:val="single" w:sz="8" w:color="CCEEFF"/>
            </w:tcBorders>
            <w:shd w:val="clear" w:color="auto" w:fill="CCEEFF"/>
          </w:tcPr>
          <w:p>
            <w:pPr>
              <w:spacing w:after="0"/>
              <w:rPr>
                <w:sz w:val="22"/>
                <w:szCs w:val="22"/>
                <w:color w:val="auto"/>
              </w:rPr>
            </w:pPr>
          </w:p>
        </w:tc>
        <w:tc>
          <w:tcPr>
            <w:tcW w:w="100" w:type="dxa"/>
            <w:vAlign w:val="bottom"/>
            <w:tcBorders>
              <w:bottom w:val="single" w:sz="8" w:color="CCEEFF"/>
            </w:tcBorders>
            <w:shd w:val="clear" w:color="auto" w:fill="CCEEFF"/>
          </w:tcPr>
          <w:p>
            <w:pPr>
              <w:spacing w:after="0"/>
              <w:rPr>
                <w:sz w:val="22"/>
                <w:szCs w:val="22"/>
                <w:color w:val="auto"/>
              </w:rPr>
            </w:pPr>
          </w:p>
        </w:tc>
        <w:tc>
          <w:tcPr>
            <w:tcW w:w="20" w:type="dxa"/>
            <w:vAlign w:val="bottom"/>
            <w:tcBorders>
              <w:bottom w:val="single" w:sz="8" w:color="CCEEFF"/>
            </w:tcBorders>
            <w:shd w:val="clear" w:color="auto" w:fill="CCEEFF"/>
          </w:tcPr>
          <w:p>
            <w:pPr>
              <w:spacing w:after="0"/>
              <w:rPr>
                <w:sz w:val="22"/>
                <w:szCs w:val="22"/>
                <w:color w:val="auto"/>
              </w:rPr>
            </w:pPr>
          </w:p>
        </w:tc>
        <w:tc>
          <w:tcPr>
            <w:tcW w:w="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1,818</w:t>
            </w:r>
          </w:p>
        </w:tc>
        <w:tc>
          <w:tcPr>
            <w:tcW w:w="1280" w:type="dxa"/>
            <w:vAlign w:val="bottom"/>
            <w:tcBorders>
              <w:bottom w:val="single" w:sz="8" w:color="CCEEFF"/>
            </w:tcBorders>
            <w:gridSpan w:val="4"/>
            <w:shd w:val="clear" w:color="auto" w:fill="CCEEFF"/>
          </w:tcPr>
          <w:p>
            <w:pPr>
              <w:jc w:val="right"/>
              <w:ind w:right="904"/>
              <w:spacing w:after="0"/>
              <w:rPr>
                <w:sz w:val="20"/>
                <w:szCs w:val="20"/>
                <w:color w:val="auto"/>
              </w:rPr>
            </w:pPr>
            <w:r>
              <w:rPr>
                <w:rFonts w:ascii="Arial" w:cs="Arial" w:eastAsia="Arial" w:hAnsi="Arial"/>
                <w:sz w:val="18"/>
                <w:szCs w:val="18"/>
                <w:color w:val="auto"/>
              </w:rPr>
              <w:t>$</w:t>
            </w:r>
          </w:p>
        </w:tc>
        <w:tc>
          <w:tcPr>
            <w:tcW w:w="3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86"/>
              </w:rPr>
              <w:t>135</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3,165</w:t>
            </w:r>
          </w:p>
        </w:tc>
        <w:tc>
          <w:tcPr>
            <w:tcW w:w="100" w:type="dxa"/>
            <w:vAlign w:val="bottom"/>
            <w:tcBorders>
              <w:bottom w:val="single" w:sz="8" w:color="CCEEFF"/>
            </w:tcBorders>
            <w:shd w:val="clear" w:color="auto" w:fill="CCEEFF"/>
          </w:tcPr>
          <w:p>
            <w:pPr>
              <w:spacing w:after="0"/>
              <w:rPr>
                <w:sz w:val="22"/>
                <w:szCs w:val="22"/>
                <w:color w:val="auto"/>
              </w:rPr>
            </w:pPr>
          </w:p>
        </w:tc>
        <w:tc>
          <w:tcPr>
            <w:tcW w:w="4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ind w:right="45"/>
              <w:spacing w:after="0"/>
              <w:rPr>
                <w:sz w:val="20"/>
                <w:szCs w:val="20"/>
                <w:color w:val="auto"/>
              </w:rPr>
            </w:pPr>
            <w:r>
              <w:rPr>
                <w:rFonts w:ascii="Arial" w:cs="Arial" w:eastAsia="Arial" w:hAnsi="Arial"/>
                <w:sz w:val="15"/>
                <w:szCs w:val="15"/>
                <w:color w:val="auto"/>
                <w:w w:val="71"/>
              </w:rPr>
              <w:t>$</w:t>
            </w:r>
          </w:p>
        </w:tc>
        <w:tc>
          <w:tcPr>
            <w:tcW w:w="1240" w:type="dxa"/>
            <w:vAlign w:val="bottom"/>
            <w:tcBorders>
              <w:bottom w:val="single" w:sz="8" w:color="CCEEFF"/>
            </w:tcBorders>
            <w:shd w:val="clear" w:color="auto" w:fill="CCEEFF"/>
          </w:tcPr>
          <w:p>
            <w:pPr>
              <w:jc w:val="right"/>
              <w:ind w:right="17"/>
              <w:spacing w:after="0"/>
              <w:rPr>
                <w:sz w:val="20"/>
                <w:szCs w:val="20"/>
                <w:color w:val="auto"/>
              </w:rPr>
            </w:pPr>
            <w:r>
              <w:rPr>
                <w:rFonts w:ascii="Arial" w:cs="Arial" w:eastAsia="Arial" w:hAnsi="Arial"/>
                <w:sz w:val="18"/>
                <w:szCs w:val="18"/>
                <w:color w:val="auto"/>
              </w:rPr>
              <w:t>522</w:t>
            </w:r>
          </w:p>
        </w:tc>
        <w:tc>
          <w:tcPr>
            <w:tcW w:w="0" w:type="dxa"/>
            <w:vAlign w:val="bottom"/>
          </w:tcPr>
          <w:p>
            <w:pPr>
              <w:spacing w:after="0"/>
              <w:rPr>
                <w:sz w:val="1"/>
                <w:szCs w:val="1"/>
                <w:color w:val="auto"/>
              </w:rPr>
            </w:pPr>
          </w:p>
        </w:tc>
      </w:tr>
      <w:tr>
        <w:trPr>
          <w:trHeight w:val="20"/>
        </w:trPr>
        <w:tc>
          <w:tcPr>
            <w:tcW w:w="2080" w:type="dxa"/>
            <w:vAlign w:val="bottom"/>
            <w:tcBorders>
              <w:top w:val="single" w:sz="8" w:color="CCEEFF"/>
            </w:tcBorders>
          </w:tcPr>
          <w:p>
            <w:pPr>
              <w:spacing w:after="0" w:line="20" w:lineRule="exact"/>
              <w:rPr>
                <w:sz w:val="1"/>
                <w:szCs w:val="1"/>
                <w:color w:val="auto"/>
              </w:rPr>
            </w:pPr>
          </w:p>
        </w:tc>
        <w:tc>
          <w:tcPr>
            <w:tcW w:w="296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ind w:right="80" w:firstLine="405"/>
        <w:spacing w:after="0" w:line="259" w:lineRule="auto"/>
        <w:rPr>
          <w:sz w:val="20"/>
          <w:szCs w:val="20"/>
          <w:color w:val="auto"/>
        </w:rPr>
      </w:pPr>
      <w:r>
        <w:rPr>
          <w:rFonts w:ascii="Arial" w:cs="Arial" w:eastAsia="Arial" w:hAnsi="Arial"/>
          <w:sz w:val="18"/>
          <w:szCs w:val="18"/>
          <w:color w:val="auto"/>
        </w:rPr>
        <w:t>The portion of gains (losses) excluded from the assessment of hedge effectiveness is included in interest and other income, net, and these amounts were not material in the three and nine months ended October 28, 2017 and October 29, 2016. The Company did not have hedge ineffectiveness from derivative financial instruments in the three and nine months ended October 28, 2017 and October 29, 2016. No cash flow hedges were terminated as a result of forecasted transactions that did not occur.</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Fair Value Measurements</w:t>
      </w:r>
    </w:p>
    <w:p>
      <w:pPr>
        <w:spacing w:after="0" w:line="94" w:lineRule="exact"/>
        <w:rPr>
          <w:sz w:val="20"/>
          <w:szCs w:val="20"/>
          <w:color w:val="auto"/>
        </w:rPr>
      </w:pPr>
    </w:p>
    <w:p>
      <w:pPr>
        <w:ind w:right="280" w:firstLine="405"/>
        <w:spacing w:after="0" w:line="279"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420"/>
          </w:cols>
          <w:pgMar w:left="240" w:top="140" w:right="239" w:bottom="1440" w:gutter="0" w:footer="0" w:header="0"/>
        </w:sectPr>
      </w:pPr>
    </w:p>
    <w:bookmarkStart w:id="18" w:name="page19"/>
    <w:bookmarkEnd w:id="1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40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2—Other inputs that are directly or indirectly observable in the marketplace.</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right="140" w:firstLine="405"/>
        <w:spacing w:after="0" w:line="277"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62" w:lineRule="exact"/>
        <w:rPr>
          <w:sz w:val="20"/>
          <w:szCs w:val="20"/>
          <w:color w:val="auto"/>
        </w:rPr>
      </w:pPr>
    </w:p>
    <w:p>
      <w:pPr>
        <w:ind w:firstLine="432"/>
        <w:spacing w:after="0" w:line="253" w:lineRule="auto"/>
        <w:rPr>
          <w:sz w:val="20"/>
          <w:szCs w:val="20"/>
          <w:color w:val="auto"/>
        </w:rPr>
      </w:pPr>
      <w:r>
        <w:rPr>
          <w:rFonts w:ascii="Arial" w:cs="Arial" w:eastAsia="Arial" w:hAnsi="Arial"/>
          <w:sz w:val="18"/>
          <w:szCs w:val="18"/>
          <w:color w:val="auto"/>
        </w:rPr>
        <w:t>The Company’s Level 1 assets include institutional money-market funds that are classified as cash equivalents, equity securities, and U.S. government and agency debt securities, which are valued primarily using quoted market prices in active markets for identical assets. The Company’s Level 2 assets include its marketable investments in time deposits, foreign government and agency debt, municipal debt securities, corporate debt securities and asset backed securities as the market inputs used to value these instruments consist of market yields, reported trades and broker/dealer quotes, which are corroborated with observable market data. In addition, forward contracts and the severance pay fund are classified as Level 2 assets as the valuation inputs are based on quoted prices and market observable data of similar instruments. The Company’s investments in auction rate securities were classified as Level 3 assets because there were no active markets for the auction rate securities and consequently the Company was unable to obtain independent valuations from market sources. Therefore, the auction rate securities were valued using a discounted cash flow model. In the nine months ended October 28, 2017, the auction rate securities were sold.</w:t>
      </w:r>
    </w:p>
    <w:p>
      <w:pPr>
        <w:spacing w:after="0" w:line="143"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thousands):</w:t>
      </w:r>
    </w:p>
    <w:p>
      <w:pPr>
        <w:spacing w:after="0" w:line="108" w:lineRule="exact"/>
        <w:rPr>
          <w:sz w:val="20"/>
          <w:szCs w:val="20"/>
          <w:color w:val="auto"/>
        </w:rPr>
      </w:pPr>
    </w:p>
    <w:p>
      <w:pPr>
        <w:ind w:left="6880"/>
        <w:spacing w:after="0"/>
        <w:rPr>
          <w:sz w:val="20"/>
          <w:szCs w:val="20"/>
          <w:color w:val="auto"/>
        </w:rPr>
      </w:pPr>
      <w:r>
        <w:rPr>
          <w:rFonts w:ascii="Arial" w:cs="Arial" w:eastAsia="Arial" w:hAnsi="Arial"/>
          <w:sz w:val="14"/>
          <w:szCs w:val="14"/>
          <w:b w:val="1"/>
          <w:bCs w:val="1"/>
          <w:color w:val="auto"/>
        </w:rPr>
        <w:t>Fair Value Measurements at October 28,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23495</wp:posOffset>
            </wp:positionV>
            <wp:extent cx="397065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40" w:type="dxa"/>
            <w:vAlign w:val="bottom"/>
          </w:tcPr>
          <w:p>
            <w:pPr>
              <w:jc w:val="right"/>
              <w:ind w:right="491"/>
              <w:spacing w:after="0"/>
              <w:rPr>
                <w:sz w:val="20"/>
                <w:szCs w:val="20"/>
                <w:color w:val="auto"/>
              </w:rPr>
            </w:pPr>
            <w:r>
              <w:rPr>
                <w:rFonts w:ascii="Arial" w:cs="Arial" w:eastAsia="Arial" w:hAnsi="Arial"/>
                <w:sz w:val="14"/>
                <w:szCs w:val="14"/>
                <w:b w:val="1"/>
                <w:bCs w:val="1"/>
                <w:color w:val="auto"/>
              </w:rPr>
              <w:t>Total</w:t>
            </w: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22,290</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22,290</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36,193</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36,193</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16,526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16,526</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7,290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7,290</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35,871</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35,871</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Short-term investments: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150,000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150,000</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176,880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176,880</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government and agency debt</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6,831</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6,831</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2,926</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2,926</w:t>
            </w: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552,427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ind w:left="86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552,427</w:t>
            </w: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Asset backed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42,912</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42,912</w:t>
            </w: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27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Borders>
              <w:bottom w:val="single" w:sz="8" w:color="CCEEFF"/>
            </w:tcBorders>
            <w:shd w:val="clear" w:color="auto" w:fill="CCEEFF"/>
          </w:tcPr>
          <w:p>
            <w:pPr>
              <w:spacing w:after="0"/>
              <w:rPr>
                <w:sz w:val="23"/>
                <w:szCs w:val="23"/>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853</w:t>
            </w:r>
          </w:p>
        </w:tc>
        <w:tc>
          <w:tcPr>
            <w:tcW w:w="10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853</w:t>
            </w:r>
          </w:p>
        </w:tc>
      </w:tr>
      <w:tr>
        <w:trPr>
          <w:trHeight w:val="237"/>
        </w:trPr>
        <w:tc>
          <w:tcPr>
            <w:tcW w:w="5140" w:type="dxa"/>
            <w:vAlign w:val="bottom"/>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215,696</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835,303</w:t>
            </w:r>
          </w:p>
        </w:tc>
        <w:tc>
          <w:tcPr>
            <w:tcW w:w="100" w:type="dxa"/>
            <w:vAlign w:val="bottom"/>
          </w:tcPr>
          <w:p>
            <w:pPr>
              <w:spacing w:after="0"/>
              <w:rPr>
                <w:sz w:val="20"/>
                <w:szCs w:val="20"/>
                <w:color w:val="auto"/>
              </w:rPr>
            </w:pPr>
          </w:p>
        </w:tc>
        <w:tc>
          <w:tcPr>
            <w:tcW w:w="320" w:type="dxa"/>
            <w:vAlign w:val="bottom"/>
            <w:tcBorders>
              <w:top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ind w:left="8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0"/>
                <w:szCs w:val="20"/>
                <w:color w:val="auto"/>
              </w:rPr>
            </w:pPr>
          </w:p>
        </w:tc>
        <w:tc>
          <w:tcPr>
            <w:tcW w:w="340" w:type="dxa"/>
            <w:vAlign w:val="bottom"/>
            <w:tcBorders>
              <w:top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1,050,999</w:t>
            </w: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400"/>
          </w:cols>
          <w:pgMar w:left="240" w:top="140" w:right="259" w:bottom="1440" w:gutter="0" w:footer="0" w:header="0"/>
        </w:sectPr>
      </w:pPr>
    </w:p>
    <w:bookmarkStart w:id="19" w:name="page20"/>
    <w:bookmarkEnd w:id="1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392" w:lineRule="exact"/>
        <w:rPr>
          <w:sz w:val="20"/>
          <w:szCs w:val="20"/>
          <w:color w:val="auto"/>
        </w:rPr>
      </w:pPr>
    </w:p>
    <w:p>
      <w:pPr>
        <w:ind w:left="6860"/>
        <w:spacing w:after="0"/>
        <w:rPr>
          <w:sz w:val="20"/>
          <w:szCs w:val="20"/>
          <w:color w:val="auto"/>
        </w:rPr>
      </w:pPr>
      <w:r>
        <w:rPr>
          <w:rFonts w:ascii="Arial" w:cs="Arial" w:eastAsia="Arial" w:hAnsi="Arial"/>
          <w:sz w:val="14"/>
          <w:szCs w:val="14"/>
          <w:b w:val="1"/>
          <w:bCs w:val="1"/>
          <w:color w:val="auto"/>
        </w:rPr>
        <w:t>Fair Value Measurements at January 28,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3263900</wp:posOffset>
            </wp:positionH>
            <wp:positionV relativeFrom="paragraph">
              <wp:posOffset>23495</wp:posOffset>
            </wp:positionV>
            <wp:extent cx="397065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3970655" cy="8890"/>
                    </a:xfrm>
                    <a:prstGeom prst="rect">
                      <a:avLst/>
                    </a:prstGeom>
                    <a:noFill/>
                  </pic:spPr>
                </pic:pic>
              </a:graphicData>
            </a:graphic>
          </wp:anchor>
        </w:drawing>
      </w:r>
    </w:p>
    <w:p>
      <w:pPr>
        <w:spacing w:after="0" w:line="10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300" w:type="dxa"/>
            <w:vAlign w:val="bottom"/>
            <w:gridSpan w:val="2"/>
          </w:tcPr>
          <w:p>
            <w:pPr>
              <w:ind w:left="220"/>
              <w:spacing w:after="0"/>
              <w:rPr>
                <w:sz w:val="20"/>
                <w:szCs w:val="20"/>
                <w:color w:val="auto"/>
              </w:rPr>
            </w:pPr>
            <w:r>
              <w:rPr>
                <w:rFonts w:ascii="Arial" w:cs="Arial" w:eastAsia="Arial" w:hAnsi="Arial"/>
                <w:sz w:val="14"/>
                <w:szCs w:val="14"/>
                <w:b w:val="1"/>
                <w:bCs w:val="1"/>
                <w:color w:val="auto"/>
              </w:rPr>
              <w:t>Level 1</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2</w:t>
            </w:r>
          </w:p>
        </w:tc>
        <w:tc>
          <w:tcPr>
            <w:tcW w:w="320" w:type="dxa"/>
            <w:vAlign w:val="bottom"/>
          </w:tcPr>
          <w:p>
            <w:pPr>
              <w:spacing w:after="0"/>
              <w:rPr>
                <w:sz w:val="16"/>
                <w:szCs w:val="16"/>
                <w:color w:val="auto"/>
              </w:rPr>
            </w:pPr>
          </w:p>
        </w:tc>
        <w:tc>
          <w:tcPr>
            <w:tcW w:w="1260" w:type="dxa"/>
            <w:vAlign w:val="bottom"/>
            <w:gridSpan w:val="2"/>
          </w:tcPr>
          <w:p>
            <w:pPr>
              <w:ind w:left="200"/>
              <w:spacing w:after="0"/>
              <w:rPr>
                <w:sz w:val="20"/>
                <w:szCs w:val="20"/>
                <w:color w:val="auto"/>
              </w:rPr>
            </w:pPr>
            <w:r>
              <w:rPr>
                <w:rFonts w:ascii="Arial" w:cs="Arial" w:eastAsia="Arial" w:hAnsi="Arial"/>
                <w:sz w:val="14"/>
                <w:szCs w:val="14"/>
                <w:b w:val="1"/>
                <w:bCs w:val="1"/>
                <w:color w:val="auto"/>
              </w:rPr>
              <w:t>Level 3</w:t>
            </w:r>
          </w:p>
        </w:tc>
        <w:tc>
          <w:tcPr>
            <w:tcW w:w="340" w:type="dxa"/>
            <w:vAlign w:val="bottom"/>
          </w:tcPr>
          <w:p>
            <w:pPr>
              <w:spacing w:after="0"/>
              <w:rPr>
                <w:sz w:val="16"/>
                <w:szCs w:val="16"/>
                <w:color w:val="auto"/>
              </w:rPr>
            </w:pPr>
          </w:p>
        </w:tc>
        <w:tc>
          <w:tcPr>
            <w:tcW w:w="1140" w:type="dxa"/>
            <w:vAlign w:val="bottom"/>
          </w:tcPr>
          <w:p>
            <w:pPr>
              <w:jc w:val="right"/>
              <w:ind w:right="49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50"/>
        </w:trPr>
        <w:tc>
          <w:tcPr>
            <w:tcW w:w="514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Items measured at fair value on a recurring basis:</w:t>
            </w: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2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20" w:type="dxa"/>
            <w:vAlign w:val="bottom"/>
            <w:tcBorders>
              <w:top w:val="single" w:sz="8" w:color="auto"/>
              <w:bottom w:val="single" w:sz="8" w:color="CCEEFF"/>
            </w:tcBorders>
            <w:shd w:val="clear" w:color="auto" w:fill="CCEEFF"/>
          </w:tcPr>
          <w:p>
            <w:pPr>
              <w:spacing w:after="0"/>
              <w:rPr>
                <w:sz w:val="21"/>
                <w:szCs w:val="21"/>
                <w:color w:val="auto"/>
              </w:rPr>
            </w:pPr>
          </w:p>
        </w:tc>
        <w:tc>
          <w:tcPr>
            <w:tcW w:w="116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spacing w:after="0"/>
              <w:rPr>
                <w:sz w:val="21"/>
                <w:szCs w:val="21"/>
                <w:color w:val="auto"/>
              </w:rPr>
            </w:pPr>
          </w:p>
        </w:tc>
        <w:tc>
          <w:tcPr>
            <w:tcW w:w="1140" w:type="dxa"/>
            <w:vAlign w:val="bottom"/>
            <w:tcBorders>
              <w:top w:val="single" w:sz="8" w:color="auto"/>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Assets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equivalents: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Money market funds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36,122</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36,122</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67,000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67,000</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17,497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17,497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Foreign government and agency debt</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1,500</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8,740</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8,740</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31,280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31,280</w:t>
            </w:r>
          </w:p>
        </w:tc>
        <w:tc>
          <w:tcPr>
            <w:tcW w:w="0" w:type="dxa"/>
            <w:vAlign w:val="bottom"/>
          </w:tcPr>
          <w:p>
            <w:pPr>
              <w:spacing w:after="0"/>
              <w:rPr>
                <w:sz w:val="1"/>
                <w:szCs w:val="1"/>
                <w:color w:val="auto"/>
              </w:rPr>
            </w:pPr>
          </w:p>
        </w:tc>
      </w:tr>
      <w:tr>
        <w:trPr>
          <w:trHeight w:val="243"/>
        </w:trPr>
        <w:tc>
          <w:tcPr>
            <w:tcW w:w="5140" w:type="dxa"/>
            <w:vAlign w:val="bottom"/>
          </w:tcPr>
          <w:p>
            <w:pPr>
              <w:ind w:left="40"/>
              <w:spacing w:after="0"/>
              <w:rPr>
                <w:sz w:val="20"/>
                <w:szCs w:val="20"/>
                <w:color w:val="auto"/>
              </w:rPr>
            </w:pPr>
            <w:r>
              <w:rPr>
                <w:rFonts w:ascii="Arial" w:cs="Arial" w:eastAsia="Arial" w:hAnsi="Arial"/>
                <w:sz w:val="18"/>
                <w:szCs w:val="18"/>
                <w:color w:val="auto"/>
              </w:rPr>
              <w:t>Short-term investments:</w:t>
            </w:r>
          </w:p>
        </w:tc>
        <w:tc>
          <w:tcPr>
            <w:tcW w:w="32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Time deposits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150,000</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150,000</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U.S. government and agency debt</w:t>
            </w:r>
          </w:p>
        </w:tc>
        <w:tc>
          <w:tcPr>
            <w:tcW w:w="320" w:type="dxa"/>
            <w:vAlign w:val="bottom"/>
          </w:tcPr>
          <w:p>
            <w:pPr>
              <w:spacing w:after="0"/>
              <w:rPr>
                <w:sz w:val="21"/>
                <w:szCs w:val="21"/>
                <w:color w:val="auto"/>
              </w:rPr>
            </w:pPr>
          </w:p>
        </w:tc>
        <w:tc>
          <w:tcPr>
            <w:tcW w:w="1200" w:type="dxa"/>
            <w:vAlign w:val="bottom"/>
          </w:tcPr>
          <w:p>
            <w:pPr>
              <w:jc w:val="right"/>
              <w:ind w:right="31"/>
              <w:spacing w:after="0"/>
              <w:rPr>
                <w:sz w:val="20"/>
                <w:szCs w:val="20"/>
                <w:color w:val="auto"/>
              </w:rPr>
            </w:pPr>
            <w:r>
              <w:rPr>
                <w:rFonts w:ascii="Arial" w:cs="Arial" w:eastAsia="Arial" w:hAnsi="Arial"/>
                <w:sz w:val="18"/>
                <w:szCs w:val="18"/>
                <w:color w:val="auto"/>
              </w:rPr>
              <w:t>185,387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185,387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Foreign government and agency debt</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13,375</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13,375</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Municipal debt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27,871</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27,871</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Corporate debt securities</w:t>
            </w:r>
          </w:p>
        </w:tc>
        <w:tc>
          <w:tcPr>
            <w:tcW w:w="320" w:type="dxa"/>
            <w:vAlign w:val="bottom"/>
            <w:tcBorders>
              <w:bottom w:val="single" w:sz="8" w:color="CCEEFF"/>
            </w:tcBorders>
            <w:shd w:val="clear" w:color="auto" w:fill="CCEEFF"/>
          </w:tcPr>
          <w:p>
            <w:pPr>
              <w:spacing w:after="0"/>
              <w:rPr>
                <w:sz w:val="21"/>
                <w:szCs w:val="21"/>
                <w:color w:val="auto"/>
              </w:rPr>
            </w:pP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432,108</w:t>
            </w: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432,108</w:t>
            </w: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Asset backed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45,527</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45,527</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Prepaid expenses and other 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currency forward contracts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735</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735</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Long-term investments: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Auction rate securities</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4,615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4,615</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Other non-current assets: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Severance pay fund</w:t>
            </w:r>
          </w:p>
        </w:tc>
        <w:tc>
          <w:tcPr>
            <w:tcW w:w="320" w:type="dxa"/>
            <w:vAlign w:val="bottom"/>
          </w:tcPr>
          <w:p>
            <w:pPr>
              <w:spacing w:after="0"/>
              <w:rPr>
                <w:sz w:val="21"/>
                <w:szCs w:val="21"/>
                <w:color w:val="auto"/>
              </w:rPr>
            </w:pP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736</w:t>
            </w:r>
          </w:p>
        </w:tc>
        <w:tc>
          <w:tcPr>
            <w:tcW w:w="10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21"/>
                <w:szCs w:val="21"/>
                <w:color w:val="auto"/>
              </w:rPr>
            </w:pP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736</w:t>
            </w:r>
          </w:p>
        </w:tc>
        <w:tc>
          <w:tcPr>
            <w:tcW w:w="0" w:type="dxa"/>
            <w:vAlign w:val="bottom"/>
          </w:tcPr>
          <w:p>
            <w:pPr>
              <w:spacing w:after="0"/>
              <w:rPr>
                <w:sz w:val="1"/>
                <w:szCs w:val="1"/>
                <w:color w:val="auto"/>
              </w:rPr>
            </w:pPr>
          </w:p>
        </w:tc>
      </w:tr>
      <w:tr>
        <w:trPr>
          <w:trHeight w:val="27"/>
        </w:trPr>
        <w:tc>
          <w:tcPr>
            <w:tcW w:w="514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assets</w:t>
            </w: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239,006</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778,872</w:t>
            </w:r>
          </w:p>
        </w:tc>
        <w:tc>
          <w:tcPr>
            <w:tcW w:w="10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4,615</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1,022,493</w:t>
            </w:r>
          </w:p>
        </w:tc>
        <w:tc>
          <w:tcPr>
            <w:tcW w:w="0" w:type="dxa"/>
            <w:vAlign w:val="bottom"/>
          </w:tcPr>
          <w:p>
            <w:pPr>
              <w:spacing w:after="0"/>
              <w:rPr>
                <w:sz w:val="1"/>
                <w:szCs w:val="1"/>
                <w:color w:val="auto"/>
              </w:rPr>
            </w:pPr>
          </w:p>
        </w:tc>
      </w:tr>
      <w:tr>
        <w:trPr>
          <w:trHeight w:val="20"/>
        </w:trPr>
        <w:tc>
          <w:tcPr>
            <w:tcW w:w="514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Liabilities</w:t>
            </w:r>
          </w:p>
        </w:tc>
        <w:tc>
          <w:tcPr>
            <w:tcW w:w="320" w:type="dxa"/>
            <w:vAlign w:val="bottom"/>
            <w:tcBorders>
              <w:top w:val="single" w:sz="8" w:color="auto"/>
              <w:bottom w:val="single" w:sz="8" w:color="auto"/>
            </w:tcBorders>
          </w:tcPr>
          <w:p>
            <w:pPr>
              <w:spacing w:after="0" w:line="20" w:lineRule="exact"/>
              <w:rPr>
                <w:sz w:val="1"/>
                <w:szCs w:val="1"/>
                <w:color w:val="auto"/>
              </w:rPr>
            </w:pPr>
          </w:p>
        </w:tc>
        <w:tc>
          <w:tcPr>
            <w:tcW w:w="1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1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140" w:type="dxa"/>
            <w:vAlign w:val="bottom"/>
            <w:vMerge w:val="continue"/>
          </w:tcPr>
          <w:p>
            <w:pPr>
              <w:spacing w:after="0"/>
              <w:rPr>
                <w:sz w:val="17"/>
                <w:szCs w:val="17"/>
                <w:color w:val="auto"/>
              </w:rPr>
            </w:pPr>
          </w:p>
        </w:tc>
        <w:tc>
          <w:tcPr>
            <w:tcW w:w="3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5140" w:type="dxa"/>
            <w:vAlign w:val="bottom"/>
          </w:tcPr>
          <w:p>
            <w:pPr>
              <w:spacing w:after="0"/>
              <w:rPr>
                <w:sz w:val="4"/>
                <w:szCs w:val="4"/>
                <w:color w:val="auto"/>
              </w:rPr>
            </w:pPr>
          </w:p>
        </w:tc>
        <w:tc>
          <w:tcPr>
            <w:tcW w:w="320" w:type="dxa"/>
            <w:vAlign w:val="bottom"/>
          </w:tcPr>
          <w:p>
            <w:pPr>
              <w:spacing w:after="0"/>
              <w:rPr>
                <w:sz w:val="4"/>
                <w:szCs w:val="4"/>
                <w:color w:val="auto"/>
              </w:rPr>
            </w:pPr>
          </w:p>
        </w:tc>
        <w:tc>
          <w:tcPr>
            <w:tcW w:w="1200" w:type="dxa"/>
            <w:vAlign w:val="bottom"/>
          </w:tcPr>
          <w:p>
            <w:pPr>
              <w:spacing w:after="0"/>
              <w:rPr>
                <w:sz w:val="4"/>
                <w:szCs w:val="4"/>
                <w:color w:val="auto"/>
              </w:rPr>
            </w:pPr>
          </w:p>
        </w:tc>
        <w:tc>
          <w:tcPr>
            <w:tcW w:w="100" w:type="dxa"/>
            <w:vAlign w:val="bottom"/>
          </w:tcPr>
          <w:p>
            <w:pPr>
              <w:spacing w:after="0"/>
              <w:rPr>
                <w:sz w:val="4"/>
                <w:szCs w:val="4"/>
                <w:color w:val="auto"/>
              </w:rPr>
            </w:pPr>
          </w:p>
        </w:tc>
        <w:tc>
          <w:tcPr>
            <w:tcW w:w="320" w:type="dxa"/>
            <w:vAlign w:val="bottom"/>
          </w:tcPr>
          <w:p>
            <w:pPr>
              <w:spacing w:after="0"/>
              <w:rPr>
                <w:sz w:val="4"/>
                <w:szCs w:val="4"/>
                <w:color w:val="auto"/>
              </w:rPr>
            </w:pPr>
          </w:p>
        </w:tc>
        <w:tc>
          <w:tcPr>
            <w:tcW w:w="1160" w:type="dxa"/>
            <w:vAlign w:val="bottom"/>
          </w:tcPr>
          <w:p>
            <w:pPr>
              <w:spacing w:after="0"/>
              <w:rPr>
                <w:sz w:val="4"/>
                <w:szCs w:val="4"/>
                <w:color w:val="auto"/>
              </w:rPr>
            </w:pPr>
          </w:p>
        </w:tc>
        <w:tc>
          <w:tcPr>
            <w:tcW w:w="100" w:type="dxa"/>
            <w:vAlign w:val="bottom"/>
          </w:tcPr>
          <w:p>
            <w:pPr>
              <w:spacing w:after="0"/>
              <w:rPr>
                <w:sz w:val="4"/>
                <w:szCs w:val="4"/>
                <w:color w:val="auto"/>
              </w:rPr>
            </w:pPr>
          </w:p>
        </w:tc>
        <w:tc>
          <w:tcPr>
            <w:tcW w:w="320" w:type="dxa"/>
            <w:vAlign w:val="bottom"/>
          </w:tcPr>
          <w:p>
            <w:pPr>
              <w:spacing w:after="0"/>
              <w:rPr>
                <w:sz w:val="4"/>
                <w:szCs w:val="4"/>
                <w:color w:val="auto"/>
              </w:rPr>
            </w:pPr>
          </w:p>
        </w:tc>
        <w:tc>
          <w:tcPr>
            <w:tcW w:w="1160" w:type="dxa"/>
            <w:vAlign w:val="bottom"/>
          </w:tcPr>
          <w:p>
            <w:pPr>
              <w:spacing w:after="0"/>
              <w:rPr>
                <w:sz w:val="4"/>
                <w:szCs w:val="4"/>
                <w:color w:val="auto"/>
              </w:rPr>
            </w:pPr>
          </w:p>
        </w:tc>
        <w:tc>
          <w:tcPr>
            <w:tcW w:w="100" w:type="dxa"/>
            <w:vAlign w:val="bottom"/>
          </w:tcPr>
          <w:p>
            <w:pPr>
              <w:spacing w:after="0"/>
              <w:rPr>
                <w:sz w:val="4"/>
                <w:szCs w:val="4"/>
                <w:color w:val="auto"/>
              </w:rPr>
            </w:pPr>
          </w:p>
        </w:tc>
        <w:tc>
          <w:tcPr>
            <w:tcW w:w="3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51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Accrued liabilities:</w:t>
            </w:r>
          </w:p>
        </w:tc>
        <w:tc>
          <w:tcPr>
            <w:tcW w:w="320" w:type="dxa"/>
            <w:vAlign w:val="bottom"/>
            <w:tcBorders>
              <w:bottom w:val="single" w:sz="8" w:color="CCEEFF"/>
            </w:tcBorders>
            <w:shd w:val="clear" w:color="auto" w:fill="CCEEFF"/>
          </w:tcPr>
          <w:p>
            <w:pPr>
              <w:spacing w:after="0"/>
              <w:rPr>
                <w:sz w:val="21"/>
                <w:szCs w:val="21"/>
                <w:color w:val="auto"/>
              </w:rPr>
            </w:pPr>
          </w:p>
        </w:tc>
        <w:tc>
          <w:tcPr>
            <w:tcW w:w="12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40" w:type="dxa"/>
            <w:vAlign w:val="bottom"/>
          </w:tcPr>
          <w:p>
            <w:pPr>
              <w:ind w:left="380"/>
              <w:spacing w:after="0"/>
              <w:rPr>
                <w:sz w:val="20"/>
                <w:szCs w:val="20"/>
                <w:color w:val="auto"/>
              </w:rPr>
            </w:pPr>
            <w:r>
              <w:rPr>
                <w:rFonts w:ascii="Arial" w:cs="Arial" w:eastAsia="Arial" w:hAnsi="Arial"/>
                <w:sz w:val="18"/>
                <w:szCs w:val="18"/>
                <w:color w:val="auto"/>
              </w:rPr>
              <w:t>Foreign currency forward contracts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3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58</w:t>
            </w:r>
          </w:p>
        </w:tc>
        <w:tc>
          <w:tcPr>
            <w:tcW w:w="100" w:type="dxa"/>
            <w:vAlign w:val="bottom"/>
          </w:tcPr>
          <w:p>
            <w:pPr>
              <w:spacing w:after="0"/>
              <w:rPr>
                <w:sz w:val="21"/>
                <w:szCs w:val="21"/>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2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ind w:right="31"/>
              <w:spacing w:after="0"/>
              <w:rPr>
                <w:sz w:val="20"/>
                <w:szCs w:val="20"/>
                <w:color w:val="auto"/>
              </w:rPr>
            </w:pPr>
            <w:r>
              <w:rPr>
                <w:rFonts w:ascii="Arial" w:cs="Arial" w:eastAsia="Arial" w:hAnsi="Arial"/>
                <w:sz w:val="18"/>
                <w:szCs w:val="18"/>
                <w:color w:val="auto"/>
              </w:rPr>
              <w:t>58</w:t>
            </w:r>
          </w:p>
        </w:tc>
        <w:tc>
          <w:tcPr>
            <w:tcW w:w="0" w:type="dxa"/>
            <w:vAlign w:val="bottom"/>
          </w:tcPr>
          <w:p>
            <w:pPr>
              <w:spacing w:after="0"/>
              <w:rPr>
                <w:sz w:val="1"/>
                <w:szCs w:val="1"/>
                <w:color w:val="auto"/>
              </w:rPr>
            </w:pPr>
          </w:p>
        </w:tc>
      </w:tr>
      <w:tr>
        <w:trPr>
          <w:trHeight w:val="27"/>
        </w:trPr>
        <w:tc>
          <w:tcPr>
            <w:tcW w:w="514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0"/>
        </w:trPr>
        <w:tc>
          <w:tcPr>
            <w:tcW w:w="514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change in fair value for Level 3 assets (in thousands):</w:t>
      </w: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99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360" w:type="dxa"/>
            <w:vAlign w:val="bottom"/>
          </w:tcPr>
          <w:p>
            <w:pPr>
              <w:jc w:val="center"/>
              <w:ind w:right="38"/>
              <w:spacing w:after="0"/>
              <w:rPr>
                <w:sz w:val="20"/>
                <w:szCs w:val="20"/>
                <w:color w:val="auto"/>
              </w:rPr>
            </w:pPr>
            <w:r>
              <w:rPr>
                <w:rFonts w:ascii="Arial" w:cs="Arial" w:eastAsia="Arial" w:hAnsi="Arial"/>
                <w:sz w:val="14"/>
                <w:szCs w:val="14"/>
                <w:b w:val="1"/>
                <w:bCs w:val="1"/>
                <w:color w:val="auto"/>
                <w:w w:val="94"/>
              </w:rPr>
              <w:t>Nine Months Ended</w:t>
            </w:r>
          </w:p>
        </w:tc>
      </w:tr>
      <w:tr>
        <w:trPr>
          <w:trHeight w:val="165"/>
        </w:trPr>
        <w:tc>
          <w:tcPr>
            <w:tcW w:w="99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60" w:type="dxa"/>
            <w:vAlign w:val="bottom"/>
          </w:tcPr>
          <w:p>
            <w:pPr>
              <w:jc w:val="center"/>
              <w:ind w:right="78"/>
              <w:spacing w:after="0"/>
              <w:rPr>
                <w:sz w:val="20"/>
                <w:szCs w:val="20"/>
                <w:color w:val="auto"/>
              </w:rPr>
            </w:pPr>
            <w:r>
              <w:rPr>
                <w:rFonts w:ascii="Arial" w:cs="Arial" w:eastAsia="Arial" w:hAnsi="Arial"/>
                <w:sz w:val="14"/>
                <w:szCs w:val="14"/>
                <w:b w:val="1"/>
                <w:bCs w:val="1"/>
                <w:color w:val="auto"/>
                <w:w w:val="93"/>
              </w:rPr>
              <w:t>October 28,</w:t>
            </w:r>
          </w:p>
        </w:tc>
      </w:tr>
      <w:tr>
        <w:trPr>
          <w:trHeight w:val="192"/>
        </w:trPr>
        <w:tc>
          <w:tcPr>
            <w:tcW w:w="9940" w:type="dxa"/>
            <w:vAlign w:val="bottom"/>
            <w:tcBorders>
              <w:bottom w:val="single" w:sz="8" w:color="CCEEFF"/>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360" w:type="dxa"/>
            <w:vAlign w:val="bottom"/>
            <w:tcBorders>
              <w:bottom w:val="single" w:sz="8" w:color="auto"/>
            </w:tcBorders>
          </w:tcPr>
          <w:p>
            <w:pPr>
              <w:jc w:val="center"/>
              <w:ind w:right="38"/>
              <w:spacing w:after="0"/>
              <w:rPr>
                <w:sz w:val="20"/>
                <w:szCs w:val="20"/>
                <w:color w:val="auto"/>
              </w:rPr>
            </w:pPr>
            <w:r>
              <w:rPr>
                <w:rFonts w:ascii="Arial" w:cs="Arial" w:eastAsia="Arial" w:hAnsi="Arial"/>
                <w:sz w:val="14"/>
                <w:szCs w:val="14"/>
                <w:b w:val="1"/>
                <w:bCs w:val="1"/>
                <w:color w:val="auto"/>
                <w:w w:val="89"/>
              </w:rPr>
              <w:t>2017</w:t>
            </w:r>
          </w:p>
        </w:tc>
      </w:tr>
      <w:tr>
        <w:trPr>
          <w:trHeight w:val="250"/>
        </w:trPr>
        <w:tc>
          <w:tcPr>
            <w:tcW w:w="9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Beginning balance at January 28, 2017</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60" w:type="dxa"/>
            <w:vAlign w:val="bottom"/>
            <w:tcBorders>
              <w:bottom w:val="single" w:sz="8" w:color="CCEEFF"/>
            </w:tcBorders>
            <w:shd w:val="clear" w:color="auto" w:fill="CCEEFF"/>
          </w:tcPr>
          <w:p>
            <w:pPr>
              <w:jc w:val="right"/>
              <w:ind w:right="18"/>
              <w:spacing w:after="0"/>
              <w:rPr>
                <w:sz w:val="20"/>
                <w:szCs w:val="20"/>
                <w:color w:val="auto"/>
              </w:rPr>
            </w:pPr>
            <w:r>
              <w:rPr>
                <w:rFonts w:ascii="Arial" w:cs="Arial" w:eastAsia="Arial" w:hAnsi="Arial"/>
                <w:sz w:val="18"/>
                <w:szCs w:val="18"/>
                <w:color w:val="auto"/>
              </w:rPr>
              <w:t>4,615</w:t>
            </w:r>
          </w:p>
        </w:tc>
      </w:tr>
      <w:tr>
        <w:trPr>
          <w:trHeight w:val="243"/>
        </w:trPr>
        <w:tc>
          <w:tcPr>
            <w:tcW w:w="9940" w:type="dxa"/>
            <w:vAlign w:val="bottom"/>
          </w:tcPr>
          <w:p>
            <w:pPr>
              <w:ind w:left="40"/>
              <w:spacing w:after="0"/>
              <w:rPr>
                <w:sz w:val="20"/>
                <w:szCs w:val="20"/>
                <w:color w:val="auto"/>
              </w:rPr>
            </w:pPr>
            <w:r>
              <w:rPr>
                <w:rFonts w:ascii="Arial" w:cs="Arial" w:eastAsia="Arial" w:hAnsi="Arial"/>
                <w:sz w:val="18"/>
                <w:szCs w:val="18"/>
                <w:color w:val="auto"/>
              </w:rPr>
              <w:t>Sales and redemptions</w:t>
            </w:r>
          </w:p>
        </w:tc>
        <w:tc>
          <w:tcPr>
            <w:tcW w:w="120" w:type="dxa"/>
            <w:vAlign w:val="bottom"/>
          </w:tcPr>
          <w:p>
            <w:pPr>
              <w:spacing w:after="0"/>
              <w:rPr>
                <w:sz w:val="21"/>
                <w:szCs w:val="21"/>
                <w:color w:val="auto"/>
              </w:rPr>
            </w:pPr>
          </w:p>
        </w:tc>
        <w:tc>
          <w:tcPr>
            <w:tcW w:w="1360" w:type="dxa"/>
            <w:vAlign w:val="bottom"/>
          </w:tcPr>
          <w:p>
            <w:pPr>
              <w:jc w:val="right"/>
              <w:spacing w:after="0"/>
              <w:rPr>
                <w:sz w:val="20"/>
                <w:szCs w:val="20"/>
                <w:color w:val="auto"/>
              </w:rPr>
            </w:pPr>
            <w:r>
              <w:rPr>
                <w:rFonts w:ascii="Arial" w:cs="Arial" w:eastAsia="Arial" w:hAnsi="Arial"/>
                <w:sz w:val="18"/>
                <w:szCs w:val="18"/>
                <w:color w:val="auto"/>
              </w:rPr>
              <w:t>(4,550)</w:t>
            </w:r>
          </w:p>
        </w:tc>
      </w:tr>
      <w:tr>
        <w:trPr>
          <w:trHeight w:val="27"/>
        </w:trPr>
        <w:tc>
          <w:tcPr>
            <w:tcW w:w="99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70"/>
        </w:trPr>
        <w:tc>
          <w:tcPr>
            <w:tcW w:w="9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Realized gain (loss)</w:t>
            </w:r>
          </w:p>
        </w:tc>
        <w:tc>
          <w:tcPr>
            <w:tcW w:w="12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(65)</w:t>
            </w:r>
          </w:p>
        </w:tc>
      </w:tr>
      <w:tr>
        <w:trPr>
          <w:trHeight w:val="237"/>
        </w:trPr>
        <w:tc>
          <w:tcPr>
            <w:tcW w:w="9940" w:type="dxa"/>
            <w:vAlign w:val="bottom"/>
          </w:tcPr>
          <w:p>
            <w:pPr>
              <w:ind w:left="40"/>
              <w:spacing w:after="0"/>
              <w:rPr>
                <w:sz w:val="20"/>
                <w:szCs w:val="20"/>
                <w:color w:val="auto"/>
              </w:rPr>
            </w:pPr>
            <w:r>
              <w:rPr>
                <w:rFonts w:ascii="Arial" w:cs="Arial" w:eastAsia="Arial" w:hAnsi="Arial"/>
                <w:sz w:val="18"/>
                <w:szCs w:val="18"/>
                <w:color w:val="auto"/>
              </w:rPr>
              <w:t>Ending balance at October 28, 2017</w:t>
            </w: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360" w:type="dxa"/>
            <w:vAlign w:val="bottom"/>
            <w:tcBorders>
              <w:top w:val="single" w:sz="8" w:color="auto"/>
            </w:tcBorders>
          </w:tcPr>
          <w:p>
            <w:pPr>
              <w:jc w:val="right"/>
              <w:ind w:right="18"/>
              <w:spacing w:after="0"/>
              <w:rPr>
                <w:sz w:val="20"/>
                <w:szCs w:val="20"/>
                <w:color w:val="auto"/>
              </w:rPr>
            </w:pPr>
            <w:r>
              <w:rPr>
                <w:rFonts w:ascii="Arial" w:cs="Arial" w:eastAsia="Arial" w:hAnsi="Arial"/>
                <w:sz w:val="18"/>
                <w:szCs w:val="18"/>
                <w:color w:val="auto"/>
              </w:rPr>
              <w:t>—</w:t>
            </w:r>
          </w:p>
        </w:tc>
      </w:tr>
      <w:tr>
        <w:trPr>
          <w:trHeight w:val="27"/>
        </w:trPr>
        <w:tc>
          <w:tcPr>
            <w:tcW w:w="9940" w:type="dxa"/>
            <w:vAlign w:val="bottom"/>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20"/>
        </w:trPr>
        <w:tc>
          <w:tcPr>
            <w:tcW w:w="994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r>
    </w:tbl>
    <w:p>
      <w:pPr>
        <w:spacing w:after="0" w:line="225" w:lineRule="exact"/>
        <w:rPr>
          <w:sz w:val="20"/>
          <w:szCs w:val="20"/>
          <w:color w:val="auto"/>
        </w:rPr>
      </w:pPr>
    </w:p>
    <w:p>
      <w:pPr>
        <w:jc w:val="center"/>
        <w:ind w:right="8260"/>
        <w:spacing w:after="0"/>
        <w:rPr>
          <w:sz w:val="20"/>
          <w:szCs w:val="20"/>
          <w:color w:val="auto"/>
        </w:rPr>
      </w:pPr>
      <w:r>
        <w:rPr>
          <w:rFonts w:ascii="Arial" w:cs="Arial" w:eastAsia="Arial" w:hAnsi="Arial"/>
          <w:sz w:val="16"/>
          <w:szCs w:val="16"/>
          <w:b w:val="1"/>
          <w:bCs w:val="1"/>
          <w:color w:val="auto"/>
        </w:rPr>
        <w:t>Note 9. Commitments and Contingencies</w:t>
      </w:r>
    </w:p>
    <w:p>
      <w:pPr>
        <w:spacing w:after="0" w:line="117" w:lineRule="exact"/>
        <w:rPr>
          <w:sz w:val="20"/>
          <w:szCs w:val="20"/>
          <w:color w:val="auto"/>
        </w:rPr>
      </w:pPr>
    </w:p>
    <w:p>
      <w:pPr>
        <w:jc w:val="center"/>
        <w:ind w:right="834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460" w:firstLine="405"/>
        <w:spacing w:after="0" w:line="264"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As of October 28, 2017, these foundries had incurred approximately $130.2 million of manufacturing costs and expenses relating to the Company’s outstanding purchase orders.</w:t>
      </w:r>
    </w:p>
    <w:p>
      <w:pPr>
        <w:spacing w:after="0" w:line="3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420"/>
          </w:cols>
          <w:pgMar w:left="240" w:top="140" w:right="239" w:bottom="1440" w:gutter="0" w:footer="0" w:header="0"/>
        </w:sectPr>
      </w:pPr>
    </w:p>
    <w:bookmarkStart w:id="20" w:name="page21"/>
    <w:bookmarkEnd w:id="2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8"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117" w:lineRule="exact"/>
        <w:rPr>
          <w:sz w:val="20"/>
          <w:szCs w:val="20"/>
          <w:color w:val="auto"/>
        </w:rPr>
      </w:pPr>
    </w:p>
    <w:p>
      <w:pPr>
        <w:ind w:right="60" w:firstLine="432"/>
        <w:spacing w:after="0" w:line="290"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customer's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3"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117" w:lineRule="exact"/>
        <w:rPr>
          <w:sz w:val="20"/>
          <w:szCs w:val="20"/>
          <w:color w:val="auto"/>
        </w:rPr>
      </w:pPr>
    </w:p>
    <w:p>
      <w:pPr>
        <w:ind w:right="20" w:firstLine="432"/>
        <w:spacing w:after="0" w:line="270" w:lineRule="auto"/>
        <w:rPr>
          <w:sz w:val="20"/>
          <w:szCs w:val="20"/>
          <w:color w:val="auto"/>
        </w:rPr>
      </w:pPr>
      <w:r>
        <w:rPr>
          <w:rFonts w:ascii="Arial" w:cs="Arial" w:eastAsia="Arial" w:hAnsi="Arial"/>
          <w:sz w:val="17"/>
          <w:szCs w:val="17"/>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The Company is currently unable to predict the final outcome of these lawsuits and therefore cannot determine the likelihood of loss or estimate a range of possible loss, except with respect to amounts where it has determined a loss is both probable and estimable and where it has made an accrual. Litigation is subject to inherent uncertainties and unfavorable rulings could occur. An unfavorable ruling in litigation, particularly patent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There can be no assurance that these matters will be resolved in a manner that is not adverse to the Company’s business, financial condition, results of operations or cash flows.</w:t>
      </w:r>
    </w:p>
    <w:p>
      <w:pPr>
        <w:spacing w:after="0" w:line="124" w:lineRule="exact"/>
        <w:rPr>
          <w:sz w:val="20"/>
          <w:szCs w:val="20"/>
          <w:color w:val="auto"/>
        </w:rPr>
      </w:pPr>
    </w:p>
    <w:p>
      <w:pPr>
        <w:ind w:right="140" w:firstLine="405"/>
        <w:spacing w:after="0" w:line="273" w:lineRule="auto"/>
        <w:rPr>
          <w:sz w:val="20"/>
          <w:szCs w:val="20"/>
          <w:color w:val="auto"/>
        </w:rPr>
      </w:pPr>
      <w:r>
        <w:rPr>
          <w:rFonts w:ascii="Arial" w:cs="Arial" w:eastAsia="Arial" w:hAnsi="Arial"/>
          <w:sz w:val="17"/>
          <w:szCs w:val="17"/>
          <w:i w:val="1"/>
          <w:iCs w:val="1"/>
          <w:color w:val="auto"/>
        </w:rPr>
        <w:t xml:space="preserve">Luna Litigation and Consolidated Cases. </w:t>
      </w:r>
      <w:r>
        <w:rPr>
          <w:rFonts w:ascii="Arial" w:cs="Arial" w:eastAsia="Arial" w:hAnsi="Arial"/>
          <w:sz w:val="17"/>
          <w:szCs w:val="17"/>
          <w:color w:val="auto"/>
        </w:rPr>
        <w:t>On September 11, 2015, Daniel Luna filed an action asserting putative class action claims on behalf of the</w:t>
      </w:r>
      <w:r>
        <w:rPr>
          <w:rFonts w:ascii="Arial" w:cs="Arial" w:eastAsia="Arial" w:hAnsi="Arial"/>
          <w:sz w:val="17"/>
          <w:szCs w:val="17"/>
          <w:i w:val="1"/>
          <w:iCs w:val="1"/>
          <w:color w:val="auto"/>
        </w:rPr>
        <w:t xml:space="preserve"> </w:t>
      </w:r>
      <w:r>
        <w:rPr>
          <w:rFonts w:ascii="Arial" w:cs="Arial" w:eastAsia="Arial" w:hAnsi="Arial"/>
          <w:sz w:val="17"/>
          <w:szCs w:val="17"/>
          <w:color w:val="auto"/>
        </w:rPr>
        <w:t>Company’s shareholders in the United States District Court for the Southern District of New York (“S.D. of New York”). This action was consolidated with two additional, nearly identical complaints subsequently filed by Philip Limbacher and Jim Farno. The complaints asserted violations of federal securities laws based on allegations that the Company and certain of its officers and directors (Sehat Sutardja, Michael Rashkin and Sukhi Nagesh) made, caused to be made, or failed to correct false and/or misleading statements in the Company’s press releases and public filings. The complaints request damages in unspecified amounts, costs and fees of bringing the action, and other unspecified relief.</w:t>
      </w:r>
    </w:p>
    <w:p>
      <w:pPr>
        <w:spacing w:after="0" w:line="124" w:lineRule="exact"/>
        <w:rPr>
          <w:sz w:val="20"/>
          <w:szCs w:val="20"/>
          <w:color w:val="auto"/>
        </w:rPr>
      </w:pPr>
    </w:p>
    <w:p>
      <w:pPr>
        <w:ind w:firstLine="405"/>
        <w:spacing w:after="0" w:line="287" w:lineRule="auto"/>
        <w:rPr>
          <w:sz w:val="20"/>
          <w:szCs w:val="20"/>
          <w:color w:val="auto"/>
        </w:rPr>
      </w:pPr>
      <w:r>
        <w:rPr>
          <w:rFonts w:ascii="Arial" w:cs="Arial" w:eastAsia="Arial" w:hAnsi="Arial"/>
          <w:sz w:val="16"/>
          <w:szCs w:val="16"/>
          <w:color w:val="auto"/>
        </w:rPr>
        <w:t>On November 18, 2015, the S.D. of New York granted the Company’s motion to transfer the consolidated cases to the N.D. of California. On December 21, 2015, the N.D. of California granted the Company’s motion to deem the consolidated cases related to the Saratoga litigation, discussed below. On February 8, 2016, the N.D. of California granted an unopposed motion to appoint Plumbers and Pipefitters National Pension Fund as Lead Plaintiff. On March 19, 2016, Lead Plaintiff filed a consolidated amended complaint. On April 29, 2016, Marvell and each of the individual defendants each filed motions to dismiss. The hearing on the motions to dismiss took place on July 29, 2016 and the court took the matter under submission. On October 12, 2016, the Court granted Defendants’ motions to dismiss with leave to amend and granted lead plaintiff 30 days to file an amended complaint. The parties agreed that the plaintiffs would file and serve an amended complaint by November 28, 2016. Plaintiffs filed and served the amended complaint on November 28, 2016. The Initial Case Management Conference took place on January 12, 2017. Marvell and co-defendants filed separate Motions to Dismiss on January 17, 2017. A hearing on the Motion to Dismiss took place on May 4, 2017 and, on May 17, 2017, the Court granted the Motion to Dismiss as to Rashkin and Nagesh and denied the Motion to Dismiss as to Sutardja and Marvell. On August 2, 2017, Lead Plaintiff filed a motion for class certification. On October 27, 2017, after a hearing on October 26, 2017, the Court certified a class of persons or entities that acquired Marvell stock during the period from February 19, 2015 to December 7, 2015. The Court has set a deadline of December 29, 2017 for the conclusion of fact discovery and a March 5, 2018 trial date.</w:t>
      </w:r>
    </w:p>
    <w:p>
      <w:pPr>
        <w:spacing w:after="0" w:line="19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20"/>
          </w:cols>
          <w:pgMar w:left="240" w:top="140" w:right="239" w:bottom="1440" w:gutter="0" w:footer="0" w:header="0"/>
        </w:sectPr>
      </w:pPr>
    </w:p>
    <w:bookmarkStart w:id="21" w:name="page22"/>
    <w:bookmarkEnd w:id="2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281"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117" w:lineRule="exact"/>
        <w:rPr>
          <w:sz w:val="20"/>
          <w:szCs w:val="20"/>
          <w:color w:val="auto"/>
        </w:rPr>
      </w:pPr>
    </w:p>
    <w:p>
      <w:pPr>
        <w:ind w:firstLine="432"/>
        <w:spacing w:after="0" w:line="269" w:lineRule="auto"/>
        <w:rPr>
          <w:sz w:val="20"/>
          <w:szCs w:val="20"/>
          <w:color w:val="auto"/>
        </w:rPr>
      </w:pPr>
      <w:r>
        <w:rPr>
          <w:rFonts w:ascii="Arial" w:cs="Arial" w:eastAsia="Arial" w:hAnsi="Arial"/>
          <w:sz w:val="17"/>
          <w:szCs w:val="17"/>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that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the loss is both estimable and probable.</w:t>
      </w:r>
    </w:p>
    <w:p>
      <w:pPr>
        <w:spacing w:after="0" w:line="1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Income Tax</w:t>
      </w:r>
    </w:p>
    <w:p>
      <w:pPr>
        <w:spacing w:after="0" w:line="229" w:lineRule="exact"/>
        <w:rPr>
          <w:sz w:val="20"/>
          <w:szCs w:val="20"/>
          <w:color w:val="auto"/>
        </w:rPr>
      </w:pPr>
    </w:p>
    <w:p>
      <w:pPr>
        <w:jc w:val="both"/>
        <w:ind w:right="100" w:firstLine="405"/>
        <w:spacing w:after="0" w:line="264" w:lineRule="auto"/>
        <w:rPr>
          <w:sz w:val="20"/>
          <w:szCs w:val="20"/>
          <w:color w:val="auto"/>
        </w:rPr>
      </w:pPr>
      <w:r>
        <w:rPr>
          <w:rFonts w:ascii="Arial" w:cs="Arial" w:eastAsia="Arial" w:hAnsi="Arial"/>
          <w:sz w:val="18"/>
          <w:szCs w:val="18"/>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w:t>
      </w:r>
    </w:p>
    <w:p>
      <w:pPr>
        <w:spacing w:after="0" w:line="100"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The Company’s quarterly tax provision, and estimate of its annual effective tax rate, is subject to variation due to several factors, including variability in pre-tax income (or loss) and the mix of jurisdictions to which they relate, changes in how the Company does business, and tax law developments. The Company’s estimated effective tax rate for the year differs from the U.S. statutory rate primarily due to the benefit of a substantial portion of its earnings being taxed at rates lower than the U.S. statutory rate.</w:t>
      </w:r>
    </w:p>
    <w:p>
      <w:pPr>
        <w:spacing w:after="0" w:line="106" w:lineRule="exact"/>
        <w:rPr>
          <w:sz w:val="20"/>
          <w:szCs w:val="20"/>
          <w:color w:val="auto"/>
        </w:rPr>
      </w:pPr>
    </w:p>
    <w:p>
      <w:pPr>
        <w:ind w:right="180" w:firstLine="405"/>
        <w:spacing w:after="0" w:line="291" w:lineRule="auto"/>
        <w:rPr>
          <w:sz w:val="20"/>
          <w:szCs w:val="20"/>
          <w:color w:val="auto"/>
        </w:rPr>
      </w:pPr>
      <w:r>
        <w:rPr>
          <w:rFonts w:ascii="Arial" w:cs="Arial" w:eastAsia="Arial" w:hAnsi="Arial"/>
          <w:sz w:val="16"/>
          <w:szCs w:val="16"/>
          <w:color w:val="auto"/>
        </w:rPr>
        <w:t>The income tax expense for the three months ended October 28, 2017 included current income tax expense of $5.9 million, a net increase in unrecognized tax benefits of $0.5 million, and an expense of $0.3 million related to other discrete items recorded in the quarter. The net increase in unrecognized tax benefits arose from penalties and interest of $0.5 million accrued on the outstanding unrecognized tax benefit balance. The income tax expense for the nine months ended October 28, 2017 included current income tax expense of $13.9 million and expense of $1.5 million related to other discrete items, offset by a tax benefit of $7.4 million from a net reduction in unrecognized tax benefits. The net reduction in unrecognized tax benefits arose from the release of $9.8 million due to expiration of the statute of limitations in certain non-U.S. jurisdictions, which was partially offset by penalties and interest of $1.8 million accrued on the outstanding unrecognized tax benefit balance and the accrual of $0.6 million for changes in prior year tax positions.</w:t>
      </w:r>
    </w:p>
    <w:p>
      <w:pPr>
        <w:spacing w:after="0" w:line="167" w:lineRule="exact"/>
        <w:rPr>
          <w:sz w:val="20"/>
          <w:szCs w:val="20"/>
          <w:color w:val="auto"/>
        </w:rPr>
      </w:pPr>
    </w:p>
    <w:p>
      <w:pPr>
        <w:ind w:firstLine="405"/>
        <w:spacing w:after="0" w:line="253" w:lineRule="auto"/>
        <w:rPr>
          <w:sz w:val="20"/>
          <w:szCs w:val="20"/>
          <w:color w:val="auto"/>
        </w:rPr>
      </w:pPr>
      <w:r>
        <w:rPr>
          <w:rFonts w:ascii="Arial" w:cs="Arial" w:eastAsia="Arial" w:hAnsi="Arial"/>
          <w:sz w:val="18"/>
          <w:szCs w:val="18"/>
          <w:color w:val="auto"/>
        </w:rPr>
        <w:t>The income tax expense for the three months ended October 29, 2016 included current income tax expense of $11.9 million, an expense of $0.6 million related to settlements of prior year tax in foreign jurisdictions, a net increase in unrecognized tax benefits of $2.8 million, and an expense of $0.2 million related to other discrete items recorded in the quarter. The net increase in unrecognized tax benefits arose from the accrual of penalties and interest of $0.5 million on the outstanding unrecognized tax benefit balance, plus the accrual of additional $2.3 million for changes in prior year positions. The income tax expense for the nine months ended October 29, 2016 included current income tax expense of $15.3 million, an expense of $0.6 million related to settlements of prior year tax in foreign jurisdictions, and an expense of $0.6 million related to other discrete items recorded in the quarter, offset by a tax benefit of $9.7 million from a net reduction in unrecognized tax benefits and a deferred tax benefit of $2.5 million for the portion of a payment to the Company’s former Chief Executive Officer that became deductible after his departure from the Company in April 2016. The net reduction in unrecognized tax benefits arose from the release of $14.3 million due to expiration of the statute of limitations in certain non-U.S. jurisdictions, which was partially offset by penalties and interest of $2.0 million accrued on the outstanding unrecognized tax benefit balance, and the accrual of an additional $2.6 million for changes in prior year tax positions.</w:t>
      </w:r>
    </w:p>
    <w:p>
      <w:pPr>
        <w:spacing w:after="0" w:line="200" w:lineRule="exact"/>
        <w:rPr>
          <w:sz w:val="20"/>
          <w:szCs w:val="20"/>
          <w:color w:val="auto"/>
        </w:rPr>
      </w:pPr>
    </w:p>
    <w:p>
      <w:pPr>
        <w:spacing w:after="0" w:line="23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140" w:right="239" w:bottom="1440" w:gutter="0" w:footer="0" w:header="0"/>
        </w:sectPr>
      </w:pPr>
    </w:p>
    <w:bookmarkStart w:id="22" w:name="page23"/>
    <w:bookmarkEnd w:id="2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38" w:lineRule="exact"/>
        <w:rPr>
          <w:sz w:val="20"/>
          <w:szCs w:val="20"/>
          <w:color w:val="auto"/>
        </w:rPr>
      </w:pPr>
    </w:p>
    <w:p>
      <w:pPr>
        <w:ind w:right="200" w:firstLine="405"/>
        <w:spacing w:after="0" w:line="297"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$7.7 million from the lapse of statutes of limitation in various jurisdictions during the next twelve months. Government tax authorities from several non-U.S. jurisdictions are also examining the Company’s tax returns. The Company believes that it has adequately provided for any reasonably foreseeable outcomes related to its tax audits and that any settlement will not have a material effect on its results at this time.</w:t>
      </w:r>
    </w:p>
    <w:p>
      <w:pPr>
        <w:spacing w:after="0" w:line="158" w:lineRule="exact"/>
        <w:rPr>
          <w:sz w:val="20"/>
          <w:szCs w:val="20"/>
          <w:color w:val="auto"/>
        </w:rPr>
      </w:pPr>
    </w:p>
    <w:p>
      <w:pPr>
        <w:ind w:right="80" w:firstLine="405"/>
        <w:spacing w:after="0" w:line="276" w:lineRule="auto"/>
        <w:rPr>
          <w:sz w:val="20"/>
          <w:szCs w:val="20"/>
          <w:color w:val="auto"/>
        </w:rPr>
      </w:pPr>
      <w:r>
        <w:rPr>
          <w:rFonts w:ascii="Arial" w:cs="Arial" w:eastAsia="Arial" w:hAnsi="Arial"/>
          <w:sz w:val="17"/>
          <w:szCs w:val="17"/>
          <w:color w:val="auto"/>
        </w:rPr>
        <w:t>The Company operates under tax incentives in certain countries that may be extended if certain additional requirements are satisfied. The tax incentives are conditional upon meeting certain employment and investment thresholds. The impact of these tax incentives decreased foreign taxes by $0.1 million and $1.6 million for the three and nine months ended October 28, 2017, respectively, and $2.4 million and $4.6 million for the three and nine months ended October 29, 2016, respectively. The benefit of the tax incentives on net income per share was less than $0.01 per share for the three and nine months ended October 28, 2017, compared to a benefit of $0.01 per share for the three and nine months ended October 29, 2016.</w:t>
      </w:r>
    </w:p>
    <w:p>
      <w:pPr>
        <w:spacing w:after="0" w:line="173" w:lineRule="exact"/>
        <w:rPr>
          <w:sz w:val="20"/>
          <w:szCs w:val="20"/>
          <w:color w:val="auto"/>
        </w:rPr>
      </w:pPr>
    </w:p>
    <w:p>
      <w:pPr>
        <w:ind w:right="40" w:firstLine="405"/>
        <w:spacing w:after="0" w:line="293" w:lineRule="auto"/>
        <w:rPr>
          <w:sz w:val="20"/>
          <w:szCs w:val="20"/>
          <w:color w:val="auto"/>
        </w:rPr>
      </w:pPr>
      <w:r>
        <w:rPr>
          <w:rFonts w:ascii="Arial" w:cs="Arial" w:eastAsia="Arial" w:hAnsi="Arial"/>
          <w:sz w:val="16"/>
          <w:szCs w:val="16"/>
          <w:color w:val="auto"/>
        </w:rPr>
        <w:t>The Company’s principal source of liquidity as of October 28, 2017 consisted of approximately $1.7 billion of cash, cash equivalents and short-term investments, of which approximately $1.1 billion was held by foreign subsidiaries (outside Bermuda). Approximately $620 million of this amount held by foreign subsidiaries is related to undistributed earnings, which have been indefinitely reinvested outside of Bermuda. These funds are primarily held in China, Israel and the United States. The Company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the Company would incur a tax expense of approximately $190 million.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Net Income Per Share</w:t>
      </w:r>
    </w:p>
    <w:p>
      <w:pPr>
        <w:spacing w:after="0" w:line="94" w:lineRule="exact"/>
        <w:rPr>
          <w:sz w:val="20"/>
          <w:szCs w:val="20"/>
          <w:color w:val="auto"/>
        </w:rPr>
      </w:pPr>
    </w:p>
    <w:p>
      <w:pPr>
        <w:ind w:right="40" w:firstLine="405"/>
        <w:spacing w:after="0" w:line="259" w:lineRule="auto"/>
        <w:rPr>
          <w:sz w:val="20"/>
          <w:szCs w:val="20"/>
          <w:color w:val="auto"/>
        </w:rPr>
      </w:pPr>
      <w:r>
        <w:rPr>
          <w:rFonts w:ascii="Arial" w:cs="Arial" w:eastAsia="Arial" w:hAnsi="Arial"/>
          <w:sz w:val="18"/>
          <w:szCs w:val="18"/>
          <w:color w:val="auto"/>
        </w:rPr>
        <w:t>The Company reports both basic net income per share, which is based on the weighted average number of common shares outstanding during the period, and diluted net income per share, which is based on the weighted average number of common shares outstanding and potentially dilutive shares outstanding during the period. The computations of basic and diluted net income per share are presented in the following table (in thousands, except per share amounts):</w:t>
      </w:r>
    </w:p>
    <w:p>
      <w:pPr>
        <w:spacing w:after="0" w:line="381"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60" w:type="dxa"/>
            <w:vAlign w:val="bottom"/>
            <w:tcBorders>
              <w:bottom w:val="single" w:sz="8" w:color="auto"/>
            </w:tcBorders>
            <w:gridSpan w:val="4"/>
          </w:tcPr>
          <w:p>
            <w:pPr>
              <w:jc w:val="right"/>
              <w:ind w:right="793"/>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2820" w:type="dxa"/>
            <w:vAlign w:val="bottom"/>
            <w:tcBorders>
              <w:bottom w:val="single" w:sz="8" w:color="auto"/>
            </w:tcBorders>
            <w:gridSpan w:val="4"/>
          </w:tcPr>
          <w:p>
            <w:pPr>
              <w:jc w:val="right"/>
              <w:ind w:right="813"/>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52"/>
        </w:trPr>
        <w:tc>
          <w:tcPr>
            <w:tcW w:w="51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380" w:type="dxa"/>
            <w:vAlign w:val="bottom"/>
            <w:gridSpan w:val="2"/>
          </w:tcPr>
          <w:p>
            <w:pPr>
              <w:ind w:left="14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October 29,</w:t>
            </w:r>
          </w:p>
        </w:tc>
        <w:tc>
          <w:tcPr>
            <w:tcW w:w="240" w:type="dxa"/>
            <w:vAlign w:val="bottom"/>
          </w:tcPr>
          <w:p>
            <w:pPr>
              <w:spacing w:after="0"/>
              <w:rPr>
                <w:sz w:val="13"/>
                <w:szCs w:val="13"/>
                <w:color w:val="auto"/>
              </w:rPr>
            </w:pPr>
          </w:p>
        </w:tc>
        <w:tc>
          <w:tcPr>
            <w:tcW w:w="1340" w:type="dxa"/>
            <w:vAlign w:val="bottom"/>
            <w:gridSpan w:val="2"/>
          </w:tcPr>
          <w:p>
            <w:pPr>
              <w:ind w:left="120"/>
              <w:spacing w:after="0" w:line="153" w:lineRule="exact"/>
              <w:rPr>
                <w:sz w:val="20"/>
                <w:szCs w:val="20"/>
                <w:color w:val="auto"/>
              </w:rPr>
            </w:pPr>
            <w:r>
              <w:rPr>
                <w:rFonts w:ascii="Arial" w:cs="Arial" w:eastAsia="Arial" w:hAnsi="Arial"/>
                <w:sz w:val="14"/>
                <w:szCs w:val="14"/>
                <w:b w:val="1"/>
                <w:bCs w:val="1"/>
                <w:color w:val="auto"/>
              </w:rPr>
              <w:t>October 28,</w:t>
            </w:r>
          </w:p>
        </w:tc>
        <w:tc>
          <w:tcPr>
            <w:tcW w:w="240" w:type="dxa"/>
            <w:vAlign w:val="bottom"/>
          </w:tcPr>
          <w:p>
            <w:pPr>
              <w:spacing w:after="0"/>
              <w:rPr>
                <w:sz w:val="13"/>
                <w:szCs w:val="13"/>
                <w:color w:val="auto"/>
              </w:rPr>
            </w:pPr>
          </w:p>
        </w:tc>
        <w:tc>
          <w:tcPr>
            <w:tcW w:w="1240" w:type="dxa"/>
            <w:vAlign w:val="bottom"/>
          </w:tcPr>
          <w:p>
            <w:pPr>
              <w:jc w:val="right"/>
              <w:ind w:right="313"/>
              <w:spacing w:after="0" w:line="153" w:lineRule="exact"/>
              <w:rPr>
                <w:sz w:val="20"/>
                <w:szCs w:val="20"/>
                <w:color w:val="auto"/>
              </w:rPr>
            </w:pPr>
            <w:r>
              <w:rPr>
                <w:rFonts w:ascii="Arial" w:cs="Arial" w:eastAsia="Arial" w:hAnsi="Arial"/>
                <w:sz w:val="14"/>
                <w:szCs w:val="14"/>
                <w:b w:val="1"/>
                <w:bCs w:val="1"/>
                <w:color w:val="auto"/>
              </w:rPr>
              <w:t>October 29,</w:t>
            </w:r>
          </w:p>
        </w:tc>
        <w:tc>
          <w:tcPr>
            <w:tcW w:w="0" w:type="dxa"/>
            <w:vAlign w:val="bottom"/>
          </w:tcPr>
          <w:p>
            <w:pPr>
              <w:spacing w:after="0"/>
              <w:rPr>
                <w:sz w:val="1"/>
                <w:szCs w:val="1"/>
                <w:color w:val="auto"/>
              </w:rPr>
            </w:pPr>
          </w:p>
        </w:tc>
      </w:tr>
      <w:tr>
        <w:trPr>
          <w:trHeight w:val="192"/>
        </w:trPr>
        <w:tc>
          <w:tcPr>
            <w:tcW w:w="516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2017</w:t>
            </w:r>
          </w:p>
        </w:tc>
        <w:tc>
          <w:tcPr>
            <w:tcW w:w="12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2016</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2017</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tcPr>
          <w:p>
            <w:pPr>
              <w:jc w:val="right"/>
              <w:ind w:right="513"/>
              <w:spacing w:after="0"/>
              <w:rPr>
                <w:sz w:val="20"/>
                <w:szCs w:val="20"/>
                <w:color w:val="auto"/>
              </w:rPr>
            </w:pPr>
            <w:r>
              <w:rPr>
                <w:rFonts w:ascii="Arial" w:cs="Arial" w:eastAsia="Arial" w:hAnsi="Arial"/>
                <w:sz w:val="14"/>
                <w:szCs w:val="14"/>
                <w:b w:val="1"/>
                <w:bCs w:val="1"/>
                <w:color w:val="auto"/>
              </w:rPr>
              <w:t>2016</w:t>
            </w:r>
          </w:p>
        </w:tc>
        <w:tc>
          <w:tcPr>
            <w:tcW w:w="0" w:type="dxa"/>
            <w:vAlign w:val="bottom"/>
          </w:tcPr>
          <w:p>
            <w:pPr>
              <w:spacing w:after="0"/>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Numerator:</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Income from continuing operations</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149,337</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83,173</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384,379</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138,347</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Income (loss) from discontinued operations</w:t>
            </w:r>
          </w:p>
        </w:tc>
        <w:tc>
          <w:tcPr>
            <w:tcW w:w="240" w:type="dxa"/>
            <w:vAlign w:val="bottom"/>
            <w:tcBorders>
              <w:bottom w:val="single" w:sz="8" w:color="CCEEFF"/>
            </w:tcBorders>
            <w:shd w:val="clear" w:color="auto" w:fill="CCEEFF"/>
          </w:tcPr>
          <w:p>
            <w:pPr>
              <w:spacing w:after="0"/>
              <w:rPr>
                <w:sz w:val="23"/>
                <w:szCs w:val="23"/>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50,851</w:t>
            </w:r>
          </w:p>
        </w:tc>
        <w:tc>
          <w:tcPr>
            <w:tcW w:w="12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(10,557)</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87,689</w:t>
            </w:r>
          </w:p>
        </w:tc>
        <w:tc>
          <w:tcPr>
            <w:tcW w:w="100" w:type="dxa"/>
            <w:vAlign w:val="bottom"/>
            <w:tcBorders>
              <w:bottom w:val="single" w:sz="8" w:color="CCEEFF"/>
            </w:tcBorders>
            <w:shd w:val="clear" w:color="auto" w:fill="CCEEFF"/>
          </w:tcPr>
          <w:p>
            <w:pPr>
              <w:spacing w:after="0"/>
              <w:rPr>
                <w:sz w:val="23"/>
                <w:szCs w:val="23"/>
                <w:color w:val="auto"/>
              </w:rPr>
            </w:pPr>
          </w:p>
        </w:tc>
        <w:tc>
          <w:tcPr>
            <w:tcW w:w="2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(37,105)</w:t>
            </w:r>
          </w:p>
        </w:tc>
        <w:tc>
          <w:tcPr>
            <w:tcW w:w="0" w:type="dxa"/>
            <w:vAlign w:val="bottom"/>
          </w:tcPr>
          <w:p>
            <w:pPr>
              <w:spacing w:after="0"/>
              <w:rPr>
                <w:sz w:val="1"/>
                <w:szCs w:val="1"/>
                <w:color w:val="auto"/>
              </w:rPr>
            </w:pPr>
          </w:p>
        </w:tc>
      </w:tr>
      <w:tr>
        <w:trPr>
          <w:trHeight w:val="237"/>
        </w:trPr>
        <w:tc>
          <w:tcPr>
            <w:tcW w:w="5160" w:type="dxa"/>
            <w:vAlign w:val="bottom"/>
          </w:tcPr>
          <w:p>
            <w:pPr>
              <w:ind w:left="380"/>
              <w:spacing w:after="0"/>
              <w:rPr>
                <w:sz w:val="20"/>
                <w:szCs w:val="20"/>
                <w:color w:val="auto"/>
              </w:rPr>
            </w:pPr>
            <w:r>
              <w:rPr>
                <w:rFonts w:ascii="Arial" w:cs="Arial" w:eastAsia="Arial" w:hAnsi="Arial"/>
                <w:sz w:val="18"/>
                <w:szCs w:val="18"/>
                <w:color w:val="auto"/>
              </w:rPr>
              <w:t>Net income</w:t>
            </w: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top w:val="single" w:sz="8" w:color="auto"/>
            </w:tcBorders>
          </w:tcPr>
          <w:p>
            <w:pPr>
              <w:jc w:val="right"/>
              <w:ind w:right="33"/>
              <w:spacing w:after="0"/>
              <w:rPr>
                <w:sz w:val="20"/>
                <w:szCs w:val="20"/>
                <w:color w:val="auto"/>
              </w:rPr>
            </w:pPr>
            <w:r>
              <w:rPr>
                <w:rFonts w:ascii="Arial" w:cs="Arial" w:eastAsia="Arial" w:hAnsi="Arial"/>
                <w:sz w:val="18"/>
                <w:szCs w:val="18"/>
                <w:color w:val="auto"/>
              </w:rPr>
              <w:t>200,188</w:t>
            </w:r>
          </w:p>
        </w:tc>
        <w:tc>
          <w:tcPr>
            <w:tcW w:w="12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72,616</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4"/>
              <w:spacing w:after="0"/>
              <w:rPr>
                <w:sz w:val="20"/>
                <w:szCs w:val="20"/>
                <w:color w:val="auto"/>
              </w:rPr>
            </w:pPr>
            <w:r>
              <w:rPr>
                <w:rFonts w:ascii="Arial" w:cs="Arial" w:eastAsia="Arial" w:hAnsi="Arial"/>
                <w:sz w:val="18"/>
                <w:szCs w:val="18"/>
                <w:color w:val="auto"/>
              </w:rPr>
              <w:t>472,068</w:t>
            </w:r>
          </w:p>
        </w:tc>
        <w:tc>
          <w:tcPr>
            <w:tcW w:w="100" w:type="dxa"/>
            <w:vAlign w:val="bottom"/>
          </w:tcPr>
          <w:p>
            <w:pPr>
              <w:spacing w:after="0"/>
              <w:rPr>
                <w:sz w:val="20"/>
                <w:szCs w:val="20"/>
                <w:color w:val="auto"/>
              </w:rPr>
            </w:pPr>
          </w:p>
        </w:tc>
        <w:tc>
          <w:tcPr>
            <w:tcW w:w="24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13"/>
              <w:spacing w:after="0"/>
              <w:rPr>
                <w:sz w:val="20"/>
                <w:szCs w:val="20"/>
                <w:color w:val="auto"/>
              </w:rPr>
            </w:pPr>
            <w:r>
              <w:rPr>
                <w:rFonts w:ascii="Arial" w:cs="Arial" w:eastAsia="Arial" w:hAnsi="Arial"/>
                <w:sz w:val="18"/>
                <w:szCs w:val="18"/>
                <w:color w:val="auto"/>
              </w:rPr>
              <w:t>101,242</w:t>
            </w:r>
          </w:p>
        </w:tc>
        <w:tc>
          <w:tcPr>
            <w:tcW w:w="0" w:type="dxa"/>
            <w:vAlign w:val="bottom"/>
          </w:tcPr>
          <w:p>
            <w:pPr>
              <w:spacing w:after="0"/>
              <w:rPr>
                <w:sz w:val="1"/>
                <w:szCs w:val="1"/>
                <w:color w:val="auto"/>
              </w:rPr>
            </w:pPr>
          </w:p>
        </w:tc>
      </w:tr>
      <w:tr>
        <w:trPr>
          <w:trHeight w:val="67"/>
        </w:trPr>
        <w:tc>
          <w:tcPr>
            <w:tcW w:w="516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4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31"/>
        </w:trPr>
        <w:tc>
          <w:tcPr>
            <w:tcW w:w="51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Denominator:</w:t>
            </w:r>
          </w:p>
        </w:tc>
        <w:tc>
          <w:tcPr>
            <w:tcW w:w="240" w:type="dxa"/>
            <w:vAlign w:val="bottom"/>
            <w:tcBorders>
              <w:bottom w:val="single" w:sz="8" w:color="CCEEFF"/>
            </w:tcBorders>
            <w:shd w:val="clear" w:color="auto" w:fill="CCEEFF"/>
          </w:tcPr>
          <w:p>
            <w:pPr>
              <w:spacing w:after="0"/>
              <w:rPr>
                <w:sz w:val="20"/>
                <w:szCs w:val="20"/>
                <w:color w:val="auto"/>
              </w:rPr>
            </w:pPr>
          </w:p>
        </w:tc>
        <w:tc>
          <w:tcPr>
            <w:tcW w:w="126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100" w:type="dxa"/>
            <w:vAlign w:val="bottom"/>
            <w:tcBorders>
              <w:bottom w:val="single" w:sz="8" w:color="CCEEFF"/>
            </w:tcBorders>
            <w:shd w:val="clear" w:color="auto" w:fill="CCEEFF"/>
          </w:tcPr>
          <w:p>
            <w:pPr>
              <w:spacing w:after="0"/>
              <w:rPr>
                <w:sz w:val="20"/>
                <w:szCs w:val="20"/>
                <w:color w:val="auto"/>
              </w:rPr>
            </w:pPr>
          </w:p>
        </w:tc>
        <w:tc>
          <w:tcPr>
            <w:tcW w:w="2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Weighted average shares — basic</w:t>
            </w:r>
          </w:p>
        </w:tc>
        <w:tc>
          <w:tcPr>
            <w:tcW w:w="24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494,096</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511,090</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499,568</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510,373</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Effect of dilutive securities:</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80"/>
              <w:spacing w:after="0"/>
              <w:rPr>
                <w:sz w:val="20"/>
                <w:szCs w:val="20"/>
                <w:color w:val="auto"/>
              </w:rPr>
            </w:pPr>
            <w:r>
              <w:rPr>
                <w:rFonts w:ascii="Arial" w:cs="Arial" w:eastAsia="Arial" w:hAnsi="Arial"/>
                <w:sz w:val="18"/>
                <w:szCs w:val="18"/>
                <w:color w:val="auto"/>
              </w:rPr>
              <w:t>Share-based awards</w:t>
            </w:r>
          </w:p>
        </w:tc>
        <w:tc>
          <w:tcPr>
            <w:tcW w:w="240" w:type="dxa"/>
            <w:vAlign w:val="bottom"/>
          </w:tcPr>
          <w:p>
            <w:pPr>
              <w:spacing w:after="0"/>
              <w:rPr>
                <w:sz w:val="21"/>
                <w:szCs w:val="21"/>
                <w:color w:val="auto"/>
              </w:rPr>
            </w:pP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10,807</w:t>
            </w: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11,001</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11,367</w:t>
            </w: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6,103</w:t>
            </w:r>
          </w:p>
        </w:tc>
        <w:tc>
          <w:tcPr>
            <w:tcW w:w="0" w:type="dxa"/>
            <w:vAlign w:val="bottom"/>
          </w:tcPr>
          <w:p>
            <w:pPr>
              <w:spacing w:after="0"/>
              <w:rPr>
                <w:sz w:val="1"/>
                <w:szCs w:val="1"/>
                <w:color w:val="auto"/>
              </w:rPr>
            </w:pPr>
          </w:p>
        </w:tc>
      </w:tr>
      <w:tr>
        <w:trPr>
          <w:trHeight w:val="27"/>
        </w:trPr>
        <w:tc>
          <w:tcPr>
            <w:tcW w:w="516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51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Weighted average shares — diluted</w:t>
            </w:r>
          </w:p>
        </w:tc>
        <w:tc>
          <w:tcPr>
            <w:tcW w:w="240" w:type="dxa"/>
            <w:vAlign w:val="bottom"/>
            <w:tcBorders>
              <w:bottom w:val="single" w:sz="8" w:color="CCEEFF"/>
            </w:tcBorders>
            <w:shd w:val="clear" w:color="auto" w:fill="CCEEFF"/>
          </w:tcPr>
          <w:p>
            <w:pPr>
              <w:spacing w:after="0"/>
              <w:rPr>
                <w:sz w:val="22"/>
                <w:szCs w:val="22"/>
                <w:color w:val="auto"/>
              </w:rPr>
            </w:pP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504,903</w:t>
            </w:r>
          </w:p>
        </w:tc>
        <w:tc>
          <w:tcPr>
            <w:tcW w:w="12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522,091</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510,935</w:t>
            </w:r>
          </w:p>
        </w:tc>
        <w:tc>
          <w:tcPr>
            <w:tcW w:w="100" w:type="dxa"/>
            <w:vAlign w:val="bottom"/>
            <w:tcBorders>
              <w:bottom w:val="single" w:sz="8" w:color="CCEEFF"/>
            </w:tcBorders>
            <w:shd w:val="clear" w:color="auto" w:fill="CCEEFF"/>
          </w:tcPr>
          <w:p>
            <w:pPr>
              <w:spacing w:after="0"/>
              <w:rPr>
                <w:sz w:val="22"/>
                <w:szCs w:val="22"/>
                <w:color w:val="auto"/>
              </w:rPr>
            </w:pPr>
          </w:p>
        </w:tc>
        <w:tc>
          <w:tcPr>
            <w:tcW w:w="2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516,476</w:t>
            </w:r>
          </w:p>
        </w:tc>
        <w:tc>
          <w:tcPr>
            <w:tcW w:w="0" w:type="dxa"/>
            <w:vAlign w:val="bottom"/>
          </w:tcPr>
          <w:p>
            <w:pPr>
              <w:spacing w:after="0"/>
              <w:rPr>
                <w:sz w:val="1"/>
                <w:szCs w:val="1"/>
                <w:color w:val="auto"/>
              </w:rPr>
            </w:pPr>
          </w:p>
        </w:tc>
      </w:tr>
      <w:tr>
        <w:trPr>
          <w:trHeight w:val="20"/>
        </w:trPr>
        <w:tc>
          <w:tcPr>
            <w:tcW w:w="51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Income from continuing operations per share:</w:t>
            </w: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5160" w:type="dxa"/>
            <w:vAlign w:val="bottom"/>
            <w:vMerge w:val="continue"/>
          </w:tcPr>
          <w:p>
            <w:pPr>
              <w:spacing w:after="0"/>
              <w:rPr>
                <w:sz w:val="17"/>
                <w:szCs w:val="17"/>
                <w:color w:val="auto"/>
              </w:rPr>
            </w:pPr>
          </w:p>
        </w:tc>
        <w:tc>
          <w:tcPr>
            <w:tcW w:w="2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54"/>
        </w:trPr>
        <w:tc>
          <w:tcPr>
            <w:tcW w:w="516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60" w:type="dxa"/>
            <w:vAlign w:val="bottom"/>
          </w:tcPr>
          <w:p>
            <w:pPr>
              <w:spacing w:after="0"/>
              <w:rPr>
                <w:sz w:val="4"/>
                <w:szCs w:val="4"/>
                <w:color w:val="auto"/>
              </w:rPr>
            </w:pPr>
          </w:p>
        </w:tc>
        <w:tc>
          <w:tcPr>
            <w:tcW w:w="12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00" w:type="dxa"/>
            <w:vAlign w:val="bottom"/>
          </w:tcPr>
          <w:p>
            <w:pPr>
              <w:spacing w:after="0"/>
              <w:rPr>
                <w:sz w:val="4"/>
                <w:szCs w:val="4"/>
                <w:color w:val="auto"/>
              </w:rPr>
            </w:pPr>
          </w:p>
        </w:tc>
        <w:tc>
          <w:tcPr>
            <w:tcW w:w="2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0.30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0.16</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0.77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0.27</w:t>
            </w: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Diluted</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0.30</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0.16</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0.75</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0.27</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discontinued operations per share:</w:t>
            </w:r>
          </w:p>
        </w:tc>
        <w:tc>
          <w:tcPr>
            <w:tcW w:w="240" w:type="dxa"/>
            <w:vAlign w:val="bottom"/>
            <w:tcBorders>
              <w:bottom w:val="single" w:sz="8" w:color="CCEEFF"/>
            </w:tcBorders>
            <w:shd w:val="clear" w:color="auto" w:fill="CCEEFF"/>
          </w:tcPr>
          <w:p>
            <w:pPr>
              <w:spacing w:after="0"/>
              <w:rPr>
                <w:sz w:val="21"/>
                <w:szCs w:val="21"/>
                <w:color w:val="auto"/>
              </w:rPr>
            </w:pPr>
          </w:p>
        </w:tc>
        <w:tc>
          <w:tcPr>
            <w:tcW w:w="12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Basic</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0.11</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(0.02)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0.17</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0.10</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0.17</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243"/>
        </w:trPr>
        <w:tc>
          <w:tcPr>
            <w:tcW w:w="5160" w:type="dxa"/>
            <w:vAlign w:val="bottom"/>
          </w:tcPr>
          <w:p>
            <w:pPr>
              <w:ind w:left="40"/>
              <w:spacing w:after="0"/>
              <w:rPr>
                <w:sz w:val="20"/>
                <w:szCs w:val="20"/>
                <w:color w:val="auto"/>
              </w:rPr>
            </w:pPr>
            <w:r>
              <w:rPr>
                <w:rFonts w:ascii="Arial" w:cs="Arial" w:eastAsia="Arial" w:hAnsi="Arial"/>
                <w:sz w:val="18"/>
                <w:szCs w:val="18"/>
                <w:color w:val="auto"/>
              </w:rPr>
              <w:t>Net income per share:</w:t>
            </w:r>
          </w:p>
        </w:tc>
        <w:tc>
          <w:tcPr>
            <w:tcW w:w="2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5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16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Borders>
              <w:bottom w:val="single" w:sz="8" w:color="CCEEFF"/>
            </w:tcBorders>
            <w:shd w:val="clear" w:color="auto" w:fill="CCEEFF"/>
          </w:tcPr>
          <w:p>
            <w:pPr>
              <w:jc w:val="right"/>
              <w:ind w:right="33"/>
              <w:spacing w:after="0"/>
              <w:rPr>
                <w:sz w:val="20"/>
                <w:szCs w:val="20"/>
                <w:color w:val="auto"/>
              </w:rPr>
            </w:pPr>
            <w:r>
              <w:rPr>
                <w:rFonts w:ascii="Arial" w:cs="Arial" w:eastAsia="Arial" w:hAnsi="Arial"/>
                <w:sz w:val="18"/>
                <w:szCs w:val="18"/>
                <w:color w:val="auto"/>
              </w:rPr>
              <w:t>0.41</w:t>
            </w:r>
          </w:p>
        </w:tc>
        <w:tc>
          <w:tcPr>
            <w:tcW w:w="12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0.14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4"/>
              <w:spacing w:after="0"/>
              <w:rPr>
                <w:sz w:val="20"/>
                <w:szCs w:val="20"/>
                <w:color w:val="auto"/>
              </w:rPr>
            </w:pPr>
            <w:r>
              <w:rPr>
                <w:rFonts w:ascii="Arial" w:cs="Arial" w:eastAsia="Arial" w:hAnsi="Arial"/>
                <w:sz w:val="18"/>
                <w:szCs w:val="18"/>
                <w:color w:val="auto"/>
              </w:rPr>
              <w:t>0.94</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3"/>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243"/>
        </w:trPr>
        <w:tc>
          <w:tcPr>
            <w:tcW w:w="5160" w:type="dxa"/>
            <w:vAlign w:val="bottom"/>
          </w:tcPr>
          <w:p>
            <w:pPr>
              <w:ind w:left="360"/>
              <w:spacing w:after="0"/>
              <w:rPr>
                <w:sz w:val="20"/>
                <w:szCs w:val="20"/>
                <w:color w:val="auto"/>
              </w:rPr>
            </w:pPr>
            <w:r>
              <w:rPr>
                <w:rFonts w:ascii="Arial" w:cs="Arial" w:eastAsia="Arial" w:hAnsi="Arial"/>
                <w:sz w:val="18"/>
                <w:szCs w:val="18"/>
                <w:color w:val="auto"/>
              </w:rPr>
              <w:t>Diluted</w:t>
            </w: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60" w:type="dxa"/>
            <w:vAlign w:val="bottom"/>
          </w:tcPr>
          <w:p>
            <w:pPr>
              <w:jc w:val="right"/>
              <w:ind w:right="33"/>
              <w:spacing w:after="0"/>
              <w:rPr>
                <w:sz w:val="20"/>
                <w:szCs w:val="20"/>
                <w:color w:val="auto"/>
              </w:rPr>
            </w:pPr>
            <w:r>
              <w:rPr>
                <w:rFonts w:ascii="Arial" w:cs="Arial" w:eastAsia="Arial" w:hAnsi="Arial"/>
                <w:sz w:val="18"/>
                <w:szCs w:val="18"/>
                <w:color w:val="auto"/>
              </w:rPr>
              <w:t>0.40</w:t>
            </w:r>
          </w:p>
        </w:tc>
        <w:tc>
          <w:tcPr>
            <w:tcW w:w="12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0.14</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4"/>
              <w:spacing w:after="0"/>
              <w:rPr>
                <w:sz w:val="20"/>
                <w:szCs w:val="20"/>
                <w:color w:val="auto"/>
              </w:rPr>
            </w:pPr>
            <w:r>
              <w:rPr>
                <w:rFonts w:ascii="Arial" w:cs="Arial" w:eastAsia="Arial" w:hAnsi="Arial"/>
                <w:sz w:val="18"/>
                <w:szCs w:val="18"/>
                <w:color w:val="auto"/>
              </w:rPr>
              <w:t>0.92</w:t>
            </w:r>
          </w:p>
        </w:tc>
        <w:tc>
          <w:tcPr>
            <w:tcW w:w="100" w:type="dxa"/>
            <w:vAlign w:val="bottom"/>
          </w:tcPr>
          <w:p>
            <w:pPr>
              <w:spacing w:after="0"/>
              <w:rPr>
                <w:sz w:val="21"/>
                <w:szCs w:val="21"/>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40" w:type="dxa"/>
            <w:vAlign w:val="bottom"/>
          </w:tcPr>
          <w:p>
            <w:pPr>
              <w:jc w:val="right"/>
              <w:ind w:right="13"/>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486"/>
        </w:trPr>
        <w:tc>
          <w:tcPr>
            <w:tcW w:w="5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jc w:val="right"/>
              <w:ind w:right="773"/>
              <w:spacing w:after="0"/>
              <w:rPr>
                <w:sz w:val="20"/>
                <w:szCs w:val="20"/>
                <w:color w:val="auto"/>
              </w:rPr>
            </w:pPr>
            <w:r>
              <w:rPr>
                <w:rFonts w:ascii="Arial" w:cs="Arial" w:eastAsia="Arial" w:hAnsi="Arial"/>
                <w:sz w:val="18"/>
                <w:szCs w:val="18"/>
                <w:color w:val="auto"/>
              </w:rPr>
              <w:t>22</w:t>
            </w: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40" w:right="239" w:bottom="1440" w:gutter="0" w:footer="0" w:header="0"/>
        </w:sectPr>
      </w:pPr>
    </w:p>
    <w:bookmarkStart w:id="23" w:name="page24"/>
    <w:bookmarkEnd w:id="2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200" w:lineRule="exact"/>
        <w:rPr>
          <w:sz w:val="20"/>
          <w:szCs w:val="20"/>
          <w:color w:val="auto"/>
        </w:rPr>
      </w:pPr>
    </w:p>
    <w:p>
      <w:pPr>
        <w:spacing w:after="0" w:line="254"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Potential dilutive securities include dilutive common shares from share-based awards attributable to the assumed exercise of stock options, restricted stock units and employee stock purchase plan shares using the treasury stock method. Under the treasury stock method, potential common shares outstanding are not included in the computation of diluted net income per share if their effect is anti-dilutive.</w:t>
      </w:r>
    </w:p>
    <w:p>
      <w:pPr>
        <w:spacing w:after="0" w:line="1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thousands):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160" w:type="dxa"/>
            <w:vAlign w:val="bottom"/>
          </w:tcPr>
          <w:p>
            <w:pPr>
              <w:spacing w:after="0"/>
              <w:rPr>
                <w:sz w:val="16"/>
                <w:szCs w:val="16"/>
                <w:color w:val="auto"/>
              </w:rPr>
            </w:pPr>
          </w:p>
        </w:tc>
        <w:tc>
          <w:tcPr>
            <w:tcW w:w="3100" w:type="dxa"/>
            <w:vAlign w:val="bottom"/>
            <w:tcBorders>
              <w:bottom w:val="single" w:sz="8" w:color="auto"/>
            </w:tcBorders>
            <w:gridSpan w:val="4"/>
          </w:tcPr>
          <w:p>
            <w:pPr>
              <w:jc w:val="right"/>
              <w:ind w:right="802"/>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060" w:type="dxa"/>
            <w:vAlign w:val="bottom"/>
            <w:tcBorders>
              <w:bottom w:val="single" w:sz="8" w:color="auto"/>
            </w:tcBorders>
            <w:gridSpan w:val="3"/>
          </w:tcPr>
          <w:p>
            <w:pPr>
              <w:jc w:val="right"/>
              <w:ind w:right="822"/>
              <w:spacing w:after="0"/>
              <w:rPr>
                <w:sz w:val="20"/>
                <w:szCs w:val="20"/>
                <w:color w:val="auto"/>
              </w:rPr>
            </w:pPr>
            <w:r>
              <w:rPr>
                <w:rFonts w:ascii="Arial" w:cs="Arial" w:eastAsia="Arial" w:hAnsi="Arial"/>
                <w:sz w:val="14"/>
                <w:szCs w:val="14"/>
                <w:b w:val="1"/>
                <w:bCs w:val="1"/>
                <w:color w:val="auto"/>
              </w:rPr>
              <w:t>Nine Months Ended</w:t>
            </w:r>
          </w:p>
        </w:tc>
      </w:tr>
      <w:tr>
        <w:trPr>
          <w:trHeight w:val="152"/>
        </w:trPr>
        <w:tc>
          <w:tcPr>
            <w:tcW w:w="5160" w:type="dxa"/>
            <w:vAlign w:val="bottom"/>
          </w:tcPr>
          <w:p>
            <w:pPr>
              <w:spacing w:after="0"/>
              <w:rPr>
                <w:sz w:val="13"/>
                <w:szCs w:val="13"/>
                <w:color w:val="auto"/>
              </w:rPr>
            </w:pPr>
          </w:p>
        </w:tc>
        <w:tc>
          <w:tcPr>
            <w:tcW w:w="1100" w:type="dxa"/>
            <w:vAlign w:val="bottom"/>
          </w:tcPr>
          <w:p>
            <w:pPr>
              <w:jc w:val="center"/>
              <w:ind w:left="268"/>
              <w:spacing w:after="0" w:line="153" w:lineRule="exact"/>
              <w:rPr>
                <w:sz w:val="20"/>
                <w:szCs w:val="20"/>
                <w:color w:val="auto"/>
              </w:rPr>
            </w:pPr>
            <w:r>
              <w:rPr>
                <w:rFonts w:ascii="Arial" w:cs="Arial" w:eastAsia="Arial" w:hAnsi="Arial"/>
                <w:sz w:val="14"/>
                <w:szCs w:val="14"/>
                <w:b w:val="1"/>
                <w:bCs w:val="1"/>
                <w:color w:val="auto"/>
                <w:w w:val="93"/>
              </w:rPr>
              <w:t>October 28,</w:t>
            </w:r>
          </w:p>
        </w:tc>
        <w:tc>
          <w:tcPr>
            <w:tcW w:w="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580" w:type="dxa"/>
            <w:vAlign w:val="bottom"/>
            <w:gridSpan w:val="2"/>
          </w:tcPr>
          <w:p>
            <w:pPr>
              <w:jc w:val="center"/>
              <w:ind w:right="140"/>
              <w:spacing w:after="0" w:line="153" w:lineRule="exact"/>
              <w:rPr>
                <w:sz w:val="20"/>
                <w:szCs w:val="20"/>
                <w:color w:val="auto"/>
              </w:rPr>
            </w:pPr>
            <w:r>
              <w:rPr>
                <w:rFonts w:ascii="Arial" w:cs="Arial" w:eastAsia="Arial" w:hAnsi="Arial"/>
                <w:sz w:val="14"/>
                <w:szCs w:val="14"/>
                <w:b w:val="1"/>
                <w:bCs w:val="1"/>
                <w:color w:val="auto"/>
                <w:w w:val="93"/>
              </w:rPr>
              <w:t>October 29,</w:t>
            </w:r>
          </w:p>
        </w:tc>
        <w:tc>
          <w:tcPr>
            <w:tcW w:w="1580" w:type="dxa"/>
            <w:vAlign w:val="bottom"/>
            <w:gridSpan w:val="2"/>
          </w:tcPr>
          <w:p>
            <w:pPr>
              <w:jc w:val="center"/>
              <w:ind w:right="140"/>
              <w:spacing w:after="0" w:line="153" w:lineRule="exact"/>
              <w:rPr>
                <w:sz w:val="20"/>
                <w:szCs w:val="20"/>
                <w:color w:val="auto"/>
              </w:rPr>
            </w:pPr>
            <w:r>
              <w:rPr>
                <w:rFonts w:ascii="Arial" w:cs="Arial" w:eastAsia="Arial" w:hAnsi="Arial"/>
                <w:sz w:val="14"/>
                <w:szCs w:val="14"/>
                <w:b w:val="1"/>
                <w:bCs w:val="1"/>
                <w:color w:val="auto"/>
                <w:w w:val="93"/>
              </w:rPr>
              <w:t>October 28,</w:t>
            </w:r>
          </w:p>
        </w:tc>
        <w:tc>
          <w:tcPr>
            <w:tcW w:w="1480" w:type="dxa"/>
            <w:vAlign w:val="bottom"/>
          </w:tcPr>
          <w:p>
            <w:pPr>
              <w:jc w:val="center"/>
              <w:spacing w:after="0" w:line="153" w:lineRule="exact"/>
              <w:rPr>
                <w:sz w:val="20"/>
                <w:szCs w:val="20"/>
                <w:color w:val="auto"/>
              </w:rPr>
            </w:pPr>
            <w:r>
              <w:rPr>
                <w:rFonts w:ascii="Arial" w:cs="Arial" w:eastAsia="Arial" w:hAnsi="Arial"/>
                <w:sz w:val="14"/>
                <w:szCs w:val="14"/>
                <w:b w:val="1"/>
                <w:bCs w:val="1"/>
                <w:color w:val="auto"/>
                <w:w w:val="93"/>
              </w:rPr>
              <w:t>October 29,</w:t>
            </w:r>
          </w:p>
        </w:tc>
      </w:tr>
      <w:tr>
        <w:trPr>
          <w:trHeight w:val="192"/>
        </w:trPr>
        <w:tc>
          <w:tcPr>
            <w:tcW w:w="6260" w:type="dxa"/>
            <w:vAlign w:val="bottom"/>
            <w:gridSpan w:val="2"/>
          </w:tcPr>
          <w:p>
            <w:pPr>
              <w:jc w:val="right"/>
              <w:ind w:right="148"/>
              <w:spacing w:after="0"/>
              <w:rPr>
                <w:sz w:val="20"/>
                <w:szCs w:val="20"/>
                <w:color w:val="auto"/>
              </w:rPr>
            </w:pPr>
            <w:r>
              <w:rPr>
                <w:rFonts w:ascii="Arial" w:cs="Arial" w:eastAsia="Arial" w:hAnsi="Arial"/>
                <w:sz w:val="14"/>
                <w:szCs w:val="14"/>
                <w:b w:val="1"/>
                <w:bCs w:val="1"/>
                <w:color w:val="auto"/>
              </w:rPr>
              <w:t>2017</w:t>
            </w:r>
          </w:p>
        </w:tc>
        <w:tc>
          <w:tcPr>
            <w:tcW w:w="4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480" w:type="dxa"/>
            <w:vAlign w:val="bottom"/>
          </w:tcPr>
          <w:p>
            <w:pPr>
              <w:jc w:val="right"/>
              <w:ind w:right="522"/>
              <w:spacing w:after="0"/>
              <w:rPr>
                <w:sz w:val="20"/>
                <w:szCs w:val="20"/>
                <w:color w:val="auto"/>
              </w:rPr>
            </w:pPr>
            <w:r>
              <w:rPr>
                <w:rFonts w:ascii="Arial" w:cs="Arial" w:eastAsia="Arial" w:hAnsi="Arial"/>
                <w:sz w:val="14"/>
                <w:szCs w:val="14"/>
                <w:b w:val="1"/>
                <w:bCs w:val="1"/>
                <w:color w:val="auto"/>
              </w:rPr>
              <w:t>2016</w:t>
            </w:r>
          </w:p>
        </w:tc>
        <w:tc>
          <w:tcPr>
            <w:tcW w:w="100" w:type="dxa"/>
            <w:vAlign w:val="bottom"/>
          </w:tcPr>
          <w:p>
            <w:pPr>
              <w:spacing w:after="0"/>
              <w:rPr>
                <w:sz w:val="16"/>
                <w:szCs w:val="16"/>
                <w:color w:val="auto"/>
              </w:rPr>
            </w:pPr>
          </w:p>
        </w:tc>
        <w:tc>
          <w:tcPr>
            <w:tcW w:w="1480" w:type="dxa"/>
            <w:vAlign w:val="bottom"/>
          </w:tcPr>
          <w:p>
            <w:pPr>
              <w:jc w:val="right"/>
              <w:ind w:right="524"/>
              <w:spacing w:after="0"/>
              <w:rPr>
                <w:sz w:val="20"/>
                <w:szCs w:val="20"/>
                <w:color w:val="auto"/>
              </w:rPr>
            </w:pPr>
            <w:r>
              <w:rPr>
                <w:rFonts w:ascii="Arial" w:cs="Arial" w:eastAsia="Arial" w:hAnsi="Arial"/>
                <w:sz w:val="14"/>
                <w:szCs w:val="14"/>
                <w:b w:val="1"/>
                <w:bCs w:val="1"/>
                <w:color w:val="auto"/>
              </w:rPr>
              <w:t>2017</w:t>
            </w:r>
          </w:p>
        </w:tc>
        <w:tc>
          <w:tcPr>
            <w:tcW w:w="100" w:type="dxa"/>
            <w:vAlign w:val="bottom"/>
          </w:tcPr>
          <w:p>
            <w:pPr>
              <w:spacing w:after="0"/>
              <w:rPr>
                <w:sz w:val="16"/>
                <w:szCs w:val="16"/>
                <w:color w:val="auto"/>
              </w:rPr>
            </w:pPr>
          </w:p>
        </w:tc>
        <w:tc>
          <w:tcPr>
            <w:tcW w:w="1480" w:type="dxa"/>
            <w:vAlign w:val="bottom"/>
          </w:tcPr>
          <w:p>
            <w:pPr>
              <w:jc w:val="right"/>
              <w:ind w:right="522"/>
              <w:spacing w:after="0"/>
              <w:rPr>
                <w:sz w:val="20"/>
                <w:szCs w:val="20"/>
                <w:color w:val="auto"/>
              </w:rPr>
            </w:pPr>
            <w:r>
              <w:rPr>
                <w:rFonts w:ascii="Arial" w:cs="Arial" w:eastAsia="Arial" w:hAnsi="Arial"/>
                <w:sz w:val="14"/>
                <w:szCs w:val="14"/>
                <w:b w:val="1"/>
                <w:bCs w:val="1"/>
                <w:color w:val="auto"/>
              </w:rPr>
              <w:t>2016</w:t>
            </w:r>
          </w:p>
        </w:tc>
      </w:tr>
      <w:tr>
        <w:trPr>
          <w:trHeight w:val="250"/>
        </w:trPr>
        <w:tc>
          <w:tcPr>
            <w:tcW w:w="51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Weighted average shares outstanding:</w:t>
            </w:r>
          </w:p>
        </w:tc>
        <w:tc>
          <w:tcPr>
            <w:tcW w:w="1100" w:type="dxa"/>
            <w:vAlign w:val="bottom"/>
            <w:tcBorders>
              <w:top w:val="single" w:sz="8" w:color="auto"/>
              <w:bottom w:val="single" w:sz="8" w:color="CCEEFF"/>
            </w:tcBorders>
            <w:shd w:val="clear" w:color="auto" w:fill="CCEEFF"/>
          </w:tcPr>
          <w:p>
            <w:pPr>
              <w:spacing w:after="0"/>
              <w:rPr>
                <w:sz w:val="21"/>
                <w:szCs w:val="21"/>
                <w:color w:val="auto"/>
              </w:rPr>
            </w:pPr>
          </w:p>
        </w:tc>
        <w:tc>
          <w:tcPr>
            <w:tcW w:w="40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48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8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8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6260" w:type="dxa"/>
            <w:vAlign w:val="bottom"/>
            <w:gridSpan w:val="2"/>
          </w:tcPr>
          <w:p>
            <w:pPr>
              <w:ind w:left="40"/>
              <w:spacing w:after="0"/>
              <w:rPr>
                <w:sz w:val="20"/>
                <w:szCs w:val="20"/>
                <w:color w:val="auto"/>
              </w:rPr>
            </w:pPr>
            <w:r>
              <w:rPr>
                <w:rFonts w:ascii="Arial" w:cs="Arial" w:eastAsia="Arial" w:hAnsi="Arial"/>
                <w:sz w:val="18"/>
                <w:szCs w:val="18"/>
                <w:color w:val="auto"/>
              </w:rPr>
              <w:t>Share-based awards</w:t>
            </w:r>
          </w:p>
        </w:tc>
        <w:tc>
          <w:tcPr>
            <w:tcW w:w="400" w:type="dxa"/>
            <w:vAlign w:val="bottom"/>
          </w:tcPr>
          <w:p>
            <w:pPr>
              <w:jc w:val="right"/>
              <w:ind w:right="30"/>
              <w:spacing w:after="0"/>
              <w:rPr>
                <w:sz w:val="20"/>
                <w:szCs w:val="20"/>
                <w:color w:val="auto"/>
              </w:rPr>
            </w:pPr>
            <w:r>
              <w:rPr>
                <w:rFonts w:ascii="Arial" w:cs="Arial" w:eastAsia="Arial" w:hAnsi="Arial"/>
                <w:sz w:val="18"/>
                <w:szCs w:val="18"/>
                <w:color w:val="auto"/>
                <w:w w:val="86"/>
              </w:rPr>
              <w:t>876</w:t>
            </w:r>
          </w:p>
        </w:tc>
        <w:tc>
          <w:tcPr>
            <w:tcW w:w="12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Arial" w:cs="Arial" w:eastAsia="Arial" w:hAnsi="Arial"/>
                <w:sz w:val="18"/>
                <w:szCs w:val="18"/>
                <w:color w:val="auto"/>
              </w:rPr>
              <w:t>20,211</w:t>
            </w:r>
          </w:p>
        </w:tc>
        <w:tc>
          <w:tcPr>
            <w:tcW w:w="100" w:type="dxa"/>
            <w:vAlign w:val="bottom"/>
          </w:tcPr>
          <w:p>
            <w:pPr>
              <w:spacing w:after="0"/>
              <w:rPr>
                <w:sz w:val="21"/>
                <w:szCs w:val="21"/>
                <w:color w:val="auto"/>
              </w:rPr>
            </w:pPr>
          </w:p>
        </w:tc>
        <w:tc>
          <w:tcPr>
            <w:tcW w:w="1480" w:type="dxa"/>
            <w:vAlign w:val="bottom"/>
          </w:tcPr>
          <w:p>
            <w:pPr>
              <w:jc w:val="right"/>
              <w:ind w:right="24"/>
              <w:spacing w:after="0"/>
              <w:rPr>
                <w:sz w:val="20"/>
                <w:szCs w:val="20"/>
                <w:color w:val="auto"/>
              </w:rPr>
            </w:pPr>
            <w:r>
              <w:rPr>
                <w:rFonts w:ascii="Arial" w:cs="Arial" w:eastAsia="Arial" w:hAnsi="Arial"/>
                <w:sz w:val="18"/>
                <w:szCs w:val="18"/>
                <w:color w:val="auto"/>
              </w:rPr>
              <w:t>3,122</w:t>
            </w:r>
          </w:p>
        </w:tc>
        <w:tc>
          <w:tcPr>
            <w:tcW w:w="100" w:type="dxa"/>
            <w:vAlign w:val="bottom"/>
          </w:tcPr>
          <w:p>
            <w:pPr>
              <w:spacing w:after="0"/>
              <w:rPr>
                <w:sz w:val="21"/>
                <w:szCs w:val="21"/>
                <w:color w:val="auto"/>
              </w:rPr>
            </w:pPr>
          </w:p>
        </w:tc>
        <w:tc>
          <w:tcPr>
            <w:tcW w:w="1480" w:type="dxa"/>
            <w:vAlign w:val="bottom"/>
          </w:tcPr>
          <w:p>
            <w:pPr>
              <w:jc w:val="right"/>
              <w:ind w:right="22"/>
              <w:spacing w:after="0"/>
              <w:rPr>
                <w:sz w:val="20"/>
                <w:szCs w:val="20"/>
                <w:color w:val="auto"/>
              </w:rPr>
            </w:pPr>
            <w:r>
              <w:rPr>
                <w:rFonts w:ascii="Arial" w:cs="Arial" w:eastAsia="Arial" w:hAnsi="Arial"/>
                <w:sz w:val="18"/>
                <w:szCs w:val="18"/>
                <w:color w:val="auto"/>
              </w:rPr>
              <w:t>37,309</w:t>
            </w:r>
          </w:p>
        </w:tc>
      </w:tr>
    </w:tbl>
    <w:p>
      <w:pPr>
        <w:spacing w:after="0" w:line="229" w:lineRule="exact"/>
        <w:rPr>
          <w:sz w:val="20"/>
          <w:szCs w:val="20"/>
          <w:color w:val="auto"/>
        </w:rPr>
      </w:pPr>
    </w:p>
    <w:p>
      <w:pPr>
        <w:ind w:right="220" w:firstLine="378"/>
        <w:spacing w:after="0" w:line="264" w:lineRule="auto"/>
        <w:rPr>
          <w:sz w:val="20"/>
          <w:szCs w:val="20"/>
          <w:color w:val="auto"/>
        </w:rPr>
      </w:pPr>
      <w:r>
        <w:rPr>
          <w:rFonts w:ascii="Arial" w:cs="Arial" w:eastAsia="Arial" w:hAnsi="Arial"/>
          <w:sz w:val="18"/>
          <w:szCs w:val="18"/>
          <w:color w:val="auto"/>
        </w:rPr>
        <w:t>Anti-dilutive potential shares from share-based awards are excluded from the calculation of diluted earnings per share for all periods reported above because either their exercise price exceeded the average market price during the period or the share-based awards were determined to be anti-dilutive based on applying the treasury stock method.</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29" w:lineRule="exact"/>
        <w:rPr>
          <w:sz w:val="20"/>
          <w:szCs w:val="20"/>
          <w:color w:val="auto"/>
        </w:rPr>
      </w:pPr>
    </w:p>
    <w:p>
      <w:pPr>
        <w:ind w:right="100" w:firstLine="405"/>
        <w:spacing w:after="0" w:line="276" w:lineRule="auto"/>
        <w:rPr>
          <w:sz w:val="20"/>
          <w:szCs w:val="20"/>
          <w:color w:val="auto"/>
        </w:rPr>
      </w:pPr>
      <w:r>
        <w:rPr>
          <w:rFonts w:ascii="Arial" w:cs="Arial" w:eastAsia="Arial" w:hAnsi="Arial"/>
          <w:sz w:val="17"/>
          <w:szCs w:val="17"/>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“may,” “can,” “will,” “would” and similar expressions identify such forward-looking statements.</w:t>
      </w:r>
    </w:p>
    <w:p>
      <w:pPr>
        <w:spacing w:after="0" w:line="173" w:lineRule="exact"/>
        <w:rPr>
          <w:sz w:val="20"/>
          <w:szCs w:val="20"/>
          <w:color w:val="auto"/>
        </w:rPr>
      </w:pPr>
    </w:p>
    <w:p>
      <w:pPr>
        <w:ind w:right="420" w:firstLine="648"/>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47"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dependence upon the storage, networking and connectivity markets, which are highly cyclical and intensely competitive;</w:t>
      </w:r>
    </w:p>
    <w:p>
      <w:pPr>
        <w:spacing w:after="0" w:line="6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outcome of pending or future litigation and legal and regulatory proceedings;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dependence on a small number of customers;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severe financial hardship or bankruptcy of one or more of our major customers;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estimate customer demand and future sales accurately;</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effects of transitioning to smaller geometry process technologies;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7"/>
          <w:szCs w:val="17"/>
          <w:color w:val="auto"/>
        </w:rPr>
      </w:pPr>
      <w:r>
        <w:rPr>
          <w:rFonts w:ascii="Arial" w:cs="Arial" w:eastAsia="Arial" w:hAnsi="Arial"/>
          <w:sz w:val="17"/>
          <w:szCs w:val="17"/>
          <w:i w:val="1"/>
          <w:iCs w:val="1"/>
          <w:color w:val="auto"/>
        </w:rPr>
        <w:t>the risks associated with manufacturing and selling a majority of our products and our customers’ products outside of the United States;</w:t>
      </w:r>
    </w:p>
    <w:p>
      <w:pPr>
        <w:spacing w:after="0" w:line="115" w:lineRule="exact"/>
        <w:rPr>
          <w:rFonts w:ascii="Arial" w:cs="Arial" w:eastAsia="Arial" w:hAnsi="Arial"/>
          <w:sz w:val="17"/>
          <w:szCs w:val="17"/>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risks associated with acquisition and consolidation activity in the semiconductor industry;</w:t>
      </w:r>
    </w:p>
    <w:p>
      <w:pPr>
        <w:spacing w:after="0" w:line="103" w:lineRule="exact"/>
        <w:rPr>
          <w:rFonts w:ascii="Arial" w:cs="Arial" w:eastAsia="Arial" w:hAnsi="Arial"/>
          <w:sz w:val="18"/>
          <w:szCs w:val="18"/>
          <w:color w:val="auto"/>
        </w:rPr>
      </w:pPr>
    </w:p>
    <w:p>
      <w:pPr>
        <w:ind w:left="660" w:right="440" w:hanging="328"/>
        <w:spacing w:after="0" w:line="360" w:lineRule="auto"/>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impact of any change in the income tax laws in jurisdictions where we operate and the loss of any beneficial tax treatment that we currently enjoy;</w:t>
      </w: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i w:val="1"/>
          <w:iCs w:val="1"/>
          <w:color w:val="auto"/>
        </w:rPr>
        <w:t>the effects of any potential acquisitions or investments;</w:t>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140" w:right="239" w:bottom="1440" w:gutter="0" w:footer="0" w:header="0"/>
        </w:sectPr>
      </w:pPr>
    </w:p>
    <w:bookmarkStart w:id="24" w:name="page25"/>
    <w:bookmarkEnd w:id="2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92"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ability to protect our intellectual property;</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i w:val="1"/>
          <w:iCs w:val="1"/>
          <w:color w:val="auto"/>
        </w:rPr>
        <w:t>our maintenance of an effective system of internal controls.</w:t>
      </w:r>
    </w:p>
    <w:p>
      <w:pPr>
        <w:spacing w:after="0" w:line="360" w:lineRule="exact"/>
        <w:rPr>
          <w:sz w:val="20"/>
          <w:szCs w:val="20"/>
          <w:color w:val="auto"/>
        </w:rPr>
      </w:pPr>
    </w:p>
    <w:p>
      <w:pPr>
        <w:ind w:right="120" w:firstLine="405"/>
        <w:spacing w:after="0" w:line="264"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29" w:lineRule="exact"/>
        <w:rPr>
          <w:sz w:val="20"/>
          <w:szCs w:val="20"/>
          <w:color w:val="auto"/>
        </w:rPr>
      </w:pPr>
    </w:p>
    <w:p>
      <w:pPr>
        <w:ind w:right="20" w:firstLine="432"/>
        <w:spacing w:after="0" w:line="257" w:lineRule="auto"/>
        <w:rPr>
          <w:sz w:val="20"/>
          <w:szCs w:val="20"/>
          <w:color w:val="auto"/>
        </w:rPr>
      </w:pPr>
      <w:r>
        <w:rPr>
          <w:rFonts w:ascii="Arial" w:cs="Arial" w:eastAsia="Arial" w:hAnsi="Arial"/>
          <w:sz w:val="18"/>
          <w:szCs w:val="18"/>
          <w:color w:val="auto"/>
        </w:rPr>
        <w:t>We are a fabless semiconductor provider of high-performance, application-specific standard products. Our core strength of expertise is the development of complex System-on-a-Chip (“SoC”) devices, leveraging our technology portfolio of intellectual property in the areas of analog, mixed-signal, digital signal processing, and embedded and standalone integrated circuits. We also develop integrated hardware platforms along with software that incorporates digital computing technologies designed and configured to provide an optimized computing solution. Our broad product portfolio includes devices for storage, networking and connectivity.</w:t>
      </w:r>
    </w:p>
    <w:p>
      <w:pPr>
        <w:spacing w:after="0" w:line="188" w:lineRule="exact"/>
        <w:rPr>
          <w:sz w:val="20"/>
          <w:szCs w:val="20"/>
          <w:color w:val="auto"/>
        </w:rPr>
      </w:pPr>
    </w:p>
    <w:p>
      <w:pPr>
        <w:ind w:right="260" w:firstLine="405"/>
        <w:spacing w:after="0" w:line="297" w:lineRule="auto"/>
        <w:rPr>
          <w:sz w:val="20"/>
          <w:szCs w:val="20"/>
          <w:color w:val="auto"/>
        </w:rPr>
      </w:pPr>
      <w:r>
        <w:rPr>
          <w:rFonts w:ascii="Arial" w:cs="Arial" w:eastAsia="Arial" w:hAnsi="Arial"/>
          <w:sz w:val="16"/>
          <w:szCs w:val="16"/>
          <w:color w:val="auto"/>
        </w:rPr>
        <w:t>In the third quarter of fiscal 2018, we saw net revenue decrease year over year by 1% from $623.7 million net revenue in the third quarter fiscal 2017 compared with $616.3 million in the third quarter of fiscal 2018. The decrease was primarily due to a 4% decrease in our storage product sales and 22% decrease in our other product sales, offset in part by a 19% increase in sales of our connectivity products. Our net revenue for the nine months ended October 28, 2017 increased by $59.1 million compared to net revenue for the nine months ended October 29, 2016. This increase was primarily due to increased sales of our storage products by 10% and connectivity products by 10%. This growth was offset by a decline in other products.</w:t>
      </w:r>
    </w:p>
    <w:p>
      <w:pPr>
        <w:spacing w:after="0" w:line="158" w:lineRule="exact"/>
        <w:rPr>
          <w:sz w:val="20"/>
          <w:szCs w:val="20"/>
          <w:color w:val="auto"/>
        </w:rPr>
      </w:pPr>
    </w:p>
    <w:p>
      <w:pPr>
        <w:ind w:right="180" w:firstLine="405"/>
        <w:spacing w:after="0" w:line="257" w:lineRule="auto"/>
        <w:rPr>
          <w:sz w:val="20"/>
          <w:szCs w:val="20"/>
          <w:color w:val="auto"/>
        </w:rPr>
      </w:pPr>
      <w:r>
        <w:rPr>
          <w:rFonts w:ascii="Arial" w:cs="Arial" w:eastAsia="Arial" w:hAnsi="Arial"/>
          <w:sz w:val="18"/>
          <w:szCs w:val="18"/>
          <w:color w:val="auto"/>
        </w:rPr>
        <w:t>As discussed in Note 1, during the first fiscal quarter of 2018, we recorded certain out-of-period adjustments of $4.7 million related to revenue-related accruals and $3.2 million related to other expenses. The net effect of these out-of-period adjustments resulted in a $7.9 million increase in income from continuing operations from the nine months ended October 28, 2017, an increase in basic earnings per share from continuing operations of $0.02 per share, and an increase in diluted earnings per share from continuing operations of $0.01 per share, as well as contributing to the increase in revenue and gross margin for nine months ended October 28, 2017.</w:t>
      </w:r>
    </w:p>
    <w:p>
      <w:pPr>
        <w:spacing w:after="0" w:line="188" w:lineRule="exact"/>
        <w:rPr>
          <w:sz w:val="20"/>
          <w:szCs w:val="20"/>
          <w:color w:val="auto"/>
        </w:rPr>
      </w:pPr>
    </w:p>
    <w:p>
      <w:pPr>
        <w:ind w:right="400" w:firstLine="432"/>
        <w:spacing w:after="0" w:line="291" w:lineRule="auto"/>
        <w:rPr>
          <w:sz w:val="20"/>
          <w:szCs w:val="20"/>
          <w:color w:val="auto"/>
        </w:rPr>
      </w:pPr>
      <w:r>
        <w:rPr>
          <w:rFonts w:ascii="Arial" w:cs="Arial" w:eastAsia="Arial" w:hAnsi="Arial"/>
          <w:sz w:val="16"/>
          <w:szCs w:val="16"/>
          <w:color w:val="auto"/>
        </w:rPr>
        <w:t>On November 20, 2017, we, along with Cavium, Inc., announced a definitive agreement, unanimously approved by the boards of directors of both companies, under which we will acquire all outstanding shares of Cavium common stock in exchange for consideration of $40.00 per share in cash and</w:t>
      </w:r>
    </w:p>
    <w:p>
      <w:pPr>
        <w:jc w:val="both"/>
        <w:ind w:right="60"/>
        <w:spacing w:after="0" w:line="255" w:lineRule="auto"/>
        <w:rPr>
          <w:sz w:val="20"/>
          <w:szCs w:val="20"/>
          <w:color w:val="auto"/>
        </w:rPr>
      </w:pPr>
      <w:r>
        <w:rPr>
          <w:rFonts w:ascii="Arial" w:cs="Arial" w:eastAsia="Arial" w:hAnsi="Arial"/>
          <w:sz w:val="18"/>
          <w:szCs w:val="18"/>
          <w:color w:val="auto"/>
        </w:rPr>
        <w:t>2.1757 Marvell common shares for each Cavium share. The exchange ratio was based on a purchase price of $80 per share, using our undisturbed price prior to November 3, when media reports of the transaction first surfaced. This represents a transaction value of approximately $6 billion. Cavium shareholders are expected to own approximately 25% of the combined company on a pro forma basis.</w:t>
      </w:r>
    </w:p>
    <w:p>
      <w:pPr>
        <w:spacing w:after="0" w:line="190" w:lineRule="exact"/>
        <w:rPr>
          <w:sz w:val="20"/>
          <w:szCs w:val="20"/>
          <w:color w:val="auto"/>
        </w:rPr>
      </w:pPr>
    </w:p>
    <w:p>
      <w:pPr>
        <w:ind w:right="60" w:firstLine="432"/>
        <w:spacing w:after="0" w:line="312" w:lineRule="auto"/>
        <w:rPr>
          <w:sz w:val="20"/>
          <w:szCs w:val="20"/>
          <w:color w:val="auto"/>
        </w:rPr>
      </w:pPr>
      <w:r>
        <w:rPr>
          <w:rFonts w:ascii="Arial" w:cs="Arial" w:eastAsia="Arial" w:hAnsi="Arial"/>
          <w:sz w:val="16"/>
          <w:szCs w:val="16"/>
          <w:color w:val="auto"/>
        </w:rPr>
        <w:t>We intend to fund the cash consideration with a combination of cash on hand from the combined companies and $1.75 billion in debt financing. We have obtained commitments consisting of an $850 million bridge loan commitment and a $900 million committed term loan from Goldman Sachs Bank USA and Bank of America Merrill Lynch, in each case subject to customary terms and conditions. The transaction is not subject to any financing condition.</w:t>
      </w:r>
    </w:p>
    <w:p>
      <w:pPr>
        <w:spacing w:after="0" w:line="147" w:lineRule="exact"/>
        <w:rPr>
          <w:sz w:val="20"/>
          <w:szCs w:val="20"/>
          <w:color w:val="auto"/>
        </w:rPr>
      </w:pPr>
    </w:p>
    <w:p>
      <w:pPr>
        <w:ind w:right="40" w:firstLine="432"/>
        <w:spacing w:after="0" w:line="342" w:lineRule="auto"/>
        <w:rPr>
          <w:sz w:val="20"/>
          <w:szCs w:val="20"/>
          <w:color w:val="auto"/>
        </w:rPr>
      </w:pPr>
      <w:r>
        <w:rPr>
          <w:rFonts w:ascii="Arial" w:cs="Arial" w:eastAsia="Arial" w:hAnsi="Arial"/>
          <w:sz w:val="16"/>
          <w:szCs w:val="16"/>
          <w:color w:val="auto"/>
        </w:rPr>
        <w:t>The transaction is expected to close in mid-calendar 2018, subject to regulatory approval as well as other customary closing conditions, including the adoption by Cavium shareholders of the merger agreement and the approval by our shareholders of the issuance of Marvell common shares in the transaction.</w:t>
      </w:r>
    </w:p>
    <w:p>
      <w:pPr>
        <w:spacing w:after="0" w:line="124" w:lineRule="exact"/>
        <w:rPr>
          <w:sz w:val="20"/>
          <w:szCs w:val="20"/>
          <w:color w:val="auto"/>
        </w:rPr>
      </w:pPr>
    </w:p>
    <w:p>
      <w:pPr>
        <w:jc w:val="both"/>
        <w:ind w:firstLine="405"/>
        <w:spacing w:after="0" w:line="276" w:lineRule="auto"/>
        <w:rPr>
          <w:sz w:val="20"/>
          <w:szCs w:val="20"/>
          <w:color w:val="auto"/>
        </w:rPr>
      </w:pPr>
      <w:r>
        <w:rPr>
          <w:rFonts w:ascii="Arial" w:cs="Arial" w:eastAsia="Arial" w:hAnsi="Arial"/>
          <w:sz w:val="17"/>
          <w:szCs w:val="17"/>
          <w:i w:val="1"/>
          <w:iCs w:val="1"/>
          <w:color w:val="auto"/>
        </w:rPr>
        <w:t xml:space="preserve">Restructuring. </w:t>
      </w:r>
      <w:r>
        <w:rPr>
          <w:rFonts w:ascii="Arial" w:cs="Arial" w:eastAsia="Arial" w:hAnsi="Arial"/>
          <w:sz w:val="17"/>
          <w:szCs w:val="17"/>
          <w:color w:val="auto"/>
        </w:rPr>
        <w:t>In November 2016, we announced a restructuring plan intended to refocus our research and development, increase operational efficiency</w:t>
      </w:r>
      <w:r>
        <w:rPr>
          <w:rFonts w:ascii="Arial" w:cs="Arial" w:eastAsia="Arial" w:hAnsi="Arial"/>
          <w:sz w:val="17"/>
          <w:szCs w:val="17"/>
          <w:i w:val="1"/>
          <w:iCs w:val="1"/>
          <w:color w:val="auto"/>
        </w:rPr>
        <w:t xml:space="preserve"> </w:t>
      </w:r>
      <w:r>
        <w:rPr>
          <w:rFonts w:ascii="Arial" w:cs="Arial" w:eastAsia="Arial" w:hAnsi="Arial"/>
          <w:sz w:val="17"/>
          <w:szCs w:val="17"/>
          <w:color w:val="auto"/>
        </w:rPr>
        <w:t>and improve profitability. As a continuation of such plan, we recorded restructuring related charges of $3.3 million and $8.5 million in the three and nine months ended October 28, 2017, respectively. In addition, during the first nine months of fiscal 2018, we received cash proceeds of $165.9 million and recognized a gain on sale of $88.4 million from the sales of our Multimedia, LTE thin-modem, and Broadband businesses. These businesses are classified as discontinued operations for all periods presented in our accompanying consolidated financial statements.</w:t>
      </w:r>
    </w:p>
    <w:p>
      <w:pPr>
        <w:spacing w:after="0" w:line="173" w:lineRule="exact"/>
        <w:rPr>
          <w:sz w:val="20"/>
          <w:szCs w:val="20"/>
          <w:color w:val="auto"/>
        </w:rPr>
      </w:pPr>
    </w:p>
    <w:p>
      <w:pPr>
        <w:jc w:val="both"/>
        <w:ind w:firstLine="405"/>
        <w:spacing w:after="0" w:line="277" w:lineRule="auto"/>
        <w:rPr>
          <w:sz w:val="20"/>
          <w:szCs w:val="20"/>
          <w:color w:val="auto"/>
        </w:rPr>
      </w:pPr>
      <w:r>
        <w:rPr>
          <w:rFonts w:ascii="Arial" w:cs="Arial" w:eastAsia="Arial" w:hAnsi="Arial"/>
          <w:sz w:val="18"/>
          <w:szCs w:val="18"/>
          <w:color w:val="auto"/>
        </w:rPr>
        <w:t>Unless noted otherwise, our discussion under Part I, Item 2, Management’s Discussion and Analysis of Financial Condition and Results of Operations, refers to our continuing operations.</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140" w:right="239" w:bottom="1440" w:gutter="0" w:footer="0" w:header="0"/>
        </w:sectPr>
      </w:pPr>
    </w:p>
    <w:bookmarkStart w:id="25" w:name="page26"/>
    <w:bookmarkEnd w:id="2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54" w:lineRule="exact"/>
        <w:rPr>
          <w:sz w:val="20"/>
          <w:szCs w:val="20"/>
          <w:color w:val="auto"/>
        </w:rPr>
      </w:pPr>
    </w:p>
    <w:p>
      <w:pPr>
        <w:ind w:right="40" w:firstLine="405"/>
        <w:spacing w:after="0" w:line="276" w:lineRule="auto"/>
        <w:rPr>
          <w:sz w:val="20"/>
          <w:szCs w:val="20"/>
          <w:color w:val="auto"/>
        </w:rPr>
      </w:pPr>
      <w:r>
        <w:rPr>
          <w:rFonts w:ascii="Arial" w:cs="Arial" w:eastAsia="Arial" w:hAnsi="Arial"/>
          <w:sz w:val="17"/>
          <w:szCs w:val="17"/>
          <w:i w:val="1"/>
          <w:iCs w:val="1"/>
          <w:color w:val="auto"/>
        </w:rPr>
        <w:t xml:space="preserve">Capital Return Program. </w:t>
      </w:r>
      <w:r>
        <w:rPr>
          <w:rFonts w:ascii="Arial" w:cs="Arial" w:eastAsia="Arial" w:hAnsi="Arial"/>
          <w:sz w:val="17"/>
          <w:szCs w:val="17"/>
          <w:color w:val="auto"/>
        </w:rPr>
        <w:t>Our financial position is strong and we remain committed to delivering shareholder value through our share repurchase and</w:t>
      </w:r>
      <w:r>
        <w:rPr>
          <w:rFonts w:ascii="Arial" w:cs="Arial" w:eastAsia="Arial" w:hAnsi="Arial"/>
          <w:sz w:val="17"/>
          <w:szCs w:val="17"/>
          <w:i w:val="1"/>
          <w:iCs w:val="1"/>
          <w:color w:val="auto"/>
        </w:rPr>
        <w:t xml:space="preserve"> </w:t>
      </w:r>
      <w:r>
        <w:rPr>
          <w:rFonts w:ascii="Arial" w:cs="Arial" w:eastAsia="Arial" w:hAnsi="Arial"/>
          <w:sz w:val="17"/>
          <w:szCs w:val="17"/>
          <w:color w:val="auto"/>
        </w:rPr>
        <w:t>dividend programs. For the nine months ended October 28, 2017, we repurchased 31.5 million shares of our common stock for $527.6 million. As of October 28, 2017, a total of 286.4 million shares have been repurchased to date under the Company’s share repurchase program for a total $3.8 billion in cash and there was $358 million remaining available for future share repurchases. We returned $617.1 million to stockholders in the nine months ended October 28, 2017, including our repurchases of common stock and $89.6 million of cash dividends.</w:t>
      </w:r>
    </w:p>
    <w:p>
      <w:pPr>
        <w:spacing w:after="0" w:line="173" w:lineRule="exact"/>
        <w:rPr>
          <w:sz w:val="20"/>
          <w:szCs w:val="20"/>
          <w:color w:val="auto"/>
        </w:rPr>
      </w:pPr>
    </w:p>
    <w:p>
      <w:pPr>
        <w:ind w:right="20" w:firstLine="405"/>
        <w:spacing w:after="0" w:line="277" w:lineRule="auto"/>
        <w:rPr>
          <w:sz w:val="20"/>
          <w:szCs w:val="20"/>
          <w:color w:val="auto"/>
        </w:rPr>
      </w:pPr>
      <w:r>
        <w:rPr>
          <w:rFonts w:ascii="Arial" w:cs="Arial" w:eastAsia="Arial" w:hAnsi="Arial"/>
          <w:sz w:val="18"/>
          <w:szCs w:val="18"/>
          <w:i w:val="1"/>
          <w:iCs w:val="1"/>
          <w:color w:val="auto"/>
        </w:rPr>
        <w:t xml:space="preserve">Cash and Short Term Investments. </w:t>
      </w:r>
      <w:r>
        <w:rPr>
          <w:rFonts w:ascii="Arial" w:cs="Arial" w:eastAsia="Arial" w:hAnsi="Arial"/>
          <w:sz w:val="18"/>
          <w:szCs w:val="18"/>
          <w:color w:val="auto"/>
        </w:rPr>
        <w:t>Our total cash, cash equivalents and short-term investments were $1.7 billion at October 28, 2017, which was slightly</w:t>
      </w:r>
      <w:r>
        <w:rPr>
          <w:rFonts w:ascii="Arial" w:cs="Arial" w:eastAsia="Arial" w:hAnsi="Arial"/>
          <w:sz w:val="18"/>
          <w:szCs w:val="18"/>
          <w:i w:val="1"/>
          <w:iCs w:val="1"/>
          <w:color w:val="auto"/>
        </w:rPr>
        <w:t xml:space="preserve"> </w:t>
      </w:r>
      <w:r>
        <w:rPr>
          <w:rFonts w:ascii="Arial" w:cs="Arial" w:eastAsia="Arial" w:hAnsi="Arial"/>
          <w:sz w:val="18"/>
          <w:szCs w:val="18"/>
          <w:color w:val="auto"/>
        </w:rPr>
        <w:t>higher than our balance at our fiscal year ended January 28, 2017.</w:t>
      </w:r>
    </w:p>
    <w:p>
      <w:pPr>
        <w:spacing w:after="0" w:line="170" w:lineRule="exact"/>
        <w:rPr>
          <w:sz w:val="20"/>
          <w:szCs w:val="20"/>
          <w:color w:val="auto"/>
        </w:rPr>
      </w:pPr>
    </w:p>
    <w:p>
      <w:pPr>
        <w:ind w:right="160" w:firstLine="405"/>
        <w:spacing w:after="0" w:line="264"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Historically, a relatively small number of customers have accounted for a significant portion of our net revenue. Net</w:t>
      </w:r>
      <w:r>
        <w:rPr>
          <w:rFonts w:ascii="Arial" w:cs="Arial" w:eastAsia="Arial" w:hAnsi="Arial"/>
          <w:sz w:val="18"/>
          <w:szCs w:val="18"/>
          <w:i w:val="1"/>
          <w:iCs w:val="1"/>
          <w:color w:val="auto"/>
        </w:rPr>
        <w:t xml:space="preserve"> </w:t>
      </w:r>
      <w:r>
        <w:rPr>
          <w:rFonts w:ascii="Arial" w:cs="Arial" w:eastAsia="Arial" w:hAnsi="Arial"/>
          <w:sz w:val="18"/>
          <w:szCs w:val="18"/>
          <w:color w:val="auto"/>
        </w:rPr>
        <w:t>revenue attributable to significant customers whose revenue as a percentage of net revenue was 10% or greater of total net revenue is presented in the following table:</w:t>
      </w:r>
    </w:p>
    <w:p>
      <w:pPr>
        <w:spacing w:after="0" w:line="37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60" w:type="dxa"/>
            <w:vAlign w:val="bottom"/>
          </w:tcPr>
          <w:p>
            <w:pPr>
              <w:spacing w:after="0"/>
              <w:rPr>
                <w:sz w:val="16"/>
                <w:szCs w:val="16"/>
                <w:color w:val="auto"/>
              </w:rPr>
            </w:pPr>
          </w:p>
        </w:tc>
        <w:tc>
          <w:tcPr>
            <w:tcW w:w="2900" w:type="dxa"/>
            <w:vAlign w:val="bottom"/>
            <w:tcBorders>
              <w:bottom w:val="single" w:sz="8" w:color="auto"/>
            </w:tcBorders>
            <w:gridSpan w:val="3"/>
          </w:tcPr>
          <w:p>
            <w:pPr>
              <w:jc w:val="right"/>
              <w:ind w:right="694"/>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2920" w:type="dxa"/>
            <w:vAlign w:val="bottom"/>
            <w:tcBorders>
              <w:bottom w:val="single" w:sz="8" w:color="auto"/>
            </w:tcBorders>
            <w:gridSpan w:val="3"/>
          </w:tcPr>
          <w:p>
            <w:pPr>
              <w:jc w:val="right"/>
              <w:ind w:right="734"/>
              <w:spacing w:after="0"/>
              <w:rPr>
                <w:sz w:val="20"/>
                <w:szCs w:val="20"/>
                <w:color w:val="auto"/>
              </w:rPr>
            </w:pPr>
            <w:r>
              <w:rPr>
                <w:rFonts w:ascii="Arial" w:cs="Arial" w:eastAsia="Arial" w:hAnsi="Arial"/>
                <w:sz w:val="14"/>
                <w:szCs w:val="14"/>
                <w:b w:val="1"/>
                <w:bCs w:val="1"/>
                <w:color w:val="auto"/>
              </w:rPr>
              <w:t>Nine Months Ended</w:t>
            </w:r>
          </w:p>
        </w:tc>
      </w:tr>
      <w:tr>
        <w:trPr>
          <w:trHeight w:val="264"/>
        </w:trPr>
        <w:tc>
          <w:tcPr>
            <w:tcW w:w="5360" w:type="dxa"/>
            <w:vAlign w:val="bottom"/>
          </w:tcPr>
          <w:p>
            <w:pPr>
              <w:spacing w:after="0"/>
              <w:rPr>
                <w:sz w:val="22"/>
                <w:szCs w:val="22"/>
                <w:color w:val="auto"/>
              </w:rPr>
            </w:pPr>
          </w:p>
        </w:tc>
        <w:tc>
          <w:tcPr>
            <w:tcW w:w="1500" w:type="dxa"/>
            <w:vAlign w:val="bottom"/>
            <w:gridSpan w:val="2"/>
          </w:tcPr>
          <w:p>
            <w:pPr>
              <w:ind w:left="180"/>
              <w:spacing w:after="0"/>
              <w:rPr>
                <w:sz w:val="20"/>
                <w:szCs w:val="20"/>
                <w:color w:val="auto"/>
              </w:rPr>
            </w:pPr>
            <w:r>
              <w:rPr>
                <w:rFonts w:ascii="Arial" w:cs="Arial" w:eastAsia="Arial" w:hAnsi="Arial"/>
                <w:sz w:val="14"/>
                <w:szCs w:val="14"/>
                <w:b w:val="1"/>
                <w:bCs w:val="1"/>
                <w:color w:val="auto"/>
              </w:rPr>
              <w:t>October 28, 2017</w:t>
            </w:r>
          </w:p>
        </w:tc>
        <w:tc>
          <w:tcPr>
            <w:tcW w:w="1500" w:type="dxa"/>
            <w:vAlign w:val="bottom"/>
            <w:gridSpan w:val="2"/>
          </w:tcPr>
          <w:p>
            <w:pPr>
              <w:ind w:left="180"/>
              <w:spacing w:after="0"/>
              <w:rPr>
                <w:sz w:val="20"/>
                <w:szCs w:val="20"/>
                <w:color w:val="auto"/>
              </w:rPr>
            </w:pPr>
            <w:r>
              <w:rPr>
                <w:rFonts w:ascii="Arial" w:cs="Arial" w:eastAsia="Arial" w:hAnsi="Arial"/>
                <w:sz w:val="14"/>
                <w:szCs w:val="14"/>
                <w:b w:val="1"/>
                <w:bCs w:val="1"/>
                <w:color w:val="auto"/>
              </w:rPr>
              <w:t>October 29, 2016</w:t>
            </w:r>
          </w:p>
        </w:tc>
        <w:tc>
          <w:tcPr>
            <w:tcW w:w="1520" w:type="dxa"/>
            <w:vAlign w:val="bottom"/>
            <w:gridSpan w:val="2"/>
          </w:tcPr>
          <w:p>
            <w:pPr>
              <w:ind w:left="180"/>
              <w:spacing w:after="0"/>
              <w:rPr>
                <w:sz w:val="20"/>
                <w:szCs w:val="20"/>
                <w:color w:val="auto"/>
              </w:rPr>
            </w:pPr>
            <w:r>
              <w:rPr>
                <w:rFonts w:ascii="Arial" w:cs="Arial" w:eastAsia="Arial" w:hAnsi="Arial"/>
                <w:sz w:val="14"/>
                <w:szCs w:val="14"/>
                <w:b w:val="1"/>
                <w:bCs w:val="1"/>
                <w:color w:val="auto"/>
              </w:rPr>
              <w:t>October 28, 2017</w:t>
            </w:r>
          </w:p>
        </w:tc>
        <w:tc>
          <w:tcPr>
            <w:tcW w:w="1400" w:type="dxa"/>
            <w:vAlign w:val="bottom"/>
          </w:tcPr>
          <w:p>
            <w:pPr>
              <w:jc w:val="right"/>
              <w:ind w:right="94"/>
              <w:spacing w:after="0"/>
              <w:rPr>
                <w:sz w:val="20"/>
                <w:szCs w:val="20"/>
                <w:color w:val="auto"/>
              </w:rPr>
            </w:pPr>
            <w:r>
              <w:rPr>
                <w:rFonts w:ascii="Arial" w:cs="Arial" w:eastAsia="Arial" w:hAnsi="Arial"/>
                <w:sz w:val="14"/>
                <w:szCs w:val="14"/>
                <w:b w:val="1"/>
                <w:bCs w:val="1"/>
                <w:color w:val="auto"/>
              </w:rPr>
              <w:t>October 29, 2016</w:t>
            </w:r>
          </w:p>
        </w:tc>
      </w:tr>
      <w:tr>
        <w:trPr>
          <w:trHeight w:val="250"/>
        </w:trPr>
        <w:tc>
          <w:tcPr>
            <w:tcW w:w="53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End Customer:</w:t>
            </w:r>
          </w:p>
        </w:tc>
        <w:tc>
          <w:tcPr>
            <w:tcW w:w="1380" w:type="dxa"/>
            <w:vAlign w:val="bottom"/>
            <w:tcBorders>
              <w:top w:val="single" w:sz="8" w:color="auto"/>
              <w:bottom w:val="single" w:sz="8" w:color="CCEEFF"/>
            </w:tcBorders>
            <w:shd w:val="clear" w:color="auto" w:fill="CCEEFF"/>
          </w:tcPr>
          <w:p>
            <w:pPr>
              <w:spacing w:after="0"/>
              <w:rPr>
                <w:sz w:val="21"/>
                <w:szCs w:val="21"/>
                <w:color w:val="auto"/>
              </w:rPr>
            </w:pP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40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20" w:type="dxa"/>
            <w:vAlign w:val="bottom"/>
            <w:tcBorders>
              <w:top w:val="single" w:sz="8" w:color="auto"/>
              <w:bottom w:val="single" w:sz="8" w:color="CCEEFF"/>
            </w:tcBorders>
            <w:shd w:val="clear" w:color="auto" w:fill="CCEEFF"/>
          </w:tcPr>
          <w:p>
            <w:pPr>
              <w:spacing w:after="0"/>
              <w:rPr>
                <w:sz w:val="21"/>
                <w:szCs w:val="21"/>
                <w:color w:val="auto"/>
              </w:rPr>
            </w:pP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40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5360" w:type="dxa"/>
            <w:vAlign w:val="bottom"/>
          </w:tcPr>
          <w:p>
            <w:pPr>
              <w:ind w:left="380"/>
              <w:spacing w:after="0"/>
              <w:rPr>
                <w:sz w:val="20"/>
                <w:szCs w:val="20"/>
                <w:color w:val="auto"/>
              </w:rPr>
            </w:pPr>
            <w:r>
              <w:rPr>
                <w:rFonts w:ascii="Arial" w:cs="Arial" w:eastAsia="Arial" w:hAnsi="Arial"/>
                <w:sz w:val="18"/>
                <w:szCs w:val="18"/>
                <w:color w:val="auto"/>
              </w:rPr>
              <w:t>Western Digital*</w:t>
            </w:r>
          </w:p>
        </w:tc>
        <w:tc>
          <w:tcPr>
            <w:tcW w:w="1380" w:type="dxa"/>
            <w:vAlign w:val="bottom"/>
          </w:tcPr>
          <w:p>
            <w:pPr>
              <w:jc w:val="right"/>
              <w:spacing w:after="0"/>
              <w:rPr>
                <w:sz w:val="20"/>
                <w:szCs w:val="20"/>
                <w:color w:val="auto"/>
              </w:rPr>
            </w:pPr>
            <w:r>
              <w:rPr>
                <w:rFonts w:ascii="Arial" w:cs="Arial" w:eastAsia="Arial" w:hAnsi="Arial"/>
                <w:sz w:val="18"/>
                <w:szCs w:val="18"/>
                <w:color w:val="auto"/>
              </w:rPr>
              <w:t>17.2%</w:t>
            </w:r>
          </w:p>
        </w:tc>
        <w:tc>
          <w:tcPr>
            <w:tcW w:w="120" w:type="dxa"/>
            <w:vAlign w:val="bottom"/>
          </w:tcPr>
          <w:p>
            <w:pPr>
              <w:spacing w:after="0"/>
              <w:rPr>
                <w:sz w:val="21"/>
                <w:szCs w:val="21"/>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22.4%</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20.2%</w:t>
            </w:r>
          </w:p>
        </w:tc>
        <w:tc>
          <w:tcPr>
            <w:tcW w:w="100" w:type="dxa"/>
            <w:vAlign w:val="bottom"/>
          </w:tcPr>
          <w:p>
            <w:pPr>
              <w:spacing w:after="0"/>
              <w:rPr>
                <w:sz w:val="21"/>
                <w:szCs w:val="21"/>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20.5%</w:t>
            </w:r>
          </w:p>
        </w:tc>
      </w:tr>
      <w:tr>
        <w:trPr>
          <w:trHeight w:val="27"/>
        </w:trPr>
        <w:tc>
          <w:tcPr>
            <w:tcW w:w="53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536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Toshiba</w:t>
            </w:r>
          </w:p>
        </w:tc>
        <w:tc>
          <w:tcPr>
            <w:tcW w:w="13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13.6%</w:t>
            </w:r>
          </w:p>
        </w:tc>
        <w:tc>
          <w:tcPr>
            <w:tcW w:w="1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13.7%</w:t>
            </w: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14.0%</w:t>
            </w:r>
          </w:p>
        </w:tc>
        <w:tc>
          <w:tcPr>
            <w:tcW w:w="1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13.2%</w:t>
            </w:r>
          </w:p>
        </w:tc>
      </w:tr>
      <w:tr>
        <w:trPr>
          <w:trHeight w:val="243"/>
        </w:trPr>
        <w:tc>
          <w:tcPr>
            <w:tcW w:w="5360" w:type="dxa"/>
            <w:vAlign w:val="bottom"/>
          </w:tcPr>
          <w:p>
            <w:pPr>
              <w:ind w:left="380"/>
              <w:spacing w:after="0"/>
              <w:rPr>
                <w:sz w:val="20"/>
                <w:szCs w:val="20"/>
                <w:color w:val="auto"/>
              </w:rPr>
            </w:pPr>
            <w:r>
              <w:rPr>
                <w:rFonts w:ascii="Arial" w:cs="Arial" w:eastAsia="Arial" w:hAnsi="Arial"/>
                <w:sz w:val="18"/>
                <w:szCs w:val="18"/>
                <w:color w:val="auto"/>
              </w:rPr>
              <w:t>Seagate</w:t>
            </w:r>
          </w:p>
        </w:tc>
        <w:tc>
          <w:tcPr>
            <w:tcW w:w="1380" w:type="dxa"/>
            <w:vAlign w:val="bottom"/>
          </w:tcPr>
          <w:p>
            <w:pPr>
              <w:jc w:val="right"/>
              <w:spacing w:after="0"/>
              <w:rPr>
                <w:sz w:val="20"/>
                <w:szCs w:val="20"/>
                <w:color w:val="auto"/>
              </w:rPr>
            </w:pPr>
            <w:r>
              <w:rPr>
                <w:rFonts w:ascii="Arial" w:cs="Arial" w:eastAsia="Arial" w:hAnsi="Arial"/>
                <w:sz w:val="18"/>
                <w:szCs w:val="18"/>
                <w:color w:val="auto"/>
              </w:rPr>
              <w:t>12.3%</w:t>
            </w:r>
          </w:p>
        </w:tc>
        <w:tc>
          <w:tcPr>
            <w:tcW w:w="120" w:type="dxa"/>
            <w:vAlign w:val="bottom"/>
          </w:tcPr>
          <w:p>
            <w:pPr>
              <w:spacing w:after="0"/>
              <w:rPr>
                <w:sz w:val="21"/>
                <w:szCs w:val="21"/>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10.5%</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10.9%</w:t>
            </w:r>
          </w:p>
        </w:tc>
        <w:tc>
          <w:tcPr>
            <w:tcW w:w="100" w:type="dxa"/>
            <w:vAlign w:val="bottom"/>
          </w:tcPr>
          <w:p>
            <w:pPr>
              <w:spacing w:after="0"/>
              <w:rPr>
                <w:sz w:val="21"/>
                <w:szCs w:val="21"/>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9.8%</w:t>
            </w:r>
          </w:p>
        </w:tc>
      </w:tr>
      <w:tr>
        <w:trPr>
          <w:trHeight w:val="27"/>
        </w:trPr>
        <w:tc>
          <w:tcPr>
            <w:tcW w:w="53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0" w:type="dxa"/>
            <w:vAlign w:val="bottom"/>
          </w:tcPr>
          <w:p>
            <w:pPr>
              <w:spacing w:after="0"/>
              <w:rPr>
                <w:sz w:val="2"/>
                <w:szCs w:val="2"/>
                <w:color w:val="auto"/>
              </w:rPr>
            </w:pPr>
          </w:p>
        </w:tc>
      </w:tr>
      <w:tr>
        <w:trPr>
          <w:trHeight w:val="250"/>
        </w:trPr>
        <w:tc>
          <w:tcPr>
            <w:tcW w:w="53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Distributor:</w:t>
            </w:r>
          </w:p>
        </w:tc>
        <w:tc>
          <w:tcPr>
            <w:tcW w:w="138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r>
      <w:tr>
        <w:trPr>
          <w:trHeight w:val="243"/>
        </w:trPr>
        <w:tc>
          <w:tcPr>
            <w:tcW w:w="5360" w:type="dxa"/>
            <w:vAlign w:val="bottom"/>
          </w:tcPr>
          <w:p>
            <w:pPr>
              <w:ind w:left="380"/>
              <w:spacing w:after="0"/>
              <w:rPr>
                <w:sz w:val="20"/>
                <w:szCs w:val="20"/>
                <w:color w:val="auto"/>
              </w:rPr>
            </w:pPr>
            <w:r>
              <w:rPr>
                <w:rFonts w:ascii="Arial" w:cs="Arial" w:eastAsia="Arial" w:hAnsi="Arial"/>
                <w:sz w:val="18"/>
                <w:szCs w:val="18"/>
                <w:color w:val="auto"/>
              </w:rPr>
              <w:t>Wintech</w:t>
            </w:r>
          </w:p>
        </w:tc>
        <w:tc>
          <w:tcPr>
            <w:tcW w:w="1380" w:type="dxa"/>
            <w:vAlign w:val="bottom"/>
          </w:tcPr>
          <w:p>
            <w:pPr>
              <w:jc w:val="right"/>
              <w:spacing w:after="0"/>
              <w:rPr>
                <w:sz w:val="20"/>
                <w:szCs w:val="20"/>
                <w:color w:val="auto"/>
              </w:rPr>
            </w:pPr>
            <w:r>
              <w:rPr>
                <w:rFonts w:ascii="Arial" w:cs="Arial" w:eastAsia="Arial" w:hAnsi="Arial"/>
                <w:sz w:val="18"/>
                <w:szCs w:val="18"/>
                <w:color w:val="auto"/>
              </w:rPr>
              <w:t>11.3%</w:t>
            </w:r>
          </w:p>
        </w:tc>
        <w:tc>
          <w:tcPr>
            <w:tcW w:w="120" w:type="dxa"/>
            <w:vAlign w:val="bottom"/>
          </w:tcPr>
          <w:p>
            <w:pPr>
              <w:spacing w:after="0"/>
              <w:rPr>
                <w:sz w:val="21"/>
                <w:szCs w:val="21"/>
                <w:color w:val="auto"/>
              </w:rPr>
            </w:pPr>
          </w:p>
        </w:tc>
        <w:tc>
          <w:tcPr>
            <w:tcW w:w="1400" w:type="dxa"/>
            <w:vAlign w:val="bottom"/>
          </w:tcPr>
          <w:p>
            <w:pPr>
              <w:jc w:val="right"/>
              <w:ind w:right="94"/>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1"/>
                <w:szCs w:val="21"/>
                <w:color w:val="auto"/>
              </w:rPr>
            </w:pPr>
          </w:p>
        </w:tc>
        <w:tc>
          <w:tcPr>
            <w:tcW w:w="1420" w:type="dxa"/>
            <w:vAlign w:val="bottom"/>
          </w:tcPr>
          <w:p>
            <w:pPr>
              <w:jc w:val="right"/>
              <w:spacing w:after="0"/>
              <w:rPr>
                <w:sz w:val="20"/>
                <w:szCs w:val="20"/>
                <w:color w:val="auto"/>
              </w:rPr>
            </w:pPr>
            <w:r>
              <w:rPr>
                <w:rFonts w:ascii="Arial" w:cs="Arial" w:eastAsia="Arial" w:hAnsi="Arial"/>
                <w:sz w:val="18"/>
                <w:szCs w:val="18"/>
                <w:color w:val="auto"/>
              </w:rPr>
              <w:t>10.9%</w:t>
            </w:r>
          </w:p>
        </w:tc>
        <w:tc>
          <w:tcPr>
            <w:tcW w:w="100" w:type="dxa"/>
            <w:vAlign w:val="bottom"/>
          </w:tcPr>
          <w:p>
            <w:pPr>
              <w:spacing w:after="0"/>
              <w:rPr>
                <w:sz w:val="21"/>
                <w:szCs w:val="21"/>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9.6%</w:t>
            </w:r>
          </w:p>
        </w:tc>
      </w:tr>
    </w:tbl>
    <w:p>
      <w:pPr>
        <w:spacing w:after="0" w:line="200" w:lineRule="exact"/>
        <w:rPr>
          <w:sz w:val="20"/>
          <w:szCs w:val="20"/>
          <w:color w:val="auto"/>
        </w:rPr>
      </w:pPr>
    </w:p>
    <w:p>
      <w:pPr>
        <w:spacing w:after="0" w:line="380" w:lineRule="exact"/>
        <w:rPr>
          <w:sz w:val="20"/>
          <w:szCs w:val="20"/>
          <w:color w:val="auto"/>
        </w:rPr>
      </w:pPr>
    </w:p>
    <w:p>
      <w:pPr>
        <w:ind w:left="720" w:right="60" w:hanging="685"/>
        <w:spacing w:after="0" w:line="277" w:lineRule="auto"/>
        <w:tabs>
          <w:tab w:leader="none" w:pos="72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percentage of net revenue reported for Western Digital in the three and nine months ended October 28, 2017 and October 29, 2016 includes net revenue of HGST and Sandisk which became subsidiaries of Western Digital in late fiscal 2016.</w:t>
      </w:r>
    </w:p>
    <w:p>
      <w:pPr>
        <w:spacing w:after="0" w:line="8" w:lineRule="exact"/>
        <w:rPr>
          <w:sz w:val="20"/>
          <w:szCs w:val="20"/>
          <w:color w:val="auto"/>
        </w:rPr>
      </w:pPr>
    </w:p>
    <w:p>
      <w:pPr>
        <w:ind w:left="720" w:hanging="685"/>
        <w:spacing w:after="0"/>
        <w:tabs>
          <w:tab w:leader="none" w:pos="720" w:val="left"/>
        </w:tabs>
        <w:numPr>
          <w:ilvl w:val="0"/>
          <w:numId w:val="6"/>
        </w:numPr>
        <w:rPr>
          <w:rFonts w:ascii="Arial" w:cs="Arial" w:eastAsia="Arial" w:hAnsi="Arial"/>
          <w:sz w:val="18"/>
          <w:szCs w:val="18"/>
          <w:color w:val="auto"/>
        </w:rPr>
      </w:pPr>
      <w:r>
        <w:rPr>
          <w:rFonts w:ascii="Arial" w:cs="Arial" w:eastAsia="Arial" w:hAnsi="Arial"/>
          <w:sz w:val="18"/>
          <w:szCs w:val="18"/>
          <w:color w:val="auto"/>
        </w:rPr>
        <w:t>Less than 10% of net revenue</w:t>
      </w:r>
    </w:p>
    <w:p>
      <w:pPr>
        <w:spacing w:after="0" w:line="198" w:lineRule="exact"/>
        <w:rPr>
          <w:sz w:val="20"/>
          <w:szCs w:val="20"/>
          <w:color w:val="auto"/>
        </w:rPr>
      </w:pPr>
    </w:p>
    <w:p>
      <w:pPr>
        <w:ind w:right="200" w:firstLine="405"/>
        <w:spacing w:after="0" w:line="277" w:lineRule="auto"/>
        <w:rPr>
          <w:sz w:val="20"/>
          <w:szCs w:val="20"/>
          <w:color w:val="auto"/>
        </w:rPr>
      </w:pPr>
      <w:r>
        <w:rPr>
          <w:rFonts w:ascii="Arial" w:cs="Arial" w:eastAsia="Arial" w:hAnsi="Arial"/>
          <w:sz w:val="18"/>
          <w:szCs w:val="18"/>
          <w:color w:val="auto"/>
        </w:rPr>
        <w:t>We continuously monitor the creditworthiness of our major customers and distributors and believe the distributors’ sales to diverse end customers and geographies further serve to mitigate our exposure to credit risk.</w:t>
      </w:r>
    </w:p>
    <w:p>
      <w:pPr>
        <w:spacing w:after="0" w:line="116" w:lineRule="exact"/>
        <w:rPr>
          <w:sz w:val="20"/>
          <w:szCs w:val="20"/>
          <w:color w:val="auto"/>
        </w:rPr>
      </w:pPr>
    </w:p>
    <w:p>
      <w:pPr>
        <w:ind w:right="40" w:firstLine="405"/>
        <w:spacing w:after="0" w:line="271" w:lineRule="auto"/>
        <w:rPr>
          <w:sz w:val="20"/>
          <w:szCs w:val="20"/>
          <w:color w:val="auto"/>
        </w:rPr>
      </w:pPr>
      <w:r>
        <w:rPr>
          <w:rFonts w:ascii="Arial" w:cs="Arial" w:eastAsia="Arial" w:hAnsi="Arial"/>
          <w:sz w:val="17"/>
          <w:szCs w:val="17"/>
          <w:color w:val="auto"/>
        </w:rPr>
        <w:t>Most of our sales are made to customers located outside of the United States, primarily in Asia, and all of our products are manufactured outside the United States. Sales shipped to customers with operations in Asia represented approximately 94% of our net revenue in the three and nine months ended October 28, 2017, respectively and approximately 94% of net revenue in both the three and nine months ended October 29, 2016, respectively. Because many manufacturers and manufacturing subcontractors of our customers are located in Asia, we expect that most of our net revenue will continue to be represented by sales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 face additional risks due to the extent of our global operations since a majority of our products, and those of our customers,</w:t>
      </w:r>
      <w:r>
        <w:rPr>
          <w:rFonts w:ascii="Arial" w:cs="Arial" w:eastAsia="Arial" w:hAnsi="Arial"/>
          <w:sz w:val="17"/>
          <w:szCs w:val="17"/>
          <w:color w:val="auto"/>
        </w:rPr>
        <w:t xml:space="preserve"> </w:t>
      </w:r>
      <w:r>
        <w:rPr>
          <w:rFonts w:ascii="Arial" w:cs="Arial" w:eastAsia="Arial" w:hAnsi="Arial"/>
          <w:sz w:val="17"/>
          <w:szCs w:val="17"/>
          <w:i w:val="1"/>
          <w:iCs w:val="1"/>
          <w:color w:val="auto"/>
        </w:rPr>
        <w:t>are manufactured and sold outside of the United States. The occurrence of any or a combination of the additional risks described below would significantly and negatively impact our business and results of operations."</w:t>
      </w:r>
    </w:p>
    <w:p>
      <w:pPr>
        <w:spacing w:after="0" w:line="71" w:lineRule="exact"/>
        <w:rPr>
          <w:sz w:val="20"/>
          <w:szCs w:val="20"/>
          <w:color w:val="auto"/>
        </w:rPr>
      </w:pPr>
    </w:p>
    <w:p>
      <w:pPr>
        <w:ind w:firstLine="392"/>
        <w:spacing w:after="0" w:line="291" w:lineRule="auto"/>
        <w:rPr>
          <w:sz w:val="20"/>
          <w:szCs w:val="20"/>
          <w:color w:val="auto"/>
        </w:rPr>
      </w:pPr>
      <w:r>
        <w:rPr>
          <w:rFonts w:ascii="Arial" w:cs="Arial" w:eastAsia="Arial" w:hAnsi="Arial"/>
          <w:sz w:val="16"/>
          <w:szCs w:val="16"/>
          <w:color w:val="auto"/>
        </w:rPr>
        <w:t>Historically, a relatively large portion of our sales have been made on the basis of purchase orders rather than long-term agreements. Customers can generally cancel or defer purchase orders on short notice without incurring a significant penalty. In addition, the development process for our products is long, which may cause us to experience a delay between the time we incur expenses and the time revenue is generated from these expenditures. We anticipate that the rate of new orders may vary significantly from quarter to quarter. For risks related to our sales cycles, see Part II, Item 1A, “Risk Factors,” including but not limited to the risk detailed under the caption "</w:t>
      </w:r>
      <w:r>
        <w:rPr>
          <w:rFonts w:ascii="Arial" w:cs="Arial" w:eastAsia="Arial" w:hAnsi="Arial"/>
          <w:sz w:val="16"/>
          <w:szCs w:val="16"/>
          <w:i w:val="1"/>
          <w:iCs w:val="1"/>
          <w:color w:val="auto"/>
        </w:rPr>
        <w:t>We are subject to order and shipment uncertainties. If we are unable to accurately predict customer demand,</w:t>
      </w:r>
      <w:r>
        <w:rPr>
          <w:rFonts w:ascii="Arial" w:cs="Arial" w:eastAsia="Arial" w:hAnsi="Arial"/>
          <w:sz w:val="16"/>
          <w:szCs w:val="16"/>
          <w:color w:val="auto"/>
        </w:rPr>
        <w:t xml:space="preserve"> </w:t>
      </w:r>
      <w:r>
        <w:rPr>
          <w:rFonts w:ascii="Arial" w:cs="Arial" w:eastAsia="Arial" w:hAnsi="Arial"/>
          <w:sz w:val="16"/>
          <w:szCs w:val="16"/>
          <w:i w:val="1"/>
          <w:iCs w:val="1"/>
          <w:color w:val="auto"/>
        </w:rPr>
        <w:t>we may hold excess or obsolete inventory, which would reduce our gross margin. Conversely, we may have insufficient inventory, which would results in lost revenue opportunities and potential loss of market share as well as damaged customer relationships."</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20"/>
          </w:cols>
          <w:pgMar w:left="240" w:top="140" w:right="239" w:bottom="1440" w:gutter="0" w:footer="0" w:header="0"/>
        </w:sectPr>
      </w:pPr>
    </w:p>
    <w:bookmarkStart w:id="26" w:name="page27"/>
    <w:bookmarkEnd w:id="2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29" w:lineRule="exact"/>
        <w:rPr>
          <w:sz w:val="20"/>
          <w:szCs w:val="20"/>
          <w:color w:val="auto"/>
        </w:rPr>
      </w:pPr>
    </w:p>
    <w:p>
      <w:pPr>
        <w:ind w:firstLine="405"/>
        <w:spacing w:after="0" w:line="264" w:lineRule="auto"/>
        <w:rPr>
          <w:sz w:val="20"/>
          <w:szCs w:val="20"/>
          <w:color w:val="auto"/>
        </w:rPr>
      </w:pPr>
      <w:r>
        <w:rPr>
          <w:rFonts w:ascii="Arial" w:cs="Arial" w:eastAsia="Arial" w:hAnsi="Arial"/>
          <w:sz w:val="18"/>
          <w:szCs w:val="18"/>
          <w:color w:val="auto"/>
        </w:rPr>
        <w:t>There have been no material changes to our critical accounting policies and estimates from the information provided in the “Critical Accounting Policies and Estimates” section of our Management’s Discussion and Analysis of Financial Condition and Results of Operations included in our Annual Report on Form 10-K for the fiscal year ended January 28, 2017.</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4" w:lineRule="exact"/>
        <w:rPr>
          <w:sz w:val="20"/>
          <w:szCs w:val="20"/>
          <w:color w:val="auto"/>
        </w:rPr>
      </w:pPr>
    </w:p>
    <w:p>
      <w:pPr>
        <w:ind w:right="60" w:firstLine="405"/>
        <w:spacing w:after="0" w:line="277"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36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980" w:type="dxa"/>
            <w:vAlign w:val="bottom"/>
          </w:tcPr>
          <w:p>
            <w:pPr>
              <w:spacing w:after="0"/>
              <w:rPr>
                <w:sz w:val="16"/>
                <w:szCs w:val="16"/>
                <w:color w:val="auto"/>
              </w:rPr>
            </w:pPr>
          </w:p>
        </w:tc>
        <w:tc>
          <w:tcPr>
            <w:tcW w:w="3160" w:type="dxa"/>
            <w:vAlign w:val="bottom"/>
            <w:tcBorders>
              <w:bottom w:val="single" w:sz="8" w:color="auto"/>
            </w:tcBorders>
            <w:gridSpan w:val="3"/>
          </w:tcPr>
          <w:p>
            <w:pPr>
              <w:jc w:val="right"/>
              <w:ind w:right="831"/>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3180" w:type="dxa"/>
            <w:vAlign w:val="bottom"/>
            <w:tcBorders>
              <w:bottom w:val="single" w:sz="8" w:color="auto"/>
            </w:tcBorders>
            <w:gridSpan w:val="3"/>
          </w:tcPr>
          <w:p>
            <w:pPr>
              <w:jc w:val="right"/>
              <w:ind w:right="871"/>
              <w:spacing w:after="0"/>
              <w:rPr>
                <w:sz w:val="20"/>
                <w:szCs w:val="20"/>
                <w:color w:val="auto"/>
              </w:rPr>
            </w:pPr>
            <w:r>
              <w:rPr>
                <w:rFonts w:ascii="Arial" w:cs="Arial" w:eastAsia="Arial" w:hAnsi="Arial"/>
                <w:sz w:val="14"/>
                <w:szCs w:val="14"/>
                <w:b w:val="1"/>
                <w:bCs w:val="1"/>
                <w:color w:val="auto"/>
              </w:rPr>
              <w:t>Nine Months Ended</w:t>
            </w:r>
          </w:p>
        </w:tc>
      </w:tr>
      <w:tr>
        <w:trPr>
          <w:trHeight w:val="264"/>
        </w:trPr>
        <w:tc>
          <w:tcPr>
            <w:tcW w:w="4980" w:type="dxa"/>
            <w:vAlign w:val="bottom"/>
          </w:tcPr>
          <w:p>
            <w:pPr>
              <w:spacing w:after="0"/>
              <w:rPr>
                <w:sz w:val="22"/>
                <w:szCs w:val="22"/>
                <w:color w:val="auto"/>
              </w:rPr>
            </w:pPr>
          </w:p>
        </w:tc>
        <w:tc>
          <w:tcPr>
            <w:tcW w:w="1640" w:type="dxa"/>
            <w:vAlign w:val="bottom"/>
            <w:gridSpan w:val="2"/>
          </w:tcPr>
          <w:p>
            <w:pPr>
              <w:ind w:left="240"/>
              <w:spacing w:after="0"/>
              <w:rPr>
                <w:sz w:val="20"/>
                <w:szCs w:val="20"/>
                <w:color w:val="auto"/>
              </w:rPr>
            </w:pPr>
            <w:r>
              <w:rPr>
                <w:rFonts w:ascii="Arial" w:cs="Arial" w:eastAsia="Arial" w:hAnsi="Arial"/>
                <w:sz w:val="14"/>
                <w:szCs w:val="14"/>
                <w:b w:val="1"/>
                <w:bCs w:val="1"/>
                <w:color w:val="auto"/>
              </w:rPr>
              <w:t>October 28, 2017</w:t>
            </w:r>
          </w:p>
        </w:tc>
        <w:tc>
          <w:tcPr>
            <w:tcW w:w="1620" w:type="dxa"/>
            <w:vAlign w:val="bottom"/>
            <w:gridSpan w:val="2"/>
          </w:tcPr>
          <w:p>
            <w:pPr>
              <w:ind w:left="240"/>
              <w:spacing w:after="0"/>
              <w:rPr>
                <w:sz w:val="20"/>
                <w:szCs w:val="20"/>
                <w:color w:val="auto"/>
              </w:rPr>
            </w:pPr>
            <w:r>
              <w:rPr>
                <w:rFonts w:ascii="Arial" w:cs="Arial" w:eastAsia="Arial" w:hAnsi="Arial"/>
                <w:sz w:val="14"/>
                <w:szCs w:val="14"/>
                <w:b w:val="1"/>
                <w:bCs w:val="1"/>
                <w:color w:val="auto"/>
              </w:rPr>
              <w:t>October 29, 2016</w:t>
            </w:r>
          </w:p>
        </w:tc>
        <w:tc>
          <w:tcPr>
            <w:tcW w:w="1640" w:type="dxa"/>
            <w:vAlign w:val="bottom"/>
            <w:gridSpan w:val="2"/>
          </w:tcPr>
          <w:p>
            <w:pPr>
              <w:ind w:left="240"/>
              <w:spacing w:after="0"/>
              <w:rPr>
                <w:sz w:val="20"/>
                <w:szCs w:val="20"/>
                <w:color w:val="auto"/>
              </w:rPr>
            </w:pPr>
            <w:r>
              <w:rPr>
                <w:rFonts w:ascii="Arial" w:cs="Arial" w:eastAsia="Arial" w:hAnsi="Arial"/>
                <w:sz w:val="14"/>
                <w:szCs w:val="14"/>
                <w:b w:val="1"/>
                <w:bCs w:val="1"/>
                <w:color w:val="auto"/>
              </w:rPr>
              <w:t>October 28, 2017</w:t>
            </w:r>
          </w:p>
        </w:tc>
        <w:tc>
          <w:tcPr>
            <w:tcW w:w="1540" w:type="dxa"/>
            <w:vAlign w:val="bottom"/>
          </w:tcPr>
          <w:p>
            <w:pPr>
              <w:jc w:val="right"/>
              <w:ind w:right="151"/>
              <w:spacing w:after="0"/>
              <w:rPr>
                <w:sz w:val="20"/>
                <w:szCs w:val="20"/>
                <w:color w:val="auto"/>
              </w:rPr>
            </w:pPr>
            <w:r>
              <w:rPr>
                <w:rFonts w:ascii="Arial" w:cs="Arial" w:eastAsia="Arial" w:hAnsi="Arial"/>
                <w:sz w:val="14"/>
                <w:szCs w:val="14"/>
                <w:b w:val="1"/>
                <w:bCs w:val="1"/>
                <w:color w:val="auto"/>
              </w:rPr>
              <w:t>October 29, 2016</w:t>
            </w:r>
          </w:p>
        </w:tc>
      </w:tr>
      <w:tr>
        <w:trPr>
          <w:trHeight w:val="250"/>
        </w:trPr>
        <w:tc>
          <w:tcPr>
            <w:tcW w:w="498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5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5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5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100.0%</w:t>
            </w:r>
          </w:p>
        </w:tc>
      </w:tr>
      <w:tr>
        <w:trPr>
          <w:trHeight w:val="243"/>
        </w:trPr>
        <w:tc>
          <w:tcPr>
            <w:tcW w:w="498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1520" w:type="dxa"/>
            <w:vAlign w:val="bottom"/>
          </w:tcPr>
          <w:p>
            <w:pPr>
              <w:jc w:val="right"/>
              <w:ind w:right="93"/>
              <w:spacing w:after="0"/>
              <w:rPr>
                <w:sz w:val="20"/>
                <w:szCs w:val="20"/>
                <w:color w:val="auto"/>
              </w:rPr>
            </w:pPr>
            <w:r>
              <w:rPr>
                <w:rFonts w:ascii="Arial" w:cs="Arial" w:eastAsia="Arial" w:hAnsi="Arial"/>
                <w:sz w:val="18"/>
                <w:szCs w:val="18"/>
                <w:color w:val="auto"/>
              </w:rPr>
              <w:t>38.7</w:t>
            </w:r>
          </w:p>
        </w:tc>
        <w:tc>
          <w:tcPr>
            <w:tcW w:w="120" w:type="dxa"/>
            <w:vAlign w:val="bottom"/>
          </w:tcPr>
          <w:p>
            <w:pPr>
              <w:spacing w:after="0"/>
              <w:rPr>
                <w:sz w:val="21"/>
                <w:szCs w:val="21"/>
                <w:color w:val="auto"/>
              </w:rPr>
            </w:pPr>
          </w:p>
        </w:tc>
        <w:tc>
          <w:tcPr>
            <w:tcW w:w="1520" w:type="dxa"/>
            <w:vAlign w:val="bottom"/>
          </w:tcPr>
          <w:p>
            <w:pPr>
              <w:jc w:val="right"/>
              <w:ind w:right="111"/>
              <w:spacing w:after="0"/>
              <w:rPr>
                <w:sz w:val="20"/>
                <w:szCs w:val="20"/>
                <w:color w:val="auto"/>
              </w:rPr>
            </w:pPr>
            <w:r>
              <w:rPr>
                <w:rFonts w:ascii="Arial" w:cs="Arial" w:eastAsia="Arial" w:hAnsi="Arial"/>
                <w:sz w:val="18"/>
                <w:szCs w:val="18"/>
                <w:color w:val="auto"/>
              </w:rPr>
              <w:t>42.8</w:t>
            </w:r>
          </w:p>
        </w:tc>
        <w:tc>
          <w:tcPr>
            <w:tcW w:w="100" w:type="dxa"/>
            <w:vAlign w:val="bottom"/>
          </w:tcPr>
          <w:p>
            <w:pPr>
              <w:spacing w:after="0"/>
              <w:rPr>
                <w:sz w:val="21"/>
                <w:szCs w:val="21"/>
                <w:color w:val="auto"/>
              </w:rPr>
            </w:pPr>
          </w:p>
        </w:tc>
        <w:tc>
          <w:tcPr>
            <w:tcW w:w="1540" w:type="dxa"/>
            <w:vAlign w:val="bottom"/>
          </w:tcPr>
          <w:p>
            <w:pPr>
              <w:jc w:val="right"/>
              <w:ind w:right="113"/>
              <w:spacing w:after="0"/>
              <w:rPr>
                <w:sz w:val="20"/>
                <w:szCs w:val="20"/>
                <w:color w:val="auto"/>
              </w:rPr>
            </w:pPr>
            <w:r>
              <w:rPr>
                <w:rFonts w:ascii="Arial" w:cs="Arial" w:eastAsia="Arial" w:hAnsi="Arial"/>
                <w:sz w:val="18"/>
                <w:szCs w:val="18"/>
                <w:color w:val="auto"/>
              </w:rPr>
              <w:t>39.3</w:t>
            </w:r>
          </w:p>
        </w:tc>
        <w:tc>
          <w:tcPr>
            <w:tcW w:w="100" w:type="dxa"/>
            <w:vAlign w:val="bottom"/>
          </w:tcPr>
          <w:p>
            <w:pPr>
              <w:spacing w:after="0"/>
              <w:rPr>
                <w:sz w:val="21"/>
                <w:szCs w:val="21"/>
                <w:color w:val="auto"/>
              </w:rPr>
            </w:pPr>
          </w:p>
        </w:tc>
        <w:tc>
          <w:tcPr>
            <w:tcW w:w="1540" w:type="dxa"/>
            <w:vAlign w:val="bottom"/>
          </w:tcPr>
          <w:p>
            <w:pPr>
              <w:jc w:val="right"/>
              <w:ind w:right="91"/>
              <w:spacing w:after="0"/>
              <w:rPr>
                <w:sz w:val="20"/>
                <w:szCs w:val="20"/>
                <w:color w:val="auto"/>
              </w:rPr>
            </w:pPr>
            <w:r>
              <w:rPr>
                <w:rFonts w:ascii="Arial" w:cs="Arial" w:eastAsia="Arial" w:hAnsi="Arial"/>
                <w:sz w:val="18"/>
                <w:szCs w:val="18"/>
                <w:color w:val="auto"/>
              </w:rPr>
              <w:t>44.8</w:t>
            </w:r>
          </w:p>
        </w:tc>
      </w:tr>
      <w:tr>
        <w:trPr>
          <w:trHeight w:val="27"/>
        </w:trPr>
        <w:tc>
          <w:tcPr>
            <w:tcW w:w="498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r>
      <w:tr>
        <w:trPr>
          <w:trHeight w:val="244"/>
        </w:trPr>
        <w:tc>
          <w:tcPr>
            <w:tcW w:w="4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52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61.3</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57.2</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13"/>
              <w:spacing w:after="0"/>
              <w:rPr>
                <w:sz w:val="20"/>
                <w:szCs w:val="20"/>
                <w:color w:val="auto"/>
              </w:rPr>
            </w:pPr>
            <w:r>
              <w:rPr>
                <w:rFonts w:ascii="Arial" w:cs="Arial" w:eastAsia="Arial" w:hAnsi="Arial"/>
                <w:sz w:val="18"/>
                <w:szCs w:val="18"/>
                <w:color w:val="auto"/>
              </w:rPr>
              <w:t>60.7</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55.2</w:t>
            </w:r>
          </w:p>
        </w:tc>
      </w:tr>
      <w:tr>
        <w:trPr>
          <w:trHeight w:val="243"/>
        </w:trPr>
        <w:tc>
          <w:tcPr>
            <w:tcW w:w="4980" w:type="dxa"/>
            <w:vAlign w:val="bottom"/>
          </w:tcPr>
          <w:p>
            <w:pPr>
              <w:ind w:left="40"/>
              <w:spacing w:after="0"/>
              <w:rPr>
                <w:sz w:val="20"/>
                <w:szCs w:val="20"/>
                <w:color w:val="auto"/>
              </w:rPr>
            </w:pPr>
            <w:r>
              <w:rPr>
                <w:rFonts w:ascii="Arial" w:cs="Arial" w:eastAsia="Arial" w:hAnsi="Arial"/>
                <w:sz w:val="18"/>
                <w:szCs w:val="18"/>
                <w:color w:val="auto"/>
              </w:rPr>
              <w:t>Operating expenses:</w:t>
            </w:r>
          </w:p>
        </w:tc>
        <w:tc>
          <w:tcPr>
            <w:tcW w:w="15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5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4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40" w:type="dxa"/>
            <w:vAlign w:val="bottom"/>
          </w:tcPr>
          <w:p>
            <w:pPr>
              <w:spacing w:after="0"/>
              <w:rPr>
                <w:sz w:val="21"/>
                <w:szCs w:val="21"/>
                <w:color w:val="auto"/>
              </w:rPr>
            </w:pPr>
          </w:p>
        </w:tc>
      </w:tr>
      <w:tr>
        <w:trPr>
          <w:trHeight w:val="27"/>
        </w:trPr>
        <w:tc>
          <w:tcPr>
            <w:tcW w:w="498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50"/>
        </w:trPr>
        <w:tc>
          <w:tcPr>
            <w:tcW w:w="49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Research and development</w:t>
            </w:r>
          </w:p>
        </w:tc>
        <w:tc>
          <w:tcPr>
            <w:tcW w:w="152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26.8</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32.5</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13"/>
              <w:spacing w:after="0"/>
              <w:rPr>
                <w:sz w:val="20"/>
                <w:szCs w:val="20"/>
                <w:color w:val="auto"/>
              </w:rPr>
            </w:pPr>
            <w:r>
              <w:rPr>
                <w:rFonts w:ascii="Arial" w:cs="Arial" w:eastAsia="Arial" w:hAnsi="Arial"/>
                <w:sz w:val="18"/>
                <w:szCs w:val="18"/>
                <w:color w:val="auto"/>
              </w:rPr>
              <w:t>29.8</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36.3</w:t>
            </w:r>
          </w:p>
        </w:tc>
      </w:tr>
      <w:tr>
        <w:trPr>
          <w:trHeight w:val="243"/>
        </w:trPr>
        <w:tc>
          <w:tcPr>
            <w:tcW w:w="4980" w:type="dxa"/>
            <w:vAlign w:val="bottom"/>
          </w:tcPr>
          <w:p>
            <w:pPr>
              <w:ind w:left="380"/>
              <w:spacing w:after="0"/>
              <w:rPr>
                <w:sz w:val="20"/>
                <w:szCs w:val="20"/>
                <w:color w:val="auto"/>
              </w:rPr>
            </w:pPr>
            <w:r>
              <w:rPr>
                <w:rFonts w:ascii="Arial" w:cs="Arial" w:eastAsia="Arial" w:hAnsi="Arial"/>
                <w:sz w:val="18"/>
                <w:szCs w:val="18"/>
                <w:color w:val="auto"/>
              </w:rPr>
              <w:t>Selling, general and administrative</w:t>
            </w:r>
          </w:p>
        </w:tc>
        <w:tc>
          <w:tcPr>
            <w:tcW w:w="1520" w:type="dxa"/>
            <w:vAlign w:val="bottom"/>
          </w:tcPr>
          <w:p>
            <w:pPr>
              <w:jc w:val="right"/>
              <w:ind w:right="93"/>
              <w:spacing w:after="0"/>
              <w:rPr>
                <w:sz w:val="20"/>
                <w:szCs w:val="20"/>
                <w:color w:val="auto"/>
              </w:rPr>
            </w:pPr>
            <w:r>
              <w:rPr>
                <w:rFonts w:ascii="Arial" w:cs="Arial" w:eastAsia="Arial" w:hAnsi="Arial"/>
                <w:sz w:val="18"/>
                <w:szCs w:val="18"/>
                <w:color w:val="auto"/>
              </w:rPr>
              <w:t>9.6</w:t>
            </w:r>
          </w:p>
        </w:tc>
        <w:tc>
          <w:tcPr>
            <w:tcW w:w="120" w:type="dxa"/>
            <w:vAlign w:val="bottom"/>
          </w:tcPr>
          <w:p>
            <w:pPr>
              <w:spacing w:after="0"/>
              <w:rPr>
                <w:sz w:val="21"/>
                <w:szCs w:val="21"/>
                <w:color w:val="auto"/>
              </w:rPr>
            </w:pPr>
          </w:p>
        </w:tc>
        <w:tc>
          <w:tcPr>
            <w:tcW w:w="1520" w:type="dxa"/>
            <w:vAlign w:val="bottom"/>
          </w:tcPr>
          <w:p>
            <w:pPr>
              <w:jc w:val="right"/>
              <w:ind w:right="111"/>
              <w:spacing w:after="0"/>
              <w:rPr>
                <w:sz w:val="20"/>
                <w:szCs w:val="20"/>
                <w:color w:val="auto"/>
              </w:rPr>
            </w:pPr>
            <w:r>
              <w:rPr>
                <w:rFonts w:ascii="Arial" w:cs="Arial" w:eastAsia="Arial" w:hAnsi="Arial"/>
                <w:sz w:val="18"/>
                <w:szCs w:val="18"/>
                <w:color w:val="auto"/>
              </w:rPr>
              <w:t>9.6</w:t>
            </w:r>
          </w:p>
        </w:tc>
        <w:tc>
          <w:tcPr>
            <w:tcW w:w="100" w:type="dxa"/>
            <w:vAlign w:val="bottom"/>
          </w:tcPr>
          <w:p>
            <w:pPr>
              <w:spacing w:after="0"/>
              <w:rPr>
                <w:sz w:val="21"/>
                <w:szCs w:val="21"/>
                <w:color w:val="auto"/>
              </w:rPr>
            </w:pPr>
          </w:p>
        </w:tc>
        <w:tc>
          <w:tcPr>
            <w:tcW w:w="1540" w:type="dxa"/>
            <w:vAlign w:val="bottom"/>
          </w:tcPr>
          <w:p>
            <w:pPr>
              <w:jc w:val="right"/>
              <w:ind w:right="113"/>
              <w:spacing w:after="0"/>
              <w:rPr>
                <w:sz w:val="20"/>
                <w:szCs w:val="20"/>
                <w:color w:val="auto"/>
              </w:rPr>
            </w:pPr>
            <w:r>
              <w:rPr>
                <w:rFonts w:ascii="Arial" w:cs="Arial" w:eastAsia="Arial" w:hAnsi="Arial"/>
                <w:sz w:val="18"/>
                <w:szCs w:val="18"/>
                <w:color w:val="auto"/>
              </w:rPr>
              <w:t>9.5</w:t>
            </w:r>
          </w:p>
        </w:tc>
        <w:tc>
          <w:tcPr>
            <w:tcW w:w="100" w:type="dxa"/>
            <w:vAlign w:val="bottom"/>
          </w:tcPr>
          <w:p>
            <w:pPr>
              <w:spacing w:after="0"/>
              <w:rPr>
                <w:sz w:val="21"/>
                <w:szCs w:val="21"/>
                <w:color w:val="auto"/>
              </w:rPr>
            </w:pPr>
          </w:p>
        </w:tc>
        <w:tc>
          <w:tcPr>
            <w:tcW w:w="1540" w:type="dxa"/>
            <w:vAlign w:val="bottom"/>
          </w:tcPr>
          <w:p>
            <w:pPr>
              <w:jc w:val="right"/>
              <w:ind w:right="91"/>
              <w:spacing w:after="0"/>
              <w:rPr>
                <w:sz w:val="20"/>
                <w:szCs w:val="20"/>
                <w:color w:val="auto"/>
              </w:rPr>
            </w:pPr>
            <w:r>
              <w:rPr>
                <w:rFonts w:ascii="Arial" w:cs="Arial" w:eastAsia="Arial" w:hAnsi="Arial"/>
                <w:sz w:val="18"/>
                <w:szCs w:val="18"/>
                <w:color w:val="auto"/>
              </w:rPr>
              <w:t>11.1</w:t>
            </w:r>
          </w:p>
        </w:tc>
      </w:tr>
      <w:tr>
        <w:trPr>
          <w:trHeight w:val="27"/>
        </w:trPr>
        <w:tc>
          <w:tcPr>
            <w:tcW w:w="498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540" w:type="dxa"/>
            <w:vAlign w:val="bottom"/>
          </w:tcPr>
          <w:p>
            <w:pPr>
              <w:spacing w:after="0"/>
              <w:rPr>
                <w:sz w:val="2"/>
                <w:szCs w:val="2"/>
                <w:color w:val="auto"/>
              </w:rPr>
            </w:pPr>
          </w:p>
        </w:tc>
      </w:tr>
      <w:tr>
        <w:trPr>
          <w:trHeight w:val="270"/>
        </w:trPr>
        <w:tc>
          <w:tcPr>
            <w:tcW w:w="4980" w:type="dxa"/>
            <w:vAlign w:val="bottom"/>
            <w:tcBorders>
              <w:bottom w:val="single" w:sz="8" w:color="CCEEFF"/>
            </w:tcBorders>
            <w:shd w:val="clear" w:color="auto" w:fill="CCEEFF"/>
          </w:tcPr>
          <w:p>
            <w:pPr>
              <w:ind w:left="380"/>
              <w:spacing w:after="0"/>
              <w:rPr>
                <w:sz w:val="20"/>
                <w:szCs w:val="20"/>
                <w:color w:val="auto"/>
              </w:rPr>
            </w:pPr>
            <w:r>
              <w:rPr>
                <w:rFonts w:ascii="Arial" w:cs="Arial" w:eastAsia="Arial" w:hAnsi="Arial"/>
                <w:sz w:val="18"/>
                <w:szCs w:val="18"/>
                <w:color w:val="auto"/>
              </w:rPr>
              <w:t>Restructuring related charges</w:t>
            </w:r>
          </w:p>
        </w:tc>
        <w:tc>
          <w:tcPr>
            <w:tcW w:w="152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0.5</w:t>
            </w:r>
          </w:p>
        </w:tc>
        <w:tc>
          <w:tcPr>
            <w:tcW w:w="120" w:type="dxa"/>
            <w:vAlign w:val="bottom"/>
            <w:tcBorders>
              <w:bottom w:val="single" w:sz="8" w:color="CCEEFF"/>
            </w:tcBorders>
            <w:shd w:val="clear" w:color="auto" w:fill="CCEEFF"/>
          </w:tcPr>
          <w:p>
            <w:pPr>
              <w:spacing w:after="0"/>
              <w:rPr>
                <w:sz w:val="23"/>
                <w:szCs w:val="23"/>
                <w:color w:val="auto"/>
              </w:rPr>
            </w:pPr>
          </w:p>
        </w:tc>
        <w:tc>
          <w:tcPr>
            <w:tcW w:w="152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0.2</w:t>
            </w:r>
          </w:p>
        </w:tc>
        <w:tc>
          <w:tcPr>
            <w:tcW w:w="100" w:type="dxa"/>
            <w:vAlign w:val="bottom"/>
            <w:tcBorders>
              <w:bottom w:val="single" w:sz="8" w:color="CCEEFF"/>
            </w:tcBorders>
            <w:shd w:val="clear" w:color="auto" w:fill="CCEEFF"/>
          </w:tcPr>
          <w:p>
            <w:pPr>
              <w:spacing w:after="0"/>
              <w:rPr>
                <w:sz w:val="23"/>
                <w:szCs w:val="23"/>
                <w:color w:val="auto"/>
              </w:rPr>
            </w:pPr>
          </w:p>
        </w:tc>
        <w:tc>
          <w:tcPr>
            <w:tcW w:w="1540" w:type="dxa"/>
            <w:vAlign w:val="bottom"/>
            <w:tcBorders>
              <w:bottom w:val="single" w:sz="8" w:color="CCEEFF"/>
            </w:tcBorders>
            <w:shd w:val="clear" w:color="auto" w:fill="CCEEFF"/>
          </w:tcPr>
          <w:p>
            <w:pPr>
              <w:jc w:val="right"/>
              <w:ind w:right="113"/>
              <w:spacing w:after="0"/>
              <w:rPr>
                <w:sz w:val="20"/>
                <w:szCs w:val="20"/>
                <w:color w:val="auto"/>
              </w:rPr>
            </w:pPr>
            <w:r>
              <w:rPr>
                <w:rFonts w:ascii="Arial" w:cs="Arial" w:eastAsia="Arial" w:hAnsi="Arial"/>
                <w:sz w:val="18"/>
                <w:szCs w:val="18"/>
                <w:color w:val="auto"/>
              </w:rPr>
              <w:t>0.5</w:t>
            </w:r>
          </w:p>
        </w:tc>
        <w:tc>
          <w:tcPr>
            <w:tcW w:w="100" w:type="dxa"/>
            <w:vAlign w:val="bottom"/>
            <w:tcBorders>
              <w:bottom w:val="single" w:sz="8" w:color="CCEEFF"/>
            </w:tcBorders>
            <w:shd w:val="clear" w:color="auto" w:fill="CCEEFF"/>
          </w:tcPr>
          <w:p>
            <w:pPr>
              <w:spacing w:after="0"/>
              <w:rPr>
                <w:sz w:val="23"/>
                <w:szCs w:val="23"/>
                <w:color w:val="auto"/>
              </w:rPr>
            </w:pPr>
          </w:p>
        </w:tc>
        <w:tc>
          <w:tcPr>
            <w:tcW w:w="15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0.3</w:t>
            </w:r>
          </w:p>
        </w:tc>
      </w:tr>
      <w:tr>
        <w:trPr>
          <w:trHeight w:val="237"/>
        </w:trPr>
        <w:tc>
          <w:tcPr>
            <w:tcW w:w="498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1520" w:type="dxa"/>
            <w:vAlign w:val="bottom"/>
            <w:tcBorders>
              <w:top w:val="single" w:sz="8" w:color="auto"/>
            </w:tcBorders>
          </w:tcPr>
          <w:p>
            <w:pPr>
              <w:jc w:val="right"/>
              <w:ind w:right="93"/>
              <w:spacing w:after="0"/>
              <w:rPr>
                <w:sz w:val="20"/>
                <w:szCs w:val="20"/>
                <w:color w:val="auto"/>
              </w:rPr>
            </w:pPr>
            <w:r>
              <w:rPr>
                <w:rFonts w:ascii="Arial" w:cs="Arial" w:eastAsia="Arial" w:hAnsi="Arial"/>
                <w:sz w:val="18"/>
                <w:szCs w:val="18"/>
                <w:color w:val="auto"/>
              </w:rPr>
              <w:t>36.9</w:t>
            </w:r>
          </w:p>
        </w:tc>
        <w:tc>
          <w:tcPr>
            <w:tcW w:w="120" w:type="dxa"/>
            <w:vAlign w:val="bottom"/>
          </w:tcPr>
          <w:p>
            <w:pPr>
              <w:spacing w:after="0"/>
              <w:rPr>
                <w:sz w:val="20"/>
                <w:szCs w:val="20"/>
                <w:color w:val="auto"/>
              </w:rPr>
            </w:pPr>
          </w:p>
        </w:tc>
        <w:tc>
          <w:tcPr>
            <w:tcW w:w="1520" w:type="dxa"/>
            <w:vAlign w:val="bottom"/>
            <w:tcBorders>
              <w:top w:val="single" w:sz="8" w:color="auto"/>
            </w:tcBorders>
          </w:tcPr>
          <w:p>
            <w:pPr>
              <w:jc w:val="right"/>
              <w:ind w:right="111"/>
              <w:spacing w:after="0"/>
              <w:rPr>
                <w:sz w:val="20"/>
                <w:szCs w:val="20"/>
                <w:color w:val="auto"/>
              </w:rPr>
            </w:pPr>
            <w:r>
              <w:rPr>
                <w:rFonts w:ascii="Arial" w:cs="Arial" w:eastAsia="Arial" w:hAnsi="Arial"/>
                <w:sz w:val="18"/>
                <w:szCs w:val="18"/>
                <w:color w:val="auto"/>
              </w:rPr>
              <w:t>42.3</w:t>
            </w:r>
          </w:p>
        </w:tc>
        <w:tc>
          <w:tcPr>
            <w:tcW w:w="100" w:type="dxa"/>
            <w:vAlign w:val="bottom"/>
          </w:tcPr>
          <w:p>
            <w:pPr>
              <w:spacing w:after="0"/>
              <w:rPr>
                <w:sz w:val="20"/>
                <w:szCs w:val="20"/>
                <w:color w:val="auto"/>
              </w:rPr>
            </w:pPr>
          </w:p>
        </w:tc>
        <w:tc>
          <w:tcPr>
            <w:tcW w:w="1540" w:type="dxa"/>
            <w:vAlign w:val="bottom"/>
            <w:tcBorders>
              <w:top w:val="single" w:sz="8" w:color="auto"/>
            </w:tcBorders>
          </w:tcPr>
          <w:p>
            <w:pPr>
              <w:jc w:val="right"/>
              <w:ind w:right="113"/>
              <w:spacing w:after="0"/>
              <w:rPr>
                <w:sz w:val="20"/>
                <w:szCs w:val="20"/>
                <w:color w:val="auto"/>
              </w:rPr>
            </w:pPr>
            <w:r>
              <w:rPr>
                <w:rFonts w:ascii="Arial" w:cs="Arial" w:eastAsia="Arial" w:hAnsi="Arial"/>
                <w:sz w:val="18"/>
                <w:szCs w:val="18"/>
                <w:color w:val="auto"/>
              </w:rPr>
              <w:t>39.8</w:t>
            </w:r>
          </w:p>
        </w:tc>
        <w:tc>
          <w:tcPr>
            <w:tcW w:w="100" w:type="dxa"/>
            <w:vAlign w:val="bottom"/>
          </w:tcPr>
          <w:p>
            <w:pPr>
              <w:spacing w:after="0"/>
              <w:rPr>
                <w:sz w:val="20"/>
                <w:szCs w:val="20"/>
                <w:color w:val="auto"/>
              </w:rPr>
            </w:pPr>
          </w:p>
        </w:tc>
        <w:tc>
          <w:tcPr>
            <w:tcW w:w="154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47.7</w:t>
            </w:r>
          </w:p>
        </w:tc>
      </w:tr>
      <w:tr>
        <w:trPr>
          <w:trHeight w:val="27"/>
        </w:trPr>
        <w:tc>
          <w:tcPr>
            <w:tcW w:w="498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r>
      <w:tr>
        <w:trPr>
          <w:trHeight w:val="244"/>
        </w:trPr>
        <w:tc>
          <w:tcPr>
            <w:tcW w:w="4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income from continuing operations</w:t>
            </w:r>
          </w:p>
        </w:tc>
        <w:tc>
          <w:tcPr>
            <w:tcW w:w="152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24.4</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14.9</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13"/>
              <w:spacing w:after="0"/>
              <w:rPr>
                <w:sz w:val="20"/>
                <w:szCs w:val="20"/>
                <w:color w:val="auto"/>
              </w:rPr>
            </w:pPr>
            <w:r>
              <w:rPr>
                <w:rFonts w:ascii="Arial" w:cs="Arial" w:eastAsia="Arial" w:hAnsi="Arial"/>
                <w:sz w:val="18"/>
                <w:szCs w:val="18"/>
                <w:color w:val="auto"/>
              </w:rPr>
              <w:t>20.9</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7.5</w:t>
            </w:r>
          </w:p>
        </w:tc>
      </w:tr>
      <w:tr>
        <w:trPr>
          <w:trHeight w:val="243"/>
        </w:trPr>
        <w:tc>
          <w:tcPr>
            <w:tcW w:w="4980" w:type="dxa"/>
            <w:vAlign w:val="bottom"/>
          </w:tcPr>
          <w:p>
            <w:pPr>
              <w:ind w:left="40"/>
              <w:spacing w:after="0"/>
              <w:rPr>
                <w:sz w:val="20"/>
                <w:szCs w:val="20"/>
                <w:color w:val="auto"/>
              </w:rPr>
            </w:pPr>
            <w:r>
              <w:rPr>
                <w:rFonts w:ascii="Arial" w:cs="Arial" w:eastAsia="Arial" w:hAnsi="Arial"/>
                <w:sz w:val="18"/>
                <w:szCs w:val="18"/>
                <w:color w:val="auto"/>
              </w:rPr>
              <w:t>Interest and other income, net</w:t>
            </w:r>
          </w:p>
        </w:tc>
        <w:tc>
          <w:tcPr>
            <w:tcW w:w="1520" w:type="dxa"/>
            <w:vAlign w:val="bottom"/>
          </w:tcPr>
          <w:p>
            <w:pPr>
              <w:jc w:val="right"/>
              <w:ind w:right="93"/>
              <w:spacing w:after="0"/>
              <w:rPr>
                <w:sz w:val="20"/>
                <w:szCs w:val="20"/>
                <w:color w:val="auto"/>
              </w:rPr>
            </w:pPr>
            <w:r>
              <w:rPr>
                <w:rFonts w:ascii="Arial" w:cs="Arial" w:eastAsia="Arial" w:hAnsi="Arial"/>
                <w:sz w:val="18"/>
                <w:szCs w:val="18"/>
                <w:color w:val="auto"/>
              </w:rPr>
              <w:t>1.0</w:t>
            </w:r>
          </w:p>
        </w:tc>
        <w:tc>
          <w:tcPr>
            <w:tcW w:w="120" w:type="dxa"/>
            <w:vAlign w:val="bottom"/>
          </w:tcPr>
          <w:p>
            <w:pPr>
              <w:spacing w:after="0"/>
              <w:rPr>
                <w:sz w:val="21"/>
                <w:szCs w:val="21"/>
                <w:color w:val="auto"/>
              </w:rPr>
            </w:pPr>
          </w:p>
        </w:tc>
        <w:tc>
          <w:tcPr>
            <w:tcW w:w="1520" w:type="dxa"/>
            <w:vAlign w:val="bottom"/>
          </w:tcPr>
          <w:p>
            <w:pPr>
              <w:jc w:val="right"/>
              <w:ind w:right="111"/>
              <w:spacing w:after="0"/>
              <w:rPr>
                <w:sz w:val="20"/>
                <w:szCs w:val="20"/>
                <w:color w:val="auto"/>
              </w:rPr>
            </w:pPr>
            <w:r>
              <w:rPr>
                <w:rFonts w:ascii="Arial" w:cs="Arial" w:eastAsia="Arial" w:hAnsi="Arial"/>
                <w:sz w:val="18"/>
                <w:szCs w:val="18"/>
                <w:color w:val="auto"/>
              </w:rPr>
              <w:t>0.9</w:t>
            </w:r>
          </w:p>
        </w:tc>
        <w:tc>
          <w:tcPr>
            <w:tcW w:w="100" w:type="dxa"/>
            <w:vAlign w:val="bottom"/>
          </w:tcPr>
          <w:p>
            <w:pPr>
              <w:spacing w:after="0"/>
              <w:rPr>
                <w:sz w:val="21"/>
                <w:szCs w:val="21"/>
                <w:color w:val="auto"/>
              </w:rPr>
            </w:pPr>
          </w:p>
        </w:tc>
        <w:tc>
          <w:tcPr>
            <w:tcW w:w="1540" w:type="dxa"/>
            <w:vAlign w:val="bottom"/>
          </w:tcPr>
          <w:p>
            <w:pPr>
              <w:jc w:val="right"/>
              <w:ind w:right="113"/>
              <w:spacing w:after="0"/>
              <w:rPr>
                <w:sz w:val="20"/>
                <w:szCs w:val="20"/>
                <w:color w:val="auto"/>
              </w:rPr>
            </w:pPr>
            <w:r>
              <w:rPr>
                <w:rFonts w:ascii="Arial" w:cs="Arial" w:eastAsia="Arial" w:hAnsi="Arial"/>
                <w:sz w:val="18"/>
                <w:szCs w:val="18"/>
                <w:color w:val="auto"/>
              </w:rPr>
              <w:t>0.9</w:t>
            </w:r>
          </w:p>
        </w:tc>
        <w:tc>
          <w:tcPr>
            <w:tcW w:w="100" w:type="dxa"/>
            <w:vAlign w:val="bottom"/>
          </w:tcPr>
          <w:p>
            <w:pPr>
              <w:spacing w:after="0"/>
              <w:rPr>
                <w:sz w:val="21"/>
                <w:szCs w:val="21"/>
                <w:color w:val="auto"/>
              </w:rPr>
            </w:pPr>
          </w:p>
        </w:tc>
        <w:tc>
          <w:tcPr>
            <w:tcW w:w="1540" w:type="dxa"/>
            <w:vAlign w:val="bottom"/>
          </w:tcPr>
          <w:p>
            <w:pPr>
              <w:jc w:val="right"/>
              <w:ind w:right="91"/>
              <w:spacing w:after="0"/>
              <w:rPr>
                <w:sz w:val="20"/>
                <w:szCs w:val="20"/>
                <w:color w:val="auto"/>
              </w:rPr>
            </w:pPr>
            <w:r>
              <w:rPr>
                <w:rFonts w:ascii="Arial" w:cs="Arial" w:eastAsia="Arial" w:hAnsi="Arial"/>
                <w:sz w:val="18"/>
                <w:szCs w:val="18"/>
                <w:color w:val="auto"/>
              </w:rPr>
              <w:t>0.7</w:t>
            </w:r>
          </w:p>
        </w:tc>
      </w:tr>
      <w:tr>
        <w:trPr>
          <w:trHeight w:val="27"/>
        </w:trPr>
        <w:tc>
          <w:tcPr>
            <w:tcW w:w="498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r>
      <w:tr>
        <w:trPr>
          <w:trHeight w:val="244"/>
        </w:trPr>
        <w:tc>
          <w:tcPr>
            <w:tcW w:w="4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before income taxes</w:t>
            </w:r>
          </w:p>
        </w:tc>
        <w:tc>
          <w:tcPr>
            <w:tcW w:w="1520" w:type="dxa"/>
            <w:vAlign w:val="bottom"/>
            <w:tcBorders>
              <w:bottom w:val="single" w:sz="8" w:color="CCEEFF"/>
            </w:tcBorders>
            <w:shd w:val="clear" w:color="auto" w:fill="CCEEFF"/>
          </w:tcPr>
          <w:p>
            <w:pPr>
              <w:jc w:val="right"/>
              <w:ind w:right="93"/>
              <w:spacing w:after="0"/>
              <w:rPr>
                <w:sz w:val="20"/>
                <w:szCs w:val="20"/>
                <w:color w:val="auto"/>
              </w:rPr>
            </w:pPr>
            <w:r>
              <w:rPr>
                <w:rFonts w:ascii="Arial" w:cs="Arial" w:eastAsia="Arial" w:hAnsi="Arial"/>
                <w:sz w:val="18"/>
                <w:szCs w:val="18"/>
                <w:color w:val="auto"/>
              </w:rPr>
              <w:t>25.4</w:t>
            </w:r>
          </w:p>
        </w:tc>
        <w:tc>
          <w:tcPr>
            <w:tcW w:w="120" w:type="dxa"/>
            <w:vAlign w:val="bottom"/>
            <w:tcBorders>
              <w:bottom w:val="single" w:sz="8" w:color="CCEEFF"/>
            </w:tcBorders>
            <w:shd w:val="clear" w:color="auto" w:fill="CCEEFF"/>
          </w:tcPr>
          <w:p>
            <w:pPr>
              <w:spacing w:after="0"/>
              <w:rPr>
                <w:sz w:val="21"/>
                <w:szCs w:val="21"/>
                <w:color w:val="auto"/>
              </w:rPr>
            </w:pPr>
          </w:p>
        </w:tc>
        <w:tc>
          <w:tcPr>
            <w:tcW w:w="152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15.8</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113"/>
              <w:spacing w:after="0"/>
              <w:rPr>
                <w:sz w:val="20"/>
                <w:szCs w:val="20"/>
                <w:color w:val="auto"/>
              </w:rPr>
            </w:pPr>
            <w:r>
              <w:rPr>
                <w:rFonts w:ascii="Arial" w:cs="Arial" w:eastAsia="Arial" w:hAnsi="Arial"/>
                <w:sz w:val="18"/>
                <w:szCs w:val="18"/>
                <w:color w:val="auto"/>
              </w:rPr>
              <w:t>21.8</w:t>
            </w:r>
          </w:p>
        </w:tc>
        <w:tc>
          <w:tcPr>
            <w:tcW w:w="100" w:type="dxa"/>
            <w:vAlign w:val="bottom"/>
            <w:tcBorders>
              <w:bottom w:val="single" w:sz="8" w:color="CCEEFF"/>
            </w:tcBorders>
            <w:shd w:val="clear" w:color="auto" w:fill="CCEEFF"/>
          </w:tcPr>
          <w:p>
            <w:pPr>
              <w:spacing w:after="0"/>
              <w:rPr>
                <w:sz w:val="21"/>
                <w:szCs w:val="21"/>
                <w:color w:val="auto"/>
              </w:rPr>
            </w:pPr>
          </w:p>
        </w:tc>
        <w:tc>
          <w:tcPr>
            <w:tcW w:w="154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8.2</w:t>
            </w:r>
          </w:p>
        </w:tc>
      </w:tr>
      <w:tr>
        <w:trPr>
          <w:trHeight w:val="243"/>
        </w:trPr>
        <w:tc>
          <w:tcPr>
            <w:tcW w:w="4980" w:type="dxa"/>
            <w:vAlign w:val="bottom"/>
          </w:tcPr>
          <w:p>
            <w:pPr>
              <w:ind w:left="40"/>
              <w:spacing w:after="0"/>
              <w:rPr>
                <w:sz w:val="20"/>
                <w:szCs w:val="20"/>
                <w:color w:val="auto"/>
              </w:rPr>
            </w:pPr>
            <w:r>
              <w:rPr>
                <w:rFonts w:ascii="Arial" w:cs="Arial" w:eastAsia="Arial" w:hAnsi="Arial"/>
                <w:sz w:val="18"/>
                <w:szCs w:val="18"/>
                <w:color w:val="auto"/>
              </w:rPr>
              <w:t>Provision (benefit) for income taxes</w:t>
            </w:r>
          </w:p>
        </w:tc>
        <w:tc>
          <w:tcPr>
            <w:tcW w:w="1520" w:type="dxa"/>
            <w:vAlign w:val="bottom"/>
          </w:tcPr>
          <w:p>
            <w:pPr>
              <w:jc w:val="right"/>
              <w:ind w:right="93"/>
              <w:spacing w:after="0"/>
              <w:rPr>
                <w:sz w:val="20"/>
                <w:szCs w:val="20"/>
                <w:color w:val="auto"/>
              </w:rPr>
            </w:pPr>
            <w:r>
              <w:rPr>
                <w:rFonts w:ascii="Arial" w:cs="Arial" w:eastAsia="Arial" w:hAnsi="Arial"/>
                <w:sz w:val="18"/>
                <w:szCs w:val="18"/>
                <w:color w:val="auto"/>
              </w:rPr>
              <w:t>1.1</w:t>
            </w:r>
          </w:p>
        </w:tc>
        <w:tc>
          <w:tcPr>
            <w:tcW w:w="120" w:type="dxa"/>
            <w:vAlign w:val="bottom"/>
          </w:tcPr>
          <w:p>
            <w:pPr>
              <w:spacing w:after="0"/>
              <w:rPr>
                <w:sz w:val="21"/>
                <w:szCs w:val="21"/>
                <w:color w:val="auto"/>
              </w:rPr>
            </w:pPr>
          </w:p>
        </w:tc>
        <w:tc>
          <w:tcPr>
            <w:tcW w:w="1520" w:type="dxa"/>
            <w:vAlign w:val="bottom"/>
          </w:tcPr>
          <w:p>
            <w:pPr>
              <w:jc w:val="right"/>
              <w:ind w:right="111"/>
              <w:spacing w:after="0"/>
              <w:rPr>
                <w:sz w:val="20"/>
                <w:szCs w:val="20"/>
                <w:color w:val="auto"/>
              </w:rPr>
            </w:pPr>
            <w:r>
              <w:rPr>
                <w:rFonts w:ascii="Arial" w:cs="Arial" w:eastAsia="Arial" w:hAnsi="Arial"/>
                <w:sz w:val="18"/>
                <w:szCs w:val="18"/>
                <w:color w:val="auto"/>
              </w:rPr>
              <w:t>2.5</w:t>
            </w:r>
          </w:p>
        </w:tc>
        <w:tc>
          <w:tcPr>
            <w:tcW w:w="100" w:type="dxa"/>
            <w:vAlign w:val="bottom"/>
          </w:tcPr>
          <w:p>
            <w:pPr>
              <w:spacing w:after="0"/>
              <w:rPr>
                <w:sz w:val="21"/>
                <w:szCs w:val="21"/>
                <w:color w:val="auto"/>
              </w:rPr>
            </w:pPr>
          </w:p>
        </w:tc>
        <w:tc>
          <w:tcPr>
            <w:tcW w:w="1540" w:type="dxa"/>
            <w:vAlign w:val="bottom"/>
          </w:tcPr>
          <w:p>
            <w:pPr>
              <w:jc w:val="right"/>
              <w:ind w:right="113"/>
              <w:spacing w:after="0"/>
              <w:rPr>
                <w:sz w:val="20"/>
                <w:szCs w:val="20"/>
                <w:color w:val="auto"/>
              </w:rPr>
            </w:pPr>
            <w:r>
              <w:rPr>
                <w:rFonts w:ascii="Arial" w:cs="Arial" w:eastAsia="Arial" w:hAnsi="Arial"/>
                <w:sz w:val="18"/>
                <w:szCs w:val="18"/>
                <w:color w:val="auto"/>
              </w:rPr>
              <w:t>0.4</w:t>
            </w:r>
          </w:p>
        </w:tc>
        <w:tc>
          <w:tcPr>
            <w:tcW w:w="100" w:type="dxa"/>
            <w:vAlign w:val="bottom"/>
          </w:tcPr>
          <w:p>
            <w:pPr>
              <w:spacing w:after="0"/>
              <w:rPr>
                <w:sz w:val="21"/>
                <w:szCs w:val="21"/>
                <w:color w:val="auto"/>
              </w:rPr>
            </w:pPr>
          </w:p>
        </w:tc>
        <w:tc>
          <w:tcPr>
            <w:tcW w:w="1540" w:type="dxa"/>
            <w:vAlign w:val="bottom"/>
          </w:tcPr>
          <w:p>
            <w:pPr>
              <w:jc w:val="right"/>
              <w:ind w:right="91"/>
              <w:spacing w:after="0"/>
              <w:rPr>
                <w:sz w:val="20"/>
                <w:szCs w:val="20"/>
                <w:color w:val="auto"/>
              </w:rPr>
            </w:pPr>
            <w:r>
              <w:rPr>
                <w:rFonts w:ascii="Arial" w:cs="Arial" w:eastAsia="Arial" w:hAnsi="Arial"/>
                <w:sz w:val="18"/>
                <w:szCs w:val="18"/>
                <w:color w:val="auto"/>
              </w:rPr>
              <w:t>0.2</w:t>
            </w:r>
          </w:p>
        </w:tc>
      </w:tr>
      <w:tr>
        <w:trPr>
          <w:trHeight w:val="27"/>
        </w:trPr>
        <w:tc>
          <w:tcPr>
            <w:tcW w:w="498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5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540" w:type="dxa"/>
            <w:vAlign w:val="bottom"/>
            <w:tcBorders>
              <w:bottom w:val="single" w:sz="8" w:color="auto"/>
            </w:tcBorders>
          </w:tcPr>
          <w:p>
            <w:pPr>
              <w:spacing w:after="0"/>
              <w:rPr>
                <w:sz w:val="2"/>
                <w:szCs w:val="2"/>
                <w:color w:val="auto"/>
              </w:rPr>
            </w:pPr>
          </w:p>
        </w:tc>
      </w:tr>
      <w:tr>
        <w:trPr>
          <w:trHeight w:val="269"/>
        </w:trPr>
        <w:tc>
          <w:tcPr>
            <w:tcW w:w="49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from continuing operations, net of tax</w:t>
            </w: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24.3%</w:t>
            </w:r>
          </w:p>
        </w:tc>
        <w:tc>
          <w:tcPr>
            <w:tcW w:w="120" w:type="dxa"/>
            <w:vAlign w:val="bottom"/>
            <w:tcBorders>
              <w:bottom w:val="single" w:sz="8" w:color="CCEEFF"/>
            </w:tcBorders>
            <w:shd w:val="clear" w:color="auto" w:fill="CCEEFF"/>
          </w:tcPr>
          <w:p>
            <w:pPr>
              <w:spacing w:after="0"/>
              <w:rPr>
                <w:sz w:val="22"/>
                <w:szCs w:val="22"/>
                <w:color w:val="auto"/>
              </w:rPr>
            </w:pPr>
          </w:p>
        </w:tc>
        <w:tc>
          <w:tcPr>
            <w:tcW w:w="15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13.3%</w:t>
            </w:r>
          </w:p>
        </w:tc>
        <w:tc>
          <w:tcPr>
            <w:tcW w:w="100" w:type="dxa"/>
            <w:vAlign w:val="bottom"/>
            <w:tcBorders>
              <w:bottom w:val="single" w:sz="8" w:color="CCEEFF"/>
            </w:tcBorders>
            <w:shd w:val="clear" w:color="auto" w:fill="CCEEFF"/>
          </w:tcPr>
          <w:p>
            <w:pPr>
              <w:spacing w:after="0"/>
              <w:rPr>
                <w:sz w:val="22"/>
                <w:szCs w:val="22"/>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21.4%</w:t>
            </w:r>
          </w:p>
        </w:tc>
        <w:tc>
          <w:tcPr>
            <w:tcW w:w="100" w:type="dxa"/>
            <w:vAlign w:val="bottom"/>
            <w:tcBorders>
              <w:bottom w:val="single" w:sz="8" w:color="CCEEFF"/>
            </w:tcBorders>
            <w:shd w:val="clear" w:color="auto" w:fill="CCEEFF"/>
          </w:tcPr>
          <w:p>
            <w:pPr>
              <w:spacing w:after="0"/>
              <w:rPr>
                <w:sz w:val="22"/>
                <w:szCs w:val="22"/>
                <w:color w:val="auto"/>
              </w:rPr>
            </w:pPr>
          </w:p>
        </w:tc>
        <w:tc>
          <w:tcPr>
            <w:tcW w:w="15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w:t>
            </w:r>
          </w:p>
        </w:tc>
      </w:tr>
      <w:tr>
        <w:trPr>
          <w:trHeight w:val="20"/>
        </w:trPr>
        <w:tc>
          <w:tcPr>
            <w:tcW w:w="498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540" w:type="dxa"/>
            <w:vAlign w:val="bottom"/>
            <w:tcBorders>
              <w:top w:val="single" w:sz="8" w:color="auto"/>
              <w:bottom w:val="single" w:sz="8" w:color="auto"/>
            </w:tcBorders>
          </w:tcPr>
          <w:p>
            <w:pPr>
              <w:spacing w:after="0" w:line="20" w:lineRule="exact"/>
              <w:rPr>
                <w:sz w:val="1"/>
                <w:szCs w:val="1"/>
                <w:color w:val="auto"/>
              </w:rPr>
            </w:pPr>
          </w:p>
        </w:tc>
      </w:tr>
    </w:tbl>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28, 2017 and October 29, 2016</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Net Revenue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420" w:type="dxa"/>
            <w:vAlign w:val="bottom"/>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2260" w:type="dxa"/>
            <w:vAlign w:val="bottom"/>
            <w:tcBorders>
              <w:bottom w:val="single" w:sz="8" w:color="auto"/>
            </w:tcBorders>
            <w:gridSpan w:val="3"/>
          </w:tcPr>
          <w:p>
            <w:pPr>
              <w:jc w:val="right"/>
              <w:ind w:right="550"/>
              <w:spacing w:after="0"/>
              <w:rPr>
                <w:sz w:val="20"/>
                <w:szCs w:val="20"/>
                <w:color w:val="auto"/>
              </w:rPr>
            </w:pPr>
            <w:r>
              <w:rPr>
                <w:rFonts w:ascii="Arial" w:cs="Arial" w:eastAsia="Arial" w:hAnsi="Arial"/>
                <w:sz w:val="14"/>
                <w:szCs w:val="14"/>
                <w:b w:val="1"/>
                <w:bCs w:val="1"/>
                <w:color w:val="auto"/>
              </w:rPr>
              <w:t>Three Months Ended</w:t>
            </w:r>
          </w:p>
        </w:tc>
        <w:tc>
          <w:tcPr>
            <w:tcW w:w="14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340" w:type="dxa"/>
            <w:vAlign w:val="bottom"/>
            <w:tcBorders>
              <w:bottom w:val="single" w:sz="8" w:color="auto"/>
            </w:tcBorders>
            <w:gridSpan w:val="3"/>
          </w:tcPr>
          <w:p>
            <w:pPr>
              <w:jc w:val="right"/>
              <w:ind w:right="590"/>
              <w:spacing w:after="0"/>
              <w:rPr>
                <w:sz w:val="20"/>
                <w:szCs w:val="20"/>
                <w:color w:val="auto"/>
              </w:rPr>
            </w:pPr>
            <w:r>
              <w:rPr>
                <w:rFonts w:ascii="Arial" w:cs="Arial" w:eastAsia="Arial" w:hAnsi="Arial"/>
                <w:sz w:val="14"/>
                <w:szCs w:val="14"/>
                <w:b w:val="1"/>
                <w:bCs w:val="1"/>
                <w:color w:val="auto"/>
              </w:rPr>
              <w:t>Nine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420" w:type="dxa"/>
            <w:vAlign w:val="bottom"/>
          </w:tcPr>
          <w:p>
            <w:pPr>
              <w:spacing w:after="0"/>
              <w:rPr>
                <w:sz w:val="12"/>
                <w:szCs w:val="12"/>
                <w:color w:val="auto"/>
              </w:rPr>
            </w:pPr>
          </w:p>
        </w:tc>
        <w:tc>
          <w:tcPr>
            <w:tcW w:w="1260" w:type="dxa"/>
            <w:vAlign w:val="bottom"/>
            <w:gridSpan w:val="2"/>
            <w:vMerge w:val="restart"/>
          </w:tcPr>
          <w:p>
            <w:pPr>
              <w:jc w:val="right"/>
              <w:ind w:right="39"/>
              <w:spacing w:after="0"/>
              <w:rPr>
                <w:sz w:val="20"/>
                <w:szCs w:val="20"/>
                <w:color w:val="auto"/>
              </w:rPr>
            </w:pPr>
            <w:r>
              <w:rPr>
                <w:rFonts w:ascii="Arial" w:cs="Arial" w:eastAsia="Arial" w:hAnsi="Arial"/>
                <w:sz w:val="14"/>
                <w:szCs w:val="14"/>
                <w:b w:val="1"/>
                <w:bCs w:val="1"/>
                <w:color w:val="auto"/>
                <w:w w:val="99"/>
              </w:rPr>
              <w:t>October 28, 2017</w:t>
            </w:r>
          </w:p>
        </w:tc>
        <w:tc>
          <w:tcPr>
            <w:tcW w:w="1340" w:type="dxa"/>
            <w:vAlign w:val="bottom"/>
            <w:gridSpan w:val="2"/>
            <w:vMerge w:val="restart"/>
          </w:tcPr>
          <w:p>
            <w:pPr>
              <w:jc w:val="right"/>
              <w:ind w:right="10"/>
              <w:spacing w:after="0"/>
              <w:rPr>
                <w:sz w:val="20"/>
                <w:szCs w:val="20"/>
                <w:color w:val="auto"/>
              </w:rPr>
            </w:pPr>
            <w:r>
              <w:rPr>
                <w:rFonts w:ascii="Arial" w:cs="Arial" w:eastAsia="Arial" w:hAnsi="Arial"/>
                <w:sz w:val="14"/>
                <w:szCs w:val="14"/>
                <w:b w:val="1"/>
                <w:bCs w:val="1"/>
                <w:color w:val="auto"/>
              </w:rPr>
              <w:t>October 29, 2016</w:t>
            </w:r>
          </w:p>
        </w:tc>
        <w:tc>
          <w:tcPr>
            <w:tcW w:w="1460" w:type="dxa"/>
            <w:vAlign w:val="bottom"/>
          </w:tcPr>
          <w:p>
            <w:pPr>
              <w:jc w:val="right"/>
              <w:ind w:right="584"/>
              <w:spacing w:after="0" w:line="139" w:lineRule="exact"/>
              <w:rPr>
                <w:sz w:val="20"/>
                <w:szCs w:val="20"/>
                <w:color w:val="auto"/>
              </w:rPr>
            </w:pPr>
            <w:r>
              <w:rPr>
                <w:rFonts w:ascii="Arial" w:cs="Arial" w:eastAsia="Arial" w:hAnsi="Arial"/>
                <w:sz w:val="14"/>
                <w:szCs w:val="14"/>
                <w:b w:val="1"/>
                <w:bCs w:val="1"/>
                <w:color w:val="auto"/>
              </w:rPr>
              <w:t>%</w:t>
            </w:r>
          </w:p>
        </w:tc>
        <w:tc>
          <w:tcPr>
            <w:tcW w:w="1280" w:type="dxa"/>
            <w:vAlign w:val="bottom"/>
            <w:gridSpan w:val="2"/>
            <w:vMerge w:val="restart"/>
          </w:tcPr>
          <w:p>
            <w:pPr>
              <w:jc w:val="right"/>
              <w:ind w:right="39"/>
              <w:spacing w:after="0"/>
              <w:rPr>
                <w:sz w:val="20"/>
                <w:szCs w:val="20"/>
                <w:color w:val="auto"/>
              </w:rPr>
            </w:pPr>
            <w:r>
              <w:rPr>
                <w:rFonts w:ascii="Arial" w:cs="Arial" w:eastAsia="Arial" w:hAnsi="Arial"/>
                <w:sz w:val="14"/>
                <w:szCs w:val="14"/>
                <w:b w:val="1"/>
                <w:bCs w:val="1"/>
                <w:color w:val="auto"/>
              </w:rPr>
              <w:t>October 28, 2017</w:t>
            </w:r>
          </w:p>
        </w:tc>
        <w:tc>
          <w:tcPr>
            <w:tcW w:w="1340" w:type="dxa"/>
            <w:vAlign w:val="bottom"/>
            <w:gridSpan w:val="2"/>
            <w:vMerge w:val="restart"/>
          </w:tcPr>
          <w:p>
            <w:pPr>
              <w:jc w:val="right"/>
              <w:ind w:right="10"/>
              <w:spacing w:after="0"/>
              <w:rPr>
                <w:sz w:val="20"/>
                <w:szCs w:val="20"/>
                <w:color w:val="auto"/>
              </w:rPr>
            </w:pPr>
            <w:r>
              <w:rPr>
                <w:rFonts w:ascii="Arial" w:cs="Arial" w:eastAsia="Arial" w:hAnsi="Arial"/>
                <w:sz w:val="14"/>
                <w:szCs w:val="14"/>
                <w:b w:val="1"/>
                <w:bCs w:val="1"/>
                <w:color w:val="auto"/>
              </w:rPr>
              <w:t>October 29, 2016</w:t>
            </w:r>
          </w:p>
        </w:tc>
        <w:tc>
          <w:tcPr>
            <w:tcW w:w="1320" w:type="dxa"/>
            <w:vAlign w:val="bottom"/>
          </w:tcPr>
          <w:p>
            <w:pPr>
              <w:jc w:val="right"/>
              <w:ind w:right="4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420" w:type="dxa"/>
            <w:vAlign w:val="bottom"/>
          </w:tcPr>
          <w:p>
            <w:pPr>
              <w:spacing w:after="0"/>
              <w:rPr>
                <w:sz w:val="16"/>
                <w:szCs w:val="16"/>
                <w:color w:val="auto"/>
              </w:rPr>
            </w:pPr>
          </w:p>
        </w:tc>
        <w:tc>
          <w:tcPr>
            <w:tcW w:w="1260" w:type="dxa"/>
            <w:vAlign w:val="bottom"/>
            <w:tcBorders>
              <w:bottom w:val="single" w:sz="8" w:color="auto"/>
            </w:tcBorders>
            <w:gridSpan w:val="2"/>
            <w:vMerge w:val="continue"/>
          </w:tcPr>
          <w:p>
            <w:pPr>
              <w:spacing w:after="0"/>
              <w:rPr>
                <w:sz w:val="16"/>
                <w:szCs w:val="16"/>
                <w:color w:val="auto"/>
              </w:rPr>
            </w:pPr>
          </w:p>
        </w:tc>
        <w:tc>
          <w:tcPr>
            <w:tcW w:w="1340" w:type="dxa"/>
            <w:vAlign w:val="bottom"/>
            <w:tcBorders>
              <w:bottom w:val="single" w:sz="8" w:color="auto"/>
            </w:tcBorders>
            <w:gridSpan w:val="2"/>
            <w:vMerge w:val="continue"/>
          </w:tcPr>
          <w:p>
            <w:pPr>
              <w:spacing w:after="0"/>
              <w:rPr>
                <w:sz w:val="16"/>
                <w:szCs w:val="16"/>
                <w:color w:val="auto"/>
              </w:rPr>
            </w:pPr>
          </w:p>
        </w:tc>
        <w:tc>
          <w:tcPr>
            <w:tcW w:w="1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Change</w:t>
            </w:r>
          </w:p>
        </w:tc>
        <w:tc>
          <w:tcPr>
            <w:tcW w:w="1280" w:type="dxa"/>
            <w:vAlign w:val="bottom"/>
            <w:tcBorders>
              <w:bottom w:val="single" w:sz="8" w:color="auto"/>
            </w:tcBorders>
            <w:gridSpan w:val="2"/>
            <w:vMerge w:val="continue"/>
          </w:tcPr>
          <w:p>
            <w:pPr>
              <w:spacing w:after="0"/>
              <w:rPr>
                <w:sz w:val="16"/>
                <w:szCs w:val="16"/>
                <w:color w:val="auto"/>
              </w:rPr>
            </w:pPr>
          </w:p>
        </w:tc>
        <w:tc>
          <w:tcPr>
            <w:tcW w:w="1340" w:type="dxa"/>
            <w:vAlign w:val="bottom"/>
            <w:tcBorders>
              <w:bottom w:val="single" w:sz="8" w:color="auto"/>
            </w:tcBorders>
            <w:gridSpan w:val="2"/>
            <w:vMerge w:val="continue"/>
          </w:tcPr>
          <w:p>
            <w:pPr>
              <w:spacing w:after="0"/>
              <w:rPr>
                <w:sz w:val="16"/>
                <w:szCs w:val="16"/>
                <w:color w:val="auto"/>
              </w:rPr>
            </w:pPr>
          </w:p>
        </w:tc>
        <w:tc>
          <w:tcPr>
            <w:tcW w:w="1320" w:type="dxa"/>
            <w:vAlign w:val="bottom"/>
            <w:tcBorders>
              <w:bottom w:val="single" w:sz="8" w:color="auto"/>
            </w:tcBorders>
          </w:tcPr>
          <w:p>
            <w:pPr>
              <w:jc w:val="center"/>
              <w:ind w:left="4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342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740" w:type="dxa"/>
            <w:vAlign w:val="bottom"/>
            <w:gridSpan w:val="3"/>
          </w:tcPr>
          <w:p>
            <w:pPr>
              <w:jc w:val="right"/>
              <w:ind w:right="219"/>
              <w:spacing w:after="0"/>
              <w:rPr>
                <w:sz w:val="20"/>
                <w:szCs w:val="20"/>
                <w:color w:val="auto"/>
              </w:rPr>
            </w:pPr>
            <w:r>
              <w:rPr>
                <w:rFonts w:ascii="Arial" w:cs="Arial" w:eastAsia="Arial" w:hAnsi="Arial"/>
                <w:sz w:val="14"/>
                <w:szCs w:val="14"/>
                <w:b w:val="1"/>
                <w:bCs w:val="1"/>
                <w:color w:val="auto"/>
              </w:rPr>
              <w:t>(in thousands, except percentage)</w:t>
            </w:r>
          </w:p>
        </w:tc>
        <w:tc>
          <w:tcPr>
            <w:tcW w:w="3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3420" w:type="dxa"/>
            <w:vAlign w:val="bottom"/>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34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w w:val="99"/>
              </w:rPr>
              <w:t>$</w:t>
            </w:r>
          </w:p>
        </w:tc>
        <w:tc>
          <w:tcPr>
            <w:tcW w:w="92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rPr>
              <w:t>616,302</w:t>
            </w:r>
          </w:p>
        </w:tc>
        <w:tc>
          <w:tcPr>
            <w:tcW w:w="420" w:type="dxa"/>
            <w:vAlign w:val="bottom"/>
            <w:shd w:val="clear" w:color="auto" w:fill="CCEEFF"/>
          </w:tcPr>
          <w:p>
            <w:pPr>
              <w:jc w:val="right"/>
              <w:ind w:right="119"/>
              <w:spacing w:after="0"/>
              <w:rPr>
                <w:sz w:val="20"/>
                <w:szCs w:val="20"/>
                <w:color w:val="auto"/>
              </w:rPr>
            </w:pPr>
            <w:r>
              <w:rPr>
                <w:rFonts w:ascii="Arial" w:cs="Arial" w:eastAsia="Arial" w:hAnsi="Arial"/>
                <w:sz w:val="18"/>
                <w:szCs w:val="18"/>
                <w:color w:val="auto"/>
              </w:rPr>
              <w:t>$</w:t>
            </w:r>
          </w:p>
        </w:tc>
        <w:tc>
          <w:tcPr>
            <w:tcW w:w="9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rPr>
              <w:t>623,651</w:t>
            </w:r>
          </w:p>
        </w:tc>
        <w:tc>
          <w:tcPr>
            <w:tcW w:w="1460" w:type="dxa"/>
            <w:vAlign w:val="bottom"/>
            <w:shd w:val="clear" w:color="auto" w:fill="CCEEFF"/>
          </w:tcPr>
          <w:p>
            <w:pPr>
              <w:jc w:val="right"/>
              <w:ind w:right="64"/>
              <w:spacing w:after="0"/>
              <w:rPr>
                <w:sz w:val="20"/>
                <w:szCs w:val="20"/>
                <w:color w:val="auto"/>
              </w:rPr>
            </w:pPr>
            <w:r>
              <w:rPr>
                <w:rFonts w:ascii="Arial" w:cs="Arial" w:eastAsia="Arial" w:hAnsi="Arial"/>
                <w:sz w:val="18"/>
                <w:szCs w:val="18"/>
                <w:color w:val="auto"/>
              </w:rPr>
              <w:t>(1.2)%</w:t>
            </w:r>
          </w:p>
        </w:tc>
        <w:tc>
          <w:tcPr>
            <w:tcW w:w="280" w:type="dxa"/>
            <w:vAlign w:val="bottom"/>
            <w:shd w:val="clear" w:color="auto" w:fill="CCEEFF"/>
          </w:tcPr>
          <w:p>
            <w:pPr>
              <w:jc w:val="right"/>
              <w:ind w:right="79"/>
              <w:spacing w:after="0"/>
              <w:rPr>
                <w:sz w:val="20"/>
                <w:szCs w:val="20"/>
                <w:color w:val="auto"/>
              </w:rPr>
            </w:pPr>
            <w:r>
              <w:rPr>
                <w:rFonts w:ascii="Arial" w:cs="Arial" w:eastAsia="Arial" w:hAnsi="Arial"/>
                <w:sz w:val="18"/>
                <w:szCs w:val="18"/>
                <w:color w:val="auto"/>
                <w:w w:val="99"/>
              </w:rPr>
              <w:t>$</w:t>
            </w:r>
          </w:p>
        </w:tc>
        <w:tc>
          <w:tcPr>
            <w:tcW w:w="100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rPr>
              <w:t>1,793,761</w:t>
            </w:r>
          </w:p>
        </w:tc>
        <w:tc>
          <w:tcPr>
            <w:tcW w:w="360" w:type="dxa"/>
            <w:vAlign w:val="bottom"/>
            <w:shd w:val="clear" w:color="auto" w:fill="CCEEFF"/>
          </w:tcPr>
          <w:p>
            <w:pPr>
              <w:jc w:val="right"/>
              <w:ind w:right="59"/>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1,734,630</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w:t>
            </w:r>
          </w:p>
        </w:tc>
        <w:tc>
          <w:tcPr>
            <w:tcW w:w="0" w:type="dxa"/>
            <w:vAlign w:val="bottom"/>
          </w:tcPr>
          <w:p>
            <w:pPr>
              <w:spacing w:after="0"/>
              <w:rPr>
                <w:sz w:val="1"/>
                <w:szCs w:val="1"/>
                <w:color w:val="auto"/>
              </w:rPr>
            </w:pPr>
          </w:p>
        </w:tc>
      </w:tr>
      <w:tr>
        <w:trPr>
          <w:trHeight w:val="27"/>
        </w:trPr>
        <w:tc>
          <w:tcPr>
            <w:tcW w:w="3420" w:type="dxa"/>
            <w:vAlign w:val="bottom"/>
            <w:shd w:val="clear" w:color="auto" w:fill="CCEEFF"/>
          </w:tcPr>
          <w:p>
            <w:pPr>
              <w:spacing w:after="0"/>
              <w:rPr>
                <w:sz w:val="2"/>
                <w:szCs w:val="2"/>
                <w:color w:val="auto"/>
              </w:rPr>
            </w:pPr>
          </w:p>
        </w:tc>
        <w:tc>
          <w:tcPr>
            <w:tcW w:w="340" w:type="dxa"/>
            <w:vAlign w:val="bottom"/>
            <w:shd w:val="clear" w:color="auto" w:fill="CCEEFF"/>
          </w:tcPr>
          <w:p>
            <w:pPr>
              <w:spacing w:after="0"/>
              <w:rPr>
                <w:sz w:val="2"/>
                <w:szCs w:val="2"/>
                <w:color w:val="auto"/>
              </w:rPr>
            </w:pPr>
          </w:p>
        </w:tc>
        <w:tc>
          <w:tcPr>
            <w:tcW w:w="920" w:type="dxa"/>
            <w:vAlign w:val="bottom"/>
            <w:shd w:val="clear" w:color="auto" w:fill="CCEEFF"/>
          </w:tcPr>
          <w:p>
            <w:pPr>
              <w:spacing w:after="0"/>
              <w:rPr>
                <w:sz w:val="2"/>
                <w:szCs w:val="2"/>
                <w:color w:val="auto"/>
              </w:rPr>
            </w:pPr>
          </w:p>
        </w:tc>
        <w:tc>
          <w:tcPr>
            <w:tcW w:w="420" w:type="dxa"/>
            <w:vAlign w:val="bottom"/>
            <w:shd w:val="clear" w:color="auto" w:fill="CCEEFF"/>
          </w:tcPr>
          <w:p>
            <w:pPr>
              <w:spacing w:after="0"/>
              <w:rPr>
                <w:sz w:val="2"/>
                <w:szCs w:val="2"/>
                <w:color w:val="auto"/>
              </w:rPr>
            </w:pPr>
          </w:p>
        </w:tc>
        <w:tc>
          <w:tcPr>
            <w:tcW w:w="920" w:type="dxa"/>
            <w:vAlign w:val="bottom"/>
            <w:shd w:val="clear" w:color="auto" w:fill="CCEEFF"/>
          </w:tcPr>
          <w:p>
            <w:pPr>
              <w:spacing w:after="0"/>
              <w:rPr>
                <w:sz w:val="2"/>
                <w:szCs w:val="2"/>
                <w:color w:val="auto"/>
              </w:rPr>
            </w:pPr>
          </w:p>
        </w:tc>
        <w:tc>
          <w:tcPr>
            <w:tcW w:w="1460" w:type="dxa"/>
            <w:vAlign w:val="bottom"/>
            <w:shd w:val="clear" w:color="auto" w:fill="CCEEFF"/>
          </w:tcPr>
          <w:p>
            <w:pPr>
              <w:spacing w:after="0"/>
              <w:rPr>
                <w:sz w:val="2"/>
                <w:szCs w:val="2"/>
                <w:color w:val="auto"/>
              </w:rPr>
            </w:pPr>
          </w:p>
        </w:tc>
        <w:tc>
          <w:tcPr>
            <w:tcW w:w="280" w:type="dxa"/>
            <w:vAlign w:val="bottom"/>
            <w:shd w:val="clear" w:color="auto" w:fill="CCEEFF"/>
          </w:tcPr>
          <w:p>
            <w:pPr>
              <w:spacing w:after="0"/>
              <w:rPr>
                <w:sz w:val="2"/>
                <w:szCs w:val="2"/>
                <w:color w:val="auto"/>
              </w:rPr>
            </w:pPr>
          </w:p>
        </w:tc>
        <w:tc>
          <w:tcPr>
            <w:tcW w:w="1000" w:type="dxa"/>
            <w:vAlign w:val="bottom"/>
            <w:shd w:val="clear" w:color="auto" w:fill="CCEEFF"/>
          </w:tcPr>
          <w:p>
            <w:pPr>
              <w:spacing w:after="0"/>
              <w:rPr>
                <w:sz w:val="2"/>
                <w:szCs w:val="2"/>
                <w:color w:val="auto"/>
              </w:rPr>
            </w:pPr>
          </w:p>
        </w:tc>
        <w:tc>
          <w:tcPr>
            <w:tcW w:w="360" w:type="dxa"/>
            <w:vAlign w:val="bottom"/>
            <w:shd w:val="clear" w:color="auto" w:fill="CCEEFF"/>
          </w:tcPr>
          <w:p>
            <w:pPr>
              <w:spacing w:after="0"/>
              <w:rPr>
                <w:sz w:val="2"/>
                <w:szCs w:val="2"/>
                <w:color w:val="auto"/>
              </w:rPr>
            </w:pPr>
          </w:p>
        </w:tc>
        <w:tc>
          <w:tcPr>
            <w:tcW w:w="980" w:type="dxa"/>
            <w:vAlign w:val="bottom"/>
            <w:shd w:val="clear" w:color="auto" w:fill="CCEEFF"/>
          </w:tcPr>
          <w:p>
            <w:pPr>
              <w:spacing w:after="0"/>
              <w:rPr>
                <w:sz w:val="2"/>
                <w:szCs w:val="2"/>
                <w:color w:val="auto"/>
              </w:rPr>
            </w:pPr>
          </w:p>
        </w:tc>
        <w:tc>
          <w:tcPr>
            <w:tcW w:w="132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Our net revenue for the three months ended October 28, 2017 decreased by $7.3 million compared to net revenue for the three months ended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October 29, 2016. This decrease was primarily due to decreased sales of our storage products by 4% due to lower sales of HDD products, partially offset by</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increased sales of SSD products. The decrease was also partially due to decreased sales of our other products by 22%. This decrease was offset by increased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sales of our connectivity products, which were up 19% compared to the three months ended October 29, 2016.</w:t>
      </w:r>
    </w:p>
    <w:p>
      <w:pPr>
        <w:spacing w:after="0" w:line="25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net revenue for the nine months ended October 28, 2017 increased by $59.1 million compared to net revenue for the nine months ended October 29,</w:t>
      </w:r>
    </w:p>
    <w:p>
      <w:pPr>
        <w:spacing w:after="0" w:line="46" w:lineRule="exact"/>
        <w:rPr>
          <w:sz w:val="20"/>
          <w:szCs w:val="20"/>
          <w:color w:val="auto"/>
        </w:rPr>
      </w:pPr>
    </w:p>
    <w:p>
      <w:pPr>
        <w:ind w:right="260"/>
        <w:spacing w:after="0" w:line="254" w:lineRule="auto"/>
        <w:rPr>
          <w:sz w:val="20"/>
          <w:szCs w:val="20"/>
          <w:color w:val="auto"/>
        </w:rPr>
      </w:pPr>
      <w:r>
        <w:rPr>
          <w:rFonts w:ascii="Arial" w:cs="Arial" w:eastAsia="Arial" w:hAnsi="Arial"/>
          <w:sz w:val="18"/>
          <w:szCs w:val="18"/>
          <w:color w:val="auto"/>
        </w:rPr>
        <w:t>2016. This increase was primarily due to higher sales of our storage products by 10% driven by strong growth in sales of SSD products and higher sales of our connectivity products by 10%. This growth was offset by a decline in other products by 26%. Net revenue for the nine months ended October 28, 2017 included a one-time benefit of $4.7 million from a reduction in revenue-related accruals described in Note 1 of our unaudited condensed consolidated financial statements.</w:t>
      </w:r>
    </w:p>
    <w:p>
      <w:pPr>
        <w:spacing w:after="0" w:line="190" w:lineRule="exact"/>
        <w:rPr>
          <w:sz w:val="20"/>
          <w:szCs w:val="20"/>
          <w:color w:val="auto"/>
        </w:rPr>
      </w:pPr>
    </w:p>
    <w:p>
      <w:pPr>
        <w:ind w:right="20" w:firstLine="405"/>
        <w:spacing w:after="0" w:line="264" w:lineRule="auto"/>
        <w:rPr>
          <w:sz w:val="20"/>
          <w:szCs w:val="20"/>
          <w:color w:val="auto"/>
        </w:rPr>
      </w:pPr>
      <w:r>
        <w:rPr>
          <w:rFonts w:ascii="Arial" w:cs="Arial" w:eastAsia="Arial" w:hAnsi="Arial"/>
          <w:sz w:val="18"/>
          <w:szCs w:val="18"/>
          <w:color w:val="auto"/>
        </w:rPr>
        <w:t>In the three months ended October 28, 2017, unit shipments were 3% higher and average selling prices decreased 4% compared to the three months ended October 29, 2016. In the nine months ended October 28, 2017, unit shipments were 2% higher and average selling prices increased 2% compared to the nine months ended October 29, 2016.</w:t>
      </w:r>
    </w:p>
    <w:p>
      <w:pPr>
        <w:spacing w:after="0" w:line="200" w:lineRule="exact"/>
        <w:rPr>
          <w:sz w:val="20"/>
          <w:szCs w:val="20"/>
          <w:color w:val="auto"/>
        </w:rPr>
      </w:pP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140" w:right="239" w:bottom="1440" w:gutter="0" w:footer="0" w:header="0"/>
        </w:sectPr>
      </w:pPr>
    </w:p>
    <w:bookmarkStart w:id="27" w:name="page28"/>
    <w:bookmarkEnd w:id="2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4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3"/>
          </w:tcPr>
          <w:p>
            <w:pPr>
              <w:jc w:val="right"/>
              <w:ind w:right="614"/>
              <w:spacing w:after="0"/>
              <w:rPr>
                <w:sz w:val="20"/>
                <w:szCs w:val="20"/>
                <w:color w:val="auto"/>
              </w:rPr>
            </w:pPr>
            <w:r>
              <w:rPr>
                <w:rFonts w:ascii="Arial" w:cs="Arial" w:eastAsia="Arial" w:hAnsi="Arial"/>
                <w:sz w:val="14"/>
                <w:szCs w:val="14"/>
                <w:b w:val="1"/>
                <w:bCs w:val="1"/>
                <w:color w:val="auto"/>
              </w:rPr>
              <w:t>Three Months Ended</w:t>
            </w:r>
          </w:p>
        </w:tc>
        <w:tc>
          <w:tcPr>
            <w:tcW w:w="142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3"/>
          </w:tcPr>
          <w:p>
            <w:pPr>
              <w:jc w:val="right"/>
              <w:ind w:right="654"/>
              <w:spacing w:after="0"/>
              <w:rPr>
                <w:sz w:val="20"/>
                <w:szCs w:val="20"/>
                <w:color w:val="auto"/>
              </w:rPr>
            </w:pPr>
            <w:r>
              <w:rPr>
                <w:rFonts w:ascii="Arial" w:cs="Arial" w:eastAsia="Arial" w:hAnsi="Arial"/>
                <w:sz w:val="14"/>
                <w:szCs w:val="14"/>
                <w:b w:val="1"/>
                <w:bCs w:val="1"/>
                <w:color w:val="auto"/>
              </w:rPr>
              <w:t>Nine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2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20" w:type="dxa"/>
            <w:vAlign w:val="bottom"/>
            <w:vMerge w:val="restart"/>
          </w:tcPr>
          <w:p>
            <w:pPr>
              <w:jc w:val="right"/>
              <w:ind w:right="96"/>
              <w:spacing w:after="0"/>
              <w:rPr>
                <w:sz w:val="20"/>
                <w:szCs w:val="20"/>
                <w:color w:val="auto"/>
              </w:rPr>
            </w:pPr>
            <w:r>
              <w:rPr>
                <w:rFonts w:ascii="Arial" w:cs="Arial" w:eastAsia="Arial" w:hAnsi="Arial"/>
                <w:sz w:val="14"/>
                <w:szCs w:val="14"/>
                <w:b w:val="1"/>
                <w:bCs w:val="1"/>
                <w:color w:val="auto"/>
                <w:w w:val="90"/>
              </w:rPr>
              <w:t>October 28, 2017</w:t>
            </w:r>
          </w:p>
        </w:tc>
        <w:tc>
          <w:tcPr>
            <w:tcW w:w="180" w:type="dxa"/>
            <w:vAlign w:val="bottom"/>
          </w:tcPr>
          <w:p>
            <w:pPr>
              <w:spacing w:after="0"/>
              <w:rPr>
                <w:sz w:val="12"/>
                <w:szCs w:val="12"/>
                <w:color w:val="auto"/>
              </w:rPr>
            </w:pPr>
          </w:p>
        </w:tc>
        <w:tc>
          <w:tcPr>
            <w:tcW w:w="1180" w:type="dxa"/>
            <w:vAlign w:val="bottom"/>
            <w:vMerge w:val="restart"/>
          </w:tcPr>
          <w:p>
            <w:pPr>
              <w:jc w:val="right"/>
              <w:ind w:right="54"/>
              <w:spacing w:after="0"/>
              <w:rPr>
                <w:sz w:val="20"/>
                <w:szCs w:val="20"/>
                <w:color w:val="auto"/>
              </w:rPr>
            </w:pPr>
            <w:r>
              <w:rPr>
                <w:rFonts w:ascii="Arial" w:cs="Arial" w:eastAsia="Arial" w:hAnsi="Arial"/>
                <w:sz w:val="14"/>
                <w:szCs w:val="14"/>
                <w:b w:val="1"/>
                <w:bCs w:val="1"/>
                <w:color w:val="auto"/>
                <w:w w:val="90"/>
              </w:rPr>
              <w:t>October 29, 2016</w:t>
            </w:r>
          </w:p>
        </w:tc>
        <w:tc>
          <w:tcPr>
            <w:tcW w:w="1420" w:type="dxa"/>
            <w:vAlign w:val="bottom"/>
          </w:tcPr>
          <w:p>
            <w:pPr>
              <w:jc w:val="right"/>
              <w:ind w:right="561"/>
              <w:spacing w:after="0" w:line="139" w:lineRule="exact"/>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2"/>
                <w:szCs w:val="12"/>
                <w:color w:val="auto"/>
              </w:rPr>
            </w:pPr>
          </w:p>
        </w:tc>
        <w:tc>
          <w:tcPr>
            <w:tcW w:w="1240" w:type="dxa"/>
            <w:vAlign w:val="bottom"/>
            <w:vMerge w:val="restart"/>
          </w:tcPr>
          <w:p>
            <w:pPr>
              <w:jc w:val="right"/>
              <w:ind w:right="96"/>
              <w:spacing w:after="0"/>
              <w:rPr>
                <w:sz w:val="20"/>
                <w:szCs w:val="20"/>
                <w:color w:val="auto"/>
              </w:rPr>
            </w:pPr>
            <w:r>
              <w:rPr>
                <w:rFonts w:ascii="Arial" w:cs="Arial" w:eastAsia="Arial" w:hAnsi="Arial"/>
                <w:sz w:val="14"/>
                <w:szCs w:val="14"/>
                <w:b w:val="1"/>
                <w:bCs w:val="1"/>
                <w:color w:val="auto"/>
                <w:w w:val="92"/>
              </w:rPr>
              <w:t>October 28, 2017</w:t>
            </w:r>
          </w:p>
        </w:tc>
        <w:tc>
          <w:tcPr>
            <w:tcW w:w="180" w:type="dxa"/>
            <w:vAlign w:val="bottom"/>
          </w:tcPr>
          <w:p>
            <w:pPr>
              <w:spacing w:after="0"/>
              <w:rPr>
                <w:sz w:val="12"/>
                <w:szCs w:val="12"/>
                <w:color w:val="auto"/>
              </w:rPr>
            </w:pPr>
          </w:p>
        </w:tc>
        <w:tc>
          <w:tcPr>
            <w:tcW w:w="1180" w:type="dxa"/>
            <w:vAlign w:val="bottom"/>
            <w:vMerge w:val="restart"/>
          </w:tcPr>
          <w:p>
            <w:pPr>
              <w:jc w:val="right"/>
              <w:ind w:right="54"/>
              <w:spacing w:after="0"/>
              <w:rPr>
                <w:sz w:val="20"/>
                <w:szCs w:val="20"/>
                <w:color w:val="auto"/>
              </w:rPr>
            </w:pPr>
            <w:r>
              <w:rPr>
                <w:rFonts w:ascii="Arial" w:cs="Arial" w:eastAsia="Arial" w:hAnsi="Arial"/>
                <w:sz w:val="14"/>
                <w:szCs w:val="14"/>
                <w:b w:val="1"/>
                <w:bCs w:val="1"/>
                <w:color w:val="auto"/>
                <w:w w:val="90"/>
              </w:rPr>
              <w:t>October 29, 2016</w:t>
            </w:r>
          </w:p>
        </w:tc>
        <w:tc>
          <w:tcPr>
            <w:tcW w:w="1320" w:type="dxa"/>
            <w:vAlign w:val="bottom"/>
          </w:tcPr>
          <w:p>
            <w:pPr>
              <w:jc w:val="right"/>
              <w:ind w:right="459"/>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24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420" w:type="dxa"/>
            <w:vAlign w:val="bottom"/>
            <w:tcBorders>
              <w:bottom w:val="single" w:sz="8" w:color="auto"/>
            </w:tcBorders>
          </w:tcPr>
          <w:p>
            <w:pPr>
              <w:jc w:val="right"/>
              <w:ind w:right="401"/>
              <w:spacing w:after="0"/>
              <w:rPr>
                <w:sz w:val="20"/>
                <w:szCs w:val="20"/>
                <w:color w:val="auto"/>
              </w:rPr>
            </w:pPr>
            <w:r>
              <w:rPr>
                <w:rFonts w:ascii="Arial" w:cs="Arial" w:eastAsia="Arial" w:hAnsi="Arial"/>
                <w:sz w:val="14"/>
                <w:szCs w:val="14"/>
                <w:b w:val="1"/>
                <w:bCs w:val="1"/>
                <w:color w:val="auto"/>
              </w:rPr>
              <w:t>Change</w:t>
            </w:r>
          </w:p>
        </w:tc>
        <w:tc>
          <w:tcPr>
            <w:tcW w:w="120" w:type="dxa"/>
            <w:vAlign w:val="bottom"/>
            <w:tcBorders>
              <w:bottom w:val="single" w:sz="8" w:color="auto"/>
            </w:tcBorders>
          </w:tcPr>
          <w:p>
            <w:pPr>
              <w:spacing w:after="0"/>
              <w:rPr>
                <w:sz w:val="16"/>
                <w:szCs w:val="16"/>
                <w:color w:val="auto"/>
              </w:rPr>
            </w:pPr>
          </w:p>
        </w:tc>
        <w:tc>
          <w:tcPr>
            <w:tcW w:w="124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right"/>
              <w:ind w:right="299"/>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96"/>
        </w:trPr>
        <w:tc>
          <w:tcPr>
            <w:tcW w:w="32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780" w:type="dxa"/>
            <w:vAlign w:val="bottom"/>
            <w:gridSpan w:val="3"/>
          </w:tcPr>
          <w:p>
            <w:pPr>
              <w:jc w:val="right"/>
              <w:ind w:right="276"/>
              <w:spacing w:after="0"/>
              <w:rPr>
                <w:sz w:val="20"/>
                <w:szCs w:val="20"/>
                <w:color w:val="auto"/>
              </w:rPr>
            </w:pPr>
            <w:r>
              <w:rPr>
                <w:rFonts w:ascii="Arial" w:cs="Arial" w:eastAsia="Arial" w:hAnsi="Arial"/>
                <w:sz w:val="14"/>
                <w:szCs w:val="14"/>
                <w:b w:val="1"/>
                <w:bCs w:val="1"/>
                <w:color w:val="auto"/>
              </w:rPr>
              <w:t>(in thousands, except percentage)</w:t>
            </w: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2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Cost of goods sold</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238,533</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266,757</w:t>
            </w:r>
          </w:p>
        </w:tc>
        <w:tc>
          <w:tcPr>
            <w:tcW w:w="1420" w:type="dxa"/>
            <w:vAlign w:val="bottom"/>
            <w:tcBorders>
              <w:bottom w:val="single" w:sz="8" w:color="CCEEFF"/>
            </w:tcBorders>
            <w:shd w:val="clear" w:color="auto" w:fill="CCEEFF"/>
          </w:tcPr>
          <w:p>
            <w:pPr>
              <w:jc w:val="right"/>
              <w:ind w:right="61"/>
              <w:spacing w:after="0"/>
              <w:rPr>
                <w:sz w:val="20"/>
                <w:szCs w:val="20"/>
                <w:color w:val="auto"/>
              </w:rPr>
            </w:pPr>
            <w:r>
              <w:rPr>
                <w:rFonts w:ascii="Arial" w:cs="Arial" w:eastAsia="Arial" w:hAnsi="Arial"/>
                <w:sz w:val="18"/>
                <w:szCs w:val="18"/>
                <w:color w:val="auto"/>
              </w:rPr>
              <w:t>(10.6)%</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705,303</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777,117</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(9.2)%</w:t>
            </w:r>
          </w:p>
        </w:tc>
        <w:tc>
          <w:tcPr>
            <w:tcW w:w="0" w:type="dxa"/>
            <w:vAlign w:val="bottom"/>
          </w:tcPr>
          <w:p>
            <w:pPr>
              <w:spacing w:after="0"/>
              <w:rPr>
                <w:sz w:val="1"/>
                <w:szCs w:val="1"/>
                <w:color w:val="auto"/>
              </w:rPr>
            </w:pPr>
          </w:p>
        </w:tc>
      </w:tr>
      <w:tr>
        <w:trPr>
          <w:trHeight w:val="243"/>
        </w:trPr>
        <w:tc>
          <w:tcPr>
            <w:tcW w:w="32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1"/>
                <w:szCs w:val="21"/>
                <w:color w:val="auto"/>
              </w:rPr>
            </w:pPr>
          </w:p>
        </w:tc>
        <w:tc>
          <w:tcPr>
            <w:tcW w:w="1220" w:type="dxa"/>
            <w:vAlign w:val="bottom"/>
          </w:tcPr>
          <w:p>
            <w:pPr>
              <w:jc w:val="right"/>
              <w:ind w:right="16"/>
              <w:spacing w:after="0"/>
              <w:rPr>
                <w:sz w:val="20"/>
                <w:szCs w:val="20"/>
                <w:color w:val="auto"/>
              </w:rPr>
            </w:pPr>
            <w:r>
              <w:rPr>
                <w:rFonts w:ascii="Arial" w:cs="Arial" w:eastAsia="Arial" w:hAnsi="Arial"/>
                <w:sz w:val="18"/>
                <w:szCs w:val="18"/>
                <w:color w:val="auto"/>
              </w:rPr>
              <w:t>38.7%</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42.8%</w:t>
            </w:r>
          </w:p>
        </w:tc>
        <w:tc>
          <w:tcPr>
            <w:tcW w:w="14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39.3%</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44.8%</w:t>
            </w:r>
          </w:p>
        </w:tc>
        <w:tc>
          <w:tcPr>
            <w:tcW w:w="13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324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3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32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377,769</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356,894</w:t>
            </w:r>
          </w:p>
        </w:tc>
        <w:tc>
          <w:tcPr>
            <w:tcW w:w="1420" w:type="dxa"/>
            <w:vAlign w:val="bottom"/>
            <w:tcBorders>
              <w:bottom w:val="single" w:sz="8" w:color="CCEEFF"/>
            </w:tcBorders>
            <w:shd w:val="clear" w:color="auto" w:fill="CCEEFF"/>
          </w:tcPr>
          <w:p>
            <w:pPr>
              <w:jc w:val="right"/>
              <w:ind w:right="81"/>
              <w:spacing w:after="0"/>
              <w:rPr>
                <w:sz w:val="20"/>
                <w:szCs w:val="20"/>
                <w:color w:val="auto"/>
              </w:rPr>
            </w:pPr>
            <w:r>
              <w:rPr>
                <w:rFonts w:ascii="Arial" w:cs="Arial" w:eastAsia="Arial" w:hAnsi="Arial"/>
                <w:sz w:val="18"/>
                <w:szCs w:val="18"/>
                <w:color w:val="auto"/>
              </w:rPr>
              <w:t>5.8 %</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156"/>
              <w:spacing w:after="0"/>
              <w:rPr>
                <w:sz w:val="20"/>
                <w:szCs w:val="20"/>
                <w:color w:val="auto"/>
              </w:rPr>
            </w:pPr>
            <w:r>
              <w:rPr>
                <w:rFonts w:ascii="Arial" w:cs="Arial" w:eastAsia="Arial" w:hAnsi="Arial"/>
                <w:sz w:val="18"/>
                <w:szCs w:val="18"/>
                <w:color w:val="auto"/>
              </w:rPr>
              <w:t>1,088,458</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957,513</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13.7 %</w:t>
            </w:r>
          </w:p>
        </w:tc>
        <w:tc>
          <w:tcPr>
            <w:tcW w:w="0" w:type="dxa"/>
            <w:vAlign w:val="bottom"/>
          </w:tcPr>
          <w:p>
            <w:pPr>
              <w:spacing w:after="0"/>
              <w:rPr>
                <w:sz w:val="1"/>
                <w:szCs w:val="1"/>
                <w:color w:val="auto"/>
              </w:rPr>
            </w:pPr>
          </w:p>
        </w:tc>
      </w:tr>
      <w:tr>
        <w:trPr>
          <w:trHeight w:val="243"/>
        </w:trPr>
        <w:tc>
          <w:tcPr>
            <w:tcW w:w="32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1"/>
                <w:szCs w:val="21"/>
                <w:color w:val="auto"/>
              </w:rPr>
            </w:pPr>
          </w:p>
        </w:tc>
        <w:tc>
          <w:tcPr>
            <w:tcW w:w="1220" w:type="dxa"/>
            <w:vAlign w:val="bottom"/>
          </w:tcPr>
          <w:p>
            <w:pPr>
              <w:jc w:val="right"/>
              <w:ind w:right="16"/>
              <w:spacing w:after="0"/>
              <w:rPr>
                <w:sz w:val="20"/>
                <w:szCs w:val="20"/>
                <w:color w:val="auto"/>
              </w:rPr>
            </w:pPr>
            <w:r>
              <w:rPr>
                <w:rFonts w:ascii="Arial" w:cs="Arial" w:eastAsia="Arial" w:hAnsi="Arial"/>
                <w:sz w:val="18"/>
                <w:szCs w:val="18"/>
                <w:color w:val="auto"/>
              </w:rPr>
              <w:t>61.3%</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57.2%</w:t>
            </w:r>
          </w:p>
        </w:tc>
        <w:tc>
          <w:tcPr>
            <w:tcW w:w="14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60.7%</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55.2%</w:t>
            </w:r>
          </w:p>
        </w:tc>
        <w:tc>
          <w:tcPr>
            <w:tcW w:w="13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29" w:lineRule="exact"/>
        <w:rPr>
          <w:sz w:val="20"/>
          <w:szCs w:val="20"/>
          <w:color w:val="auto"/>
        </w:rPr>
      </w:pPr>
    </w:p>
    <w:p>
      <w:pPr>
        <w:ind w:right="60" w:firstLine="432"/>
        <w:spacing w:after="0" w:line="271" w:lineRule="auto"/>
        <w:rPr>
          <w:sz w:val="20"/>
          <w:szCs w:val="20"/>
          <w:color w:val="auto"/>
        </w:rPr>
      </w:pPr>
      <w:r>
        <w:rPr>
          <w:rFonts w:ascii="Arial" w:cs="Arial" w:eastAsia="Arial" w:hAnsi="Arial"/>
          <w:sz w:val="17"/>
          <w:szCs w:val="17"/>
          <w:color w:val="auto"/>
        </w:rPr>
        <w:t>The cost of goods sold as a percentage of net revenue was lower for the three and nine months ended October 28, 2017 due to improved margins primarily as a result of a shift in the mix of our product sales away from lower margin other products , the introduction of higher margin new products, combined with lower manufacturing costs, lower inventory reserves, period cost reductions, and yield improvement. As a result, gross margin for the three and nine months ended October 28, 2017 increased 4.1 percentage points and 5.5 percentage points, respectively, compared to the three and nine months ended October 29, 2016. Our cost of goods sold as a percentage of net revenue may fluctuate in future periods due to, among other things: changes in the mix of products sold; the timing of production ramps of new products; increased pricing pressures from our customers and competitors;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79"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Research and Development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6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3"/>
          </w:tcPr>
          <w:p>
            <w:pPr>
              <w:jc w:val="right"/>
              <w:ind w:right="596"/>
              <w:spacing w:after="0"/>
              <w:rPr>
                <w:sz w:val="20"/>
                <w:szCs w:val="20"/>
                <w:color w:val="auto"/>
              </w:rPr>
            </w:pPr>
            <w:r>
              <w:rPr>
                <w:rFonts w:ascii="Arial" w:cs="Arial" w:eastAsia="Arial" w:hAnsi="Arial"/>
                <w:sz w:val="14"/>
                <w:szCs w:val="14"/>
                <w:b w:val="1"/>
                <w:bCs w:val="1"/>
                <w:color w:val="auto"/>
              </w:rPr>
              <w:t>Three Months Ended</w:t>
            </w:r>
          </w:p>
        </w:tc>
        <w:tc>
          <w:tcPr>
            <w:tcW w:w="144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3"/>
          </w:tcPr>
          <w:p>
            <w:pPr>
              <w:jc w:val="right"/>
              <w:ind w:right="636"/>
              <w:spacing w:after="0"/>
              <w:rPr>
                <w:sz w:val="20"/>
                <w:szCs w:val="20"/>
                <w:color w:val="auto"/>
              </w:rPr>
            </w:pPr>
            <w:r>
              <w:rPr>
                <w:rFonts w:ascii="Arial" w:cs="Arial" w:eastAsia="Arial" w:hAnsi="Arial"/>
                <w:sz w:val="14"/>
                <w:szCs w:val="14"/>
                <w:b w:val="1"/>
                <w:bCs w:val="1"/>
                <w:color w:val="auto"/>
              </w:rPr>
              <w:t>Nine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2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vMerge w:val="restart"/>
          </w:tcPr>
          <w:p>
            <w:pPr>
              <w:jc w:val="right"/>
              <w:ind w:right="79"/>
              <w:spacing w:after="0"/>
              <w:rPr>
                <w:sz w:val="20"/>
                <w:szCs w:val="20"/>
                <w:color w:val="auto"/>
              </w:rPr>
            </w:pPr>
            <w:r>
              <w:rPr>
                <w:rFonts w:ascii="Arial" w:cs="Arial" w:eastAsia="Arial" w:hAnsi="Arial"/>
                <w:sz w:val="14"/>
                <w:szCs w:val="14"/>
                <w:b w:val="1"/>
                <w:bCs w:val="1"/>
                <w:color w:val="auto"/>
                <w:w w:val="92"/>
              </w:rPr>
              <w:t>October 28, 2017</w:t>
            </w:r>
          </w:p>
        </w:tc>
        <w:tc>
          <w:tcPr>
            <w:tcW w:w="180" w:type="dxa"/>
            <w:vAlign w:val="bottom"/>
          </w:tcPr>
          <w:p>
            <w:pPr>
              <w:spacing w:after="0"/>
              <w:rPr>
                <w:sz w:val="12"/>
                <w:szCs w:val="12"/>
                <w:color w:val="auto"/>
              </w:rPr>
            </w:pPr>
          </w:p>
        </w:tc>
        <w:tc>
          <w:tcPr>
            <w:tcW w:w="1180" w:type="dxa"/>
            <w:vAlign w:val="bottom"/>
            <w:vMerge w:val="restart"/>
          </w:tcPr>
          <w:p>
            <w:pPr>
              <w:jc w:val="right"/>
              <w:ind w:right="36"/>
              <w:spacing w:after="0"/>
              <w:rPr>
                <w:sz w:val="20"/>
                <w:szCs w:val="20"/>
                <w:color w:val="auto"/>
              </w:rPr>
            </w:pPr>
            <w:r>
              <w:rPr>
                <w:rFonts w:ascii="Arial" w:cs="Arial" w:eastAsia="Arial" w:hAnsi="Arial"/>
                <w:sz w:val="14"/>
                <w:szCs w:val="14"/>
                <w:b w:val="1"/>
                <w:bCs w:val="1"/>
                <w:color w:val="auto"/>
                <w:w w:val="92"/>
              </w:rPr>
              <w:t>October 29, 2016</w:t>
            </w:r>
          </w:p>
        </w:tc>
        <w:tc>
          <w:tcPr>
            <w:tcW w:w="1440" w:type="dxa"/>
            <w:vAlign w:val="bottom"/>
          </w:tcPr>
          <w:p>
            <w:pPr>
              <w:jc w:val="right"/>
              <w:ind w:right="564"/>
              <w:spacing w:after="0" w:line="139" w:lineRule="exact"/>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2"/>
                <w:szCs w:val="12"/>
                <w:color w:val="auto"/>
              </w:rPr>
            </w:pPr>
          </w:p>
        </w:tc>
        <w:tc>
          <w:tcPr>
            <w:tcW w:w="1220" w:type="dxa"/>
            <w:vAlign w:val="bottom"/>
            <w:vMerge w:val="restart"/>
          </w:tcPr>
          <w:p>
            <w:pPr>
              <w:jc w:val="right"/>
              <w:ind w:right="99"/>
              <w:spacing w:after="0"/>
              <w:rPr>
                <w:sz w:val="20"/>
                <w:szCs w:val="20"/>
                <w:color w:val="auto"/>
              </w:rPr>
            </w:pPr>
            <w:r>
              <w:rPr>
                <w:rFonts w:ascii="Arial" w:cs="Arial" w:eastAsia="Arial" w:hAnsi="Arial"/>
                <w:sz w:val="14"/>
                <w:szCs w:val="14"/>
                <w:b w:val="1"/>
                <w:bCs w:val="1"/>
                <w:color w:val="auto"/>
                <w:w w:val="90"/>
              </w:rPr>
              <w:t>October 28, 2017</w:t>
            </w:r>
          </w:p>
        </w:tc>
        <w:tc>
          <w:tcPr>
            <w:tcW w:w="180" w:type="dxa"/>
            <w:vAlign w:val="bottom"/>
          </w:tcPr>
          <w:p>
            <w:pPr>
              <w:spacing w:after="0"/>
              <w:rPr>
                <w:sz w:val="12"/>
                <w:szCs w:val="12"/>
                <w:color w:val="auto"/>
              </w:rPr>
            </w:pPr>
          </w:p>
        </w:tc>
        <w:tc>
          <w:tcPr>
            <w:tcW w:w="1180" w:type="dxa"/>
            <w:vAlign w:val="bottom"/>
            <w:vMerge w:val="restart"/>
          </w:tcPr>
          <w:p>
            <w:pPr>
              <w:jc w:val="right"/>
              <w:ind w:right="56"/>
              <w:spacing w:after="0"/>
              <w:rPr>
                <w:sz w:val="20"/>
                <w:szCs w:val="20"/>
                <w:color w:val="auto"/>
              </w:rPr>
            </w:pPr>
            <w:r>
              <w:rPr>
                <w:rFonts w:ascii="Arial" w:cs="Arial" w:eastAsia="Arial" w:hAnsi="Arial"/>
                <w:sz w:val="14"/>
                <w:szCs w:val="14"/>
                <w:b w:val="1"/>
                <w:bCs w:val="1"/>
                <w:color w:val="auto"/>
                <w:w w:val="90"/>
              </w:rPr>
              <w:t>October 29, 2016</w:t>
            </w:r>
          </w:p>
        </w:tc>
        <w:tc>
          <w:tcPr>
            <w:tcW w:w="1320" w:type="dxa"/>
            <w:vAlign w:val="bottom"/>
          </w:tcPr>
          <w:p>
            <w:pPr>
              <w:jc w:val="right"/>
              <w:ind w:right="46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26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560" w:type="dxa"/>
            <w:vAlign w:val="bottom"/>
            <w:tcBorders>
              <w:bottom w:val="single" w:sz="8" w:color="auto"/>
            </w:tcBorders>
            <w:gridSpan w:val="2"/>
          </w:tcPr>
          <w:p>
            <w:pPr>
              <w:jc w:val="center"/>
              <w:ind w:right="120"/>
              <w:spacing w:after="0"/>
              <w:rPr>
                <w:sz w:val="20"/>
                <w:szCs w:val="20"/>
                <w:color w:val="auto"/>
              </w:rPr>
            </w:pPr>
            <w:r>
              <w:rPr>
                <w:rFonts w:ascii="Arial" w:cs="Arial" w:eastAsia="Arial" w:hAnsi="Arial"/>
                <w:sz w:val="14"/>
                <w:szCs w:val="14"/>
                <w:b w:val="1"/>
                <w:bCs w:val="1"/>
                <w:color w:val="auto"/>
                <w:w w:val="93"/>
              </w:rPr>
              <w:t>Change</w:t>
            </w:r>
          </w:p>
        </w:tc>
        <w:tc>
          <w:tcPr>
            <w:tcW w:w="122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780" w:type="dxa"/>
            <w:vAlign w:val="bottom"/>
            <w:gridSpan w:val="3"/>
          </w:tcPr>
          <w:p>
            <w:pPr>
              <w:jc w:val="right"/>
              <w:ind w:right="279"/>
              <w:spacing w:after="0"/>
              <w:rPr>
                <w:sz w:val="20"/>
                <w:szCs w:val="20"/>
                <w:color w:val="auto"/>
              </w:rPr>
            </w:pPr>
            <w:r>
              <w:rPr>
                <w:rFonts w:ascii="Arial" w:cs="Arial" w:eastAsia="Arial" w:hAnsi="Arial"/>
                <w:sz w:val="14"/>
                <w:szCs w:val="14"/>
                <w:b w:val="1"/>
                <w:bCs w:val="1"/>
                <w:color w:val="auto"/>
              </w:rPr>
              <w:t>(in thousands, except percentage)</w:t>
            </w: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2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Research and development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165,477</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202,416</w:t>
            </w:r>
          </w:p>
        </w:tc>
        <w:tc>
          <w:tcPr>
            <w:tcW w:w="156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(18.2)%  $</w:t>
            </w:r>
          </w:p>
        </w:tc>
        <w:tc>
          <w:tcPr>
            <w:tcW w:w="12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534,444</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629,767</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(15.1)%</w:t>
            </w:r>
          </w:p>
        </w:tc>
        <w:tc>
          <w:tcPr>
            <w:tcW w:w="0" w:type="dxa"/>
            <w:vAlign w:val="bottom"/>
          </w:tcPr>
          <w:p>
            <w:pPr>
              <w:spacing w:after="0"/>
              <w:rPr>
                <w:sz w:val="1"/>
                <w:szCs w:val="1"/>
                <w:color w:val="auto"/>
              </w:rPr>
            </w:pPr>
          </w:p>
        </w:tc>
      </w:tr>
      <w:tr>
        <w:trPr>
          <w:trHeight w:val="243"/>
        </w:trPr>
        <w:tc>
          <w:tcPr>
            <w:tcW w:w="326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2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26.8%</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32.5%</w:t>
            </w:r>
          </w:p>
        </w:tc>
        <w:tc>
          <w:tcPr>
            <w:tcW w:w="14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29.8%</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36.3%</w:t>
            </w:r>
          </w:p>
        </w:tc>
        <w:tc>
          <w:tcPr>
            <w:tcW w:w="13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160" w:firstLine="432"/>
        <w:spacing w:after="0" w:line="312" w:lineRule="auto"/>
        <w:rPr>
          <w:sz w:val="20"/>
          <w:szCs w:val="20"/>
          <w:color w:val="auto"/>
        </w:rPr>
      </w:pPr>
      <w:r>
        <w:rPr>
          <w:rFonts w:ascii="Arial" w:cs="Arial" w:eastAsia="Arial" w:hAnsi="Arial"/>
          <w:sz w:val="16"/>
          <w:szCs w:val="16"/>
          <w:color w:val="auto"/>
        </w:rPr>
        <w:t>Research and development expenses decreased by $36.9 million in the three months ended October 28, 2017 compared to the three months ended October 29, 2016. The decrease was primarily attributable to $28.4 million of lower personnel-related costs and a $4.2 million reduction in depreciation and amortization expense. These reductions are primarily attributable to the results of the restructuring actions announced in November 2016.</w:t>
      </w:r>
    </w:p>
    <w:p>
      <w:pPr>
        <w:spacing w:after="0" w:line="93" w:lineRule="exact"/>
        <w:rPr>
          <w:sz w:val="20"/>
          <w:szCs w:val="20"/>
          <w:color w:val="auto"/>
        </w:rPr>
      </w:pPr>
    </w:p>
    <w:p>
      <w:pPr>
        <w:ind w:right="200" w:firstLine="432"/>
        <w:spacing w:after="0" w:line="312" w:lineRule="auto"/>
        <w:rPr>
          <w:sz w:val="20"/>
          <w:szCs w:val="20"/>
          <w:color w:val="auto"/>
        </w:rPr>
      </w:pPr>
      <w:r>
        <w:rPr>
          <w:rFonts w:ascii="Arial" w:cs="Arial" w:eastAsia="Arial" w:hAnsi="Arial"/>
          <w:sz w:val="16"/>
          <w:szCs w:val="16"/>
          <w:color w:val="auto"/>
        </w:rPr>
        <w:t>Research and development expenses decreased by $95.3 million in the nine months ended October 28, 2017 compared to the nine months ended October 29, 2016. The decrease was primarily attributable to $79.5 million of lower personnel-related costs and $11.6 million reduction in depreciation and amortization expense. These reductions are primarily attributable to the results of the restructuring actions announced in November 2016.</w:t>
      </w:r>
    </w:p>
    <w:p>
      <w:pPr>
        <w:spacing w:after="0" w:line="174"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Selling, general and administrative</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3"/>
          </w:tcPr>
          <w:p>
            <w:pPr>
              <w:jc w:val="right"/>
              <w:ind w:right="594"/>
              <w:spacing w:after="0"/>
              <w:rPr>
                <w:sz w:val="20"/>
                <w:szCs w:val="20"/>
                <w:color w:val="auto"/>
              </w:rPr>
            </w:pPr>
            <w:r>
              <w:rPr>
                <w:rFonts w:ascii="Arial" w:cs="Arial" w:eastAsia="Arial" w:hAnsi="Arial"/>
                <w:sz w:val="14"/>
                <w:szCs w:val="14"/>
                <w:b w:val="1"/>
                <w:bCs w:val="1"/>
                <w:color w:val="auto"/>
              </w:rPr>
              <w:t>Three Months Ended</w:t>
            </w:r>
          </w:p>
        </w:tc>
        <w:tc>
          <w:tcPr>
            <w:tcW w:w="142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3"/>
          </w:tcPr>
          <w:p>
            <w:pPr>
              <w:jc w:val="right"/>
              <w:ind w:right="636"/>
              <w:spacing w:after="0"/>
              <w:rPr>
                <w:sz w:val="20"/>
                <w:szCs w:val="20"/>
                <w:color w:val="auto"/>
              </w:rPr>
            </w:pPr>
            <w:r>
              <w:rPr>
                <w:rFonts w:ascii="Arial" w:cs="Arial" w:eastAsia="Arial" w:hAnsi="Arial"/>
                <w:sz w:val="14"/>
                <w:szCs w:val="14"/>
                <w:b w:val="1"/>
                <w:bCs w:val="1"/>
                <w:color w:val="auto"/>
              </w:rPr>
              <w:t>Nine Months Ended</w:t>
            </w: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20" w:type="dxa"/>
            <w:vAlign w:val="bottom"/>
            <w:vMerge w:val="restart"/>
          </w:tcPr>
          <w:p>
            <w:pPr>
              <w:jc w:val="right"/>
              <w:ind w:right="99"/>
              <w:spacing w:after="0"/>
              <w:rPr>
                <w:sz w:val="20"/>
                <w:szCs w:val="20"/>
                <w:color w:val="auto"/>
              </w:rPr>
            </w:pPr>
            <w:r>
              <w:rPr>
                <w:rFonts w:ascii="Arial" w:cs="Arial" w:eastAsia="Arial" w:hAnsi="Arial"/>
                <w:sz w:val="14"/>
                <w:szCs w:val="14"/>
                <w:b w:val="1"/>
                <w:bCs w:val="1"/>
                <w:color w:val="auto"/>
                <w:w w:val="90"/>
              </w:rPr>
              <w:t>October 28, 2017</w:t>
            </w:r>
          </w:p>
        </w:tc>
        <w:tc>
          <w:tcPr>
            <w:tcW w:w="180" w:type="dxa"/>
            <w:vAlign w:val="bottom"/>
          </w:tcPr>
          <w:p>
            <w:pPr>
              <w:spacing w:after="0"/>
              <w:rPr>
                <w:sz w:val="12"/>
                <w:szCs w:val="12"/>
                <w:color w:val="auto"/>
              </w:rPr>
            </w:pPr>
          </w:p>
        </w:tc>
        <w:tc>
          <w:tcPr>
            <w:tcW w:w="1180" w:type="dxa"/>
            <w:vAlign w:val="bottom"/>
            <w:vMerge w:val="restart"/>
          </w:tcPr>
          <w:p>
            <w:pPr>
              <w:jc w:val="right"/>
              <w:ind w:right="54"/>
              <w:spacing w:after="0"/>
              <w:rPr>
                <w:sz w:val="20"/>
                <w:szCs w:val="20"/>
                <w:color w:val="auto"/>
              </w:rPr>
            </w:pPr>
            <w:r>
              <w:rPr>
                <w:rFonts w:ascii="Arial" w:cs="Arial" w:eastAsia="Arial" w:hAnsi="Arial"/>
                <w:sz w:val="14"/>
                <w:szCs w:val="14"/>
                <w:b w:val="1"/>
                <w:bCs w:val="1"/>
                <w:color w:val="auto"/>
                <w:w w:val="90"/>
              </w:rPr>
              <w:t>October 29, 2016</w:t>
            </w:r>
          </w:p>
        </w:tc>
        <w:tc>
          <w:tcPr>
            <w:tcW w:w="1420" w:type="dxa"/>
            <w:vAlign w:val="bottom"/>
          </w:tcPr>
          <w:p>
            <w:pPr>
              <w:jc w:val="right"/>
              <w:ind w:right="564"/>
              <w:spacing w:after="0" w:line="139" w:lineRule="exact"/>
              <w:rPr>
                <w:sz w:val="20"/>
                <w:szCs w:val="20"/>
                <w:color w:val="auto"/>
              </w:rPr>
            </w:pPr>
            <w:r>
              <w:rPr>
                <w:rFonts w:ascii="Arial" w:cs="Arial" w:eastAsia="Arial" w:hAnsi="Arial"/>
                <w:sz w:val="14"/>
                <w:szCs w:val="14"/>
                <w:b w:val="1"/>
                <w:bCs w:val="1"/>
                <w:color w:val="auto"/>
              </w:rPr>
              <w:t>%</w:t>
            </w:r>
          </w:p>
        </w:tc>
        <w:tc>
          <w:tcPr>
            <w:tcW w:w="120" w:type="dxa"/>
            <w:vAlign w:val="bottom"/>
          </w:tcPr>
          <w:p>
            <w:pPr>
              <w:spacing w:after="0"/>
              <w:rPr>
                <w:sz w:val="12"/>
                <w:szCs w:val="12"/>
                <w:color w:val="auto"/>
              </w:rPr>
            </w:pPr>
          </w:p>
        </w:tc>
        <w:tc>
          <w:tcPr>
            <w:tcW w:w="1220" w:type="dxa"/>
            <w:vAlign w:val="bottom"/>
            <w:vMerge w:val="restart"/>
          </w:tcPr>
          <w:p>
            <w:pPr>
              <w:jc w:val="right"/>
              <w:ind w:right="99"/>
              <w:spacing w:after="0"/>
              <w:rPr>
                <w:sz w:val="20"/>
                <w:szCs w:val="20"/>
                <w:color w:val="auto"/>
              </w:rPr>
            </w:pPr>
            <w:r>
              <w:rPr>
                <w:rFonts w:ascii="Arial" w:cs="Arial" w:eastAsia="Arial" w:hAnsi="Arial"/>
                <w:sz w:val="14"/>
                <w:szCs w:val="14"/>
                <w:b w:val="1"/>
                <w:bCs w:val="1"/>
                <w:color w:val="auto"/>
                <w:w w:val="90"/>
              </w:rPr>
              <w:t>October 28, 2017</w:t>
            </w:r>
          </w:p>
        </w:tc>
        <w:tc>
          <w:tcPr>
            <w:tcW w:w="180" w:type="dxa"/>
            <w:vAlign w:val="bottom"/>
          </w:tcPr>
          <w:p>
            <w:pPr>
              <w:spacing w:after="0"/>
              <w:rPr>
                <w:sz w:val="12"/>
                <w:szCs w:val="12"/>
                <w:color w:val="auto"/>
              </w:rPr>
            </w:pPr>
          </w:p>
        </w:tc>
        <w:tc>
          <w:tcPr>
            <w:tcW w:w="1180" w:type="dxa"/>
            <w:vAlign w:val="bottom"/>
            <w:vMerge w:val="restart"/>
          </w:tcPr>
          <w:p>
            <w:pPr>
              <w:jc w:val="right"/>
              <w:ind w:right="56"/>
              <w:spacing w:after="0"/>
              <w:rPr>
                <w:sz w:val="20"/>
                <w:szCs w:val="20"/>
                <w:color w:val="auto"/>
              </w:rPr>
            </w:pPr>
            <w:r>
              <w:rPr>
                <w:rFonts w:ascii="Arial" w:cs="Arial" w:eastAsia="Arial" w:hAnsi="Arial"/>
                <w:sz w:val="14"/>
                <w:szCs w:val="14"/>
                <w:b w:val="1"/>
                <w:bCs w:val="1"/>
                <w:color w:val="auto"/>
                <w:w w:val="90"/>
              </w:rPr>
              <w:t>October 29, 2016</w:t>
            </w:r>
          </w:p>
        </w:tc>
        <w:tc>
          <w:tcPr>
            <w:tcW w:w="1320" w:type="dxa"/>
            <w:vAlign w:val="bottom"/>
          </w:tcPr>
          <w:p>
            <w:pPr>
              <w:jc w:val="right"/>
              <w:ind w:right="46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2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4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Change</w:t>
            </w:r>
          </w:p>
        </w:tc>
        <w:tc>
          <w:tcPr>
            <w:tcW w:w="12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32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2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760" w:type="dxa"/>
            <w:vAlign w:val="bottom"/>
            <w:gridSpan w:val="3"/>
          </w:tcPr>
          <w:p>
            <w:pPr>
              <w:jc w:val="right"/>
              <w:ind w:right="279"/>
              <w:spacing w:after="0"/>
              <w:rPr>
                <w:sz w:val="20"/>
                <w:szCs w:val="20"/>
                <w:color w:val="auto"/>
              </w:rPr>
            </w:pPr>
            <w:r>
              <w:rPr>
                <w:rFonts w:ascii="Arial" w:cs="Arial" w:eastAsia="Arial" w:hAnsi="Arial"/>
                <w:sz w:val="14"/>
                <w:szCs w:val="14"/>
                <w:b w:val="1"/>
                <w:bCs w:val="1"/>
                <w:color w:val="auto"/>
              </w:rPr>
              <w:t>(in thousands, except percentage)</w:t>
            </w: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Selling, general and administrative</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59,112</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4"/>
              <w:spacing w:after="0"/>
              <w:rPr>
                <w:sz w:val="20"/>
                <w:szCs w:val="20"/>
                <w:color w:val="auto"/>
              </w:rPr>
            </w:pPr>
            <w:r>
              <w:rPr>
                <w:rFonts w:ascii="Arial" w:cs="Arial" w:eastAsia="Arial" w:hAnsi="Arial"/>
                <w:sz w:val="18"/>
                <w:szCs w:val="18"/>
                <w:color w:val="auto"/>
              </w:rPr>
              <w:t>60,088</w:t>
            </w:r>
          </w:p>
        </w:tc>
        <w:tc>
          <w:tcPr>
            <w:tcW w:w="1420" w:type="dxa"/>
            <w:vAlign w:val="bottom"/>
            <w:tcBorders>
              <w:bottom w:val="single" w:sz="8" w:color="CCEEFF"/>
            </w:tcBorders>
            <w:shd w:val="clear" w:color="auto" w:fill="CCEEFF"/>
          </w:tcPr>
          <w:p>
            <w:pPr>
              <w:jc w:val="right"/>
              <w:ind w:right="64"/>
              <w:spacing w:after="0"/>
              <w:rPr>
                <w:sz w:val="20"/>
                <w:szCs w:val="20"/>
                <w:color w:val="auto"/>
              </w:rPr>
            </w:pPr>
            <w:r>
              <w:rPr>
                <w:rFonts w:ascii="Arial" w:cs="Arial" w:eastAsia="Arial" w:hAnsi="Arial"/>
                <w:sz w:val="18"/>
                <w:szCs w:val="18"/>
                <w:color w:val="auto"/>
              </w:rPr>
              <w:t>(1.6)%</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169,875</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192,052</w:t>
            </w:r>
          </w:p>
        </w:tc>
        <w:tc>
          <w:tcPr>
            <w:tcW w:w="13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(11.5)%</w:t>
            </w:r>
          </w:p>
        </w:tc>
        <w:tc>
          <w:tcPr>
            <w:tcW w:w="0" w:type="dxa"/>
            <w:vAlign w:val="bottom"/>
          </w:tcPr>
          <w:p>
            <w:pPr>
              <w:spacing w:after="0"/>
              <w:rPr>
                <w:sz w:val="1"/>
                <w:szCs w:val="1"/>
                <w:color w:val="auto"/>
              </w:rPr>
            </w:pPr>
          </w:p>
        </w:tc>
      </w:tr>
      <w:tr>
        <w:trPr>
          <w:trHeight w:val="243"/>
        </w:trPr>
        <w:tc>
          <w:tcPr>
            <w:tcW w:w="32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2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9.6%</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9.6%</w:t>
            </w:r>
          </w:p>
        </w:tc>
        <w:tc>
          <w:tcPr>
            <w:tcW w:w="14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9.5%</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11.1%</w:t>
            </w:r>
          </w:p>
        </w:tc>
        <w:tc>
          <w:tcPr>
            <w:tcW w:w="13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6"/>
        </w:trPr>
        <w:tc>
          <w:tcPr>
            <w:tcW w:w="3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80" w:type="dxa"/>
            <w:vAlign w:val="bottom"/>
          </w:tcPr>
          <w:p>
            <w:pPr>
              <w:jc w:val="right"/>
              <w:ind w:right="94"/>
              <w:spacing w:after="0"/>
              <w:rPr>
                <w:sz w:val="20"/>
                <w:szCs w:val="20"/>
                <w:color w:val="auto"/>
              </w:rPr>
            </w:pPr>
            <w:r>
              <w:rPr>
                <w:rFonts w:ascii="Arial" w:cs="Arial" w:eastAsia="Arial" w:hAnsi="Arial"/>
                <w:sz w:val="18"/>
                <w:szCs w:val="18"/>
                <w:color w:val="auto"/>
              </w:rPr>
              <w:t>27</w:t>
            </w:r>
          </w:p>
        </w:tc>
        <w:tc>
          <w:tcPr>
            <w:tcW w:w="1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140" w:right="239" w:bottom="1440" w:gutter="0" w:footer="0" w:header="0"/>
        </w:sectPr>
      </w:pPr>
    </w:p>
    <w:bookmarkStart w:id="28" w:name="page29"/>
    <w:bookmarkEnd w:id="2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400" w:lineRule="exact"/>
        <w:rPr>
          <w:sz w:val="20"/>
          <w:szCs w:val="20"/>
          <w:color w:val="auto"/>
        </w:rPr>
      </w:pPr>
    </w:p>
    <w:p>
      <w:pPr>
        <w:jc w:val="both"/>
        <w:ind w:right="80" w:firstLine="432"/>
        <w:spacing w:after="0" w:line="312" w:lineRule="auto"/>
        <w:rPr>
          <w:sz w:val="20"/>
          <w:szCs w:val="20"/>
          <w:color w:val="auto"/>
        </w:rPr>
      </w:pPr>
      <w:r>
        <w:rPr>
          <w:rFonts w:ascii="Arial" w:cs="Arial" w:eastAsia="Arial" w:hAnsi="Arial"/>
          <w:sz w:val="16"/>
          <w:szCs w:val="16"/>
          <w:color w:val="auto"/>
        </w:rPr>
        <w:t>Selling, general and administrative expense decreased by $1.0 million in the three months ended October 28, 2017 compared to the three months ended October 29, 2016. The decrease was primarily due to a decrease of $3.9 million in personnel-related costs. The decrease was partially offset by an increase in marketing expenses of $1.6 million, increase in employee activities expenses of $0.8 million, and an increase in legal expenses of $0.6 million.</w:t>
      </w:r>
    </w:p>
    <w:p>
      <w:pPr>
        <w:spacing w:after="0" w:line="93" w:lineRule="exact"/>
        <w:rPr>
          <w:sz w:val="20"/>
          <w:szCs w:val="20"/>
          <w:color w:val="auto"/>
        </w:rPr>
      </w:pPr>
    </w:p>
    <w:p>
      <w:pPr>
        <w:ind w:right="80" w:firstLine="432"/>
        <w:spacing w:after="0" w:line="264" w:lineRule="auto"/>
        <w:rPr>
          <w:sz w:val="20"/>
          <w:szCs w:val="20"/>
          <w:color w:val="auto"/>
        </w:rPr>
      </w:pPr>
      <w:r>
        <w:rPr>
          <w:rFonts w:ascii="Arial" w:cs="Arial" w:eastAsia="Arial" w:hAnsi="Arial"/>
          <w:sz w:val="18"/>
          <w:szCs w:val="18"/>
          <w:color w:val="auto"/>
        </w:rPr>
        <w:t>Selling, general and administrative expense decreased by $22.2 million in the nine months ended October 28, 2017 compared to the nine months ended October 29, 2016. The decrease was primarily due to a decrease in legal expenses of $14.2 million and a decrease of $11.5 million related to audit and tax fees.</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Restructuring Related Charges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34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3"/>
          </w:tcPr>
          <w:p>
            <w:pPr>
              <w:jc w:val="right"/>
              <w:ind w:right="596"/>
              <w:spacing w:after="0"/>
              <w:rPr>
                <w:sz w:val="20"/>
                <w:szCs w:val="20"/>
                <w:color w:val="auto"/>
              </w:rPr>
            </w:pPr>
            <w:r>
              <w:rPr>
                <w:rFonts w:ascii="Arial" w:cs="Arial" w:eastAsia="Arial" w:hAnsi="Arial"/>
                <w:sz w:val="14"/>
                <w:szCs w:val="14"/>
                <w:b w:val="1"/>
                <w:bCs w:val="1"/>
                <w:color w:val="auto"/>
              </w:rPr>
              <w:t>Three Months Ended</w:t>
            </w:r>
          </w:p>
        </w:tc>
        <w:tc>
          <w:tcPr>
            <w:tcW w:w="140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2580" w:type="dxa"/>
            <w:vAlign w:val="bottom"/>
            <w:tcBorders>
              <w:bottom w:val="single" w:sz="8" w:color="auto"/>
            </w:tcBorders>
            <w:gridSpan w:val="3"/>
          </w:tcPr>
          <w:p>
            <w:pPr>
              <w:jc w:val="right"/>
              <w:ind w:right="636"/>
              <w:spacing w:after="0"/>
              <w:rPr>
                <w:sz w:val="20"/>
                <w:szCs w:val="20"/>
                <w:color w:val="auto"/>
              </w:rPr>
            </w:pPr>
            <w:r>
              <w:rPr>
                <w:rFonts w:ascii="Arial" w:cs="Arial" w:eastAsia="Arial" w:hAnsi="Arial"/>
                <w:sz w:val="14"/>
                <w:szCs w:val="14"/>
                <w:b w:val="1"/>
                <w:bCs w:val="1"/>
                <w:color w:val="auto"/>
              </w:rPr>
              <w:t>Nine Months Ended</w:t>
            </w:r>
          </w:p>
        </w:tc>
        <w:tc>
          <w:tcPr>
            <w:tcW w:w="1280" w:type="dxa"/>
            <w:vAlign w:val="bottom"/>
          </w:tcPr>
          <w:p>
            <w:pPr>
              <w:spacing w:after="0"/>
              <w:rPr>
                <w:sz w:val="16"/>
                <w:szCs w:val="16"/>
                <w:color w:val="auto"/>
              </w:rPr>
            </w:pPr>
          </w:p>
        </w:tc>
      </w:tr>
      <w:tr>
        <w:trPr>
          <w:trHeight w:val="264"/>
        </w:trPr>
        <w:tc>
          <w:tcPr>
            <w:tcW w:w="3340" w:type="dxa"/>
            <w:vAlign w:val="bottom"/>
          </w:tcPr>
          <w:p>
            <w:pPr>
              <w:spacing w:after="0"/>
              <w:rPr>
                <w:sz w:val="22"/>
                <w:szCs w:val="22"/>
                <w:color w:val="auto"/>
              </w:rPr>
            </w:pPr>
          </w:p>
        </w:tc>
        <w:tc>
          <w:tcPr>
            <w:tcW w:w="120" w:type="dxa"/>
            <w:vAlign w:val="bottom"/>
            <w:tcBorders>
              <w:bottom w:val="single" w:sz="8" w:color="auto"/>
            </w:tcBorders>
          </w:tcPr>
          <w:p>
            <w:pPr>
              <w:spacing w:after="0"/>
              <w:rPr>
                <w:sz w:val="22"/>
                <w:szCs w:val="22"/>
                <w:color w:val="auto"/>
              </w:rPr>
            </w:pPr>
          </w:p>
        </w:tc>
        <w:tc>
          <w:tcPr>
            <w:tcW w:w="1220" w:type="dxa"/>
            <w:vAlign w:val="bottom"/>
            <w:tcBorders>
              <w:bottom w:val="single" w:sz="8" w:color="auto"/>
            </w:tcBorders>
          </w:tcPr>
          <w:p>
            <w:pPr>
              <w:jc w:val="right"/>
              <w:ind w:right="79"/>
              <w:spacing w:after="0"/>
              <w:rPr>
                <w:sz w:val="20"/>
                <w:szCs w:val="20"/>
                <w:color w:val="auto"/>
              </w:rPr>
            </w:pPr>
            <w:r>
              <w:rPr>
                <w:rFonts w:ascii="Arial" w:cs="Arial" w:eastAsia="Arial" w:hAnsi="Arial"/>
                <w:sz w:val="14"/>
                <w:szCs w:val="14"/>
                <w:b w:val="1"/>
                <w:bCs w:val="1"/>
                <w:color w:val="auto"/>
                <w:w w:val="92"/>
              </w:rPr>
              <w:t>October 28, 2017</w:t>
            </w:r>
          </w:p>
        </w:tc>
        <w:tc>
          <w:tcPr>
            <w:tcW w:w="200" w:type="dxa"/>
            <w:vAlign w:val="bottom"/>
            <w:tcBorders>
              <w:bottom w:val="single" w:sz="8" w:color="auto"/>
            </w:tcBorders>
          </w:tcPr>
          <w:p>
            <w:pPr>
              <w:spacing w:after="0"/>
              <w:rPr>
                <w:sz w:val="22"/>
                <w:szCs w:val="22"/>
                <w:color w:val="auto"/>
              </w:rPr>
            </w:pPr>
          </w:p>
        </w:tc>
        <w:tc>
          <w:tcPr>
            <w:tcW w:w="1160" w:type="dxa"/>
            <w:vAlign w:val="bottom"/>
            <w:tcBorders>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w w:val="90"/>
              </w:rPr>
              <w:t>October 29, 2016</w:t>
            </w:r>
          </w:p>
        </w:tc>
        <w:tc>
          <w:tcPr>
            <w:tcW w:w="1520" w:type="dxa"/>
            <w:vAlign w:val="bottom"/>
            <w:tcBorders>
              <w:bottom w:val="single" w:sz="8" w:color="auto"/>
            </w:tcBorders>
            <w:gridSpan w:val="2"/>
          </w:tcPr>
          <w:p>
            <w:pPr>
              <w:jc w:val="right"/>
              <w:ind w:right="500"/>
              <w:spacing w:after="0"/>
              <w:rPr>
                <w:sz w:val="20"/>
                <w:szCs w:val="20"/>
                <w:color w:val="auto"/>
              </w:rPr>
            </w:pPr>
            <w:r>
              <w:rPr>
                <w:rFonts w:ascii="Arial" w:cs="Arial" w:eastAsia="Arial" w:hAnsi="Arial"/>
                <w:sz w:val="14"/>
                <w:szCs w:val="14"/>
                <w:b w:val="1"/>
                <w:bCs w:val="1"/>
                <w:color w:val="auto"/>
              </w:rPr>
              <w:t>% Change</w:t>
            </w:r>
          </w:p>
        </w:tc>
        <w:tc>
          <w:tcPr>
            <w:tcW w:w="1220" w:type="dxa"/>
            <w:vAlign w:val="bottom"/>
            <w:tcBorders>
              <w:bottom w:val="single" w:sz="8" w:color="auto"/>
            </w:tcBorders>
          </w:tcPr>
          <w:p>
            <w:pPr>
              <w:jc w:val="right"/>
              <w:ind w:right="99"/>
              <w:spacing w:after="0"/>
              <w:rPr>
                <w:sz w:val="20"/>
                <w:szCs w:val="20"/>
                <w:color w:val="auto"/>
              </w:rPr>
            </w:pPr>
            <w:r>
              <w:rPr>
                <w:rFonts w:ascii="Arial" w:cs="Arial" w:eastAsia="Arial" w:hAnsi="Arial"/>
                <w:sz w:val="14"/>
                <w:szCs w:val="14"/>
                <w:b w:val="1"/>
                <w:bCs w:val="1"/>
                <w:color w:val="auto"/>
                <w:w w:val="90"/>
              </w:rPr>
              <w:t>October 28, 2017</w:t>
            </w:r>
          </w:p>
        </w:tc>
        <w:tc>
          <w:tcPr>
            <w:tcW w:w="180" w:type="dxa"/>
            <w:vAlign w:val="bottom"/>
            <w:tcBorders>
              <w:bottom w:val="single" w:sz="8" w:color="auto"/>
            </w:tcBorders>
          </w:tcPr>
          <w:p>
            <w:pPr>
              <w:spacing w:after="0"/>
              <w:rPr>
                <w:sz w:val="22"/>
                <w:szCs w:val="22"/>
                <w:color w:val="auto"/>
              </w:rPr>
            </w:pPr>
          </w:p>
        </w:tc>
        <w:tc>
          <w:tcPr>
            <w:tcW w:w="1180" w:type="dxa"/>
            <w:vAlign w:val="bottom"/>
            <w:tcBorders>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w w:val="92"/>
              </w:rPr>
              <w:t>October 29, 2016</w:t>
            </w:r>
          </w:p>
        </w:tc>
        <w:tc>
          <w:tcPr>
            <w:tcW w:w="1280" w:type="dxa"/>
            <w:vAlign w:val="bottom"/>
            <w:tcBorders>
              <w:bottom w:val="single" w:sz="8" w:color="auto"/>
            </w:tcBorders>
          </w:tcPr>
          <w:p>
            <w:pPr>
              <w:jc w:val="right"/>
              <w:ind w:right="179"/>
              <w:spacing w:after="0"/>
              <w:rPr>
                <w:sz w:val="20"/>
                <w:szCs w:val="20"/>
                <w:color w:val="auto"/>
              </w:rPr>
            </w:pPr>
            <w:r>
              <w:rPr>
                <w:rFonts w:ascii="Arial" w:cs="Arial" w:eastAsia="Arial" w:hAnsi="Arial"/>
                <w:sz w:val="14"/>
                <w:szCs w:val="14"/>
                <w:b w:val="1"/>
                <w:bCs w:val="1"/>
                <w:color w:val="auto"/>
              </w:rPr>
              <w:t>% Change</w:t>
            </w:r>
          </w:p>
        </w:tc>
      </w:tr>
      <w:tr>
        <w:trPr>
          <w:trHeight w:val="196"/>
        </w:trPr>
        <w:tc>
          <w:tcPr>
            <w:tcW w:w="33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2740" w:type="dxa"/>
            <w:vAlign w:val="bottom"/>
            <w:gridSpan w:val="3"/>
          </w:tcPr>
          <w:p>
            <w:pPr>
              <w:jc w:val="right"/>
              <w:ind w:right="279"/>
              <w:spacing w:after="0"/>
              <w:rPr>
                <w:sz w:val="20"/>
                <w:szCs w:val="20"/>
                <w:color w:val="auto"/>
              </w:rPr>
            </w:pPr>
            <w:r>
              <w:rPr>
                <w:rFonts w:ascii="Arial" w:cs="Arial" w:eastAsia="Arial" w:hAnsi="Arial"/>
                <w:sz w:val="14"/>
                <w:szCs w:val="14"/>
                <w:b w:val="1"/>
                <w:bCs w:val="1"/>
                <w:color w:val="auto"/>
              </w:rPr>
              <w:t>(in thousands, except percentage)</w:t>
            </w:r>
          </w:p>
        </w:tc>
        <w:tc>
          <w:tcPr>
            <w:tcW w:w="1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280" w:type="dxa"/>
            <w:vAlign w:val="bottom"/>
          </w:tcPr>
          <w:p>
            <w:pPr>
              <w:spacing w:after="0"/>
              <w:rPr>
                <w:sz w:val="17"/>
                <w:szCs w:val="17"/>
                <w:color w:val="auto"/>
              </w:rPr>
            </w:pPr>
          </w:p>
        </w:tc>
      </w:tr>
      <w:tr>
        <w:trPr>
          <w:trHeight w:val="256"/>
        </w:trPr>
        <w:tc>
          <w:tcPr>
            <w:tcW w:w="33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Restructuring related charges</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3,284</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ind w:right="96"/>
              <w:spacing w:after="0"/>
              <w:rPr>
                <w:sz w:val="20"/>
                <w:szCs w:val="20"/>
                <w:color w:val="auto"/>
              </w:rPr>
            </w:pPr>
            <w:r>
              <w:rPr>
                <w:rFonts w:ascii="Arial" w:cs="Arial" w:eastAsia="Arial" w:hAnsi="Arial"/>
                <w:sz w:val="18"/>
                <w:szCs w:val="18"/>
                <w:color w:val="auto"/>
              </w:rPr>
              <w:t>1,164</w:t>
            </w:r>
          </w:p>
        </w:tc>
        <w:tc>
          <w:tcPr>
            <w:tcW w:w="152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182.1%  $</w:t>
            </w:r>
          </w:p>
        </w:tc>
        <w:tc>
          <w:tcPr>
            <w:tcW w:w="1220" w:type="dxa"/>
            <w:vAlign w:val="bottom"/>
            <w:tcBorders>
              <w:bottom w:val="single" w:sz="8" w:color="CCEEFF"/>
            </w:tcBorders>
            <w:shd w:val="clear" w:color="auto" w:fill="CCEEFF"/>
          </w:tcPr>
          <w:p>
            <w:pPr>
              <w:jc w:val="right"/>
              <w:ind w:right="159"/>
              <w:spacing w:after="0"/>
              <w:rPr>
                <w:sz w:val="20"/>
                <w:szCs w:val="20"/>
                <w:color w:val="auto"/>
              </w:rPr>
            </w:pPr>
            <w:r>
              <w:rPr>
                <w:rFonts w:ascii="Arial" w:cs="Arial" w:eastAsia="Arial" w:hAnsi="Arial"/>
                <w:sz w:val="18"/>
                <w:szCs w:val="18"/>
                <w:color w:val="auto"/>
              </w:rPr>
              <w:t>8,455</w:t>
            </w:r>
          </w:p>
        </w:tc>
        <w:tc>
          <w:tcPr>
            <w:tcW w:w="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6,326</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33.7%</w:t>
            </w:r>
          </w:p>
        </w:tc>
      </w:tr>
      <w:tr>
        <w:trPr>
          <w:trHeight w:val="243"/>
        </w:trPr>
        <w:tc>
          <w:tcPr>
            <w:tcW w:w="334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2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0.5%</w:t>
            </w:r>
          </w:p>
        </w:tc>
        <w:tc>
          <w:tcPr>
            <w:tcW w:w="20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0.2%</w:t>
            </w:r>
          </w:p>
        </w:tc>
        <w:tc>
          <w:tcPr>
            <w:tcW w:w="140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0.5%</w:t>
            </w:r>
          </w:p>
        </w:tc>
        <w:tc>
          <w:tcPr>
            <w:tcW w:w="18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0.3%</w:t>
            </w:r>
          </w:p>
        </w:tc>
        <w:tc>
          <w:tcPr>
            <w:tcW w:w="1280" w:type="dxa"/>
            <w:vAlign w:val="bottom"/>
          </w:tcPr>
          <w:p>
            <w:pPr>
              <w:spacing w:after="0"/>
              <w:rPr>
                <w:sz w:val="21"/>
                <w:szCs w:val="21"/>
                <w:color w:val="auto"/>
              </w:rPr>
            </w:pPr>
          </w:p>
        </w:tc>
      </w:tr>
    </w:tbl>
    <w:p>
      <w:pPr>
        <w:spacing w:after="0" w:line="229" w:lineRule="exact"/>
        <w:rPr>
          <w:sz w:val="20"/>
          <w:szCs w:val="20"/>
          <w:color w:val="auto"/>
        </w:rPr>
      </w:pPr>
    </w:p>
    <w:p>
      <w:pPr>
        <w:ind w:right="80" w:firstLine="392"/>
        <w:spacing w:after="0" w:line="302" w:lineRule="auto"/>
        <w:rPr>
          <w:sz w:val="20"/>
          <w:szCs w:val="20"/>
          <w:color w:val="auto"/>
        </w:rPr>
      </w:pPr>
      <w:r>
        <w:rPr>
          <w:rFonts w:ascii="Arial" w:cs="Arial" w:eastAsia="Arial" w:hAnsi="Arial"/>
          <w:sz w:val="16"/>
          <w:szCs w:val="16"/>
          <w:color w:val="auto"/>
        </w:rPr>
        <w:t>We recorded total restructuring charges and other related charges of $3.3 million and $8.5 million in the three and nine months ended October 28, 2017, respectively. The charges primarily arose from activities related to the restructuring plan we announced in November 2016 to refocus our research and development, increase operational efficiency and improve profitability. The charges for the nine months ended October 28, 2017 included $10.3 million of severance and other exit-related costs offset by $1.4 million release of reserve. See "Note 4 – Restructuring Related Charges" for further information.</w:t>
      </w:r>
    </w:p>
    <w:p>
      <w:pPr>
        <w:spacing w:after="0" w:line="181"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Interest and Other Income, Net</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2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3"/>
          </w:tcPr>
          <w:p>
            <w:pPr>
              <w:jc w:val="right"/>
              <w:ind w:right="616"/>
              <w:spacing w:after="0"/>
              <w:rPr>
                <w:sz w:val="20"/>
                <w:szCs w:val="20"/>
                <w:color w:val="auto"/>
              </w:rPr>
            </w:pPr>
            <w:r>
              <w:rPr>
                <w:rFonts w:ascii="Arial" w:cs="Arial" w:eastAsia="Arial" w:hAnsi="Arial"/>
                <w:sz w:val="14"/>
                <w:szCs w:val="14"/>
                <w:b w:val="1"/>
                <w:bCs w:val="1"/>
                <w:color w:val="auto"/>
              </w:rPr>
              <w:t>Three Months Ended</w:t>
            </w:r>
          </w:p>
        </w:tc>
        <w:tc>
          <w:tcPr>
            <w:tcW w:w="13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600" w:type="dxa"/>
            <w:vAlign w:val="bottom"/>
            <w:tcBorders>
              <w:bottom w:val="single" w:sz="8" w:color="auto"/>
            </w:tcBorders>
            <w:gridSpan w:val="3"/>
          </w:tcPr>
          <w:p>
            <w:pPr>
              <w:jc w:val="right"/>
              <w:ind w:right="656"/>
              <w:spacing w:after="0"/>
              <w:rPr>
                <w:sz w:val="20"/>
                <w:szCs w:val="20"/>
                <w:color w:val="auto"/>
              </w:rPr>
            </w:pPr>
            <w:r>
              <w:rPr>
                <w:rFonts w:ascii="Arial" w:cs="Arial" w:eastAsia="Arial" w:hAnsi="Arial"/>
                <w:sz w:val="14"/>
                <w:szCs w:val="14"/>
                <w:b w:val="1"/>
                <w:bCs w:val="1"/>
                <w:color w:val="auto"/>
              </w:rPr>
              <w:t>Nine Months Ended</w:t>
            </w:r>
          </w:p>
        </w:tc>
        <w:tc>
          <w:tcPr>
            <w:tcW w:w="1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2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20" w:type="dxa"/>
            <w:vAlign w:val="bottom"/>
            <w:vMerge w:val="restart"/>
          </w:tcPr>
          <w:p>
            <w:pPr>
              <w:jc w:val="right"/>
              <w:ind w:right="99"/>
              <w:spacing w:after="0"/>
              <w:rPr>
                <w:sz w:val="20"/>
                <w:szCs w:val="20"/>
                <w:color w:val="auto"/>
              </w:rPr>
            </w:pPr>
            <w:r>
              <w:rPr>
                <w:rFonts w:ascii="Arial" w:cs="Arial" w:eastAsia="Arial" w:hAnsi="Arial"/>
                <w:sz w:val="14"/>
                <w:szCs w:val="14"/>
                <w:b w:val="1"/>
                <w:bCs w:val="1"/>
                <w:color w:val="auto"/>
                <w:w w:val="90"/>
              </w:rPr>
              <w:t>October 28, 2017</w:t>
            </w:r>
          </w:p>
        </w:tc>
        <w:tc>
          <w:tcPr>
            <w:tcW w:w="200" w:type="dxa"/>
            <w:vAlign w:val="bottom"/>
          </w:tcPr>
          <w:p>
            <w:pPr>
              <w:spacing w:after="0"/>
              <w:rPr>
                <w:sz w:val="12"/>
                <w:szCs w:val="12"/>
                <w:color w:val="auto"/>
              </w:rPr>
            </w:pPr>
          </w:p>
        </w:tc>
        <w:tc>
          <w:tcPr>
            <w:tcW w:w="1180" w:type="dxa"/>
            <w:vAlign w:val="bottom"/>
            <w:vMerge w:val="restart"/>
          </w:tcPr>
          <w:p>
            <w:pPr>
              <w:jc w:val="right"/>
              <w:ind w:right="56"/>
              <w:spacing w:after="0"/>
              <w:rPr>
                <w:sz w:val="20"/>
                <w:szCs w:val="20"/>
                <w:color w:val="auto"/>
              </w:rPr>
            </w:pPr>
            <w:r>
              <w:rPr>
                <w:rFonts w:ascii="Arial" w:cs="Arial" w:eastAsia="Arial" w:hAnsi="Arial"/>
                <w:sz w:val="14"/>
                <w:szCs w:val="14"/>
                <w:b w:val="1"/>
                <w:bCs w:val="1"/>
                <w:color w:val="auto"/>
                <w:w w:val="90"/>
              </w:rPr>
              <w:t>October 29, 2016</w:t>
            </w:r>
          </w:p>
        </w:tc>
        <w:tc>
          <w:tcPr>
            <w:tcW w:w="1380" w:type="dxa"/>
            <w:vAlign w:val="bottom"/>
          </w:tcPr>
          <w:p>
            <w:pPr>
              <w:jc w:val="right"/>
              <w:ind w:right="544"/>
              <w:spacing w:after="0" w:line="139" w:lineRule="exact"/>
              <w:rPr>
                <w:sz w:val="20"/>
                <w:szCs w:val="20"/>
                <w:color w:val="auto"/>
              </w:rPr>
            </w:pPr>
            <w:r>
              <w:rPr>
                <w:rFonts w:ascii="Arial" w:cs="Arial" w:eastAsia="Arial" w:hAnsi="Arial"/>
                <w:sz w:val="14"/>
                <w:szCs w:val="14"/>
                <w:b w:val="1"/>
                <w:bCs w:val="1"/>
                <w:color w:val="auto"/>
              </w:rPr>
              <w:t>%</w:t>
            </w:r>
          </w:p>
        </w:tc>
        <w:tc>
          <w:tcPr>
            <w:tcW w:w="140" w:type="dxa"/>
            <w:vAlign w:val="bottom"/>
          </w:tcPr>
          <w:p>
            <w:pPr>
              <w:spacing w:after="0"/>
              <w:rPr>
                <w:sz w:val="12"/>
                <w:szCs w:val="12"/>
                <w:color w:val="auto"/>
              </w:rPr>
            </w:pPr>
          </w:p>
        </w:tc>
        <w:tc>
          <w:tcPr>
            <w:tcW w:w="1220" w:type="dxa"/>
            <w:vAlign w:val="bottom"/>
            <w:vMerge w:val="restart"/>
          </w:tcPr>
          <w:p>
            <w:pPr>
              <w:jc w:val="right"/>
              <w:ind w:right="99"/>
              <w:spacing w:after="0"/>
              <w:rPr>
                <w:sz w:val="20"/>
                <w:szCs w:val="20"/>
                <w:color w:val="auto"/>
              </w:rPr>
            </w:pPr>
            <w:r>
              <w:rPr>
                <w:rFonts w:ascii="Arial" w:cs="Arial" w:eastAsia="Arial" w:hAnsi="Arial"/>
                <w:sz w:val="14"/>
                <w:szCs w:val="14"/>
                <w:b w:val="1"/>
                <w:bCs w:val="1"/>
                <w:color w:val="auto"/>
                <w:w w:val="90"/>
              </w:rPr>
              <w:t>October 28, 2017</w:t>
            </w:r>
          </w:p>
        </w:tc>
        <w:tc>
          <w:tcPr>
            <w:tcW w:w="200" w:type="dxa"/>
            <w:vAlign w:val="bottom"/>
          </w:tcPr>
          <w:p>
            <w:pPr>
              <w:spacing w:after="0"/>
              <w:rPr>
                <w:sz w:val="12"/>
                <w:szCs w:val="12"/>
                <w:color w:val="auto"/>
              </w:rPr>
            </w:pPr>
          </w:p>
        </w:tc>
        <w:tc>
          <w:tcPr>
            <w:tcW w:w="1180" w:type="dxa"/>
            <w:vAlign w:val="bottom"/>
            <w:vMerge w:val="restart"/>
          </w:tcPr>
          <w:p>
            <w:pPr>
              <w:jc w:val="right"/>
              <w:ind w:right="56"/>
              <w:spacing w:after="0"/>
              <w:rPr>
                <w:sz w:val="20"/>
                <w:szCs w:val="20"/>
                <w:color w:val="auto"/>
              </w:rPr>
            </w:pPr>
            <w:r>
              <w:rPr>
                <w:rFonts w:ascii="Arial" w:cs="Arial" w:eastAsia="Arial" w:hAnsi="Arial"/>
                <w:sz w:val="14"/>
                <w:szCs w:val="14"/>
                <w:b w:val="1"/>
                <w:bCs w:val="1"/>
                <w:color w:val="auto"/>
                <w:w w:val="90"/>
              </w:rPr>
              <w:t>October 29, 2016</w:t>
            </w:r>
          </w:p>
        </w:tc>
        <w:tc>
          <w:tcPr>
            <w:tcW w:w="1280" w:type="dxa"/>
            <w:vAlign w:val="bottom"/>
          </w:tcPr>
          <w:p>
            <w:pPr>
              <w:jc w:val="right"/>
              <w:ind w:right="4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28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22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520" w:type="dxa"/>
            <w:vAlign w:val="bottom"/>
            <w:tcBorders>
              <w:bottom w:val="single" w:sz="8" w:color="auto"/>
            </w:tcBorders>
            <w:gridSpan w:val="2"/>
          </w:tcPr>
          <w:p>
            <w:pPr>
              <w:jc w:val="center"/>
              <w:ind w:right="140"/>
              <w:spacing w:after="0"/>
              <w:rPr>
                <w:sz w:val="20"/>
                <w:szCs w:val="20"/>
                <w:color w:val="auto"/>
              </w:rPr>
            </w:pPr>
            <w:r>
              <w:rPr>
                <w:rFonts w:ascii="Arial" w:cs="Arial" w:eastAsia="Arial" w:hAnsi="Arial"/>
                <w:sz w:val="14"/>
                <w:szCs w:val="14"/>
                <w:b w:val="1"/>
                <w:bCs w:val="1"/>
                <w:color w:val="auto"/>
                <w:w w:val="89"/>
              </w:rPr>
              <w:t>Change</w:t>
            </w:r>
          </w:p>
        </w:tc>
        <w:tc>
          <w:tcPr>
            <w:tcW w:w="1220" w:type="dxa"/>
            <w:vAlign w:val="bottom"/>
            <w:tcBorders>
              <w:bottom w:val="single" w:sz="8" w:color="auto"/>
            </w:tcBorders>
            <w:vMerge w:val="continue"/>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vMerge w:val="continue"/>
          </w:tcPr>
          <w:p>
            <w:pPr>
              <w:spacing w:after="0"/>
              <w:rPr>
                <w:sz w:val="16"/>
                <w:szCs w:val="16"/>
                <w:color w:val="auto"/>
              </w:rPr>
            </w:pPr>
          </w:p>
        </w:tc>
        <w:tc>
          <w:tcPr>
            <w:tcW w:w="1280" w:type="dxa"/>
            <w:vAlign w:val="bottom"/>
            <w:tcBorders>
              <w:bottom w:val="single" w:sz="8" w:color="auto"/>
            </w:tcBorders>
          </w:tcPr>
          <w:p>
            <w:pPr>
              <w:jc w:val="center"/>
              <w:ind w:left="22"/>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96"/>
        </w:trPr>
        <w:tc>
          <w:tcPr>
            <w:tcW w:w="32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2740" w:type="dxa"/>
            <w:vAlign w:val="bottom"/>
            <w:gridSpan w:val="3"/>
          </w:tcPr>
          <w:p>
            <w:pPr>
              <w:jc w:val="right"/>
              <w:ind w:right="279"/>
              <w:spacing w:after="0"/>
              <w:rPr>
                <w:sz w:val="20"/>
                <w:szCs w:val="20"/>
                <w:color w:val="auto"/>
              </w:rPr>
            </w:pPr>
            <w:r>
              <w:rPr>
                <w:rFonts w:ascii="Arial" w:cs="Arial" w:eastAsia="Arial" w:hAnsi="Arial"/>
                <w:sz w:val="14"/>
                <w:szCs w:val="14"/>
                <w:b w:val="1"/>
                <w:bCs w:val="1"/>
                <w:color w:val="auto"/>
              </w:rPr>
              <w:t>(in thousands, except percentage)</w:t>
            </w:r>
          </w:p>
        </w:tc>
        <w:tc>
          <w:tcPr>
            <w:tcW w:w="20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6"/>
        </w:trPr>
        <w:tc>
          <w:tcPr>
            <w:tcW w:w="3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and other income, net</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6,200</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5,470</w:t>
            </w:r>
          </w:p>
        </w:tc>
        <w:tc>
          <w:tcPr>
            <w:tcW w:w="1520" w:type="dxa"/>
            <w:vAlign w:val="bottom"/>
            <w:tcBorders>
              <w:bottom w:val="single" w:sz="8" w:color="CCEEFF"/>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13.3%  $</w:t>
            </w:r>
          </w:p>
        </w:tc>
        <w:tc>
          <w:tcPr>
            <w:tcW w:w="1220" w:type="dxa"/>
            <w:vAlign w:val="bottom"/>
            <w:tcBorders>
              <w:bottom w:val="single" w:sz="8" w:color="CCEEFF"/>
            </w:tcBorders>
            <w:shd w:val="clear" w:color="auto" w:fill="CCEEFF"/>
          </w:tcPr>
          <w:p>
            <w:pPr>
              <w:jc w:val="right"/>
              <w:ind w:right="139"/>
              <w:spacing w:after="0"/>
              <w:rPr>
                <w:sz w:val="20"/>
                <w:szCs w:val="20"/>
                <w:color w:val="auto"/>
              </w:rPr>
            </w:pPr>
            <w:r>
              <w:rPr>
                <w:rFonts w:ascii="Arial" w:cs="Arial" w:eastAsia="Arial" w:hAnsi="Arial"/>
                <w:sz w:val="18"/>
                <w:szCs w:val="18"/>
                <w:color w:val="auto"/>
              </w:rPr>
              <w:t>16,721</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16"/>
              <w:spacing w:after="0"/>
              <w:rPr>
                <w:sz w:val="20"/>
                <w:szCs w:val="20"/>
                <w:color w:val="auto"/>
              </w:rPr>
            </w:pPr>
            <w:r>
              <w:rPr>
                <w:rFonts w:ascii="Arial" w:cs="Arial" w:eastAsia="Arial" w:hAnsi="Arial"/>
                <w:sz w:val="18"/>
                <w:szCs w:val="18"/>
                <w:color w:val="auto"/>
              </w:rPr>
              <w:t>13,242</w:t>
            </w:r>
          </w:p>
        </w:tc>
        <w:tc>
          <w:tcPr>
            <w:tcW w:w="12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26.3%</w:t>
            </w:r>
          </w:p>
        </w:tc>
        <w:tc>
          <w:tcPr>
            <w:tcW w:w="0" w:type="dxa"/>
            <w:vAlign w:val="bottom"/>
          </w:tcPr>
          <w:p>
            <w:pPr>
              <w:spacing w:after="0"/>
              <w:rPr>
                <w:sz w:val="1"/>
                <w:szCs w:val="1"/>
                <w:color w:val="auto"/>
              </w:rPr>
            </w:pPr>
          </w:p>
        </w:tc>
      </w:tr>
      <w:tr>
        <w:trPr>
          <w:trHeight w:val="243"/>
        </w:trPr>
        <w:tc>
          <w:tcPr>
            <w:tcW w:w="3280" w:type="dxa"/>
            <w:vAlign w:val="bottom"/>
          </w:tcPr>
          <w:p>
            <w:pPr>
              <w:ind w:left="40"/>
              <w:spacing w:after="0"/>
              <w:rPr>
                <w:sz w:val="20"/>
                <w:szCs w:val="20"/>
                <w:color w:val="auto"/>
              </w:rPr>
            </w:pPr>
            <w:r>
              <w:rPr>
                <w:rFonts w:ascii="Arial" w:cs="Arial" w:eastAsia="Arial" w:hAnsi="Arial"/>
                <w:sz w:val="18"/>
                <w:szCs w:val="18"/>
                <w:color w:val="auto"/>
              </w:rPr>
              <w:t>% of net revenue</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1.0%</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0.9%</w:t>
            </w:r>
          </w:p>
        </w:tc>
        <w:tc>
          <w:tcPr>
            <w:tcW w:w="13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0.9%</w:t>
            </w:r>
          </w:p>
        </w:tc>
        <w:tc>
          <w:tcPr>
            <w:tcW w:w="20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0.7%</w:t>
            </w:r>
          </w:p>
        </w:tc>
        <w:tc>
          <w:tcPr>
            <w:tcW w:w="128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175" w:lineRule="exact"/>
        <w:rPr>
          <w:sz w:val="20"/>
          <w:szCs w:val="20"/>
          <w:color w:val="auto"/>
        </w:rPr>
      </w:pPr>
    </w:p>
    <w:p>
      <w:pPr>
        <w:ind w:right="80" w:firstLine="432"/>
        <w:spacing w:after="0" w:line="302" w:lineRule="auto"/>
        <w:rPr>
          <w:sz w:val="20"/>
          <w:szCs w:val="20"/>
          <w:color w:val="auto"/>
        </w:rPr>
      </w:pPr>
      <w:r>
        <w:rPr>
          <w:rFonts w:ascii="Arial" w:cs="Arial" w:eastAsia="Arial" w:hAnsi="Arial"/>
          <w:sz w:val="16"/>
          <w:szCs w:val="16"/>
          <w:color w:val="auto"/>
        </w:rPr>
        <w:t>Interest and other income, net, increased by $0.7 million and $3.5 million in the three and nine months ended October 28, 2017, respectively, compared to the three and nine months ended October 29, 2016. The increase in the three months ended October 28, 2017 is primarily due to a $0.9 million increase in interest income. The increase in the nine months ended October 28, 2017 is primarily due to a $5.3 million gain from sale of a business related to restructuring divestiture activity, and $1.8 million gain from sale of a private equity investment, offset by $2.8 million loss from sale of equity securities.</w:t>
      </w:r>
    </w:p>
    <w:p>
      <w:pPr>
        <w:spacing w:after="0" w:line="100" w:lineRule="exact"/>
        <w:rPr>
          <w:sz w:val="20"/>
          <w:szCs w:val="20"/>
          <w:color w:val="auto"/>
        </w:rPr>
      </w:pPr>
    </w:p>
    <w:p>
      <w:pPr>
        <w:ind w:left="6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0" w:lineRule="exact"/>
        <w:rPr>
          <w:sz w:val="20"/>
          <w:szCs w:val="20"/>
          <w:color w:val="auto"/>
        </w:rPr>
      </w:pP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420" w:type="dxa"/>
            <w:vAlign w:val="bottom"/>
          </w:tcPr>
          <w:p>
            <w:pPr>
              <w:spacing w:after="0"/>
              <w:rPr>
                <w:sz w:val="16"/>
                <w:szCs w:val="16"/>
                <w:color w:val="auto"/>
              </w:rPr>
            </w:pPr>
          </w:p>
        </w:tc>
        <w:tc>
          <w:tcPr>
            <w:tcW w:w="40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2"/>
          </w:tcPr>
          <w:p>
            <w:pPr>
              <w:jc w:val="right"/>
              <w:spacing w:after="0"/>
              <w:rPr>
                <w:sz w:val="20"/>
                <w:szCs w:val="20"/>
                <w:color w:val="auto"/>
              </w:rPr>
            </w:pPr>
            <w:r>
              <w:rPr>
                <w:rFonts w:ascii="Arial" w:cs="Arial" w:eastAsia="Arial" w:hAnsi="Arial"/>
                <w:sz w:val="14"/>
                <w:szCs w:val="14"/>
                <w:b w:val="1"/>
                <w:bCs w:val="1"/>
                <w:color w:val="auto"/>
              </w:rPr>
              <w:t>Three Months Ended</w:t>
            </w:r>
          </w:p>
        </w:tc>
        <w:tc>
          <w:tcPr>
            <w:tcW w:w="620" w:type="dxa"/>
            <w:vAlign w:val="bottom"/>
            <w:tcBorders>
              <w:bottom w:val="single" w:sz="8" w:color="auto"/>
            </w:tcBorders>
          </w:tcPr>
          <w:p>
            <w:pPr>
              <w:spacing w:after="0"/>
              <w:rPr>
                <w:sz w:val="16"/>
                <w:szCs w:val="16"/>
                <w:color w:val="auto"/>
              </w:rPr>
            </w:pPr>
          </w:p>
        </w:tc>
        <w:tc>
          <w:tcPr>
            <w:tcW w:w="1460" w:type="dxa"/>
            <w:vAlign w:val="bottom"/>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2"/>
          </w:tcPr>
          <w:p>
            <w:pPr>
              <w:jc w:val="right"/>
              <w:ind w:right="19"/>
              <w:spacing w:after="0"/>
              <w:rPr>
                <w:sz w:val="20"/>
                <w:szCs w:val="20"/>
                <w:color w:val="auto"/>
              </w:rPr>
            </w:pPr>
            <w:r>
              <w:rPr>
                <w:rFonts w:ascii="Arial" w:cs="Arial" w:eastAsia="Arial" w:hAnsi="Arial"/>
                <w:sz w:val="14"/>
                <w:szCs w:val="14"/>
                <w:b w:val="1"/>
                <w:bCs w:val="1"/>
                <w:color w:val="auto"/>
              </w:rPr>
              <w:t>Nine Months Ended</w:t>
            </w:r>
          </w:p>
        </w:tc>
        <w:tc>
          <w:tcPr>
            <w:tcW w:w="580" w:type="dxa"/>
            <w:vAlign w:val="bottom"/>
            <w:tcBorders>
              <w:bottom w:val="single" w:sz="8" w:color="auto"/>
            </w:tcBorders>
          </w:tcPr>
          <w:p>
            <w:pPr>
              <w:spacing w:after="0"/>
              <w:rPr>
                <w:sz w:val="16"/>
                <w:szCs w:val="16"/>
                <w:color w:val="auto"/>
              </w:rPr>
            </w:pPr>
          </w:p>
        </w:tc>
        <w:tc>
          <w:tcPr>
            <w:tcW w:w="13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9"/>
        </w:trPr>
        <w:tc>
          <w:tcPr>
            <w:tcW w:w="3420" w:type="dxa"/>
            <w:vAlign w:val="bottom"/>
          </w:tcPr>
          <w:p>
            <w:pPr>
              <w:spacing w:after="0"/>
              <w:rPr>
                <w:sz w:val="12"/>
                <w:szCs w:val="12"/>
                <w:color w:val="auto"/>
              </w:rPr>
            </w:pPr>
          </w:p>
        </w:tc>
        <w:tc>
          <w:tcPr>
            <w:tcW w:w="1260" w:type="dxa"/>
            <w:vAlign w:val="bottom"/>
            <w:gridSpan w:val="2"/>
            <w:vMerge w:val="restart"/>
          </w:tcPr>
          <w:p>
            <w:pPr>
              <w:jc w:val="right"/>
              <w:ind w:right="39"/>
              <w:spacing w:after="0"/>
              <w:rPr>
                <w:sz w:val="20"/>
                <w:szCs w:val="20"/>
                <w:color w:val="auto"/>
              </w:rPr>
            </w:pPr>
            <w:r>
              <w:rPr>
                <w:rFonts w:ascii="Arial" w:cs="Arial" w:eastAsia="Arial" w:hAnsi="Arial"/>
                <w:sz w:val="14"/>
                <w:szCs w:val="14"/>
                <w:b w:val="1"/>
                <w:bCs w:val="1"/>
                <w:color w:val="auto"/>
                <w:w w:val="99"/>
              </w:rPr>
              <w:t>October 28, 2017</w:t>
            </w:r>
          </w:p>
        </w:tc>
        <w:tc>
          <w:tcPr>
            <w:tcW w:w="1340" w:type="dxa"/>
            <w:vAlign w:val="bottom"/>
            <w:gridSpan w:val="2"/>
            <w:vMerge w:val="restart"/>
          </w:tcPr>
          <w:p>
            <w:pPr>
              <w:jc w:val="right"/>
              <w:ind w:right="10"/>
              <w:spacing w:after="0"/>
              <w:rPr>
                <w:sz w:val="20"/>
                <w:szCs w:val="20"/>
                <w:color w:val="auto"/>
              </w:rPr>
            </w:pPr>
            <w:r>
              <w:rPr>
                <w:rFonts w:ascii="Arial" w:cs="Arial" w:eastAsia="Arial" w:hAnsi="Arial"/>
                <w:sz w:val="14"/>
                <w:szCs w:val="14"/>
                <w:b w:val="1"/>
                <w:bCs w:val="1"/>
                <w:color w:val="auto"/>
              </w:rPr>
              <w:t>October 29, 2016</w:t>
            </w:r>
          </w:p>
        </w:tc>
        <w:tc>
          <w:tcPr>
            <w:tcW w:w="1460" w:type="dxa"/>
            <w:vAlign w:val="bottom"/>
          </w:tcPr>
          <w:p>
            <w:pPr>
              <w:jc w:val="right"/>
              <w:ind w:right="584"/>
              <w:spacing w:after="0" w:line="139" w:lineRule="exact"/>
              <w:rPr>
                <w:sz w:val="20"/>
                <w:szCs w:val="20"/>
                <w:color w:val="auto"/>
              </w:rPr>
            </w:pPr>
            <w:r>
              <w:rPr>
                <w:rFonts w:ascii="Arial" w:cs="Arial" w:eastAsia="Arial" w:hAnsi="Arial"/>
                <w:sz w:val="14"/>
                <w:szCs w:val="14"/>
                <w:b w:val="1"/>
                <w:bCs w:val="1"/>
                <w:color w:val="auto"/>
              </w:rPr>
              <w:t>%</w:t>
            </w:r>
          </w:p>
        </w:tc>
        <w:tc>
          <w:tcPr>
            <w:tcW w:w="1280" w:type="dxa"/>
            <w:vAlign w:val="bottom"/>
            <w:gridSpan w:val="2"/>
            <w:vMerge w:val="restart"/>
          </w:tcPr>
          <w:p>
            <w:pPr>
              <w:jc w:val="right"/>
              <w:ind w:right="39"/>
              <w:spacing w:after="0"/>
              <w:rPr>
                <w:sz w:val="20"/>
                <w:szCs w:val="20"/>
                <w:color w:val="auto"/>
              </w:rPr>
            </w:pPr>
            <w:r>
              <w:rPr>
                <w:rFonts w:ascii="Arial" w:cs="Arial" w:eastAsia="Arial" w:hAnsi="Arial"/>
                <w:sz w:val="14"/>
                <w:szCs w:val="14"/>
                <w:b w:val="1"/>
                <w:bCs w:val="1"/>
                <w:color w:val="auto"/>
              </w:rPr>
              <w:t>October 28, 2017</w:t>
            </w:r>
          </w:p>
        </w:tc>
        <w:tc>
          <w:tcPr>
            <w:tcW w:w="1340" w:type="dxa"/>
            <w:vAlign w:val="bottom"/>
            <w:gridSpan w:val="2"/>
            <w:vMerge w:val="restart"/>
          </w:tcPr>
          <w:p>
            <w:pPr>
              <w:jc w:val="right"/>
              <w:ind w:right="10"/>
              <w:spacing w:after="0"/>
              <w:rPr>
                <w:sz w:val="20"/>
                <w:szCs w:val="20"/>
                <w:color w:val="auto"/>
              </w:rPr>
            </w:pPr>
            <w:r>
              <w:rPr>
                <w:rFonts w:ascii="Arial" w:cs="Arial" w:eastAsia="Arial" w:hAnsi="Arial"/>
                <w:sz w:val="14"/>
                <w:szCs w:val="14"/>
                <w:b w:val="1"/>
                <w:bCs w:val="1"/>
                <w:color w:val="auto"/>
              </w:rPr>
              <w:t>October 29, 2016</w:t>
            </w:r>
          </w:p>
        </w:tc>
        <w:tc>
          <w:tcPr>
            <w:tcW w:w="1320" w:type="dxa"/>
            <w:vAlign w:val="bottom"/>
          </w:tcPr>
          <w:p>
            <w:pPr>
              <w:jc w:val="right"/>
              <w:ind w:right="442"/>
              <w:spacing w:after="0" w:line="139" w:lineRule="exact"/>
              <w:rPr>
                <w:sz w:val="20"/>
                <w:szCs w:val="20"/>
                <w:color w:val="auto"/>
              </w:rPr>
            </w:pPr>
            <w:r>
              <w:rPr>
                <w:rFonts w:ascii="Arial" w:cs="Arial" w:eastAsia="Arial" w:hAnsi="Arial"/>
                <w:sz w:val="14"/>
                <w:szCs w:val="14"/>
                <w:b w:val="1"/>
                <w:bCs w:val="1"/>
                <w:color w:val="auto"/>
              </w:rPr>
              <w:t>%</w:t>
            </w:r>
          </w:p>
        </w:tc>
        <w:tc>
          <w:tcPr>
            <w:tcW w:w="0" w:type="dxa"/>
            <w:vAlign w:val="bottom"/>
          </w:tcPr>
          <w:p>
            <w:pPr>
              <w:spacing w:after="0"/>
              <w:rPr>
                <w:sz w:val="1"/>
                <w:szCs w:val="1"/>
                <w:color w:val="auto"/>
              </w:rPr>
            </w:pPr>
          </w:p>
        </w:tc>
      </w:tr>
      <w:tr>
        <w:trPr>
          <w:trHeight w:val="192"/>
        </w:trPr>
        <w:tc>
          <w:tcPr>
            <w:tcW w:w="3420" w:type="dxa"/>
            <w:vAlign w:val="bottom"/>
          </w:tcPr>
          <w:p>
            <w:pPr>
              <w:spacing w:after="0"/>
              <w:rPr>
                <w:sz w:val="16"/>
                <w:szCs w:val="16"/>
                <w:color w:val="auto"/>
              </w:rPr>
            </w:pPr>
          </w:p>
        </w:tc>
        <w:tc>
          <w:tcPr>
            <w:tcW w:w="1260" w:type="dxa"/>
            <w:vAlign w:val="bottom"/>
            <w:tcBorders>
              <w:bottom w:val="single" w:sz="8" w:color="auto"/>
            </w:tcBorders>
            <w:gridSpan w:val="2"/>
            <w:vMerge w:val="continue"/>
          </w:tcPr>
          <w:p>
            <w:pPr>
              <w:spacing w:after="0"/>
              <w:rPr>
                <w:sz w:val="16"/>
                <w:szCs w:val="16"/>
                <w:color w:val="auto"/>
              </w:rPr>
            </w:pPr>
          </w:p>
        </w:tc>
        <w:tc>
          <w:tcPr>
            <w:tcW w:w="1340" w:type="dxa"/>
            <w:vAlign w:val="bottom"/>
            <w:tcBorders>
              <w:bottom w:val="single" w:sz="8" w:color="auto"/>
            </w:tcBorders>
            <w:gridSpan w:val="2"/>
            <w:vMerge w:val="continue"/>
          </w:tcPr>
          <w:p>
            <w:pPr>
              <w:spacing w:after="0"/>
              <w:rPr>
                <w:sz w:val="16"/>
                <w:szCs w:val="16"/>
                <w:color w:val="auto"/>
              </w:rPr>
            </w:pPr>
          </w:p>
        </w:tc>
        <w:tc>
          <w:tcPr>
            <w:tcW w:w="14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Change</w:t>
            </w:r>
          </w:p>
        </w:tc>
        <w:tc>
          <w:tcPr>
            <w:tcW w:w="1280" w:type="dxa"/>
            <w:vAlign w:val="bottom"/>
            <w:tcBorders>
              <w:bottom w:val="single" w:sz="8" w:color="auto"/>
            </w:tcBorders>
            <w:gridSpan w:val="2"/>
            <w:vMerge w:val="continue"/>
          </w:tcPr>
          <w:p>
            <w:pPr>
              <w:spacing w:after="0"/>
              <w:rPr>
                <w:sz w:val="16"/>
                <w:szCs w:val="16"/>
                <w:color w:val="auto"/>
              </w:rPr>
            </w:pPr>
          </w:p>
        </w:tc>
        <w:tc>
          <w:tcPr>
            <w:tcW w:w="1340" w:type="dxa"/>
            <w:vAlign w:val="bottom"/>
            <w:tcBorders>
              <w:bottom w:val="single" w:sz="8" w:color="auto"/>
            </w:tcBorders>
            <w:gridSpan w:val="2"/>
            <w:vMerge w:val="continue"/>
          </w:tcPr>
          <w:p>
            <w:pPr>
              <w:spacing w:after="0"/>
              <w:rPr>
                <w:sz w:val="16"/>
                <w:szCs w:val="16"/>
                <w:color w:val="auto"/>
              </w:rPr>
            </w:pPr>
          </w:p>
        </w:tc>
        <w:tc>
          <w:tcPr>
            <w:tcW w:w="1320" w:type="dxa"/>
            <w:vAlign w:val="bottom"/>
            <w:tcBorders>
              <w:bottom w:val="single" w:sz="8" w:color="auto"/>
            </w:tcBorders>
          </w:tcPr>
          <w:p>
            <w:pPr>
              <w:jc w:val="center"/>
              <w:ind w:left="42"/>
              <w:spacing w:after="0"/>
              <w:rPr>
                <w:sz w:val="20"/>
                <w:szCs w:val="20"/>
                <w:color w:val="auto"/>
              </w:rPr>
            </w:pPr>
            <w:r>
              <w:rPr>
                <w:rFonts w:ascii="Arial" w:cs="Arial" w:eastAsia="Arial" w:hAnsi="Arial"/>
                <w:sz w:val="14"/>
                <w:szCs w:val="14"/>
                <w:b w:val="1"/>
                <w:bCs w:val="1"/>
                <w:color w:val="auto"/>
                <w:w w:val="93"/>
              </w:rPr>
              <w:t>Change</w:t>
            </w:r>
          </w:p>
        </w:tc>
        <w:tc>
          <w:tcPr>
            <w:tcW w:w="0" w:type="dxa"/>
            <w:vAlign w:val="bottom"/>
          </w:tcPr>
          <w:p>
            <w:pPr>
              <w:spacing w:after="0"/>
              <w:rPr>
                <w:sz w:val="1"/>
                <w:szCs w:val="1"/>
                <w:color w:val="auto"/>
              </w:rPr>
            </w:pPr>
          </w:p>
        </w:tc>
      </w:tr>
      <w:tr>
        <w:trPr>
          <w:trHeight w:val="196"/>
        </w:trPr>
        <w:tc>
          <w:tcPr>
            <w:tcW w:w="34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740" w:type="dxa"/>
            <w:vAlign w:val="bottom"/>
            <w:gridSpan w:val="3"/>
          </w:tcPr>
          <w:p>
            <w:pPr>
              <w:jc w:val="right"/>
              <w:ind w:right="219"/>
              <w:spacing w:after="0"/>
              <w:rPr>
                <w:sz w:val="20"/>
                <w:szCs w:val="20"/>
                <w:color w:val="auto"/>
              </w:rPr>
            </w:pPr>
            <w:r>
              <w:rPr>
                <w:rFonts w:ascii="Arial" w:cs="Arial" w:eastAsia="Arial" w:hAnsi="Arial"/>
                <w:sz w:val="14"/>
                <w:szCs w:val="14"/>
                <w:b w:val="1"/>
                <w:bCs w:val="1"/>
                <w:color w:val="auto"/>
              </w:rPr>
              <w:t>(in thousands, except percentage)</w:t>
            </w:r>
          </w:p>
        </w:tc>
        <w:tc>
          <w:tcPr>
            <w:tcW w:w="76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9"/>
        </w:trPr>
        <w:tc>
          <w:tcPr>
            <w:tcW w:w="3420" w:type="dxa"/>
            <w:vAlign w:val="bottom"/>
            <w:shd w:val="clear" w:color="auto" w:fill="CCEEFF"/>
          </w:tcPr>
          <w:p>
            <w:pPr>
              <w:ind w:left="40"/>
              <w:spacing w:after="0"/>
              <w:rPr>
                <w:sz w:val="20"/>
                <w:szCs w:val="20"/>
                <w:color w:val="auto"/>
              </w:rPr>
            </w:pPr>
            <w:r>
              <w:rPr>
                <w:rFonts w:ascii="Arial" w:cs="Arial" w:eastAsia="Arial" w:hAnsi="Arial"/>
                <w:sz w:val="18"/>
                <w:szCs w:val="18"/>
                <w:color w:val="auto"/>
              </w:rPr>
              <w:t>Provision (benefit) for income taxes</w:t>
            </w:r>
          </w:p>
        </w:tc>
        <w:tc>
          <w:tcPr>
            <w:tcW w:w="400" w:type="dxa"/>
            <w:vAlign w:val="bottom"/>
            <w:shd w:val="clear" w:color="auto" w:fill="CCEEFF"/>
          </w:tcPr>
          <w:p>
            <w:pPr>
              <w:jc w:val="right"/>
              <w:ind w:right="199"/>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rPr>
              <w:t>6,759</w:t>
            </w:r>
          </w:p>
        </w:tc>
        <w:tc>
          <w:tcPr>
            <w:tcW w:w="720" w:type="dxa"/>
            <w:vAlign w:val="bottom"/>
            <w:shd w:val="clear" w:color="auto" w:fill="CCEEFF"/>
          </w:tcPr>
          <w:p>
            <w:pPr>
              <w:jc w:val="right"/>
              <w:ind w:right="419"/>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90"/>
              </w:rPr>
              <w:t>15,523</w:t>
            </w:r>
          </w:p>
        </w:tc>
        <w:tc>
          <w:tcPr>
            <w:tcW w:w="1460" w:type="dxa"/>
            <w:vAlign w:val="bottom"/>
            <w:shd w:val="clear" w:color="auto" w:fill="CCEEFF"/>
          </w:tcPr>
          <w:p>
            <w:pPr>
              <w:jc w:val="right"/>
              <w:ind w:right="64"/>
              <w:spacing w:after="0"/>
              <w:rPr>
                <w:sz w:val="20"/>
                <w:szCs w:val="20"/>
                <w:color w:val="auto"/>
              </w:rPr>
            </w:pPr>
            <w:r>
              <w:rPr>
                <w:rFonts w:ascii="Arial" w:cs="Arial" w:eastAsia="Arial" w:hAnsi="Arial"/>
                <w:sz w:val="18"/>
                <w:szCs w:val="18"/>
                <w:color w:val="auto"/>
              </w:rPr>
              <w:t>(56.5)%</w:t>
            </w:r>
          </w:p>
        </w:tc>
        <w:tc>
          <w:tcPr>
            <w:tcW w:w="420" w:type="dxa"/>
            <w:vAlign w:val="bottom"/>
            <w:shd w:val="clear" w:color="auto" w:fill="CCEEFF"/>
          </w:tcPr>
          <w:p>
            <w:pPr>
              <w:jc w:val="right"/>
              <w:ind w:right="219"/>
              <w:spacing w:after="0"/>
              <w:rPr>
                <w:sz w:val="20"/>
                <w:szCs w:val="20"/>
                <w:color w:val="auto"/>
              </w:rPr>
            </w:pPr>
            <w:r>
              <w:rPr>
                <w:rFonts w:ascii="Arial" w:cs="Arial" w:eastAsia="Arial" w:hAnsi="Arial"/>
                <w:sz w:val="18"/>
                <w:szCs w:val="18"/>
                <w:color w:val="auto"/>
                <w:w w:val="99"/>
              </w:rPr>
              <w:t>$</w:t>
            </w:r>
          </w:p>
        </w:tc>
        <w:tc>
          <w:tcPr>
            <w:tcW w:w="860" w:type="dxa"/>
            <w:vAlign w:val="bottom"/>
            <w:shd w:val="clear" w:color="auto" w:fill="CCEEFF"/>
          </w:tcPr>
          <w:p>
            <w:pPr>
              <w:jc w:val="right"/>
              <w:ind w:right="39"/>
              <w:spacing w:after="0"/>
              <w:rPr>
                <w:sz w:val="20"/>
                <w:szCs w:val="20"/>
                <w:color w:val="auto"/>
              </w:rPr>
            </w:pPr>
            <w:r>
              <w:rPr>
                <w:rFonts w:ascii="Arial" w:cs="Arial" w:eastAsia="Arial" w:hAnsi="Arial"/>
                <w:sz w:val="18"/>
                <w:szCs w:val="18"/>
                <w:color w:val="auto"/>
              </w:rPr>
              <w:t>8,026</w:t>
            </w:r>
          </w:p>
        </w:tc>
        <w:tc>
          <w:tcPr>
            <w:tcW w:w="760" w:type="dxa"/>
            <w:vAlign w:val="bottom"/>
            <w:shd w:val="clear" w:color="auto" w:fill="CCEEFF"/>
          </w:tcPr>
          <w:p>
            <w:pPr>
              <w:jc w:val="right"/>
              <w:ind w:right="459"/>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rPr>
              <w:t>4,263</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88.3%</w:t>
            </w:r>
          </w:p>
        </w:tc>
        <w:tc>
          <w:tcPr>
            <w:tcW w:w="0" w:type="dxa"/>
            <w:vAlign w:val="bottom"/>
          </w:tcPr>
          <w:p>
            <w:pPr>
              <w:spacing w:after="0"/>
              <w:rPr>
                <w:sz w:val="1"/>
                <w:szCs w:val="1"/>
                <w:color w:val="auto"/>
              </w:rPr>
            </w:pPr>
          </w:p>
        </w:tc>
      </w:tr>
      <w:tr>
        <w:trPr>
          <w:trHeight w:val="27"/>
        </w:trPr>
        <w:tc>
          <w:tcPr>
            <w:tcW w:w="3420" w:type="dxa"/>
            <w:vAlign w:val="bottom"/>
            <w:shd w:val="clear" w:color="auto" w:fill="CCEEFF"/>
          </w:tcPr>
          <w:p>
            <w:pPr>
              <w:spacing w:after="0"/>
              <w:rPr>
                <w:sz w:val="2"/>
                <w:szCs w:val="2"/>
                <w:color w:val="auto"/>
              </w:rPr>
            </w:pPr>
          </w:p>
        </w:tc>
        <w:tc>
          <w:tcPr>
            <w:tcW w:w="400" w:type="dxa"/>
            <w:vAlign w:val="bottom"/>
            <w:shd w:val="clear" w:color="auto" w:fill="CCEEFF"/>
          </w:tcPr>
          <w:p>
            <w:pPr>
              <w:spacing w:after="0"/>
              <w:rPr>
                <w:sz w:val="2"/>
                <w:szCs w:val="2"/>
                <w:color w:val="auto"/>
              </w:rPr>
            </w:pPr>
          </w:p>
        </w:tc>
        <w:tc>
          <w:tcPr>
            <w:tcW w:w="860" w:type="dxa"/>
            <w:vAlign w:val="bottom"/>
            <w:shd w:val="clear" w:color="auto" w:fill="CCEEFF"/>
          </w:tcPr>
          <w:p>
            <w:pPr>
              <w:spacing w:after="0"/>
              <w:rPr>
                <w:sz w:val="2"/>
                <w:szCs w:val="2"/>
                <w:color w:val="auto"/>
              </w:rPr>
            </w:pPr>
          </w:p>
        </w:tc>
        <w:tc>
          <w:tcPr>
            <w:tcW w:w="720" w:type="dxa"/>
            <w:vAlign w:val="bottom"/>
            <w:shd w:val="clear" w:color="auto" w:fill="CCEEFF"/>
          </w:tcPr>
          <w:p>
            <w:pPr>
              <w:spacing w:after="0"/>
              <w:rPr>
                <w:sz w:val="2"/>
                <w:szCs w:val="2"/>
                <w:color w:val="auto"/>
              </w:rPr>
            </w:pPr>
          </w:p>
        </w:tc>
        <w:tc>
          <w:tcPr>
            <w:tcW w:w="620" w:type="dxa"/>
            <w:vAlign w:val="bottom"/>
            <w:shd w:val="clear" w:color="auto" w:fill="CCEEFF"/>
          </w:tcPr>
          <w:p>
            <w:pPr>
              <w:spacing w:after="0"/>
              <w:rPr>
                <w:sz w:val="2"/>
                <w:szCs w:val="2"/>
                <w:color w:val="auto"/>
              </w:rPr>
            </w:pPr>
          </w:p>
        </w:tc>
        <w:tc>
          <w:tcPr>
            <w:tcW w:w="1460" w:type="dxa"/>
            <w:vAlign w:val="bottom"/>
            <w:shd w:val="clear" w:color="auto" w:fill="CCEEFF"/>
          </w:tcPr>
          <w:p>
            <w:pPr>
              <w:spacing w:after="0"/>
              <w:rPr>
                <w:sz w:val="2"/>
                <w:szCs w:val="2"/>
                <w:color w:val="auto"/>
              </w:rPr>
            </w:pPr>
          </w:p>
        </w:tc>
        <w:tc>
          <w:tcPr>
            <w:tcW w:w="420" w:type="dxa"/>
            <w:vAlign w:val="bottom"/>
            <w:shd w:val="clear" w:color="auto" w:fill="CCEEFF"/>
          </w:tcPr>
          <w:p>
            <w:pPr>
              <w:spacing w:after="0"/>
              <w:rPr>
                <w:sz w:val="2"/>
                <w:szCs w:val="2"/>
                <w:color w:val="auto"/>
              </w:rPr>
            </w:pPr>
          </w:p>
        </w:tc>
        <w:tc>
          <w:tcPr>
            <w:tcW w:w="860" w:type="dxa"/>
            <w:vAlign w:val="bottom"/>
            <w:shd w:val="clear" w:color="auto" w:fill="CCEEFF"/>
          </w:tcPr>
          <w:p>
            <w:pPr>
              <w:spacing w:after="0"/>
              <w:rPr>
                <w:sz w:val="2"/>
                <w:szCs w:val="2"/>
                <w:color w:val="auto"/>
              </w:rPr>
            </w:pPr>
          </w:p>
        </w:tc>
        <w:tc>
          <w:tcPr>
            <w:tcW w:w="760" w:type="dxa"/>
            <w:vAlign w:val="bottom"/>
            <w:shd w:val="clear" w:color="auto" w:fill="CCEEFF"/>
          </w:tcPr>
          <w:p>
            <w:pPr>
              <w:spacing w:after="0"/>
              <w:rPr>
                <w:sz w:val="2"/>
                <w:szCs w:val="2"/>
                <w:color w:val="auto"/>
              </w:rPr>
            </w:pPr>
          </w:p>
        </w:tc>
        <w:tc>
          <w:tcPr>
            <w:tcW w:w="580" w:type="dxa"/>
            <w:vAlign w:val="bottom"/>
            <w:shd w:val="clear" w:color="auto" w:fill="CCEEFF"/>
          </w:tcPr>
          <w:p>
            <w:pPr>
              <w:spacing w:after="0"/>
              <w:rPr>
                <w:sz w:val="2"/>
                <w:szCs w:val="2"/>
                <w:color w:val="auto"/>
              </w:rPr>
            </w:pPr>
          </w:p>
        </w:tc>
        <w:tc>
          <w:tcPr>
            <w:tcW w:w="1320" w:type="dxa"/>
            <w:vAlign w:val="bottom"/>
            <w:shd w:val="clear" w:color="auto" w:fill="CCEEFF"/>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02" w:lineRule="exact"/>
        <w:rPr>
          <w:sz w:val="20"/>
          <w:szCs w:val="20"/>
          <w:color w:val="auto"/>
        </w:rPr>
      </w:pPr>
    </w:p>
    <w:p>
      <w:pPr>
        <w:ind w:right="40" w:firstLine="405"/>
        <w:spacing w:after="0" w:line="293" w:lineRule="auto"/>
        <w:rPr>
          <w:sz w:val="20"/>
          <w:szCs w:val="20"/>
          <w:color w:val="auto"/>
        </w:rPr>
      </w:pPr>
      <w:r>
        <w:rPr>
          <w:rFonts w:ascii="Arial" w:cs="Arial" w:eastAsia="Arial" w:hAnsi="Arial"/>
          <w:sz w:val="16"/>
          <w:szCs w:val="16"/>
          <w:color w:val="auto"/>
        </w:rPr>
        <w:t>Our income tax expense for the three months ended October 28, 2017 was $6.8 million compared to tax expense of $15.5 million for the three months ended October 29, 2016. Our income tax expense for the three months ended October 28, 2017 differs from the same period in the prior year primarily due to lower tax expense on continuing operations of $5.9 million in the current period versus tax expense on continuing operations of $11.9 million in the prior period, combined with additional accruals of $2.6 million for changes in prior year tax positions recorded in the prior period and $0.6 million for settlements of prior year tax in foreign jurisdictions recorded in the prior period. The effective tax rate for the three months ended October 28, 2017 and October 29, 2016 differs from the statutory federal rate of 35% primarily due to foreign earnings that are taxed at a substantially lower tax rate.</w:t>
      </w:r>
    </w:p>
    <w:p>
      <w:pPr>
        <w:spacing w:after="0" w:line="200" w:lineRule="exact"/>
        <w:rPr>
          <w:sz w:val="20"/>
          <w:szCs w:val="20"/>
          <w:color w:val="auto"/>
        </w:rPr>
      </w:pPr>
    </w:p>
    <w:p>
      <w:pPr>
        <w:spacing w:after="0" w:line="20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140" w:right="239" w:bottom="1440" w:gutter="0" w:footer="0" w:header="0"/>
        </w:sectPr>
      </w:pPr>
    </w:p>
    <w:bookmarkStart w:id="29" w:name="page30"/>
    <w:bookmarkEnd w:id="2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firstLine="405"/>
        <w:spacing w:after="0" w:line="254" w:lineRule="auto"/>
        <w:rPr>
          <w:sz w:val="20"/>
          <w:szCs w:val="20"/>
          <w:color w:val="auto"/>
        </w:rPr>
      </w:pPr>
      <w:r>
        <w:rPr>
          <w:rFonts w:ascii="Arial" w:cs="Arial" w:eastAsia="Arial" w:hAnsi="Arial"/>
          <w:sz w:val="18"/>
          <w:szCs w:val="18"/>
          <w:color w:val="auto"/>
        </w:rPr>
        <w:t>Our income tax expense for the nine months ended October 28, 2017 was $8.0 million compared to tax expense of $4.3 million for the nine months ended October 29, 2016. Our income tax provision for the nine months ended October 28, 2017 differs from the same period in the prior year primarily due to the magnitude of the unrecognized tax benefit released in the current period of $9.8 million versus the prior period of $14.3 million, in addition to the recognition of a discrete tax benefit in the amount of $2.5 million recognized for the portion of a payment to the Company’s former Chief Executive Officer that became deductible after his departure from the Company in April 2016, offset by additional accruals of $2.6 million for changes in prior year tax positions recorded in the prior period and $0.6 million for settlements of prior year tax in foreign jurisdictions recorded in the prior period. The effective tax rate for the nine months ended October 28, 2017 and October 29, 2016 differs from the statutory federal rate of 35% primarily due to foreign earnings that are taxed at a substantially lower tax rate.</w:t>
      </w:r>
    </w:p>
    <w:p>
      <w:pPr>
        <w:spacing w:after="0" w:line="111" w:lineRule="exact"/>
        <w:rPr>
          <w:sz w:val="20"/>
          <w:szCs w:val="20"/>
          <w:color w:val="auto"/>
        </w:rPr>
      </w:pPr>
    </w:p>
    <w:p>
      <w:pPr>
        <w:ind w:right="340" w:firstLine="405"/>
        <w:spacing w:after="0" w:line="276" w:lineRule="auto"/>
        <w:rPr>
          <w:sz w:val="20"/>
          <w:szCs w:val="20"/>
          <w:color w:val="auto"/>
        </w:rPr>
      </w:pPr>
      <w:r>
        <w:rPr>
          <w:rFonts w:ascii="Arial" w:cs="Arial" w:eastAsia="Arial" w:hAnsi="Arial"/>
          <w:sz w:val="17"/>
          <w:szCs w:val="17"/>
          <w:color w:val="auto"/>
        </w:rPr>
        <w:t>Our provision for incomes taxes may be affected by changes in the geographic mix of earnings with different applicable tax rates, changes in the realizability of deferred tax assets and liabilities,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For discussion of tax related risks, see Part II, Item 1A, “Risk Factors,” including the risk detailed under the caption "</w:t>
      </w:r>
      <w:r>
        <w:rPr>
          <w:rFonts w:ascii="Arial" w:cs="Arial" w:eastAsia="Arial" w:hAnsi="Arial"/>
          <w:sz w:val="17"/>
          <w:szCs w:val="17"/>
          <w:i w:val="1"/>
          <w:iCs w:val="1"/>
          <w:color w:val="auto"/>
        </w:rPr>
        <w:t>Changes in existing taxation benefits, rules or practices may adversely affect our financial results.</w:t>
      </w:r>
      <w:r>
        <w:rPr>
          <w:rFonts w:ascii="Arial" w:cs="Arial" w:eastAsia="Arial" w:hAnsi="Arial"/>
          <w:sz w:val="17"/>
          <w:szCs w:val="17"/>
          <w:color w:val="auto"/>
        </w:rPr>
        <w:t>”</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4" w:lineRule="exact"/>
        <w:rPr>
          <w:sz w:val="20"/>
          <w:szCs w:val="20"/>
          <w:color w:val="auto"/>
        </w:rPr>
      </w:pPr>
    </w:p>
    <w:p>
      <w:pPr>
        <w:ind w:right="20" w:firstLine="405"/>
        <w:spacing w:after="0" w:line="293" w:lineRule="auto"/>
        <w:rPr>
          <w:sz w:val="20"/>
          <w:szCs w:val="20"/>
          <w:color w:val="auto"/>
        </w:rPr>
      </w:pPr>
      <w:r>
        <w:rPr>
          <w:rFonts w:ascii="Arial" w:cs="Arial" w:eastAsia="Arial" w:hAnsi="Arial"/>
          <w:sz w:val="16"/>
          <w:szCs w:val="16"/>
          <w:color w:val="auto"/>
        </w:rPr>
        <w:t>Our principal source of liquidity as of October 28, 2017 consisted of approximately $1.7 billion of cash, cash equivalents and short-term investments, of which approximately $1.1 billion was held by foreign subsidiaries (outside Bermuda). Approximately $620 million of this amount held by foreign subsidiaries is related to undistributed earnings that have been indefinitely reinvested outside of Bermuda. These funds are primarily held in China, Israel and the United States.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$190 million.</w:t>
      </w:r>
    </w:p>
    <w:p>
      <w:pPr>
        <w:spacing w:after="0" w:line="57" w:lineRule="exact"/>
        <w:rPr>
          <w:sz w:val="20"/>
          <w:szCs w:val="20"/>
          <w:color w:val="auto"/>
        </w:rPr>
      </w:pPr>
    </w:p>
    <w:p>
      <w:pPr>
        <w:ind w:right="40" w:firstLine="405"/>
        <w:spacing w:after="0" w:line="289" w:lineRule="auto"/>
        <w:rPr>
          <w:sz w:val="20"/>
          <w:szCs w:val="20"/>
          <w:color w:val="auto"/>
        </w:rPr>
      </w:pPr>
      <w:r>
        <w:rPr>
          <w:rFonts w:ascii="Arial" w:cs="Arial" w:eastAsia="Arial" w:hAnsi="Arial"/>
          <w:sz w:val="16"/>
          <w:szCs w:val="16"/>
          <w:color w:val="auto"/>
        </w:rPr>
        <w:t xml:space="preserve">We believe that our existing cash, cash equivalents and short-term investments, together with cash generated from operations, will be sufficient to cover our working capital needs, capital expenditures, investment requirements and any declared dividends, repurchase of our common stock and commitments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in several litigation actions and an unfavorable outcome in any current litigation matter could have a material adverse effect on our liquidity, cash flows and results of operations. For a discussion of litigation related risks, see Part II, Item 1A, "Risk Factors," including the risk detailed under the caption </w:t>
      </w:r>
      <w:r>
        <w:rPr>
          <w:rFonts w:ascii="Arial" w:cs="Arial" w:eastAsia="Arial" w:hAnsi="Arial"/>
          <w:sz w:val="16"/>
          <w:szCs w:val="16"/>
          <w:i w:val="1"/>
          <w:iCs w:val="1"/>
          <w:color w:val="auto"/>
        </w:rPr>
        <w:t>"We have been named as a party to several legal proceedings and may be named in</w:t>
      </w:r>
      <w:r>
        <w:rPr>
          <w:rFonts w:ascii="Arial" w:cs="Arial" w:eastAsia="Arial" w:hAnsi="Arial"/>
          <w:sz w:val="16"/>
          <w:szCs w:val="16"/>
          <w:color w:val="auto"/>
        </w:rPr>
        <w:t xml:space="preserve"> </w:t>
      </w:r>
      <w:r>
        <w:rPr>
          <w:rFonts w:ascii="Arial" w:cs="Arial" w:eastAsia="Arial" w:hAnsi="Arial"/>
          <w:sz w:val="16"/>
          <w:szCs w:val="16"/>
          <w:i w:val="1"/>
          <w:iCs w:val="1"/>
          <w:color w:val="auto"/>
        </w:rPr>
        <w:t>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59" w:lineRule="exact"/>
        <w:rPr>
          <w:sz w:val="20"/>
          <w:szCs w:val="20"/>
          <w:color w:val="auto"/>
        </w:rPr>
      </w:pPr>
    </w:p>
    <w:p>
      <w:pPr>
        <w:jc w:val="both"/>
        <w:ind w:right="320" w:firstLine="378"/>
        <w:spacing w:after="0" w:line="255"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In addition, the equity or debt securities that we issue may have rights, preferences or privileges senior to our common shares.</w:t>
      </w:r>
    </w:p>
    <w:p>
      <w:pPr>
        <w:spacing w:after="0" w:line="193" w:lineRule="exact"/>
        <w:rPr>
          <w:sz w:val="20"/>
          <w:szCs w:val="20"/>
          <w:color w:val="auto"/>
        </w:rPr>
      </w:pPr>
    </w:p>
    <w:p>
      <w:pPr>
        <w:ind w:right="40" w:firstLine="378"/>
        <w:spacing w:after="0" w:line="257" w:lineRule="auto"/>
        <w:rPr>
          <w:sz w:val="20"/>
          <w:szCs w:val="20"/>
          <w:color w:val="auto"/>
        </w:rPr>
      </w:pPr>
      <w:r>
        <w:rPr>
          <w:rFonts w:ascii="Arial" w:cs="Arial" w:eastAsia="Arial" w:hAnsi="Arial"/>
          <w:sz w:val="18"/>
          <w:szCs w:val="18"/>
          <w:color w:val="auto"/>
        </w:rPr>
        <w:t>Future payment of a regular quarterly cash dividend on our common shares and our planned repurchases of common stock will be subject to, among other things, the best interests of the Company and our shareholders, our results of operations, cash balances and future cash requirements, financial condition, developments in ongoing litigation, statutory requirements under Bermuda law, market conditions and other factors that our board of directors may deem relevant. Our dividend payments and repurchases of common stock may change from time to time, and we cannot provide assurance that we will continue to declare dividends or repurchase shares at all or in any particular amounts.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00"/>
          </w:cols>
          <w:pgMar w:left="240" w:top="140" w:right="259" w:bottom="1440" w:gutter="0" w:footer="0" w:header="0"/>
        </w:sectPr>
      </w:pPr>
    </w:p>
    <w:bookmarkStart w:id="30" w:name="page31"/>
    <w:bookmarkEnd w:id="3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81"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90" w:lineRule="exact"/>
        <w:rPr>
          <w:sz w:val="20"/>
          <w:szCs w:val="20"/>
          <w:color w:val="auto"/>
        </w:rPr>
      </w:pPr>
    </w:p>
    <w:p>
      <w:pPr>
        <w:ind w:firstLine="405"/>
        <w:spacing w:after="0" w:line="271" w:lineRule="auto"/>
        <w:rPr>
          <w:sz w:val="20"/>
          <w:szCs w:val="20"/>
          <w:color w:val="auto"/>
        </w:rPr>
      </w:pPr>
      <w:r>
        <w:rPr>
          <w:rFonts w:ascii="Arial" w:cs="Arial" w:eastAsia="Arial" w:hAnsi="Arial"/>
          <w:sz w:val="17"/>
          <w:szCs w:val="17"/>
          <w:color w:val="auto"/>
        </w:rPr>
        <w:t>Net cash flow provided by operating activities for the nine months ended October 28, 2017 was $451.4 million. We had net income of $472.1 million, adjusted for the following non-cash items: depreciation and amortization of $62.6 million, share-based compensation expense of $65.3 million, and $88.4 million of gain from sale of our Broadband, Multimedia and LTE thin-modem businesses. Cash outflow from working capital of $59.5 million for the nine months ended October 28, 2017 was primarily driven by increases in accounts receivable and inventory and a decrease in accrued liabilities. This outflow was offset by an increase in accounts payable and a decrease in prepaid expenses and other current assets. The increase in accounts receivable was driven primarily by the increase in revenue. The increase in inventory is associated with the build up of inventory related to our networking and storage products in preparation for next quarter's demand. The decrease in accrued liabilities was driven by a reduction of accruals for restructuring expenses and rebates. The increase in accounts payable was due to additional amounts owed for assembly and test services.</w:t>
      </w:r>
    </w:p>
    <w:p>
      <w:pPr>
        <w:spacing w:after="0" w:line="179" w:lineRule="exact"/>
        <w:rPr>
          <w:sz w:val="20"/>
          <w:szCs w:val="20"/>
          <w:color w:val="auto"/>
        </w:rPr>
      </w:pPr>
    </w:p>
    <w:p>
      <w:pPr>
        <w:ind w:left="380"/>
        <w:spacing w:after="0"/>
        <w:rPr>
          <w:sz w:val="20"/>
          <w:szCs w:val="20"/>
          <w:color w:val="auto"/>
        </w:rPr>
      </w:pPr>
      <w:r>
        <w:rPr>
          <w:rFonts w:ascii="Arial" w:cs="Arial" w:eastAsia="Arial" w:hAnsi="Arial"/>
          <w:sz w:val="16"/>
          <w:szCs w:val="16"/>
          <w:color w:val="auto"/>
        </w:rPr>
        <w:t>Net cash flow used in operations for the nine months ended October 29, 2016 was $477.3 million. We had $101.2 million of net income, adjusted for</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$180.6 million of non-cash items, which was primarily driven by depreciation and amortization of $81.2 million, share-based compensation expense of $89.9</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million, and the amortization and write-off of acquired intangible assets of $8.7 million. The cash outflow from working capital of $759.1 million for the nine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months ended October 29, 2016 was primarily driven by the decrease in the CMU accrued litigation settlement that was fully paid in the nine months ended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October 29, 2016.</w:t>
      </w:r>
    </w:p>
    <w:p>
      <w:pPr>
        <w:spacing w:after="0" w:line="238"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90" w:lineRule="exact"/>
        <w:rPr>
          <w:sz w:val="20"/>
          <w:szCs w:val="20"/>
          <w:color w:val="auto"/>
        </w:rPr>
      </w:pPr>
    </w:p>
    <w:p>
      <w:pPr>
        <w:ind w:right="400" w:firstLine="405"/>
        <w:spacing w:after="0" w:line="257" w:lineRule="auto"/>
        <w:rPr>
          <w:sz w:val="20"/>
          <w:szCs w:val="20"/>
          <w:color w:val="auto"/>
        </w:rPr>
      </w:pPr>
      <w:r>
        <w:rPr>
          <w:rFonts w:ascii="Arial" w:cs="Arial" w:eastAsia="Arial" w:hAnsi="Arial"/>
          <w:sz w:val="18"/>
          <w:szCs w:val="18"/>
          <w:color w:val="auto"/>
        </w:rPr>
        <w:t>Net cash flow provided by investing activities was $63.0 million for the nine months ended October 28, 2017 compared to net cash generated from investing activities of $117.3 million for the nine months ended October 29, 2016. For the nine months ended October 28, 2017, net cash provided by investing activities of $63.0 million was primarily driven by purchases of available-for-sale securities of $672.9 million offset by sales and maturities of available-for-sale securities of $589.9 million and net proceeds of $165.9 million from the sale of our Broadband, Multimedia and LTE thin-modem businesses.</w:t>
      </w:r>
    </w:p>
    <w:p>
      <w:pPr>
        <w:spacing w:after="0" w:line="269" w:lineRule="exact"/>
        <w:rPr>
          <w:sz w:val="20"/>
          <w:szCs w:val="20"/>
          <w:color w:val="auto"/>
        </w:rPr>
      </w:pPr>
    </w:p>
    <w:p>
      <w:pPr>
        <w:ind w:right="60" w:firstLine="378"/>
        <w:spacing w:after="0" w:line="264" w:lineRule="auto"/>
        <w:rPr>
          <w:sz w:val="20"/>
          <w:szCs w:val="20"/>
          <w:color w:val="auto"/>
        </w:rPr>
      </w:pPr>
      <w:r>
        <w:rPr>
          <w:rFonts w:ascii="Arial" w:cs="Arial" w:eastAsia="Arial" w:hAnsi="Arial"/>
          <w:sz w:val="18"/>
          <w:szCs w:val="18"/>
          <w:color w:val="auto"/>
        </w:rPr>
        <w:t>For the nine months ended October 29, 2016, net cash generated from investing activities of $117.3 million was primarily driven by sales and maturities of available-for-sale securities of $657.0 million. This increase was partially offset by payments of $343.8 million for the purchase of available-for-sale securities and $200.0 million for the purchase of time deposits.</w:t>
      </w:r>
    </w:p>
    <w:p>
      <w:pPr>
        <w:spacing w:after="0" w:line="208" w:lineRule="exact"/>
        <w:rPr>
          <w:sz w:val="20"/>
          <w:szCs w:val="20"/>
          <w:color w:val="auto"/>
        </w:rPr>
      </w:pPr>
    </w:p>
    <w:p>
      <w:pPr>
        <w:ind w:left="66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90" w:lineRule="exact"/>
        <w:rPr>
          <w:sz w:val="20"/>
          <w:szCs w:val="20"/>
          <w:color w:val="auto"/>
        </w:rPr>
      </w:pPr>
    </w:p>
    <w:p>
      <w:pPr>
        <w:ind w:right="160" w:firstLine="405"/>
        <w:spacing w:after="0" w:line="286" w:lineRule="auto"/>
        <w:rPr>
          <w:sz w:val="20"/>
          <w:szCs w:val="20"/>
          <w:color w:val="auto"/>
        </w:rPr>
      </w:pPr>
      <w:r>
        <w:rPr>
          <w:rFonts w:ascii="Arial" w:cs="Arial" w:eastAsia="Arial" w:hAnsi="Arial"/>
          <w:sz w:val="17"/>
          <w:szCs w:val="17"/>
          <w:color w:val="auto"/>
        </w:rPr>
        <w:t>For the nine months ended October 28, 2017, net cash used in financing activities of $528.3 million was primarily attributable to $527.6 million for repurchases of our common stock, $89.6 million for payment of our quarterly dividends and $25.9 million minimum tax withholding payments on behalf of employees for net share settlements. These outflows were partially offset by proceeds of $137.4 million from employee stock plans.</w:t>
      </w:r>
    </w:p>
    <w:p>
      <w:pPr>
        <w:spacing w:after="0" w:line="166" w:lineRule="exact"/>
        <w:rPr>
          <w:sz w:val="20"/>
          <w:szCs w:val="20"/>
          <w:color w:val="auto"/>
        </w:rPr>
      </w:pPr>
    </w:p>
    <w:p>
      <w:pPr>
        <w:ind w:right="160" w:firstLine="378"/>
        <w:spacing w:after="0" w:line="264" w:lineRule="auto"/>
        <w:rPr>
          <w:sz w:val="20"/>
          <w:szCs w:val="20"/>
          <w:color w:val="auto"/>
        </w:rPr>
      </w:pPr>
      <w:r>
        <w:rPr>
          <w:rFonts w:ascii="Arial" w:cs="Arial" w:eastAsia="Arial" w:hAnsi="Arial"/>
          <w:sz w:val="18"/>
          <w:szCs w:val="18"/>
          <w:color w:val="auto"/>
        </w:rPr>
        <w:t>For the nine months ended October 29, 2016, net cash used in financing activities of $166.6 million was primarily attributable to payments of our quarterly dividends of $91.8 million, repurchases of our common stock of $56.5 million and $16.3 million minimum tax withholding payments on behalf of employees for net share settlements.</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4" w:lineRule="exact"/>
        <w:rPr>
          <w:sz w:val="20"/>
          <w:szCs w:val="20"/>
          <w:color w:val="auto"/>
        </w:rPr>
      </w:pPr>
    </w:p>
    <w:p>
      <w:pPr>
        <w:ind w:right="280" w:firstLine="405"/>
        <w:spacing w:after="0" w:line="308" w:lineRule="auto"/>
        <w:rPr>
          <w:sz w:val="20"/>
          <w:szCs w:val="20"/>
          <w:color w:val="auto"/>
        </w:rPr>
      </w:pPr>
      <w:r>
        <w:rPr>
          <w:rFonts w:ascii="Arial" w:cs="Arial" w:eastAsia="Arial" w:hAnsi="Arial"/>
          <w:sz w:val="17"/>
          <w:szCs w:val="17"/>
          <w:color w:val="auto"/>
        </w:rPr>
        <w:t>We presented our contractual obligations at January 28, 2017 in our Annual Report on Form 10-K for the fiscal year then ended. There have been no material changes outside the ordinary course of business in those obligations during the nine months ended October 28, 2017.</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94" w:lineRule="exact"/>
        <w:rPr>
          <w:sz w:val="20"/>
          <w:szCs w:val="20"/>
          <w:color w:val="auto"/>
        </w:rPr>
      </w:pPr>
    </w:p>
    <w:p>
      <w:pPr>
        <w:ind w:right="80" w:firstLine="405"/>
        <w:spacing w:after="0" w:line="277" w:lineRule="auto"/>
        <w:rPr>
          <w:sz w:val="20"/>
          <w:szCs w:val="20"/>
          <w:color w:val="auto"/>
        </w:rPr>
      </w:pPr>
      <w:r>
        <w:rPr>
          <w:rFonts w:ascii="Arial" w:cs="Arial" w:eastAsia="Arial" w:hAnsi="Arial"/>
          <w:sz w:val="18"/>
          <w:szCs w:val="18"/>
          <w:color w:val="auto"/>
        </w:rPr>
        <w:t>See “Note 9 – Commitments and Contingencies” in the Notes to the Unaudited Condensed Consolidated Financial Statements set forth in Part I, Item 1 of this Quarterly Report on Form 10-Q.</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140" w:right="259" w:bottom="1440" w:gutter="0" w:footer="0" w:header="0"/>
        </w:sectPr>
      </w:pPr>
    </w:p>
    <w:bookmarkStart w:id="31" w:name="page32"/>
    <w:bookmarkEnd w:id="3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4" w:lineRule="exact"/>
        <w:rPr>
          <w:sz w:val="20"/>
          <w:szCs w:val="20"/>
          <w:color w:val="auto"/>
        </w:rPr>
      </w:pPr>
    </w:p>
    <w:p>
      <w:pPr>
        <w:ind w:right="40" w:firstLine="405"/>
        <w:spacing w:after="0" w:line="257" w:lineRule="auto"/>
        <w:rPr>
          <w:sz w:val="20"/>
          <w:szCs w:val="20"/>
          <w:color w:val="auto"/>
        </w:rPr>
      </w:pPr>
      <w:r>
        <w:rPr>
          <w:rFonts w:ascii="Arial" w:cs="Arial" w:eastAsia="Arial" w:hAnsi="Arial"/>
          <w:sz w:val="18"/>
          <w:szCs w:val="18"/>
          <w:i w:val="1"/>
          <w:iCs w:val="1"/>
          <w:color w:val="auto"/>
        </w:rPr>
        <w:t>Interest Rate Risk</w:t>
      </w:r>
      <w:r>
        <w:rPr>
          <w:rFonts w:ascii="Arial" w:cs="Arial" w:eastAsia="Arial" w:hAnsi="Arial"/>
          <w:sz w:val="18"/>
          <w:szCs w:val="18"/>
          <w:color w:val="auto"/>
        </w:rPr>
        <w:t>. Our interest rate risk relates primarily to our fixed income short-term investment portfolio as we did not have any outstanding debt as</w:t>
      </w:r>
      <w:r>
        <w:rPr>
          <w:rFonts w:ascii="Arial" w:cs="Arial" w:eastAsia="Arial" w:hAnsi="Arial"/>
          <w:sz w:val="18"/>
          <w:szCs w:val="18"/>
          <w:i w:val="1"/>
          <w:iCs w:val="1"/>
          <w:color w:val="auto"/>
        </w:rPr>
        <w:t xml:space="preserve"> </w:t>
      </w:r>
      <w:r>
        <w:rPr>
          <w:rFonts w:ascii="Arial" w:cs="Arial" w:eastAsia="Arial" w:hAnsi="Arial"/>
          <w:sz w:val="18"/>
          <w:szCs w:val="18"/>
          <w:color w:val="auto"/>
        </w:rPr>
        <w:t>of October 28, 2017. We generally invest our excess cash in highly liquid and highly rated debt instruments of the U.S. government and agencies, municipalities, corporations, and such other investments as asset backed securities and time deposits. These investments are recorded on our consolidated balance sheets at fair market value with their related unrealized gain or loss reflected as a component of accumulated other comprehensive income (loss) in the consolidated statements of shareholders’ equity.</w:t>
      </w:r>
    </w:p>
    <w:p>
      <w:pPr>
        <w:spacing w:after="0" w:line="80" w:lineRule="exact"/>
        <w:rPr>
          <w:sz w:val="20"/>
          <w:szCs w:val="20"/>
          <w:color w:val="auto"/>
        </w:rPr>
      </w:pPr>
    </w:p>
    <w:p>
      <w:pPr>
        <w:ind w:firstLine="405"/>
        <w:spacing w:after="0" w:line="312" w:lineRule="auto"/>
        <w:rPr>
          <w:sz w:val="20"/>
          <w:szCs w:val="20"/>
          <w:color w:val="auto"/>
        </w:rPr>
      </w:pPr>
      <w:r>
        <w:rPr>
          <w:rFonts w:ascii="Arial" w:cs="Arial" w:eastAsia="Arial" w:hAnsi="Arial"/>
          <w:sz w:val="16"/>
          <w:szCs w:val="16"/>
          <w:color w:val="auto"/>
        </w:rPr>
        <w:t>Based on investment positions as of October 28, 2017, a hypothetical 100 basis point increase in interest rates across all maturities would result in a $6.6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significant cash flow impact.</w:t>
      </w:r>
    </w:p>
    <w:p>
      <w:pPr>
        <w:spacing w:after="0" w:line="147" w:lineRule="exact"/>
        <w:rPr>
          <w:sz w:val="20"/>
          <w:szCs w:val="20"/>
          <w:color w:val="auto"/>
        </w:rPr>
      </w:pPr>
    </w:p>
    <w:p>
      <w:pPr>
        <w:ind w:right="20" w:firstLine="378"/>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 countries,</w:t>
      </w:r>
      <w:r>
        <w:rPr>
          <w:rFonts w:ascii="Arial" w:cs="Arial" w:eastAsia="Arial" w:hAnsi="Arial"/>
          <w:sz w:val="16"/>
          <w:szCs w:val="16"/>
          <w:i w:val="1"/>
          <w:iCs w:val="1"/>
          <w:color w:val="auto"/>
        </w:rPr>
        <w:t xml:space="preserve"> </w:t>
      </w:r>
      <w:r>
        <w:rPr>
          <w:rFonts w:ascii="Arial" w:cs="Arial" w:eastAsia="Arial" w:hAnsi="Arial"/>
          <w:sz w:val="16"/>
          <w:szCs w:val="16"/>
          <w:color w:val="auto"/>
        </w:rPr>
        <w:t>we pay certain payroll and other operating expenses in local currencies and these expenses may be higher or lower in U.S. dollar terms. Our operations in Israel represent a large portion of our total foreign currency exposure and we may enter into hedging transactions that are typically less than 12 months in duration to help mitigate some of the volatility to these forecasted cash flows. Additionally, we may hold certain assets and liabilities, including potential tax liabilities, in local currency on our consolidated balance sheet. These tax liabilities would be settled in local currency. We may choose not to hedge certain foreign exchange balance sheet and cash flow exposures due to immateriality, offsetting exposures, certainty of the timing of the assets or liabilities realized as cash flows, prohibitive economic cost of hedging a particular currency, and limited availability of appropriate hedging instruments. There is also a risk that our customers may be negatively impacted in their ability to purchase our products priced in U.S. dollars when there has been significant volatility in foreign currency exchange rates. We do not enter into derivative financial instruments for trading or speculative purposes.</w:t>
      </w:r>
    </w:p>
    <w:p>
      <w:pPr>
        <w:spacing w:after="0" w:line="167" w:lineRule="exact"/>
        <w:rPr>
          <w:sz w:val="20"/>
          <w:szCs w:val="20"/>
          <w:color w:val="auto"/>
        </w:rPr>
      </w:pPr>
    </w:p>
    <w:p>
      <w:pPr>
        <w:ind w:right="40" w:firstLine="378"/>
        <w:spacing w:after="0" w:line="279" w:lineRule="auto"/>
        <w:rPr>
          <w:sz w:val="20"/>
          <w:szCs w:val="20"/>
          <w:color w:val="auto"/>
        </w:rPr>
      </w:pPr>
      <w:r>
        <w:rPr>
          <w:rFonts w:ascii="Arial" w:cs="Arial" w:eastAsia="Arial" w:hAnsi="Arial"/>
          <w:sz w:val="17"/>
          <w:szCs w:val="17"/>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4%. We expect our hedges of foreign currency exposures to be highly effective and offset a significant portion of the short-term impact of changes in exchange rates on the hedged portion of our exposures.</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14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Management’s Evaluation of Disclosure Controls and Procedures</w:t>
      </w:r>
    </w:p>
    <w:p>
      <w:pPr>
        <w:spacing w:after="0" w:line="144"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Management, with the participation of our principal executive officer and principal financial officer, has evaluated the effectiveness of our disclosure controls and procedures (as defined in Rule 13a-15(e) of the Exchange Act) as of October 28, 2017.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 Based on this evaluation, our principal executive officer and principal financial officer concluded that our disclosure controls and procedures were not effective as of October 28, 2017 due to material weaknesses described below.</w:t>
      </w:r>
    </w:p>
    <w:p>
      <w:pPr>
        <w:spacing w:after="0" w:line="108" w:lineRule="exact"/>
        <w:rPr>
          <w:sz w:val="20"/>
          <w:szCs w:val="20"/>
          <w:color w:val="auto"/>
        </w:rPr>
      </w:pPr>
    </w:p>
    <w:p>
      <w:pPr>
        <w:ind w:right="60" w:firstLine="648"/>
        <w:spacing w:after="0" w:line="286" w:lineRule="auto"/>
        <w:rPr>
          <w:sz w:val="20"/>
          <w:szCs w:val="20"/>
          <w:color w:val="auto"/>
        </w:rPr>
      </w:pPr>
      <w:r>
        <w:rPr>
          <w:rFonts w:ascii="Arial" w:cs="Arial" w:eastAsia="Arial" w:hAnsi="Arial"/>
          <w:sz w:val="17"/>
          <w:szCs w:val="17"/>
          <w:color w:val="auto"/>
        </w:rPr>
        <w:t>Notwithstanding the material weaknesses in our internal controls over financial reporting as of October 28, 2017, management has concluded that the condensed consolidated financial statements included in this Form 10-Q present fairly, in all material respects, our financial position, results of operations and cash flows for the periods presented in conformity with accounting principles generally accepted in the United States.</w:t>
      </w:r>
    </w:p>
    <w:p>
      <w:pPr>
        <w:spacing w:after="0" w:line="8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Material Weaknesses</w:t>
      </w:r>
    </w:p>
    <w:p>
      <w:pPr>
        <w:spacing w:after="0" w:line="144" w:lineRule="exact"/>
        <w:rPr>
          <w:sz w:val="20"/>
          <w:szCs w:val="20"/>
          <w:color w:val="auto"/>
        </w:rPr>
      </w:pPr>
    </w:p>
    <w:p>
      <w:pPr>
        <w:ind w:firstLine="648"/>
        <w:spacing w:after="0" w:line="302" w:lineRule="auto"/>
        <w:rPr>
          <w:sz w:val="20"/>
          <w:szCs w:val="20"/>
          <w:color w:val="auto"/>
        </w:rPr>
      </w:pPr>
      <w:r>
        <w:rPr>
          <w:rFonts w:ascii="Arial" w:cs="Arial" w:eastAsia="Arial" w:hAnsi="Arial"/>
          <w:sz w:val="16"/>
          <w:szCs w:val="16"/>
          <w:color w:val="auto"/>
        </w:rPr>
        <w:t>A material weakness is a deficiency, or a combination of deficiencies, in internal control over financial reporting such that there is a reasonable possibility that a material misstatement of the Company’s annual or interim financial statements will not be prevented or detected on a timely basis. The Company continues to work toward remediating certain material weaknesses in our internal control over financial reporting that were initially identified and disclosed in our fiscal 2016 consolidated financial statements. Remediation of the following material weaknesses is in process but has not yet been completed:</w:t>
      </w:r>
    </w:p>
    <w:p>
      <w:pPr>
        <w:spacing w:after="0" w:line="3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420"/>
          </w:cols>
          <w:pgMar w:left="240" w:top="140" w:right="239" w:bottom="1440" w:gutter="0" w:footer="0" w:header="0"/>
        </w:sectPr>
      </w:pPr>
    </w:p>
    <w:bookmarkStart w:id="32" w:name="page33"/>
    <w:bookmarkEnd w:id="3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left="660" w:hanging="4"/>
        <w:spacing w:after="0" w:line="270" w:lineRule="auto"/>
        <w:tabs>
          <w:tab w:leader="none" w:pos="875" w:val="left"/>
        </w:tabs>
        <w:numPr>
          <w:ilvl w:val="0"/>
          <w:numId w:val="7"/>
        </w:numPr>
        <w:rPr>
          <w:rFonts w:ascii="Arial" w:cs="Arial" w:eastAsia="Arial" w:hAnsi="Arial"/>
          <w:sz w:val="17"/>
          <w:szCs w:val="17"/>
          <w:color w:val="auto"/>
        </w:rPr>
      </w:pPr>
      <w:r>
        <w:rPr>
          <w:rFonts w:ascii="Arial" w:cs="Arial" w:eastAsia="Arial" w:hAnsi="Arial"/>
          <w:sz w:val="17"/>
          <w:szCs w:val="17"/>
          <w:i w:val="1"/>
          <w:iCs w:val="1"/>
          <w:color w:val="auto"/>
        </w:rPr>
        <w:t xml:space="preserve">Sufficiency of Accounting and Finance Department Resources </w:t>
      </w:r>
      <w:r>
        <w:rPr>
          <w:rFonts w:ascii="Arial" w:cs="Arial" w:eastAsia="Arial" w:hAnsi="Arial"/>
          <w:sz w:val="17"/>
          <w:szCs w:val="17"/>
          <w:color w:val="auto"/>
        </w:rPr>
        <w:t>- The Company had insufficient finance and accounting department resources with</w:t>
      </w:r>
      <w:r>
        <w:rPr>
          <w:rFonts w:ascii="Arial" w:cs="Arial" w:eastAsia="Arial" w:hAnsi="Arial"/>
          <w:sz w:val="17"/>
          <w:szCs w:val="17"/>
          <w:i w:val="1"/>
          <w:iCs w:val="1"/>
          <w:color w:val="auto"/>
        </w:rPr>
        <w:t xml:space="preserve"> </w:t>
      </w:r>
      <w:r>
        <w:rPr>
          <w:rFonts w:ascii="Arial" w:cs="Arial" w:eastAsia="Arial" w:hAnsi="Arial"/>
          <w:sz w:val="17"/>
          <w:szCs w:val="17"/>
          <w:color w:val="auto"/>
        </w:rPr>
        <w:t>appropriate knowledge, expertise and training commensurate with the Company’s corporate structure and financial reporting requirements to effectively assess risk, design, operate and oversee internal controls over financial reporting. This lack of appropriate resources resulted in inconsistent expectations around the preparation, review and maintenance of documentation critical to the design and consistent execution of internal controls as well as a lack of segregation of duties in certain controls. Further, the lack of appropriate resources resulted in controls that relied upon information that did not have sufficiently precise controls around accuracy and completeness of that information and was therefore not reliable. These factors contributed to deficiencies in the Company’s financial reporting process due to a lack of precision in the review controls over certain information and assumptions impacting various financial reporting areas including those items that are nonrecurring in nature and therefore bear a greater degree of complexity given their infrequency. Additionally, they contributed to deficiencies in the Company’s ability to identify, assess and monitor the appropriate accounting treatment of certain contractual arrangements.</w:t>
      </w:r>
    </w:p>
    <w:p>
      <w:pPr>
        <w:spacing w:after="0" w:line="96" w:lineRule="exact"/>
        <w:rPr>
          <w:rFonts w:ascii="Arial" w:cs="Arial" w:eastAsia="Arial" w:hAnsi="Arial"/>
          <w:sz w:val="17"/>
          <w:szCs w:val="17"/>
          <w:color w:val="auto"/>
        </w:rPr>
      </w:pPr>
    </w:p>
    <w:p>
      <w:pPr>
        <w:ind w:left="660" w:right="160" w:hanging="4"/>
        <w:spacing w:after="0" w:line="276" w:lineRule="auto"/>
        <w:tabs>
          <w:tab w:leader="none" w:pos="925" w:val="left"/>
        </w:tabs>
        <w:numPr>
          <w:ilvl w:val="0"/>
          <w:numId w:val="7"/>
        </w:numPr>
        <w:rPr>
          <w:rFonts w:ascii="Arial" w:cs="Arial" w:eastAsia="Arial" w:hAnsi="Arial"/>
          <w:sz w:val="17"/>
          <w:szCs w:val="17"/>
          <w:color w:val="auto"/>
        </w:rPr>
      </w:pPr>
      <w:r>
        <w:rPr>
          <w:rFonts w:ascii="Arial" w:cs="Arial" w:eastAsia="Arial" w:hAnsi="Arial"/>
          <w:sz w:val="17"/>
          <w:szCs w:val="17"/>
          <w:i w:val="1"/>
          <w:iCs w:val="1"/>
          <w:color w:val="auto"/>
        </w:rPr>
        <w:t xml:space="preserve">Revenue Recognition </w:t>
      </w:r>
      <w:r>
        <w:rPr>
          <w:rFonts w:ascii="Arial" w:cs="Arial" w:eastAsia="Arial" w:hAnsi="Arial"/>
          <w:sz w:val="17"/>
          <w:szCs w:val="17"/>
          <w:color w:val="auto"/>
        </w:rPr>
        <w:t>- The Company’s internal controls to identify, accumulate and assess the accounting impact of certain concessions or side</w:t>
      </w:r>
      <w:r>
        <w:rPr>
          <w:rFonts w:ascii="Arial" w:cs="Arial" w:eastAsia="Arial" w:hAnsi="Arial"/>
          <w:sz w:val="17"/>
          <w:szCs w:val="17"/>
          <w:i w:val="1"/>
          <w:iCs w:val="1"/>
          <w:color w:val="auto"/>
        </w:rPr>
        <w:t xml:space="preserve"> </w:t>
      </w:r>
      <w:r>
        <w:rPr>
          <w:rFonts w:ascii="Arial" w:cs="Arial" w:eastAsia="Arial" w:hAnsi="Arial"/>
          <w:sz w:val="17"/>
          <w:szCs w:val="17"/>
          <w:color w:val="auto"/>
        </w:rPr>
        <w:t>agreements on whether the Company’s revenue recognition criteria had been met were in certain instances not fully followed or were not effective. The Company’s controls were not effective to ensure (a) consistent standards in the level of documentation of agreements required to support accurate recording of revenue transactions, and (b) that such documentation is retained, complete, and independently reviewed to ensure certain terms impacting revenue recognition were accurately reflected in the Company’s books and records.</w:t>
      </w:r>
    </w:p>
    <w:p>
      <w:pPr>
        <w:spacing w:after="0" w:line="9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Remediation of Material Weakness in Internal Control over Financial Reporting</w:t>
      </w:r>
    </w:p>
    <w:p>
      <w:pPr>
        <w:spacing w:after="0" w:line="144" w:lineRule="exact"/>
        <w:rPr>
          <w:sz w:val="20"/>
          <w:szCs w:val="20"/>
          <w:color w:val="auto"/>
        </w:rPr>
      </w:pPr>
    </w:p>
    <w:p>
      <w:pPr>
        <w:ind w:right="180" w:firstLine="648"/>
        <w:spacing w:after="0" w:line="264" w:lineRule="auto"/>
        <w:rPr>
          <w:sz w:val="20"/>
          <w:szCs w:val="20"/>
          <w:color w:val="auto"/>
        </w:rPr>
      </w:pPr>
      <w:r>
        <w:rPr>
          <w:rFonts w:ascii="Arial" w:cs="Arial" w:eastAsia="Arial" w:hAnsi="Arial"/>
          <w:sz w:val="18"/>
          <w:szCs w:val="18"/>
          <w:color w:val="auto"/>
        </w:rPr>
        <w:t>Our management has worked, and continues to work, to strengthen our internal control over financial reporting. We are committed to ensuring that such controls are designed and operating effectively. We have undertaken remedial efforts, under the oversight of the Audit Committee, to address the material weaknesses in our internal control over financial reporting which includes the following activities:</w:t>
      </w:r>
    </w:p>
    <w:p>
      <w:pPr>
        <w:spacing w:after="0" w:line="100" w:lineRule="exact"/>
        <w:rPr>
          <w:sz w:val="20"/>
          <w:szCs w:val="20"/>
          <w:color w:val="auto"/>
        </w:rPr>
      </w:pPr>
    </w:p>
    <w:p>
      <w:pPr>
        <w:ind w:left="660" w:right="40" w:hanging="328"/>
        <w:spacing w:after="0" w:line="274" w:lineRule="auto"/>
        <w:tabs>
          <w:tab w:leader="none" w:pos="660" w:val="left"/>
        </w:tabs>
        <w:numPr>
          <w:ilvl w:val="0"/>
          <w:numId w:val="8"/>
        </w:numPr>
        <w:rPr>
          <w:rFonts w:ascii="Arial" w:cs="Arial" w:eastAsia="Arial" w:hAnsi="Arial"/>
          <w:sz w:val="17"/>
          <w:szCs w:val="17"/>
          <w:color w:val="auto"/>
        </w:rPr>
      </w:pPr>
      <w:r>
        <w:rPr>
          <w:rFonts w:ascii="Arial" w:cs="Arial" w:eastAsia="Arial" w:hAnsi="Arial"/>
          <w:sz w:val="17"/>
          <w:szCs w:val="17"/>
          <w:color w:val="auto"/>
        </w:rPr>
        <w:t>Strengthened our finance and accounting department resources with hiring of key personnel and department leaders with the appropriate knowledge, expertise and training commensurate with the Company’s corporate structure and financial reporting requirements;</w:t>
      </w: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Implemented changes in the design of certain controls as more fully described below;</w:t>
      </w:r>
    </w:p>
    <w:p>
      <w:pPr>
        <w:spacing w:after="0" w:line="9" w:lineRule="exact"/>
        <w:rPr>
          <w:rFonts w:ascii="Arial" w:cs="Arial" w:eastAsia="Arial" w:hAnsi="Arial"/>
          <w:sz w:val="18"/>
          <w:szCs w:val="18"/>
          <w:color w:val="auto"/>
        </w:rPr>
      </w:pPr>
    </w:p>
    <w:p>
      <w:pPr>
        <w:ind w:left="660" w:right="120" w:hanging="328"/>
        <w:spacing w:after="0" w:line="250" w:lineRule="auto"/>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Provided training to ensure those responsible for executing on internal controls regarding the required documentation requirements to evidence that the control functioned as designed;</w:t>
      </w:r>
    </w:p>
    <w:p>
      <w:pPr>
        <w:ind w:left="660" w:right="280" w:hanging="328"/>
        <w:spacing w:after="0" w:line="250" w:lineRule="auto"/>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Provided training to ensure changes in process, systems and policies regarding customer rebates and customer agreements were communicated to and understood by the appropriate individuals involved in the processes;</w:t>
      </w:r>
    </w:p>
    <w:p>
      <w:pPr>
        <w:ind w:left="660" w:right="520" w:hanging="328"/>
        <w:spacing w:after="0" w:line="255" w:lineRule="auto"/>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Made certain changes in the Internal Audit organization, including (i) hiring a Senior Director of Internal Audit to oversee the Internal Audit department and (ii) adding and onboarding headcount in order to better monitor and assess the effectiveness of internal controls over financial reporting.</w:t>
      </w:r>
    </w:p>
    <w:p>
      <w:pPr>
        <w:spacing w:after="0" w:line="325" w:lineRule="exact"/>
        <w:rPr>
          <w:sz w:val="20"/>
          <w:szCs w:val="20"/>
          <w:color w:val="auto"/>
        </w:rPr>
      </w:pPr>
    </w:p>
    <w:p>
      <w:pPr>
        <w:ind w:right="420" w:firstLine="648"/>
        <w:spacing w:after="0" w:line="264" w:lineRule="auto"/>
        <w:rPr>
          <w:sz w:val="20"/>
          <w:szCs w:val="20"/>
          <w:color w:val="auto"/>
        </w:rPr>
      </w:pPr>
      <w:r>
        <w:rPr>
          <w:rFonts w:ascii="Arial" w:cs="Arial" w:eastAsia="Arial" w:hAnsi="Arial"/>
          <w:sz w:val="18"/>
          <w:szCs w:val="18"/>
          <w:color w:val="auto"/>
        </w:rPr>
        <w:t>We plan to complete remediation of the two remaining material weaknesses by the end of fiscal 2018 (i.e., February 3, 2018). However, such material weaknesses will not be considered remediated until the applicable remedial controls operate for a sufficient period of time and management has concluded, through testing, that these controls are operating effectively.</w:t>
      </w:r>
    </w:p>
    <w:p>
      <w:pPr>
        <w:spacing w:after="0" w:line="10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to Internal Control over Financial Reporting</w:t>
      </w:r>
    </w:p>
    <w:p>
      <w:pPr>
        <w:spacing w:after="0" w:line="144" w:lineRule="exact"/>
        <w:rPr>
          <w:sz w:val="20"/>
          <w:szCs w:val="20"/>
          <w:color w:val="auto"/>
        </w:rPr>
      </w:pPr>
    </w:p>
    <w:p>
      <w:pPr>
        <w:ind w:right="300" w:firstLine="648"/>
        <w:spacing w:after="0" w:line="342" w:lineRule="auto"/>
        <w:rPr>
          <w:sz w:val="20"/>
          <w:szCs w:val="20"/>
          <w:color w:val="auto"/>
        </w:rPr>
      </w:pPr>
      <w:r>
        <w:rPr>
          <w:rFonts w:ascii="Arial" w:cs="Arial" w:eastAsia="Arial" w:hAnsi="Arial"/>
          <w:sz w:val="16"/>
          <w:szCs w:val="16"/>
          <w:color w:val="auto"/>
        </w:rPr>
        <w:t>During the quarter ended October 28, 2017, management completed the implementation of the following changes in internal control as part of its remediation efforts in addressing the two previously identified material weaknesses described above and implemented the following internal controls:</w:t>
      </w:r>
    </w:p>
    <w:p>
      <w:pPr>
        <w:spacing w:after="0" w:line="43"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Sufficiency of Accounting and Finance Personnel:</w:t>
      </w:r>
    </w:p>
    <w:p>
      <w:pPr>
        <w:spacing w:after="0" w:line="144" w:lineRule="exact"/>
        <w:rPr>
          <w:sz w:val="20"/>
          <w:szCs w:val="20"/>
          <w:color w:val="auto"/>
        </w:rPr>
      </w:pPr>
    </w:p>
    <w:p>
      <w:pPr>
        <w:ind w:left="660" w:right="480" w:hanging="328"/>
        <w:spacing w:after="0" w:line="258" w:lineRule="auto"/>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Reorganized the responsibilities of new and existing finance and accounting personnel to appropriately match control owners to processes that effectively assess risk, design, operate and oversee internal controls over financial reporting;</w:t>
      </w:r>
    </w:p>
    <w:p>
      <w:pPr>
        <w:spacing w:after="0" w:line="1" w:lineRule="exact"/>
        <w:rPr>
          <w:rFonts w:ascii="Arial" w:cs="Arial" w:eastAsia="Arial" w:hAnsi="Arial"/>
          <w:sz w:val="18"/>
          <w:szCs w:val="18"/>
          <w:color w:val="auto"/>
        </w:rPr>
      </w:pPr>
    </w:p>
    <w:p>
      <w:pPr>
        <w:ind w:left="660" w:right="160" w:hanging="328"/>
        <w:spacing w:after="0" w:line="250" w:lineRule="auto"/>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Enhanced the level of precision of our review controls over information and assumptions impacting various financial reporting areas, including the accuracy and completeness of financial information and those items that are complex and/or nonrecurring in nature;</w:t>
      </w: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Made changes to certain controls to ensure segregation of duties was properly maintained.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400"/>
          </w:cols>
          <w:pgMar w:left="240" w:top="140" w:right="259" w:bottom="1440" w:gutter="0" w:footer="0" w:header="0"/>
        </w:sectPr>
      </w:pPr>
    </w:p>
    <w:bookmarkStart w:id="33" w:name="page34"/>
    <w:bookmarkEnd w:id="3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Revenue Recognition:</w:t>
      </w:r>
    </w:p>
    <w:p>
      <w:pPr>
        <w:spacing w:after="0" w:line="144" w:lineRule="exact"/>
        <w:rPr>
          <w:sz w:val="20"/>
          <w:szCs w:val="20"/>
          <w:color w:val="auto"/>
        </w:rPr>
      </w:pPr>
    </w:p>
    <w:p>
      <w:pPr>
        <w:ind w:left="660" w:right="280" w:hanging="328"/>
        <w:spacing w:after="0" w:line="258" w:lineRule="auto"/>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Implemented a policy governing customer rebates and claims; revised the processes, systems and controls surrounding customer rebates based on this policy;</w:t>
      </w:r>
    </w:p>
    <w:p>
      <w:pPr>
        <w:spacing w:after="0" w:line="1" w:lineRule="exact"/>
        <w:rPr>
          <w:rFonts w:ascii="Arial" w:cs="Arial" w:eastAsia="Arial" w:hAnsi="Arial"/>
          <w:sz w:val="18"/>
          <w:szCs w:val="18"/>
          <w:color w:val="auto"/>
        </w:rPr>
      </w:pPr>
    </w:p>
    <w:p>
      <w:pPr>
        <w:ind w:left="660" w:right="200" w:hanging="328"/>
        <w:spacing w:after="0" w:line="250" w:lineRule="auto"/>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Implemented a formal, documented control process to meet with our Sales Vice Presidents during the quarter-end financial close process to review and discuss outstanding rebates and other revenue related topics which might impact revenue recognition;</w:t>
      </w:r>
    </w:p>
    <w:p>
      <w:pPr>
        <w:ind w:left="660" w:hanging="328"/>
        <w:spacing w:after="0"/>
        <w:tabs>
          <w:tab w:leader="none" w:pos="660" w:val="left"/>
        </w:tabs>
        <w:numPr>
          <w:ilvl w:val="0"/>
          <w:numId w:val="10"/>
        </w:numPr>
        <w:rPr>
          <w:rFonts w:ascii="Arial" w:cs="Arial" w:eastAsia="Arial" w:hAnsi="Arial"/>
          <w:sz w:val="16"/>
          <w:szCs w:val="16"/>
          <w:color w:val="auto"/>
        </w:rPr>
      </w:pPr>
      <w:r>
        <w:rPr>
          <w:rFonts w:ascii="Arial" w:cs="Arial" w:eastAsia="Arial" w:hAnsi="Arial"/>
          <w:sz w:val="16"/>
          <w:szCs w:val="16"/>
          <w:color w:val="auto"/>
        </w:rPr>
        <w:t>Implemented changes in our Enterprise Resource Planning system to further restrict access to customer data that impacts revenue recognition;</w:t>
      </w:r>
    </w:p>
    <w:p>
      <w:pPr>
        <w:spacing w:after="0" w:line="32" w:lineRule="exact"/>
        <w:rPr>
          <w:rFonts w:ascii="Arial" w:cs="Arial" w:eastAsia="Arial" w:hAnsi="Arial"/>
          <w:sz w:val="16"/>
          <w:szCs w:val="16"/>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Implemented controls to monitor and detect changes to customer data that may impact revenue recognition;</w:t>
      </w:r>
    </w:p>
    <w:p>
      <w:pPr>
        <w:spacing w:after="0" w:line="9" w:lineRule="exact"/>
        <w:rPr>
          <w:rFonts w:ascii="Arial" w:cs="Arial" w:eastAsia="Arial" w:hAnsi="Arial"/>
          <w:sz w:val="18"/>
          <w:szCs w:val="18"/>
          <w:color w:val="auto"/>
        </w:rPr>
      </w:pPr>
    </w:p>
    <w:p>
      <w:pPr>
        <w:ind w:left="660" w:right="660" w:hanging="328"/>
        <w:spacing w:after="0" w:line="250" w:lineRule="auto"/>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Developed and implemented enhanced controls to manage our customer agreements and related amendments to ensure terms and conditions impacting revenue were being appropriately applied and used to determine revenue recognition;</w:t>
      </w:r>
    </w:p>
    <w:p>
      <w:pPr>
        <w:ind w:left="660" w:right="520" w:hanging="328"/>
        <w:spacing w:after="0" w:line="261" w:lineRule="auto"/>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Reorganized the responsibilities within the Revenue Accounting Group to appropriately match the control owners to processes to enable more thorough oversight over transactions through the revenue cycle;</w:t>
      </w:r>
    </w:p>
    <w:p>
      <w:pPr>
        <w:spacing w:after="0" w:line="319" w:lineRule="exact"/>
        <w:rPr>
          <w:sz w:val="20"/>
          <w:szCs w:val="20"/>
          <w:color w:val="auto"/>
        </w:rPr>
      </w:pPr>
    </w:p>
    <w:p>
      <w:pPr>
        <w:ind w:right="220" w:firstLine="648"/>
        <w:spacing w:after="0" w:line="276" w:lineRule="auto"/>
        <w:rPr>
          <w:sz w:val="20"/>
          <w:szCs w:val="20"/>
          <w:color w:val="auto"/>
        </w:rPr>
      </w:pPr>
      <w:r>
        <w:rPr>
          <w:rFonts w:ascii="Arial" w:cs="Arial" w:eastAsia="Arial" w:hAnsi="Arial"/>
          <w:sz w:val="17"/>
          <w:szCs w:val="17"/>
          <w:color w:val="auto"/>
        </w:rPr>
        <w:t>The above changes were implemented during the quarter ended October 28, 2017. We will continue to assess the effectiveness of our remediation efforts in connection with our evaluation of internal control over financial reporting. The Audit Committee continues to monitor the progress of the remediation efforts set forth above. Except as noted in the preceding paragraphs, no other change in the Company's internal control over financial reporting (as defined in Rule 13a-15(f) under the Securities Exchange Act of 1934) occurred during the fiscal quarter ended October 28, 2017, that has materially affected, or is reasonably likely to materially affect, the Company's internal control over financial reporting.</w:t>
      </w:r>
    </w:p>
    <w:p>
      <w:pPr>
        <w:spacing w:after="0" w:line="9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Inherent Limitations on Effectiveness of Controls</w:t>
      </w:r>
    </w:p>
    <w:p>
      <w:pPr>
        <w:spacing w:after="0" w:line="144" w:lineRule="exact"/>
        <w:rPr>
          <w:sz w:val="20"/>
          <w:szCs w:val="20"/>
          <w:color w:val="auto"/>
        </w:rPr>
      </w:pPr>
    </w:p>
    <w:p>
      <w:pPr>
        <w:ind w:firstLine="648"/>
        <w:spacing w:after="0" w:line="27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420"/>
          </w:cols>
          <w:pgMar w:left="240" w:top="140" w:right="239" w:bottom="1440" w:gutter="0" w:footer="0" w:header="0"/>
        </w:sectPr>
      </w:pPr>
    </w:p>
    <w:bookmarkStart w:id="34" w:name="page35"/>
    <w:bookmarkEnd w:id="3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4" w:lineRule="exact"/>
        <w:rPr>
          <w:sz w:val="20"/>
          <w:szCs w:val="20"/>
          <w:color w:val="auto"/>
        </w:rPr>
      </w:pPr>
    </w:p>
    <w:p>
      <w:pPr>
        <w:jc w:val="both"/>
        <w:ind w:right="240" w:firstLine="405"/>
        <w:spacing w:after="0" w:line="264" w:lineRule="auto"/>
        <w:rPr>
          <w:sz w:val="20"/>
          <w:szCs w:val="20"/>
          <w:color w:val="auto"/>
        </w:rPr>
      </w:pPr>
      <w:r>
        <w:rPr>
          <w:rFonts w:ascii="Arial" w:cs="Arial" w:eastAsia="Arial" w:hAnsi="Arial"/>
          <w:sz w:val="18"/>
          <w:szCs w:val="18"/>
          <w:color w:val="auto"/>
        </w:rPr>
        <w:t>The information under the caption “Contingencies” as set forth in “Note 9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29" w:lineRule="exact"/>
        <w:rPr>
          <w:sz w:val="20"/>
          <w:szCs w:val="20"/>
          <w:color w:val="auto"/>
        </w:rPr>
      </w:pPr>
    </w:p>
    <w:p>
      <w:pPr>
        <w:ind w:right="160" w:firstLine="405"/>
        <w:spacing w:after="0" w:line="255" w:lineRule="auto"/>
        <w:rPr>
          <w:sz w:val="20"/>
          <w:szCs w:val="20"/>
          <w:color w:val="auto"/>
        </w:rPr>
      </w:pPr>
      <w:r>
        <w:rPr>
          <w:rFonts w:ascii="Arial" w:cs="Arial" w:eastAsia="Arial" w:hAnsi="Arial"/>
          <w:sz w:val="18"/>
          <w:szCs w:val="18"/>
          <w:i w:val="1"/>
          <w:iCs w:val="1"/>
          <w:color w:val="auto"/>
        </w:rPr>
        <w:t>Investing in our common shares involves a high degree of risk. You should carefully consider the risks and uncertainties described below and all information contained in this report before you decide to purchase our common shares. Many of these risks and uncertainties are beyond our control, including business cycles and seasonal trends of the computing, semiconductor and related industries and end markets. If any of the possible adverse events described below actually occurs, we may be unable to conduct our business as currently planned and our financial condition and operating results could be harmed. In addition, the trading price of our common shares could decline due to the occurrence of any of these risks, and you could lose all or part of your investment.</w:t>
      </w:r>
    </w:p>
    <w:p>
      <w:pPr>
        <w:spacing w:after="0" w:line="193" w:lineRule="exact"/>
        <w:rPr>
          <w:sz w:val="20"/>
          <w:szCs w:val="20"/>
          <w:color w:val="auto"/>
        </w:rPr>
      </w:pPr>
    </w:p>
    <w:p>
      <w:pPr>
        <w:ind w:right="480"/>
        <w:spacing w:after="0" w:line="308" w:lineRule="auto"/>
        <w:rPr>
          <w:sz w:val="20"/>
          <w:szCs w:val="20"/>
          <w:color w:val="auto"/>
        </w:rPr>
      </w:pPr>
      <w:r>
        <w:rPr>
          <w:rFonts w:ascii="Arial" w:cs="Arial" w:eastAsia="Arial" w:hAnsi="Arial"/>
          <w:sz w:val="17"/>
          <w:szCs w:val="17"/>
          <w:color w:val="auto"/>
        </w:rPr>
        <w:t>We have marked with an asterisk (*) those risks described below that reflect substantive changes from the risks described under “Part II, Item 1.A. Risk Factors” included in our Quarterly Report on Form 10-Q for the quarter ended July 28, 2017 as filed with the SEC on August 31, 2017.</w:t>
      </w:r>
    </w:p>
    <w:p>
      <w:pPr>
        <w:spacing w:after="0" w:line="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Factors That May Affect Future Results</w:t>
      </w:r>
    </w:p>
    <w:p>
      <w:pPr>
        <w:spacing w:after="0" w:line="270"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248" w:lineRule="exact"/>
        <w:rPr>
          <w:sz w:val="20"/>
          <w:szCs w:val="20"/>
          <w:color w:val="auto"/>
        </w:rPr>
      </w:pPr>
    </w:p>
    <w:p>
      <w:pPr>
        <w:ind w:firstLine="378"/>
        <w:spacing w:after="0" w:line="277"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70" w:lineRule="exact"/>
        <w:rPr>
          <w:sz w:val="20"/>
          <w:szCs w:val="20"/>
          <w:color w:val="auto"/>
        </w:rPr>
      </w:pPr>
    </w:p>
    <w:p>
      <w:pPr>
        <w:ind w:right="20" w:firstLine="378"/>
        <w:spacing w:after="0" w:line="277"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170" w:lineRule="exact"/>
        <w:rPr>
          <w:sz w:val="20"/>
          <w:szCs w:val="20"/>
          <w:color w:val="auto"/>
        </w:rPr>
      </w:pPr>
    </w:p>
    <w:p>
      <w:pPr>
        <w:ind w:left="820" w:right="140" w:hanging="420"/>
        <w:spacing w:after="0" w:line="277"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effects of any acquisitions, divestitures or significant investments, including our recently announced merger with Cavium, Inc.;</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severe financial hardship or bankruptcy of one or more of our major customers;</w:t>
      </w:r>
    </w:p>
    <w:p>
      <w:pPr>
        <w:spacing w:after="0" w:line="225" w:lineRule="exact"/>
        <w:rPr>
          <w:rFonts w:ascii="Arial" w:cs="Arial" w:eastAsia="Arial" w:hAnsi="Arial"/>
          <w:sz w:val="18"/>
          <w:szCs w:val="18"/>
          <w:color w:val="auto"/>
        </w:rPr>
      </w:pPr>
    </w:p>
    <w:p>
      <w:pPr>
        <w:ind w:left="820" w:right="460" w:hanging="420"/>
        <w:spacing w:after="0" w:line="277"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170" w:lineRule="exact"/>
        <w:rPr>
          <w:rFonts w:ascii="Arial" w:cs="Arial" w:eastAsia="Arial" w:hAnsi="Arial"/>
          <w:sz w:val="18"/>
          <w:szCs w:val="18"/>
          <w:color w:val="auto"/>
        </w:rPr>
      </w:pPr>
    </w:p>
    <w:p>
      <w:pPr>
        <w:ind w:left="820" w:right="260" w:hanging="420"/>
        <w:spacing w:after="0" w:line="277" w:lineRule="auto"/>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248" w:lineRule="exact"/>
        <w:rPr>
          <w:rFonts w:ascii="Arial" w:cs="Arial" w:eastAsia="Arial" w:hAnsi="Arial"/>
          <w:sz w:val="16"/>
          <w:szCs w:val="16"/>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25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20"/>
          </w:cols>
          <w:pgMar w:left="240" w:top="140" w:right="239" w:bottom="1440" w:gutter="0" w:footer="0" w:header="0"/>
        </w:sectPr>
      </w:pPr>
    </w:p>
    <w:bookmarkStart w:id="35" w:name="page36"/>
    <w:bookmarkEnd w:id="3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54" w:lineRule="exact"/>
        <w:rPr>
          <w:sz w:val="20"/>
          <w:szCs w:val="20"/>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225" w:lineRule="exact"/>
        <w:rPr>
          <w:rFonts w:ascii="Arial" w:cs="Arial" w:eastAsia="Arial" w:hAnsi="Arial"/>
          <w:sz w:val="18"/>
          <w:szCs w:val="18"/>
          <w:color w:val="auto"/>
        </w:rPr>
      </w:pPr>
    </w:p>
    <w:p>
      <w:pPr>
        <w:ind w:left="820" w:right="180" w:hanging="420"/>
        <w:spacing w:after="0" w:line="277" w:lineRule="auto"/>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225" w:lineRule="exact"/>
        <w:rPr>
          <w:rFonts w:ascii="Arial" w:cs="Arial" w:eastAsia="Arial" w:hAnsi="Arial"/>
          <w:sz w:val="18"/>
          <w:szCs w:val="18"/>
          <w:color w:val="auto"/>
        </w:rPr>
      </w:pPr>
    </w:p>
    <w:p>
      <w:pPr>
        <w:ind w:left="820" w:right="380" w:hanging="420"/>
        <w:spacing w:after="0" w:line="342" w:lineRule="auto"/>
        <w:tabs>
          <w:tab w:leader="none" w:pos="820" w:val="left"/>
        </w:tabs>
        <w:numPr>
          <w:ilvl w:val="0"/>
          <w:numId w:val="12"/>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California, and where our third party suppliers operate, such as Taiwan and elsewhere in the Pacific Rim; and</w:t>
      </w:r>
    </w:p>
    <w:p>
      <w:pPr>
        <w:spacing w:after="0" w:line="123" w:lineRule="exact"/>
        <w:rPr>
          <w:rFonts w:ascii="Arial" w:cs="Arial" w:eastAsia="Arial" w:hAnsi="Arial"/>
          <w:sz w:val="16"/>
          <w:szCs w:val="16"/>
          <w:color w:val="auto"/>
        </w:rPr>
      </w:pPr>
    </w:p>
    <w:p>
      <w:pPr>
        <w:ind w:left="820" w:hanging="420"/>
        <w:spacing w:after="0"/>
        <w:tabs>
          <w:tab w:leader="none" w:pos="820" w:val="left"/>
        </w:tabs>
        <w:numPr>
          <w:ilvl w:val="0"/>
          <w:numId w:val="12"/>
        </w:numPr>
        <w:rPr>
          <w:rFonts w:ascii="Arial" w:cs="Arial" w:eastAsia="Arial" w:hAnsi="Arial"/>
          <w:sz w:val="17"/>
          <w:szCs w:val="17"/>
          <w:color w:val="auto"/>
        </w:rPr>
      </w:pPr>
      <w:r>
        <w:rPr>
          <w:rFonts w:ascii="Arial" w:cs="Arial" w:eastAsia="Arial" w:hAnsi="Arial"/>
          <w:sz w:val="17"/>
          <w:szCs w:val="17"/>
          <w:color w:val="auto"/>
        </w:rPr>
        <w:t>our ability to attract, retain and motivate a highly skilled workforce, especially managerial, engineering, sales and marketing personnel.</w:t>
      </w:r>
    </w:p>
    <w:p>
      <w:pPr>
        <w:spacing w:after="0" w:line="129" w:lineRule="exact"/>
        <w:rPr>
          <w:sz w:val="20"/>
          <w:szCs w:val="20"/>
          <w:color w:val="auto"/>
        </w:rPr>
      </w:pPr>
    </w:p>
    <w:p>
      <w:pPr>
        <w:ind w:right="20" w:firstLine="432"/>
        <w:spacing w:after="0" w:line="273" w:lineRule="auto"/>
        <w:rPr>
          <w:sz w:val="20"/>
          <w:szCs w:val="20"/>
          <w:color w:val="auto"/>
        </w:rPr>
      </w:pPr>
      <w:r>
        <w:rPr>
          <w:rFonts w:ascii="Arial" w:cs="Arial" w:eastAsia="Arial" w:hAnsi="Arial"/>
          <w:sz w:val="17"/>
          <w:szCs w:val="17"/>
          <w:color w:val="auto"/>
        </w:rPr>
        <w:t>Due to fluctuations in our quarterly results of operations and other factors, the price at which our common shares will trade is likely to continue to be highly volatile. From January 31, 2016 through October 28, 2017, our common shares traded as low as $8.32 and as high as $18.88 per share. Accordingly, you may not be able to resell your common shares at or above the price you paid. In future periods, our stock price could decline if, amongst other factors, our revenue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178" w:lineRule="exact"/>
        <w:rPr>
          <w:sz w:val="20"/>
          <w:szCs w:val="20"/>
          <w:color w:val="auto"/>
        </w:rPr>
      </w:pPr>
    </w:p>
    <w:p>
      <w:pPr>
        <w:ind w:right="200"/>
        <w:spacing w:after="0" w:line="312" w:lineRule="auto"/>
        <w:rPr>
          <w:sz w:val="20"/>
          <w:szCs w:val="20"/>
          <w:color w:val="auto"/>
        </w:rPr>
      </w:pPr>
      <w:r>
        <w:rPr>
          <w:rFonts w:ascii="Arial" w:cs="Arial" w:eastAsia="Arial" w:hAnsi="Arial"/>
          <w:sz w:val="16"/>
          <w:szCs w:val="16"/>
          <w:b w:val="1"/>
          <w:bCs w:val="1"/>
          <w:i w:val="1"/>
          <w:iCs w:val="1"/>
          <w:color w:val="auto"/>
        </w:rPr>
        <w:t>*Our proposed acquisition of Cavium, Inc. (“Cavium”) involves a number of risks, including, among others, the risk that we fail to complete the acquisition in a timely manner or at all, regulatory risks, risks associated with our use of a significant portion of our cash and our taking on significant indebtedness, other financial risks, integration risks, and risk associated with the reactions of customers, suppliers and employees.</w:t>
      </w:r>
    </w:p>
    <w:p>
      <w:pPr>
        <w:spacing w:after="0" w:line="147" w:lineRule="exact"/>
        <w:rPr>
          <w:sz w:val="20"/>
          <w:szCs w:val="20"/>
          <w:color w:val="auto"/>
        </w:rPr>
      </w:pPr>
    </w:p>
    <w:p>
      <w:pPr>
        <w:ind w:firstLine="324"/>
        <w:spacing w:after="0" w:line="272" w:lineRule="auto"/>
        <w:rPr>
          <w:sz w:val="20"/>
          <w:szCs w:val="20"/>
          <w:color w:val="auto"/>
        </w:rPr>
      </w:pPr>
      <w:r>
        <w:rPr>
          <w:rFonts w:ascii="Arial" w:cs="Arial" w:eastAsia="Arial" w:hAnsi="Arial"/>
          <w:sz w:val="17"/>
          <w:szCs w:val="17"/>
          <w:color w:val="auto"/>
        </w:rPr>
        <w:t>Our and Cavium’s obligations to consummate the proposed transaction are subject to the satisfaction or waiver of certain conditions, including, among others: (i) the approval of Cavium's shareholders of the merger agreement; (ii) the approval of our shareholders to allow us to issue shares of common stock in connection with the merger agreement; (iii) the receipt of regulatory clearance under applicable U.S. and foreign regulations; (iv) the absence of any law or order prohibiting the proposed transaction; (v) there being no event that would have a material adverse effect on Cavium; and (vi) the accuracy of the representations and warranties of Cavium, subject to certain exceptions, and Cavium’s material compliance with its covenants, in the definitive agreement. We cannot provide assurance that the conditions to the completion of the proposed transaction will be satisfied in a timely manner or at all, and if the proposed transaction is not completed, we would not realize any of the expected benefits.</w:t>
      </w:r>
    </w:p>
    <w:p>
      <w:pPr>
        <w:spacing w:after="0" w:line="178" w:lineRule="exact"/>
        <w:rPr>
          <w:sz w:val="20"/>
          <w:szCs w:val="20"/>
          <w:color w:val="auto"/>
        </w:rPr>
      </w:pPr>
    </w:p>
    <w:p>
      <w:pPr>
        <w:ind w:right="80" w:firstLine="324"/>
        <w:spacing w:after="0" w:line="279" w:lineRule="auto"/>
        <w:rPr>
          <w:sz w:val="20"/>
          <w:szCs w:val="20"/>
          <w:color w:val="auto"/>
        </w:rPr>
      </w:pPr>
      <w:r>
        <w:rPr>
          <w:rFonts w:ascii="Arial" w:cs="Arial" w:eastAsia="Arial" w:hAnsi="Arial"/>
          <w:sz w:val="17"/>
          <w:szCs w:val="17"/>
          <w:color w:val="auto"/>
        </w:rPr>
        <w:t>The regulatory approvals required in connection with the proposed transaction may not be obtained or may contain materially burdensome conditions. If any conditions or changes to the structure of the proposed transaction are required to obtain these regulatory approvals, they may have the effect of jeopardizing or delaying completion of the proposed transaction or reducing our anticipated benefits. If we agree to any material conditions in order to obtain any approvals required to complete the proposed transaction, our business and results of operations may be adversely affected.</w:t>
      </w:r>
    </w:p>
    <w:p>
      <w:pPr>
        <w:spacing w:after="0" w:line="171" w:lineRule="exact"/>
        <w:rPr>
          <w:sz w:val="20"/>
          <w:szCs w:val="20"/>
          <w:color w:val="auto"/>
        </w:rPr>
      </w:pPr>
    </w:p>
    <w:p>
      <w:pPr>
        <w:ind w:right="280" w:firstLine="324"/>
        <w:spacing w:after="0" w:line="264" w:lineRule="auto"/>
        <w:rPr>
          <w:sz w:val="20"/>
          <w:szCs w:val="20"/>
          <w:color w:val="auto"/>
        </w:rPr>
      </w:pPr>
      <w:r>
        <w:rPr>
          <w:rFonts w:ascii="Arial" w:cs="Arial" w:eastAsia="Arial" w:hAnsi="Arial"/>
          <w:sz w:val="18"/>
          <w:szCs w:val="18"/>
          <w:color w:val="auto"/>
        </w:rPr>
        <w:t>In addition, the use of a significant portion of our cash and the incurrence of substantial indebtedness in connection with the financing of the proposed transaction will reduce our liquidity, and may limit our flexibility in responding to other business opportunities and increase our vulnerability to adverse economic and industry conditions.</w:t>
      </w:r>
    </w:p>
    <w:p>
      <w:pPr>
        <w:spacing w:after="0" w:line="181" w:lineRule="exact"/>
        <w:rPr>
          <w:sz w:val="20"/>
          <w:szCs w:val="20"/>
          <w:color w:val="auto"/>
        </w:rPr>
      </w:pPr>
    </w:p>
    <w:p>
      <w:pPr>
        <w:jc w:val="both"/>
        <w:ind w:right="100" w:firstLine="324"/>
        <w:spacing w:after="0" w:line="259" w:lineRule="auto"/>
        <w:rPr>
          <w:sz w:val="20"/>
          <w:szCs w:val="20"/>
          <w:color w:val="auto"/>
        </w:rPr>
      </w:pPr>
      <w:r>
        <w:rPr>
          <w:rFonts w:ascii="Arial" w:cs="Arial" w:eastAsia="Arial" w:hAnsi="Arial"/>
          <w:sz w:val="18"/>
          <w:szCs w:val="18"/>
          <w:color w:val="auto"/>
        </w:rPr>
        <w:t>If the proposed transaction is not completed, our stock price could fall to the extent that our current price reflects an assumption that we will complete it. Furthermore, if the proposed transaction is not completed and the purchase agreement is terminated, we would not realize any of the expected benefits of the proposed transaction, and we may suffer other consequences that could adversely affect our business, results of operations and stock price, including, among others:</w:t>
      </w:r>
    </w:p>
    <w:p>
      <w:pPr>
        <w:spacing w:after="0" w:line="187" w:lineRule="exact"/>
        <w:rPr>
          <w:sz w:val="20"/>
          <w:szCs w:val="20"/>
          <w:color w:val="auto"/>
        </w:rPr>
      </w:pPr>
    </w:p>
    <w:p>
      <w:pPr>
        <w:ind w:left="660" w:hanging="328"/>
        <w:spacing w:after="0"/>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we could be required to pay a termination fee of up to $180 million;</w:t>
      </w:r>
    </w:p>
    <w:p>
      <w:pPr>
        <w:spacing w:after="0" w:line="23" w:lineRule="exact"/>
        <w:rPr>
          <w:rFonts w:ascii="Arial" w:cs="Arial" w:eastAsia="Arial" w:hAnsi="Arial"/>
          <w:sz w:val="18"/>
          <w:szCs w:val="18"/>
          <w:color w:val="auto"/>
        </w:rPr>
      </w:pPr>
    </w:p>
    <w:p>
      <w:pPr>
        <w:ind w:left="660" w:right="460" w:hanging="328"/>
        <w:spacing w:after="0" w:line="250" w:lineRule="auto"/>
        <w:tabs>
          <w:tab w:leader="none" w:pos="6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we will have incurred and may continue to incur costs relating to the proposed transaction, many of which are payable by us whether or not the proposed transaction is completed;</w:t>
      </w:r>
    </w:p>
    <w:p>
      <w:pPr>
        <w:ind w:left="660" w:right="880" w:hanging="328"/>
        <w:spacing w:after="0" w:line="323" w:lineRule="auto"/>
        <w:tabs>
          <w:tab w:leader="none" w:pos="6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matters related to the proposed transaction (including integration planning) require substantial commitments of time and resources by our management team and numerous others throughout out organization, which could other have been devoted to other opportunities;</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420"/>
          </w:cols>
          <w:pgMar w:left="240" w:top="140" w:right="239" w:bottom="1440" w:gutter="0" w:footer="0" w:header="0"/>
        </w:sectPr>
      </w:pPr>
    </w:p>
    <w:bookmarkStart w:id="36" w:name="page37"/>
    <w:bookmarkEnd w:id="3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may be subject to legal proceedings related to the proposed transaction or the failure to complete the proposed transaction;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failure to complete the proposed transaction may result in negative publicity and a negative perception of us in the investment community; and</w:t>
      </w:r>
    </w:p>
    <w:p>
      <w:pPr>
        <w:spacing w:after="0" w:line="32" w:lineRule="exact"/>
        <w:rPr>
          <w:rFonts w:ascii="Arial" w:cs="Arial" w:eastAsia="Arial" w:hAnsi="Arial"/>
          <w:sz w:val="16"/>
          <w:szCs w:val="16"/>
          <w:color w:val="auto"/>
        </w:rPr>
      </w:pPr>
    </w:p>
    <w:p>
      <w:pPr>
        <w:ind w:left="660" w:right="280" w:hanging="328"/>
        <w:spacing w:after="0" w:line="255" w:lineRule="auto"/>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any disruptions to our business resulting from the announcement and pendency of the proposed transaction, including any adverse changes in our relationships with our customers, supplied, partners or employees, may continue to intensify in the event the proposed transaction is not consummated.</w:t>
      </w:r>
    </w:p>
    <w:p>
      <w:pPr>
        <w:spacing w:after="0" w:line="190" w:lineRule="exact"/>
        <w:rPr>
          <w:sz w:val="20"/>
          <w:szCs w:val="20"/>
          <w:color w:val="auto"/>
        </w:rPr>
      </w:pPr>
    </w:p>
    <w:p>
      <w:pPr>
        <w:jc w:val="both"/>
        <w:ind w:right="20" w:firstLine="324"/>
        <w:spacing w:after="0" w:line="264" w:lineRule="auto"/>
        <w:rPr>
          <w:sz w:val="20"/>
          <w:szCs w:val="20"/>
          <w:color w:val="auto"/>
        </w:rPr>
      </w:pPr>
      <w:r>
        <w:rPr>
          <w:rFonts w:ascii="Arial" w:cs="Arial" w:eastAsia="Arial" w:hAnsi="Arial"/>
          <w:sz w:val="18"/>
          <w:szCs w:val="18"/>
          <w:color w:val="auto"/>
        </w:rPr>
        <w:t>The benefits we expect to realize from the proposed transaction will depend, in part, on our ability to integrate the businesses successfully and efficiently. See also the Risk Factor entitled “</w:t>
      </w:r>
      <w:r>
        <w:rPr>
          <w:rFonts w:ascii="Arial" w:cs="Arial" w:eastAsia="Arial" w:hAnsi="Arial"/>
          <w:sz w:val="18"/>
          <w:szCs w:val="18"/>
          <w:i w:val="1"/>
          <w:iCs w:val="1"/>
          <w:color w:val="auto"/>
        </w:rPr>
        <w:t>Any potential future acquisitions, strategic investments, divestitures, mergers or joint ventures may subject us to significant</w:t>
      </w:r>
      <w:r>
        <w:rPr>
          <w:rFonts w:ascii="Arial" w:cs="Arial" w:eastAsia="Arial" w:hAnsi="Arial"/>
          <w:sz w:val="18"/>
          <w:szCs w:val="18"/>
          <w:color w:val="auto"/>
        </w:rPr>
        <w:t xml:space="preserve"> </w:t>
      </w:r>
      <w:r>
        <w:rPr>
          <w:rFonts w:ascii="Arial" w:cs="Arial" w:eastAsia="Arial" w:hAnsi="Arial"/>
          <w:sz w:val="18"/>
          <w:szCs w:val="18"/>
          <w:i w:val="1"/>
          <w:iCs w:val="1"/>
          <w:color w:val="auto"/>
        </w:rPr>
        <w:t>risks, any of which could harm our business."</w:t>
      </w:r>
    </w:p>
    <w:p>
      <w:pPr>
        <w:spacing w:after="0" w:line="181" w:lineRule="exact"/>
        <w:rPr>
          <w:sz w:val="20"/>
          <w:szCs w:val="20"/>
          <w:color w:val="auto"/>
        </w:rPr>
      </w:pPr>
    </w:p>
    <w:p>
      <w:pPr>
        <w:ind w:right="140" w:firstLine="324"/>
        <w:spacing w:after="0" w:line="255" w:lineRule="auto"/>
        <w:rPr>
          <w:sz w:val="20"/>
          <w:szCs w:val="20"/>
          <w:color w:val="auto"/>
        </w:rPr>
      </w:pPr>
      <w:r>
        <w:rPr>
          <w:rFonts w:ascii="Arial" w:cs="Arial" w:eastAsia="Arial" w:hAnsi="Arial"/>
          <w:sz w:val="18"/>
          <w:szCs w:val="18"/>
          <w:color w:val="auto"/>
        </w:rPr>
        <w:t>Furthermore, uncertainties about the proposed transaction may cause our and/or Cavium’s current and prospective employees to experience uncertainty about their futures. These uncertainties may impair our and/or Cavium’s ability to retain, recruit or motivate key management, engineering, technical and other personnel. Similarly, our and/or Cavium’s existing or prospective customers, licensees, suppliers and/or partners may delay, defer or cease purchasing products or services from or providing products or services to us or Cavium; delay or defer other decisions concerning us or Cavium; or otherwise seek to change the terms on which they do business with us or Cavium. Any of the above could harm us and/or Cavium, and thus decrease the benefits we expect to receive from the proposed transaction.</w:t>
      </w:r>
    </w:p>
    <w:p>
      <w:pPr>
        <w:spacing w:after="0" w:line="193" w:lineRule="exact"/>
        <w:rPr>
          <w:sz w:val="20"/>
          <w:szCs w:val="20"/>
          <w:color w:val="auto"/>
        </w:rPr>
      </w:pPr>
    </w:p>
    <w:p>
      <w:pPr>
        <w:ind w:firstLine="324"/>
        <w:spacing w:after="0" w:line="257" w:lineRule="auto"/>
        <w:rPr>
          <w:sz w:val="20"/>
          <w:szCs w:val="20"/>
          <w:color w:val="auto"/>
        </w:rPr>
      </w:pPr>
      <w:r>
        <w:rPr>
          <w:rFonts w:ascii="Arial" w:cs="Arial" w:eastAsia="Arial" w:hAnsi="Arial"/>
          <w:sz w:val="18"/>
          <w:szCs w:val="18"/>
          <w:color w:val="auto"/>
        </w:rPr>
        <w:t>The proposed transaction may also result in significant charges or other liabilities that could adversely affect our results of operations, such as cash expenses and non-cash accounting charges incurred in connection with our acquisition and/or integration of the business and operations of Cavium. Further, our failure to identify or accurately assess the magnitude of certain liabilities we are assuming in the proposed transaction could result in unexpected litigation or regulatory exposure, unfavorable accounting charges, unexpected increases in taxes due, a loss of anticipated tax benefits or other adverse effects on our business, results of operations, financial condition or cash flows.</w:t>
      </w:r>
    </w:p>
    <w:p>
      <w:pPr>
        <w:spacing w:after="0" w:line="80" w:lineRule="exact"/>
        <w:rPr>
          <w:sz w:val="20"/>
          <w:szCs w:val="20"/>
          <w:color w:val="auto"/>
        </w:rPr>
      </w:pPr>
    </w:p>
    <w:p>
      <w:pPr>
        <w:jc w:val="both"/>
        <w:ind w:right="20"/>
        <w:spacing w:after="0" w:line="286" w:lineRule="auto"/>
        <w:rPr>
          <w:sz w:val="20"/>
          <w:szCs w:val="20"/>
          <w:color w:val="auto"/>
        </w:rPr>
      </w:pPr>
      <w:r>
        <w:rPr>
          <w:rFonts w:ascii="Arial" w:cs="Arial" w:eastAsia="Arial" w:hAnsi="Arial"/>
          <w:sz w:val="17"/>
          <w:szCs w:val="17"/>
          <w:b w:val="1"/>
          <w:bCs w:val="1"/>
          <w:i w:val="1"/>
          <w:i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57" w:lineRule="exact"/>
        <w:rPr>
          <w:sz w:val="20"/>
          <w:szCs w:val="20"/>
          <w:color w:val="auto"/>
        </w:rPr>
      </w:pPr>
    </w:p>
    <w:p>
      <w:pPr>
        <w:ind w:right="100" w:firstLine="432"/>
        <w:spacing w:after="0" w:line="289" w:lineRule="auto"/>
        <w:rPr>
          <w:sz w:val="20"/>
          <w:szCs w:val="20"/>
          <w:color w:val="auto"/>
        </w:rPr>
      </w:pPr>
      <w:r>
        <w:rPr>
          <w:rFonts w:ascii="Arial" w:cs="Arial" w:eastAsia="Arial" w:hAnsi="Arial"/>
          <w:sz w:val="16"/>
          <w:szCs w:val="16"/>
          <w:color w:val="auto"/>
        </w:rPr>
        <w:t>We receive a significant amount of our revenue from a limited number of customers. Net revenue from our two largest customers represented 31% and 36% of our net revenue for the three months ended October 28, 2017 and October 29, 2016, respectively.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and natural disasters or other issues that may divert a customer’s operations. The loss of any of our large customers or a significant reduction in sales we make to them would likely harm our financial condition and results of operations. To the extent one or more of our large customers experience significant financial difficulty, bankruptcy or insolvency, this could have a material adverse effect on our sales and our ability to collect on receivables, which could harm our financial condition and results of operations. For example, Toshiba Corporation has announced significant financial difficulties not directly related to their semiconductor business but which may have an adverse effect on its overall financial condition or result in a divestiture of the semiconductor portion of its business that purchases our products.</w:t>
      </w:r>
    </w:p>
    <w:p>
      <w:pPr>
        <w:spacing w:after="0" w:line="167" w:lineRule="exact"/>
        <w:rPr>
          <w:sz w:val="20"/>
          <w:szCs w:val="20"/>
          <w:color w:val="auto"/>
        </w:rPr>
      </w:pPr>
    </w:p>
    <w:p>
      <w:pPr>
        <w:ind w:right="140" w:firstLine="378"/>
        <w:spacing w:after="0" w:line="264" w:lineRule="auto"/>
        <w:rPr>
          <w:sz w:val="20"/>
          <w:szCs w:val="20"/>
          <w:color w:val="auto"/>
        </w:rPr>
      </w:pPr>
      <w:r>
        <w:rPr>
          <w:rFonts w:ascii="Arial" w:cs="Arial" w:eastAsia="Arial" w:hAnsi="Arial"/>
          <w:sz w:val="18"/>
          <w:szCs w:val="18"/>
          <w:color w:val="auto"/>
        </w:rPr>
        <w:t>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181" w:lineRule="exact"/>
        <w:rPr>
          <w:sz w:val="20"/>
          <w:szCs w:val="20"/>
          <w:color w:val="auto"/>
        </w:rPr>
      </w:pPr>
    </w:p>
    <w:p>
      <w:pPr>
        <w:ind w:left="820" w:right="400" w:hanging="420"/>
        <w:spacing w:after="0" w:line="277" w:lineRule="auto"/>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w:t>
      </w: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400"/>
          </w:cols>
          <w:pgMar w:left="240" w:top="140" w:right="259" w:bottom="1440" w:gutter="0" w:footer="0" w:header="0"/>
        </w:sectPr>
      </w:pPr>
    </w:p>
    <w:bookmarkStart w:id="37" w:name="page38"/>
    <w:bookmarkEnd w:id="3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left="820" w:hanging="420"/>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 including, but not limited to, those driven by financial instability; or</w:t>
      </w:r>
    </w:p>
    <w:p>
      <w:pPr>
        <w:spacing w:after="0" w:line="225" w:lineRule="exact"/>
        <w:rPr>
          <w:rFonts w:ascii="Arial" w:cs="Arial" w:eastAsia="Arial" w:hAnsi="Arial"/>
          <w:sz w:val="18"/>
          <w:szCs w:val="18"/>
          <w:color w:val="auto"/>
        </w:rPr>
      </w:pPr>
    </w:p>
    <w:p>
      <w:pPr>
        <w:ind w:left="820" w:right="160" w:hanging="420"/>
        <w:spacing w:after="0" w:line="264" w:lineRule="auto"/>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customers may consolidate (for example, Western Digital acquired SanDisk in 2017, and Toshiba Corporation has announced an intent to sell a portion of its semiconductor business), which could lead to changing demand for our products, replacement of our products by the merged entity with those of our competitors and cancellation of orders.</w:t>
      </w:r>
    </w:p>
    <w:p>
      <w:pPr>
        <w:spacing w:after="0" w:line="181" w:lineRule="exact"/>
        <w:rPr>
          <w:sz w:val="20"/>
          <w:szCs w:val="20"/>
          <w:color w:val="auto"/>
        </w:rPr>
      </w:pPr>
    </w:p>
    <w:p>
      <w:pPr>
        <w:ind w:right="260" w:firstLine="378"/>
        <w:spacing w:after="0" w:line="277" w:lineRule="auto"/>
        <w:rPr>
          <w:sz w:val="20"/>
          <w:szCs w:val="20"/>
          <w:color w:val="auto"/>
        </w:rPr>
      </w:pPr>
      <w:r>
        <w:rPr>
          <w:rFonts w:ascii="Arial" w:cs="Arial" w:eastAsia="Arial" w:hAnsi="Arial"/>
          <w:sz w:val="18"/>
          <w:szCs w:val="18"/>
          <w:color w:val="auto"/>
        </w:rPr>
        <w:t>In addition, if regulatory activity, such as enforcement of U.S. export control and sanctions laws, were to materially limit our ability to makes sales to any of our significant customers, it could harm our results of operations, reputation and financial condition.</w:t>
      </w:r>
    </w:p>
    <w:p>
      <w:pPr>
        <w:spacing w:after="0" w:line="170"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170" w:lineRule="exact"/>
        <w:rPr>
          <w:sz w:val="20"/>
          <w:szCs w:val="20"/>
          <w:color w:val="auto"/>
        </w:rPr>
      </w:pPr>
    </w:p>
    <w:p>
      <w:pPr>
        <w:ind w:right="100" w:firstLine="378"/>
        <w:spacing w:after="0" w:line="259"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187" w:lineRule="exact"/>
        <w:rPr>
          <w:sz w:val="20"/>
          <w:szCs w:val="20"/>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increased expenses, including, but not limited to, legal, administrative and compensation expenses related to newly hired or terminated employees;</w:t>
      </w:r>
    </w:p>
    <w:p>
      <w:pPr>
        <w:spacing w:after="0" w:line="248" w:lineRule="exact"/>
        <w:rPr>
          <w:rFonts w:ascii="Arial" w:cs="Arial" w:eastAsia="Arial" w:hAnsi="Arial"/>
          <w:sz w:val="16"/>
          <w:szCs w:val="16"/>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key personnel of an acquired company may decide not to work for us;</w:t>
      </w:r>
    </w:p>
    <w:p>
      <w:pPr>
        <w:spacing w:after="0" w:line="225" w:lineRule="exact"/>
        <w:rPr>
          <w:rFonts w:ascii="Arial" w:cs="Arial" w:eastAsia="Arial" w:hAnsi="Arial"/>
          <w:sz w:val="18"/>
          <w:szCs w:val="18"/>
          <w:color w:val="auto"/>
        </w:rPr>
      </w:pPr>
    </w:p>
    <w:p>
      <w:pPr>
        <w:ind w:left="820" w:right="20" w:hanging="420"/>
        <w:spacing w:after="0" w:line="277"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increased costs to integrate or, in the case of a divestiture, separate the technology, personnel, customer base and business practices of the acquired or divested business or assets;</w:t>
      </w:r>
    </w:p>
    <w:p>
      <w:pPr>
        <w:spacing w:after="0" w:line="170" w:lineRule="exact"/>
        <w:rPr>
          <w:rFonts w:ascii="Arial" w:cs="Arial" w:eastAsia="Arial" w:hAnsi="Arial"/>
          <w:sz w:val="18"/>
          <w:szCs w:val="18"/>
          <w:color w:val="auto"/>
        </w:rPr>
      </w:pPr>
    </w:p>
    <w:p>
      <w:pPr>
        <w:ind w:left="820" w:right="340" w:hanging="420"/>
        <w:spacing w:after="0" w:line="277"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assuming the legal obligations of the acquired company, including potential exposure to material liabilities not discovered in the due diligence process;</w:t>
      </w:r>
    </w:p>
    <w:p>
      <w:pPr>
        <w:spacing w:after="0" w:line="170" w:lineRule="exact"/>
        <w:rPr>
          <w:rFonts w:ascii="Arial" w:cs="Arial" w:eastAsia="Arial" w:hAnsi="Arial"/>
          <w:sz w:val="18"/>
          <w:szCs w:val="18"/>
          <w:color w:val="auto"/>
        </w:rPr>
      </w:pPr>
    </w:p>
    <w:p>
      <w:pPr>
        <w:ind w:left="820" w:right="740" w:hanging="420"/>
        <w:spacing w:after="0" w:line="277" w:lineRule="auto"/>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potential damage to customer relationships or loss of synergies in the case of divestitures; and</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unavailability of acquisition financing on reasonable terms or at all.</w:t>
      </w:r>
    </w:p>
    <w:p>
      <w:pPr>
        <w:spacing w:after="0" w:line="225" w:lineRule="exact"/>
        <w:rPr>
          <w:sz w:val="20"/>
          <w:szCs w:val="20"/>
          <w:color w:val="auto"/>
        </w:rPr>
      </w:pPr>
    </w:p>
    <w:p>
      <w:pPr>
        <w:ind w:right="220" w:firstLine="378"/>
        <w:spacing w:after="0" w:line="312" w:lineRule="auto"/>
        <w:rPr>
          <w:sz w:val="20"/>
          <w:szCs w:val="20"/>
          <w:color w:val="auto"/>
        </w:rPr>
      </w:pPr>
      <w:r>
        <w:rPr>
          <w:rFonts w:ascii="Arial" w:cs="Arial" w:eastAsia="Arial" w:hAnsi="Arial"/>
          <w:sz w:val="16"/>
          <w:szCs w:val="16"/>
          <w:color w:val="auto"/>
        </w:rPr>
        <w:t>Any acquired business, technology, service or product could significantly under-perform relative to our expectations and may not achieve the benefits we expect from possible acquisitions. Given that our resources are limited, our decision to pursue a transaction has opportunity costs; accordingly, if we pursue a particular transaction, we may need to forgo the prospect of entering into other transactions that could help us achieve our strategic objectives.</w:t>
      </w:r>
    </w:p>
    <w:p>
      <w:pPr>
        <w:spacing w:after="0" w:line="147" w:lineRule="exact"/>
        <w:rPr>
          <w:sz w:val="20"/>
          <w:szCs w:val="20"/>
          <w:color w:val="auto"/>
        </w:rPr>
      </w:pPr>
    </w:p>
    <w:p>
      <w:pPr>
        <w:jc w:val="both"/>
        <w:ind w:right="20" w:firstLine="378"/>
        <w:spacing w:after="0" w:line="264"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181" w:lineRule="exact"/>
        <w:rPr>
          <w:sz w:val="20"/>
          <w:szCs w:val="20"/>
          <w:color w:val="auto"/>
        </w:rPr>
      </w:pPr>
    </w:p>
    <w:p>
      <w:pPr>
        <w:ind w:left="380"/>
        <w:spacing w:after="0"/>
        <w:rPr>
          <w:sz w:val="20"/>
          <w:szCs w:val="20"/>
          <w:color w:val="auto"/>
        </w:rPr>
      </w:pPr>
      <w:r>
        <w:rPr>
          <w:rFonts w:ascii="Arial" w:cs="Arial" w:eastAsia="Arial" w:hAnsi="Arial"/>
          <w:sz w:val="16"/>
          <w:szCs w:val="16"/>
          <w:color w:val="auto"/>
        </w:rPr>
        <w:t>If we do enter into agreements with respect to acquisitions, divestitures, or other transactions, we may fail to complete them due to factors such as:</w:t>
      </w:r>
    </w:p>
    <w:p>
      <w:pPr>
        <w:spacing w:after="0" w:line="248" w:lineRule="exact"/>
        <w:rPr>
          <w:sz w:val="20"/>
          <w:szCs w:val="20"/>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failure to obtain regulatory or other approvals;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IP disputes or other litigation; or</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difficulties obtaining financing for the transaction.</w:t>
      </w:r>
    </w:p>
    <w:p>
      <w:pPr>
        <w:spacing w:after="0" w:line="200" w:lineRule="exact"/>
        <w:rPr>
          <w:sz w:val="20"/>
          <w:szCs w:val="20"/>
          <w:color w:val="auto"/>
        </w:rPr>
      </w:pPr>
    </w:p>
    <w:p>
      <w:pPr>
        <w:spacing w:after="0" w:line="26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00"/>
          </w:cols>
          <w:pgMar w:left="240" w:top="140" w:right="259" w:bottom="1440" w:gutter="0" w:footer="0" w:header="0"/>
        </w:sectPr>
      </w:pPr>
    </w:p>
    <w:bookmarkStart w:id="38" w:name="page39"/>
    <w:bookmarkEnd w:id="3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380" w:firstLine="378"/>
        <w:spacing w:after="0" w:line="277"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225" w:lineRule="exact"/>
        <w:rPr>
          <w:sz w:val="20"/>
          <w:szCs w:val="20"/>
          <w:color w:val="auto"/>
        </w:rPr>
      </w:pPr>
    </w:p>
    <w:p>
      <w:pPr>
        <w:ind w:right="60" w:firstLine="378"/>
        <w:spacing w:after="0" w:line="268" w:lineRule="auto"/>
        <w:rPr>
          <w:sz w:val="20"/>
          <w:szCs w:val="20"/>
          <w:color w:val="auto"/>
        </w:rPr>
      </w:pPr>
      <w:r>
        <w:rPr>
          <w:rFonts w:ascii="Arial" w:cs="Arial" w:eastAsia="Arial" w:hAnsi="Arial"/>
          <w:sz w:val="17"/>
          <w:szCs w:val="17"/>
          <w:color w:val="auto"/>
        </w:rPr>
        <w:t>The semiconductor industry, and specifically the storage, networking and connectivity markets, are extremely competitive.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networking market. Additionally, customer expectations and requirements have been evolving rapidly. For example, customers now expect us to provide turnkey solutions and commit to future roadmaps that have technical risks. 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data communication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 As the technology inflections happen, our competitors may get ahead of us and negatively impact our market share.</w:t>
      </w:r>
    </w:p>
    <w:p>
      <w:pPr>
        <w:spacing w:after="0" w:line="181" w:lineRule="exact"/>
        <w:rPr>
          <w:sz w:val="20"/>
          <w:szCs w:val="20"/>
          <w:color w:val="auto"/>
        </w:rPr>
      </w:pPr>
    </w:p>
    <w:p>
      <w:pPr>
        <w:ind w:right="120" w:firstLine="378"/>
        <w:spacing w:after="0" w:line="257" w:lineRule="auto"/>
        <w:rPr>
          <w:sz w:val="20"/>
          <w:szCs w:val="20"/>
          <w:color w:val="auto"/>
        </w:rPr>
      </w:pPr>
      <w:r>
        <w:rPr>
          <w:rFonts w:ascii="Arial" w:cs="Arial" w:eastAsia="Arial" w:hAnsi="Arial"/>
          <w:sz w:val="18"/>
          <w:szCs w:val="18"/>
          <w:color w:val="auto"/>
        </w:rPr>
        <w:t>In addition, the semiconductor industry has experienced increased consolidation over the past several years. For example, Avago Technologies Limited (now Broadcom Limited (“Broadcom”)) acquired Broadcom Corporation in February 2016 and LSI Corporation in May 2014; Intel acquired Altera Corporation in December 2015; and NXP Semiconductors acquired Freescale Semiconductor, Ltd. in December 2015. In addition, Broadcom recently announced a bid to acquire Qualcomm. Consolidation among our competitors could lead to a changing competitive landscape, capabilities and market share, which could put us at a competitive disadvantage and harm our results of operations.</w:t>
      </w:r>
    </w:p>
    <w:p>
      <w:pPr>
        <w:spacing w:after="0" w:line="188"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170" w:lineRule="exact"/>
        <w:rPr>
          <w:sz w:val="20"/>
          <w:szCs w:val="20"/>
          <w:color w:val="auto"/>
        </w:rPr>
      </w:pPr>
    </w:p>
    <w:p>
      <w:pPr>
        <w:ind w:firstLine="378"/>
        <w:spacing w:after="0" w:line="264" w:lineRule="auto"/>
        <w:rPr>
          <w:sz w:val="20"/>
          <w:szCs w:val="20"/>
          <w:color w:val="auto"/>
        </w:rPr>
      </w:pPr>
      <w:r>
        <w:rPr>
          <w:rFonts w:ascii="Arial" w:cs="Arial" w:eastAsia="Arial" w:hAnsi="Arial"/>
          <w:sz w:val="18"/>
          <w:szCs w:val="18"/>
          <w:color w:val="auto"/>
        </w:rPr>
        <w:t>The HDD industry is intensely competitive and technology inflections are happening rapidly. This industry has historically been cyclical, with periods of increased demand and rapid growth followed by periods of oversupply and subsequent contraction. These cycles may affect us because some of our largest customers participate in this industry.</w:t>
      </w:r>
    </w:p>
    <w:p>
      <w:pPr>
        <w:spacing w:after="0" w:line="181" w:lineRule="exact"/>
        <w:rPr>
          <w:sz w:val="20"/>
          <w:szCs w:val="20"/>
          <w:color w:val="auto"/>
        </w:rPr>
      </w:pPr>
    </w:p>
    <w:p>
      <w:pPr>
        <w:ind w:right="140" w:firstLine="378"/>
        <w:spacing w:after="0" w:line="264"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81" w:lineRule="exact"/>
        <w:rPr>
          <w:sz w:val="20"/>
          <w:szCs w:val="20"/>
          <w:color w:val="auto"/>
        </w:rPr>
      </w:pPr>
    </w:p>
    <w:p>
      <w:pPr>
        <w:ind w:right="100" w:firstLine="378"/>
        <w:spacing w:after="0" w:line="259" w:lineRule="auto"/>
        <w:rPr>
          <w:sz w:val="20"/>
          <w:szCs w:val="20"/>
          <w:color w:val="auto"/>
        </w:rPr>
      </w:pPr>
      <w:r>
        <w:rPr>
          <w:rFonts w:ascii="Arial" w:cs="Arial" w:eastAsia="Arial" w:hAnsi="Arial"/>
          <w:sz w:val="18"/>
          <w:szCs w:val="18"/>
          <w:color w:val="auto"/>
        </w:rPr>
        <w:t>In addition, the HDD industry has experienced significant consolidation.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87" w:lineRule="exact"/>
        <w:rPr>
          <w:sz w:val="20"/>
          <w:szCs w:val="20"/>
          <w:color w:val="auto"/>
        </w:rPr>
      </w:pPr>
    </w:p>
    <w:p>
      <w:pPr>
        <w:ind w:right="180" w:firstLine="378"/>
        <w:spacing w:after="0" w:line="293" w:lineRule="auto"/>
        <w:rPr>
          <w:sz w:val="20"/>
          <w:szCs w:val="20"/>
          <w:color w:val="auto"/>
        </w:rPr>
      </w:pPr>
      <w:r>
        <w:rPr>
          <w:rFonts w:ascii="Arial" w:cs="Arial" w:eastAsia="Arial" w:hAnsi="Arial"/>
          <w:sz w:val="16"/>
          <w:szCs w:val="16"/>
          <w:color w:val="auto"/>
        </w:rPr>
        <w:t>Furthermore, future changes in the nature of information storage products and personal computing devices could reduce demand for traditional HDDs. For example, products using alternative technologies, such as SSD and other storage technologies are a source of competition to manufacturers of HDDs. Although we offer SSD controllers, leveraging our technology in hard drives, we cannot ensure that our overall business will not be adversely affected if demand for traditional HDDs decreases. Additionally, we depend on a few customers for our SSD controllers and as such, the loss of any SSD controller customer or a significant reduction in sales we make to them may harm our financial condition and results of operations. Unlike in the HDD industry, SSD customers may develop their own controllers, which could pose a challenge to our market share in the SSD space.</w:t>
      </w:r>
    </w:p>
    <w:p>
      <w:pPr>
        <w:spacing w:after="0" w:line="200" w:lineRule="exact"/>
        <w:rPr>
          <w:sz w:val="20"/>
          <w:szCs w:val="20"/>
          <w:color w:val="auto"/>
        </w:rPr>
      </w:pPr>
    </w:p>
    <w:p>
      <w:pPr>
        <w:spacing w:after="0" w:line="2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00"/>
          </w:cols>
          <w:pgMar w:left="240" w:top="140" w:right="259" w:bottom="1440" w:gutter="0" w:footer="0" w:header="0"/>
        </w:sectPr>
      </w:pPr>
    </w:p>
    <w:bookmarkStart w:id="39" w:name="page40"/>
    <w:bookmarkEnd w:id="3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170"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Our future success will depend on our ability to develop and introduce new products and enhancements to our existing products in a timely and cost-effective manner.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See also, “</w:t>
      </w:r>
      <w:r>
        <w:rPr>
          <w:rFonts w:ascii="Arial" w:cs="Arial" w:eastAsia="Arial" w:hAnsi="Arial"/>
          <w:sz w:val="18"/>
          <w:szCs w:val="18"/>
          <w:i w:val="1"/>
          <w:iCs w:val="1"/>
          <w:color w:val="auto"/>
        </w:rPr>
        <w:t>We may be unable to protect our intellectual property, which would negatively</w:t>
      </w:r>
      <w:r>
        <w:rPr>
          <w:rFonts w:ascii="Arial" w:cs="Arial" w:eastAsia="Arial" w:hAnsi="Arial"/>
          <w:sz w:val="18"/>
          <w:szCs w:val="18"/>
          <w:color w:val="auto"/>
        </w:rPr>
        <w:t xml:space="preserve"> </w:t>
      </w:r>
      <w:r>
        <w:rPr>
          <w:rFonts w:ascii="Arial" w:cs="Arial" w:eastAsia="Arial" w:hAnsi="Arial"/>
          <w:sz w:val="18"/>
          <w:szCs w:val="18"/>
          <w:i w:val="1"/>
          <w:iCs w:val="1"/>
          <w:color w:val="auto"/>
        </w:rPr>
        <w:t>affect our ability to compete.”</w:t>
      </w:r>
    </w:p>
    <w:p>
      <w:pPr>
        <w:spacing w:after="0" w:line="193" w:lineRule="exact"/>
        <w:rPr>
          <w:sz w:val="20"/>
          <w:szCs w:val="20"/>
          <w:color w:val="auto"/>
        </w:rPr>
      </w:pPr>
    </w:p>
    <w:p>
      <w:pPr>
        <w:ind w:right="20" w:firstLine="378"/>
        <w:spacing w:after="0" w:line="257" w:lineRule="auto"/>
        <w:rPr>
          <w:sz w:val="20"/>
          <w:szCs w:val="20"/>
          <w:color w:val="auto"/>
        </w:rPr>
      </w:pPr>
      <w:r>
        <w:rPr>
          <w:rFonts w:ascii="Arial" w:cs="Arial" w:eastAsia="Arial" w:hAnsi="Arial"/>
          <w:sz w:val="18"/>
          <w:szCs w:val="18"/>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88"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170" w:lineRule="exact"/>
        <w:rPr>
          <w:sz w:val="20"/>
          <w:szCs w:val="20"/>
          <w:color w:val="auto"/>
        </w:rPr>
      </w:pPr>
    </w:p>
    <w:p>
      <w:pPr>
        <w:ind w:right="60" w:firstLine="378"/>
        <w:spacing w:after="0" w:line="302" w:lineRule="auto"/>
        <w:rPr>
          <w:sz w:val="20"/>
          <w:szCs w:val="20"/>
          <w:color w:val="auto"/>
        </w:rPr>
      </w:pPr>
      <w:r>
        <w:rPr>
          <w:rFonts w:ascii="Arial" w:cs="Arial" w:eastAsia="Arial" w:hAnsi="Arial"/>
          <w:sz w:val="16"/>
          <w:szCs w:val="16"/>
          <w:color w:val="auto"/>
        </w:rPr>
        <w:t>The products we develop and sell are primarily used for high-volume applications. As a result, the prices of those products have historically decreased rapidly.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54" w:lineRule="exact"/>
        <w:rPr>
          <w:sz w:val="20"/>
          <w:szCs w:val="20"/>
          <w:color w:val="auto"/>
        </w:rPr>
      </w:pPr>
    </w:p>
    <w:p>
      <w:pPr>
        <w:ind w:firstLine="378"/>
        <w:spacing w:after="0" w:line="253" w:lineRule="auto"/>
        <w:rPr>
          <w:sz w:val="20"/>
          <w:szCs w:val="20"/>
          <w:color w:val="auto"/>
        </w:rPr>
      </w:pPr>
      <w:r>
        <w:rPr>
          <w:rFonts w:ascii="Arial" w:cs="Arial" w:eastAsia="Arial" w:hAnsi="Arial"/>
          <w:sz w:val="18"/>
          <w:szCs w:val="18"/>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197" w:lineRule="exact"/>
        <w:rPr>
          <w:sz w:val="20"/>
          <w:szCs w:val="20"/>
          <w:color w:val="auto"/>
        </w:rPr>
      </w:pPr>
    </w:p>
    <w:p>
      <w:pPr>
        <w:ind w:right="820"/>
        <w:spacing w:after="0" w:line="308" w:lineRule="auto"/>
        <w:rPr>
          <w:sz w:val="20"/>
          <w:szCs w:val="20"/>
          <w:color w:val="auto"/>
        </w:rPr>
      </w:pPr>
      <w:r>
        <w:rPr>
          <w:rFonts w:ascii="Arial" w:cs="Arial" w:eastAsia="Arial" w:hAnsi="Arial"/>
          <w:sz w:val="17"/>
          <w:szCs w:val="17"/>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147" w:lineRule="exact"/>
        <w:rPr>
          <w:sz w:val="20"/>
          <w:szCs w:val="20"/>
          <w:color w:val="auto"/>
        </w:rPr>
      </w:pPr>
    </w:p>
    <w:p>
      <w:pPr>
        <w:jc w:val="both"/>
        <w:ind w:right="80"/>
        <w:spacing w:after="0" w:line="264"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181" w:lineRule="exact"/>
        <w:rPr>
          <w:sz w:val="20"/>
          <w:szCs w:val="20"/>
          <w:color w:val="auto"/>
        </w:rPr>
      </w:pPr>
    </w:p>
    <w:p>
      <w:pPr>
        <w:jc w:val="both"/>
        <w:ind w:right="240" w:firstLine="378"/>
        <w:spacing w:after="0" w:line="264" w:lineRule="auto"/>
        <w:rPr>
          <w:sz w:val="20"/>
          <w:szCs w:val="20"/>
          <w:color w:val="auto"/>
        </w:rPr>
      </w:pPr>
      <w:r>
        <w:rPr>
          <w:rFonts w:ascii="Arial" w:cs="Arial" w:eastAsia="Arial" w:hAnsi="Arial"/>
          <w:sz w:val="18"/>
          <w:szCs w:val="18"/>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1"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Regional Concentration</w:t>
      </w:r>
    </w:p>
    <w:p>
      <w:pPr>
        <w:spacing w:after="0" w:line="225" w:lineRule="exact"/>
        <w:rPr>
          <w:sz w:val="20"/>
          <w:szCs w:val="20"/>
          <w:color w:val="auto"/>
        </w:rPr>
      </w:pPr>
    </w:p>
    <w:p>
      <w:pPr>
        <w:ind w:right="60" w:firstLine="378"/>
        <w:spacing w:after="0" w:line="297"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and Singapore. In addition, substantially all of our third-party assembly and testing facilities are located in China, Singapore and Taiwan.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 cost of goods sold and results of operations</w:t>
      </w:r>
    </w:p>
    <w:p>
      <w:pPr>
        <w:spacing w:after="0" w:line="1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20"/>
          </w:cols>
          <w:pgMar w:left="240" w:top="140" w:right="239" w:bottom="1440" w:gutter="0" w:footer="0" w:header="0"/>
        </w:sectPr>
      </w:pPr>
    </w:p>
    <w:bookmarkStart w:id="40" w:name="page41"/>
    <w:bookmarkEnd w:id="4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would be negatively impacted. In addition, there are limited numbers of alternative foundries and identifying and implementing alternative manufacturing facilities would be time consuming. As a result, if we needed to implement alternate manufacturing facilities, we could experience significant expenses and delays in product shipments, which could harm our results of operations.</w:t>
      </w:r>
    </w:p>
    <w:p>
      <w:pPr>
        <w:spacing w:after="0" w:line="181"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No Guarantee of Capacity or Supply</w:t>
      </w:r>
    </w:p>
    <w:p>
      <w:pPr>
        <w:spacing w:after="0" w:line="225" w:lineRule="exact"/>
        <w:rPr>
          <w:sz w:val="20"/>
          <w:szCs w:val="20"/>
          <w:color w:val="auto"/>
        </w:rPr>
      </w:pPr>
    </w:p>
    <w:p>
      <w:pPr>
        <w:ind w:firstLine="378"/>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difficulties in transitioning to smaller geometry process technologies or in achieving higher levels of design integration, which may</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result in reduced manufacturing yields, delays in product deliveries and increased expenses.” </w:t>
      </w:r>
      <w:r>
        <w:rPr>
          <w:rFonts w:ascii="Arial" w:cs="Arial" w:eastAsia="Arial" w:hAnsi="Arial"/>
          <w:sz w:val="16"/>
          <w:szCs w:val="16"/>
          <w:color w:val="auto"/>
        </w:rPr>
        <w:t>Moreover, if any of our third-party foundry suppliers are unable</w:t>
      </w:r>
      <w:r>
        <w:rPr>
          <w:rFonts w:ascii="Arial" w:cs="Arial" w:eastAsia="Arial" w:hAnsi="Arial"/>
          <w:sz w:val="16"/>
          <w:szCs w:val="16"/>
          <w:i w:val="1"/>
          <w:iCs w:val="1"/>
          <w:color w:val="auto"/>
        </w:rPr>
        <w:t xml:space="preserve"> </w:t>
      </w:r>
      <w:r>
        <w:rPr>
          <w:rFonts w:ascii="Arial" w:cs="Arial" w:eastAsia="Arial" w:hAnsi="Arial"/>
          <w:sz w:val="16"/>
          <w:szCs w:val="16"/>
          <w:color w:val="auto"/>
        </w:rPr>
        <w:t>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75"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This could result in a material decline in our revenue, net income and cash flow.</w:t>
      </w:r>
    </w:p>
    <w:p>
      <w:pPr>
        <w:spacing w:after="0" w:line="188" w:lineRule="exact"/>
        <w:rPr>
          <w:sz w:val="20"/>
          <w:szCs w:val="20"/>
          <w:color w:val="auto"/>
        </w:rPr>
      </w:pPr>
    </w:p>
    <w:p>
      <w:pPr>
        <w:ind w:right="40" w:firstLine="378"/>
        <w:spacing w:after="0" w:line="255" w:lineRule="auto"/>
        <w:rPr>
          <w:sz w:val="20"/>
          <w:szCs w:val="20"/>
          <w:color w:val="auto"/>
        </w:rPr>
      </w:pPr>
      <w:r>
        <w:rPr>
          <w:rFonts w:ascii="Arial" w:cs="Arial" w:eastAsia="Arial" w:hAnsi="Arial"/>
          <w:sz w:val="18"/>
          <w:szCs w:val="18"/>
          <w:color w:val="auto"/>
        </w:rPr>
        <w:t>In order to secure sufficient foundry capacity when demand is high and to mitigate the risks described in the foregoing paragraph, we may enter into various arrangements with suppliers that could be costly and harm our results of operations, such as nonrefundable deposits with or loans to foundries in exchange for capacity commitments, or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3"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Uncertain Yields and Quality</w:t>
      </w:r>
    </w:p>
    <w:p>
      <w:pPr>
        <w:spacing w:after="0" w:line="225" w:lineRule="exact"/>
        <w:rPr>
          <w:sz w:val="20"/>
          <w:szCs w:val="20"/>
          <w:color w:val="auto"/>
        </w:rPr>
      </w:pPr>
    </w:p>
    <w:p>
      <w:pPr>
        <w:ind w:right="20" w:firstLine="378"/>
        <w:spacing w:after="0" w:line="253" w:lineRule="auto"/>
        <w:rPr>
          <w:sz w:val="20"/>
          <w:szCs w:val="20"/>
          <w:color w:val="auto"/>
        </w:rPr>
      </w:pPr>
      <w:r>
        <w:rPr>
          <w:rFonts w:ascii="Arial" w:cs="Arial" w:eastAsia="Arial" w:hAnsi="Arial"/>
          <w:sz w:val="18"/>
          <w:szCs w:val="18"/>
          <w:color w:val="auto"/>
        </w:rPr>
        <w:t>The fabrication of integrated circuits is a complex and technically demanding process. Our technology is transitioning from planar to FINFET transistors. This transition may result in longer qualification cycles and lower yields. Our foundries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8"/>
          <w:szCs w:val="18"/>
          <w:i w:val="1"/>
          <w:iCs w:val="1"/>
          <w:color w:val="auto"/>
        </w:rPr>
        <w:t>Costs related to defective products could have a material adverse effect on</w:t>
      </w:r>
      <w:r>
        <w:rPr>
          <w:rFonts w:ascii="Arial" w:cs="Arial" w:eastAsia="Arial" w:hAnsi="Arial"/>
          <w:sz w:val="18"/>
          <w:szCs w:val="18"/>
          <w:color w:val="auto"/>
        </w:rPr>
        <w:t xml:space="preserve"> </w:t>
      </w:r>
      <w:r>
        <w:rPr>
          <w:rFonts w:ascii="Arial" w:cs="Arial" w:eastAsia="Arial" w:hAnsi="Arial"/>
          <w:sz w:val="18"/>
          <w:szCs w:val="18"/>
          <w:i w:val="1"/>
          <w:iCs w:val="1"/>
          <w:color w:val="auto"/>
        </w:rPr>
        <w:t>us.</w:t>
      </w:r>
      <w:r>
        <w:rPr>
          <w:rFonts w:ascii="Arial" w:cs="Arial" w:eastAsia="Arial" w:hAnsi="Arial"/>
          <w:sz w:val="18"/>
          <w:szCs w:val="18"/>
          <w:color w:val="auto"/>
        </w:rPr>
        <w:t>”</w:t>
      </w:r>
    </w:p>
    <w:p>
      <w:pPr>
        <w:spacing w:after="0" w:line="195" w:lineRule="exact"/>
        <w:rPr>
          <w:sz w:val="20"/>
          <w:szCs w:val="20"/>
          <w:color w:val="auto"/>
        </w:rPr>
      </w:pPr>
    </w:p>
    <w:p>
      <w:pPr>
        <w:jc w:val="both"/>
        <w:ind w:right="520" w:firstLine="378"/>
        <w:spacing w:after="0" w:line="264" w:lineRule="auto"/>
        <w:rPr>
          <w:sz w:val="20"/>
          <w:szCs w:val="20"/>
          <w:color w:val="auto"/>
        </w:rPr>
      </w:pPr>
      <w:r>
        <w:rPr>
          <w:rFonts w:ascii="Arial" w:cs="Arial" w:eastAsia="Arial" w:hAnsi="Arial"/>
          <w:sz w:val="18"/>
          <w:szCs w:val="18"/>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181" w:lineRule="exact"/>
        <w:rPr>
          <w:sz w:val="20"/>
          <w:szCs w:val="20"/>
          <w:color w:val="auto"/>
        </w:rPr>
      </w:pPr>
    </w:p>
    <w:p>
      <w:pPr>
        <w:ind w:left="380"/>
        <w:spacing w:after="0"/>
        <w:rPr>
          <w:sz w:val="20"/>
          <w:szCs w:val="20"/>
          <w:color w:val="auto"/>
        </w:rPr>
      </w:pPr>
      <w:r>
        <w:rPr>
          <w:rFonts w:ascii="Arial" w:cs="Arial" w:eastAsia="Arial" w:hAnsi="Arial"/>
          <w:sz w:val="18"/>
          <w:szCs w:val="18"/>
          <w:i w:val="1"/>
          <w:iCs w:val="1"/>
          <w:color w:val="auto"/>
        </w:rPr>
        <w:t>Commodity Prices</w:t>
      </w:r>
    </w:p>
    <w:p>
      <w:pPr>
        <w:spacing w:after="0" w:line="200" w:lineRule="exact"/>
        <w:rPr>
          <w:sz w:val="20"/>
          <w:szCs w:val="20"/>
          <w:color w:val="auto"/>
        </w:rPr>
      </w:pPr>
    </w:p>
    <w:p>
      <w:pPr>
        <w:spacing w:after="0" w:line="26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140" w:right="239" w:bottom="1440" w:gutter="0" w:footer="0" w:header="0"/>
        </w:sectPr>
      </w:pPr>
    </w:p>
    <w:bookmarkStart w:id="41" w:name="page42"/>
    <w:bookmarkEnd w:id="4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220" w:firstLine="378"/>
        <w:spacing w:after="0" w:line="264" w:lineRule="auto"/>
        <w:rPr>
          <w:sz w:val="20"/>
          <w:szCs w:val="20"/>
          <w:color w:val="auto"/>
        </w:rPr>
      </w:pPr>
      <w:r>
        <w:rPr>
          <w:rFonts w:ascii="Arial" w:cs="Arial" w:eastAsia="Arial" w:hAnsi="Arial"/>
          <w:sz w:val="18"/>
          <w:szCs w:val="18"/>
          <w:color w:val="auto"/>
        </w:rPr>
        <w:t>We are also subject to risk from fluctuating market prices of certain commodity raw materials, including gold and copper, which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181" w:lineRule="exact"/>
        <w:rPr>
          <w:sz w:val="20"/>
          <w:szCs w:val="20"/>
          <w:color w:val="auto"/>
        </w:rPr>
      </w:pPr>
    </w:p>
    <w:p>
      <w:pPr>
        <w:ind w:right="220"/>
        <w:spacing w:after="0" w:line="277"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170" w:lineRule="exact"/>
        <w:rPr>
          <w:sz w:val="20"/>
          <w:szCs w:val="20"/>
          <w:color w:val="auto"/>
        </w:rPr>
      </w:pPr>
    </w:p>
    <w:p>
      <w:pPr>
        <w:ind w:right="300" w:firstLine="378"/>
        <w:spacing w:after="0" w:line="255" w:lineRule="auto"/>
        <w:rPr>
          <w:sz w:val="20"/>
          <w:szCs w:val="20"/>
          <w:color w:val="auto"/>
        </w:rPr>
      </w:pPr>
      <w:r>
        <w:rPr>
          <w:rFonts w:ascii="Arial" w:cs="Arial" w:eastAsia="Arial" w:hAnsi="Arial"/>
          <w:sz w:val="18"/>
          <w:szCs w:val="18"/>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w:t>
      </w:r>
    </w:p>
    <w:p>
      <w:pPr>
        <w:spacing w:after="0" w:line="193" w:lineRule="exact"/>
        <w:rPr>
          <w:sz w:val="20"/>
          <w:szCs w:val="20"/>
          <w:color w:val="auto"/>
        </w:rPr>
      </w:pPr>
    </w:p>
    <w:p>
      <w:pPr>
        <w:ind w:right="140" w:firstLine="378"/>
        <w:spacing w:after="0" w:line="257" w:lineRule="auto"/>
        <w:rPr>
          <w:sz w:val="20"/>
          <w:szCs w:val="20"/>
          <w:color w:val="auto"/>
        </w:rPr>
      </w:pPr>
      <w:r>
        <w:rPr>
          <w:rFonts w:ascii="Arial" w:cs="Arial" w:eastAsia="Arial" w:hAnsi="Arial"/>
          <w:sz w:val="18"/>
          <w:szCs w:val="18"/>
          <w:color w:val="auto"/>
        </w:rPr>
        <w:t>We are dependent on our relationships with our foundry subcontractors to transition to smaller geometry processes successfully. We cannot ensure that the foundries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w:t>
      </w:r>
    </w:p>
    <w:p>
      <w:pPr>
        <w:spacing w:after="0" w:line="188" w:lineRule="exact"/>
        <w:rPr>
          <w:sz w:val="20"/>
          <w:szCs w:val="20"/>
          <w:color w:val="auto"/>
        </w:rPr>
      </w:pPr>
    </w:p>
    <w:p>
      <w:pPr>
        <w:ind w:right="120"/>
        <w:spacing w:after="0" w:line="302"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54" w:lineRule="exact"/>
        <w:rPr>
          <w:sz w:val="20"/>
          <w:szCs w:val="20"/>
          <w:color w:val="auto"/>
        </w:rPr>
      </w:pPr>
    </w:p>
    <w:p>
      <w:pPr>
        <w:ind w:right="520"/>
        <w:spacing w:after="0" w:line="277" w:lineRule="auto"/>
        <w:rPr>
          <w:sz w:val="20"/>
          <w:szCs w:val="20"/>
          <w:color w:val="auto"/>
        </w:rPr>
      </w:pPr>
      <w:r>
        <w:rPr>
          <w:rFonts w:ascii="Arial" w:cs="Arial" w:eastAsia="Arial" w:hAnsi="Arial"/>
          <w:sz w:val="18"/>
          <w:szCs w:val="18"/>
          <w:b w:val="1"/>
          <w:bCs w:val="1"/>
          <w:i w:val="1"/>
          <w:iCs w:val="1"/>
          <w:color w:val="auto"/>
        </w:rPr>
        <w:t>Matters relating to or arising from our Audit Committee investigation, including regulatory proceedings, litigation matters and potential additional expenses, may adversely affect our business and results of operations.</w:t>
      </w:r>
    </w:p>
    <w:p>
      <w:pPr>
        <w:spacing w:after="0" w:line="170" w:lineRule="exact"/>
        <w:rPr>
          <w:sz w:val="20"/>
          <w:szCs w:val="20"/>
          <w:color w:val="auto"/>
        </w:rPr>
      </w:pPr>
    </w:p>
    <w:p>
      <w:pPr>
        <w:ind w:firstLine="378"/>
        <w:spacing w:after="0" w:line="272" w:lineRule="auto"/>
        <w:rPr>
          <w:sz w:val="20"/>
          <w:szCs w:val="20"/>
          <w:color w:val="auto"/>
        </w:rPr>
      </w:pPr>
      <w:r>
        <w:rPr>
          <w:rFonts w:ascii="Arial" w:cs="Arial" w:eastAsia="Arial" w:hAnsi="Arial"/>
          <w:sz w:val="17"/>
          <w:szCs w:val="17"/>
          <w:color w:val="auto"/>
        </w:rPr>
        <w:t>As previously disclosed in our public filings, the Audit Committee of our Board of Directors completed an investigation that generally included a review of certain revenue recognized in the first and second quarters of fiscal 2016 and the fourth quarter of fiscal 2015, including transactions that would have, in the normal course of events and but for action by certain Marvell employees, been completed and recognized in a subsequent quarter (referred to internally as “pull-ins”), the accrual of a litigation reserve in the second quarter of fiscal 2016, and the stated belief by Marvell’s former Chairman and Chief Executive Officer of ownership of certain patent rights related to the Final-Level Cache invention and his later assignment of associated patent rights to Marvell. In addition, we are also the subject of investigations by the Securities and Exchange Commission and the U.S. Attorney related to these matters. We are fully cooperating with the SEC and the U.S. Attorney with respect to those investigations.</w:t>
      </w:r>
    </w:p>
    <w:p>
      <w:pPr>
        <w:spacing w:after="0" w:line="178" w:lineRule="exact"/>
        <w:rPr>
          <w:sz w:val="20"/>
          <w:szCs w:val="20"/>
          <w:color w:val="auto"/>
        </w:rPr>
      </w:pPr>
    </w:p>
    <w:p>
      <w:pPr>
        <w:ind w:right="40" w:firstLine="392"/>
        <w:spacing w:after="0" w:line="297" w:lineRule="auto"/>
        <w:rPr>
          <w:sz w:val="20"/>
          <w:szCs w:val="20"/>
          <w:color w:val="auto"/>
        </w:rPr>
      </w:pPr>
      <w:r>
        <w:rPr>
          <w:rFonts w:ascii="Arial" w:cs="Arial" w:eastAsia="Arial" w:hAnsi="Arial"/>
          <w:sz w:val="16"/>
          <w:szCs w:val="16"/>
          <w:color w:val="auto"/>
        </w:rPr>
        <w:t>To date, we have incurred significant expenses related to legal, accounting, and other professional services in connection with the investigations and related matters, and may continue to incur significant additional expenses with regard to these matters and related remediation efforts. The expenses incurred, and expected to be incurred, on the investigations, the impact of our delay in fiscal 2016 and the beginning of fiscal 2017 in meeting our periodic reports on the confidence of investors, employees and customers, and the diversion of the attention of the management team that has occurred, and is expected to continue, has adversely affected, and could continue to adversely affect, our business, financial condition and results of operations or cash flows.</w:t>
      </w:r>
    </w:p>
    <w:p>
      <w:pPr>
        <w:spacing w:after="0" w:line="158" w:lineRule="exact"/>
        <w:rPr>
          <w:sz w:val="20"/>
          <w:szCs w:val="20"/>
          <w:color w:val="auto"/>
        </w:rPr>
      </w:pPr>
    </w:p>
    <w:p>
      <w:pPr>
        <w:ind w:right="20" w:firstLine="392"/>
        <w:spacing w:after="0" w:line="259" w:lineRule="auto"/>
        <w:rPr>
          <w:sz w:val="20"/>
          <w:szCs w:val="20"/>
          <w:color w:val="auto"/>
        </w:rPr>
      </w:pPr>
      <w:r>
        <w:rPr>
          <w:rFonts w:ascii="Arial" w:cs="Arial" w:eastAsia="Arial" w:hAnsi="Arial"/>
          <w:sz w:val="18"/>
          <w:szCs w:val="18"/>
          <w:color w:val="auto"/>
        </w:rPr>
        <w:t>As a result of the matters reported above, we are exposed to greater risks associated with litigation, regulatory proceedings and government enforcement actions. In addition, securities class actions or other lawsuits have been filed against us, our directors and officers. One such action is likely to result in us incurring significant legal expenses during the remainder of fiscal 2018. Any future such investigations or additional lawsuits may adversely affect our business, financial condition, results of operations and cash flows.</w:t>
      </w:r>
    </w:p>
    <w:p>
      <w:pPr>
        <w:spacing w:after="0" w:line="187"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b w:val="1"/>
          <w:bCs w:val="1"/>
          <w:i w:val="1"/>
          <w:iCs w:val="1"/>
          <w:color w:val="auto"/>
        </w:rPr>
        <w:t>Our indemnification obligations and limitations of our director and officer liability insurance may have a material adverse effect on our financial condition, results of operations and cash flows.</w:t>
      </w:r>
    </w:p>
    <w:p>
      <w:pPr>
        <w:spacing w:after="0" w:line="200" w:lineRule="exact"/>
        <w:rPr>
          <w:sz w:val="20"/>
          <w:szCs w:val="20"/>
          <w:color w:val="auto"/>
        </w:rPr>
      </w:pP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400"/>
          </w:cols>
          <w:pgMar w:left="240" w:top="140" w:right="259" w:bottom="1440" w:gutter="0" w:footer="0" w:header="0"/>
        </w:sectPr>
      </w:pPr>
    </w:p>
    <w:bookmarkStart w:id="42" w:name="page43"/>
    <w:bookmarkEnd w:id="4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firstLine="378"/>
        <w:spacing w:after="0" w:line="291" w:lineRule="auto"/>
        <w:rPr>
          <w:sz w:val="20"/>
          <w:szCs w:val="20"/>
          <w:color w:val="auto"/>
        </w:rPr>
      </w:pPr>
      <w:r>
        <w:rPr>
          <w:rFonts w:ascii="Arial" w:cs="Arial" w:eastAsia="Arial" w:hAnsi="Arial"/>
          <w:sz w:val="16"/>
          <w:szCs w:val="16"/>
          <w:color w:val="auto"/>
        </w:rPr>
        <w:t>Under Bermuda law, our articles of association and bye-laws and certain indemnification agreements to which we are a party, we have an obligation to indemnify, or we have otherwise agreed to indemnify, certain of our current and former directors and officers with respect to current and future investigations and litigation, including the matters discussed in Part II-Item 1, “Legal Proceedings” of this Quarterly Report on Form 10-Q. In connection with some of these pending matters, we are required to, or we have otherwise agreed to, advance, and have advanced, legal fees and related expenses to certain of our current and former directors and officers and expect to continue to do so while these matters are pending. Certain of these obligations may not be “covered matters” under our directors’ and officers’ liability insurance, or there may be insufficient coverage available. Further, in the event the directors and officers are ultimately determined not to be entitled to indemnification, we may not be able to recover the amounts we previously advanced to them.</w:t>
      </w:r>
    </w:p>
    <w:p>
      <w:pPr>
        <w:spacing w:after="0" w:line="167" w:lineRule="exact"/>
        <w:rPr>
          <w:sz w:val="20"/>
          <w:szCs w:val="20"/>
          <w:color w:val="auto"/>
        </w:rPr>
      </w:pPr>
    </w:p>
    <w:p>
      <w:pPr>
        <w:ind w:right="60" w:firstLine="378"/>
        <w:spacing w:after="0" w:line="270" w:lineRule="auto"/>
        <w:rPr>
          <w:sz w:val="20"/>
          <w:szCs w:val="20"/>
          <w:color w:val="auto"/>
        </w:rPr>
      </w:pPr>
      <w:r>
        <w:rPr>
          <w:rFonts w:ascii="Arial" w:cs="Arial" w:eastAsia="Arial" w:hAnsi="Arial"/>
          <w:sz w:val="17"/>
          <w:szCs w:val="17"/>
          <w:color w:val="auto"/>
        </w:rPr>
        <w:t>In addition, we have incurred significant expenses in connection with the Audit Committee’s independent investigation, the pending government investigations, and shareholder litigation, including a shareholder lawsuit that will likely subject us to significant legal expenses during fiscal 2018. We cannot provide any assurances that pending claims, or claims yet to arise,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Accordingly, we cannot be sure that claims will not arise that are in excess of the limits of our insurance or that are not covered by the terms of our insurance policy. Due to these coverage limitations, we may incur significant unreimbursed costs to satisfy our indemnification obligations, which may have a material adverse effect on our financial condition, results of operations or cash flows.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225" w:lineRule="exact"/>
        <w:rPr>
          <w:sz w:val="20"/>
          <w:szCs w:val="20"/>
          <w:color w:val="auto"/>
        </w:rPr>
      </w:pPr>
    </w:p>
    <w:p>
      <w:pPr>
        <w:ind w:right="200" w:firstLine="378"/>
        <w:spacing w:after="0" w:line="264" w:lineRule="auto"/>
        <w:rPr>
          <w:sz w:val="20"/>
          <w:szCs w:val="20"/>
          <w:color w:val="auto"/>
        </w:rPr>
      </w:pPr>
      <w:r>
        <w:rPr>
          <w:rFonts w:ascii="Arial" w:cs="Arial" w:eastAsia="Arial" w:hAnsi="Arial"/>
          <w:sz w:val="18"/>
          <w:szCs w:val="18"/>
          <w:color w:val="auto"/>
        </w:rPr>
        <w:t>From time to time, we have experienced hardware and software defects and bugs associated with the introduction of our highly complex products. Despite our testing procedures, we cannot ensure that errors will not be found in new products or releases after commencement of commercial shipments in the future. Such errors could result in:</w:t>
      </w:r>
    </w:p>
    <w:p>
      <w:pPr>
        <w:spacing w:after="0" w:line="181" w:lineRule="exact"/>
        <w:rPr>
          <w:sz w:val="20"/>
          <w:szCs w:val="20"/>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delay in revenue recognition or loss of revenue;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11" w:lineRule="exact"/>
        <w:rPr>
          <w:sz w:val="20"/>
          <w:szCs w:val="20"/>
          <w:color w:val="auto"/>
        </w:rPr>
      </w:pPr>
    </w:p>
    <w:p>
      <w:pPr>
        <w:jc w:val="both"/>
        <w:ind w:right="240"/>
        <w:spacing w:after="0" w:line="312" w:lineRule="auto"/>
        <w:rPr>
          <w:sz w:val="20"/>
          <w:szCs w:val="20"/>
          <w:color w:val="auto"/>
        </w:rPr>
      </w:pPr>
      <w:r>
        <w:rPr>
          <w:rFonts w:ascii="Arial" w:cs="Arial" w:eastAsia="Arial" w:hAnsi="Arial"/>
          <w:sz w:val="16"/>
          <w:szCs w:val="16"/>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147"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b w:val="1"/>
          <w:bCs w:val="1"/>
          <w:i w:val="1"/>
          <w:iCs w:val="1"/>
          <w:color w:val="auto"/>
        </w:rPr>
        <w:t>*We have experienced a significant transition at the executive management level in the last 18 months. If our new executive team is unable to engage and align mid-management or attract and retain the key talent needed for us to timely achieve our business objectives, our business and results of operations could be harmed.</w:t>
      </w:r>
    </w:p>
    <w:p>
      <w:pPr>
        <w:spacing w:after="0" w:line="181"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color w:val="auto"/>
        </w:rPr>
        <w:t>Following the departure of our co-founders in April 2016 and the reconstitution of board of directors shortly thereafter in connection with our agreement with Starboard Value LLC, the company’s executive management team subsequently went through a complete transition, including the hiring of a new President and CEO, Chief Financial Officer, Chief Accounting Officer and Controller, Chief Operations Officer, Chief Technology Officer, Chief Administration and Legal Officer, Executive Vice President of Worldwide Sales and Marketing and the appointment of new leaders for our corporate development organization and our storage, and networking and connectivity groups. At the time of the filing of this Quarterly Report on Form 10-Q, our President and Chief Executive Officer has been employed by the company just over sixteen months. While the individual members of our executive management team each have significant industry-related experience, they previously had not worked together as a group and it will take time for them to become an integrated management team. Delays in the integration of our management team could affect our ability to implement our business strategy, which could have a material adverse effect on our business and results of operations.</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140" w:right="239" w:bottom="1440" w:gutter="0" w:footer="0" w:header="0"/>
        </w:sectPr>
      </w:pPr>
    </w:p>
    <w:bookmarkStart w:id="43" w:name="page44"/>
    <w:bookmarkEnd w:id="4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240"/>
        <w:spacing w:after="0" w:line="297" w:lineRule="auto"/>
        <w:rPr>
          <w:sz w:val="20"/>
          <w:szCs w:val="20"/>
          <w:color w:val="auto"/>
        </w:rPr>
      </w:pPr>
      <w:r>
        <w:rPr>
          <w:rFonts w:ascii="Arial" w:cs="Arial" w:eastAsia="Arial" w:hAnsi="Arial"/>
          <w:sz w:val="16"/>
          <w:szCs w:val="16"/>
          <w:color w:val="auto"/>
        </w:rPr>
        <w:t>If any of the members of our current management team were to leave our company unexpectedly, we could face substantial difficulty in hiring qualified successors. The marketplace for senior executive management candidates is very competitive and limited, particularly in the Silicon Valley where our U.S. operations are based. Our growth may be adversely impacted if we are unable to attract, retain and motivate such key employees. Turnover of senior management can adversely impact our stock price, our results of operations and our client relationships, and has made recruiting for future management positions more difficult. Competition for senior leadership may increase our compensation expenses, which may negatively affect our profitability.</w:t>
      </w:r>
    </w:p>
    <w:p>
      <w:pPr>
        <w:spacing w:after="0" w:line="158" w:lineRule="exact"/>
        <w:rPr>
          <w:sz w:val="20"/>
          <w:szCs w:val="20"/>
          <w:color w:val="auto"/>
        </w:rPr>
      </w:pPr>
    </w:p>
    <w:p>
      <w:pPr>
        <w:ind w:right="80"/>
        <w:spacing w:after="0" w:line="381" w:lineRule="auto"/>
        <w:rPr>
          <w:sz w:val="20"/>
          <w:szCs w:val="20"/>
          <w:color w:val="auto"/>
        </w:rPr>
      </w:pPr>
      <w:r>
        <w:rPr>
          <w:rFonts w:ascii="Arial" w:cs="Arial" w:eastAsia="Arial" w:hAnsi="Arial"/>
          <w:sz w:val="15"/>
          <w:szCs w:val="15"/>
          <w:b w:val="1"/>
          <w:bCs w:val="1"/>
          <w:i w:val="1"/>
          <w:iCs w:val="1"/>
          <w:color w:val="auto"/>
        </w:rPr>
        <w:t>*We depend on highly skilled engineering and sales and marketing personnel to support our business operations. If we are unable to retain and motivate our current personnel or attract additional qualified personnel, our ability to develop and successfully market our products could be harmed.</w:t>
      </w:r>
    </w:p>
    <w:p>
      <w:pPr>
        <w:spacing w:after="0" w:line="101" w:lineRule="exact"/>
        <w:rPr>
          <w:sz w:val="20"/>
          <w:szCs w:val="20"/>
          <w:color w:val="auto"/>
        </w:rPr>
      </w:pPr>
    </w:p>
    <w:p>
      <w:pPr>
        <w:ind w:right="20" w:firstLine="378"/>
        <w:spacing w:after="0" w:line="255"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both in the Silicon Valley where our U.S. operations are based and in global markets in which we operate. Our inability to attract qualified personnel, including hardware and software engineers and sales and marketing personnel, could delay the development and introduction of, and harm our ability to sell, our products. Changes to United States immigration policies that restrict our ability to attract and retain technical personnel may negatively affect our research and development efforts.</w:t>
      </w:r>
    </w:p>
    <w:p>
      <w:pPr>
        <w:spacing w:after="0" w:line="193" w:lineRule="exact"/>
        <w:rPr>
          <w:sz w:val="20"/>
          <w:szCs w:val="20"/>
          <w:color w:val="auto"/>
        </w:rPr>
      </w:pPr>
    </w:p>
    <w:p>
      <w:pPr>
        <w:ind w:right="100" w:firstLine="378"/>
        <w:spacing w:after="0" w:line="255" w:lineRule="auto"/>
        <w:rPr>
          <w:sz w:val="20"/>
          <w:szCs w:val="20"/>
          <w:color w:val="auto"/>
        </w:rPr>
      </w:pPr>
      <w:r>
        <w:rPr>
          <w:rFonts w:ascii="Arial" w:cs="Arial" w:eastAsia="Arial" w:hAnsi="Arial"/>
          <w:sz w:val="18"/>
          <w:szCs w:val="18"/>
          <w:color w:val="auto"/>
        </w:rPr>
        <w:t>We typically do not enter into employment agreements with any of our key technical personnel and the loss of such personnel could harm our business, as their knowledge of our business and industry would be extremely difficult to replace. The impact on employee morale experienced in connection with our recent restructuring efforts, which eliminated approximately 900 jobs worldwide, could make it more difficult for us to add to our workforce when needed due to speculation regarding our future restructuring activities. In addition, our recently announced merger with Cavium, Inc. may cause our current and prospective employees to experience uncertainty about their futures that may impair our ability to retain, recruit or motivate key management, engineering, technical and other personnel.</w:t>
      </w:r>
    </w:p>
    <w:p>
      <w:pPr>
        <w:spacing w:after="0" w:line="193" w:lineRule="exact"/>
        <w:rPr>
          <w:sz w:val="20"/>
          <w:szCs w:val="20"/>
          <w:color w:val="auto"/>
        </w:rPr>
      </w:pPr>
    </w:p>
    <w:p>
      <w:pPr>
        <w:ind w:right="300"/>
        <w:spacing w:after="0" w:line="264" w:lineRule="auto"/>
        <w:rPr>
          <w:sz w:val="20"/>
          <w:szCs w:val="20"/>
          <w:color w:val="auto"/>
        </w:rPr>
      </w:pPr>
      <w:r>
        <w:rPr>
          <w:rFonts w:ascii="Arial" w:cs="Arial" w:eastAsia="Arial" w:hAnsi="Arial"/>
          <w:sz w:val="18"/>
          <w:szCs w:val="18"/>
          <w:b w:val="1"/>
          <w:bCs w:val="1"/>
          <w:i w:val="1"/>
          <w:iCs w:val="1"/>
          <w:color w:val="auto"/>
        </w:rPr>
        <w:t>*We rely upon the performance of our information technology systems to process, transmit, store and protect electronic information. The failure of or security breaches of any of our critical information technology systems may result in serious harm to our reputation, business, results of operations and/or financial condition.</w:t>
      </w:r>
    </w:p>
    <w:p>
      <w:pPr>
        <w:spacing w:after="0" w:line="181"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business partners. These information technology systems are subject to damage or interruption from a number of potential sources, including, but not limited to, natural disasters, viruses, destructive or inadequate code, malware, power failures, cyber-attacks, internal malfeasance or other events. We have implemented processes for systems under our control intended to mitigate risks; however, we can provide no guarantee that those risk mitigation measures will be effective. Given the frequency of cyber-attacks and resulting breaches reported by other businesses and governments, it is likely we will experience one or more breaches of some extent in the future. We may incur significant costs in order to implement, maintain and/or update security systems we feel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 To the extent that any system failure, accident or security breach results in material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right="140" w:firstLine="378"/>
        <w:spacing w:after="0" w:line="25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200" w:lineRule="exact"/>
        <w:rPr>
          <w:sz w:val="20"/>
          <w:szCs w:val="20"/>
          <w:color w:val="auto"/>
        </w:rPr>
      </w:pPr>
    </w:p>
    <w:p>
      <w:pPr>
        <w:spacing w:after="0" w:line="2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400"/>
          </w:cols>
          <w:pgMar w:left="240" w:top="140" w:right="259" w:bottom="1440" w:gutter="0" w:footer="0" w:header="0"/>
        </w:sectPr>
      </w:pPr>
    </w:p>
    <w:bookmarkStart w:id="44" w:name="page45"/>
    <w:bookmarkEnd w:id="44"/>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firstLine="378"/>
        <w:spacing w:after="0" w:line="271" w:lineRule="auto"/>
        <w:rPr>
          <w:sz w:val="20"/>
          <w:szCs w:val="20"/>
          <w:color w:val="auto"/>
        </w:rPr>
      </w:pPr>
      <w:r>
        <w:rPr>
          <w:rFonts w:ascii="Arial" w:cs="Arial" w:eastAsia="Arial" w:hAnsi="Arial"/>
          <w:sz w:val="17"/>
          <w:szCs w:val="17"/>
          <w:color w:val="auto"/>
        </w:rPr>
        <w:t>We rely on a combination of patents, copyrights, trademarks, trade secret laws, contractual provisions, confidentiality agreements, licenses and other methods, to protect our proprietary technologies. We also enter into confidentiality or license agreements with our employees, consultants and business partners, and control access to and distribution of our documentation and other proprietary information. Notwithstanding these agreements, we have experienced disputes with employees regarding ownership of intellectual property in the past. For instance, we have had a dispute with Dr. Sehat Sutardja, our former Chief Executive Officer and a former member of our board of directors, related to his stated belief of ownership of certain patent rights related to the Final-Level Cache invention and his later assignment of associated patent rights to Marvell. Our Audit Committee investigated this claim and concluded that the FLC invention was owned by the Company. To the extent that any third party has a claim to ownership of any relevant technologies used in our products, we may not be able to recognize the full revenue stream from such relevant technologies.</w:t>
      </w:r>
    </w:p>
    <w:p>
      <w:pPr>
        <w:spacing w:after="0" w:line="179" w:lineRule="exact"/>
        <w:rPr>
          <w:sz w:val="20"/>
          <w:szCs w:val="20"/>
          <w:color w:val="auto"/>
        </w:rPr>
      </w:pPr>
    </w:p>
    <w:p>
      <w:pPr>
        <w:ind w:right="80" w:firstLine="378"/>
        <w:spacing w:after="0" w:line="290" w:lineRule="auto"/>
        <w:rPr>
          <w:sz w:val="20"/>
          <w:szCs w:val="20"/>
          <w:color w:val="auto"/>
        </w:rPr>
      </w:pPr>
      <w:r>
        <w:rPr>
          <w:rFonts w:ascii="Arial" w:cs="Arial" w:eastAsia="Arial" w:hAnsi="Arial"/>
          <w:sz w:val="16"/>
          <w:szCs w:val="16"/>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w:t>
      </w:r>
    </w:p>
    <w:p>
      <w:pPr>
        <w:spacing w:after="0" w:line="166" w:lineRule="exact"/>
        <w:rPr>
          <w:sz w:val="20"/>
          <w:szCs w:val="20"/>
          <w:color w:val="auto"/>
        </w:rPr>
      </w:pPr>
    </w:p>
    <w:p>
      <w:pPr>
        <w:ind w:right="20"/>
        <w:spacing w:after="0" w:line="27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179" w:lineRule="exact"/>
        <w:rPr>
          <w:sz w:val="20"/>
          <w:szCs w:val="20"/>
          <w:color w:val="auto"/>
        </w:rPr>
      </w:pPr>
    </w:p>
    <w:p>
      <w:pPr>
        <w:spacing w:after="0" w:line="264" w:lineRule="auto"/>
        <w:rPr>
          <w:sz w:val="20"/>
          <w:szCs w:val="20"/>
          <w:color w:val="auto"/>
        </w:rPr>
      </w:pPr>
      <w:r>
        <w:rPr>
          <w:rFonts w:ascii="Arial" w:cs="Arial" w:eastAsia="Arial" w:hAnsi="Arial"/>
          <w:sz w:val="18"/>
          <w:szCs w:val="18"/>
          <w:b w:val="1"/>
          <w:bCs w:val="1"/>
          <w:i w:val="1"/>
          <w:iCs w:val="1"/>
          <w:color w:val="auto"/>
        </w:rPr>
        <w:t>We are subject to order and shipment uncertainties. If we are unable to accurately predict customer demand, we may hold excess or obsolete inventory, which would reduce our gross margin. Conversely, we may have insufficient inventory, which would result in lost revenue opportunities and potential loss of market share as well as damaged customer relationships.</w:t>
      </w:r>
    </w:p>
    <w:p>
      <w:pPr>
        <w:spacing w:after="0" w:line="181" w:lineRule="exact"/>
        <w:rPr>
          <w:sz w:val="20"/>
          <w:szCs w:val="20"/>
          <w:color w:val="auto"/>
        </w:rPr>
      </w:pPr>
    </w:p>
    <w:p>
      <w:pPr>
        <w:ind w:firstLine="378"/>
        <w:spacing w:after="0" w:line="293"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w:t>
      </w:r>
    </w:p>
    <w:p>
      <w:pPr>
        <w:spacing w:after="0" w:line="165" w:lineRule="exact"/>
        <w:rPr>
          <w:sz w:val="20"/>
          <w:szCs w:val="20"/>
          <w:color w:val="auto"/>
        </w:rPr>
      </w:pPr>
    </w:p>
    <w:p>
      <w:pPr>
        <w:ind w:right="40" w:firstLine="378"/>
        <w:spacing w:after="0" w:line="273" w:lineRule="auto"/>
        <w:rPr>
          <w:sz w:val="20"/>
          <w:szCs w:val="20"/>
          <w:color w:val="auto"/>
        </w:rPr>
      </w:pPr>
      <w:r>
        <w:rPr>
          <w:rFonts w:ascii="Arial" w:cs="Arial" w:eastAsia="Arial" w:hAnsi="Arial"/>
          <w:sz w:val="17"/>
          <w:szCs w:val="17"/>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integrated circuits prior to completion, which makes it even more difficult to forecast customer demand.</w:t>
      </w:r>
    </w:p>
    <w:p>
      <w:pPr>
        <w:spacing w:after="0" w:line="200" w:lineRule="exact"/>
        <w:rPr>
          <w:sz w:val="20"/>
          <w:szCs w:val="20"/>
          <w:color w:val="auto"/>
        </w:rPr>
      </w:pPr>
    </w:p>
    <w:p>
      <w:pPr>
        <w:spacing w:after="0" w:line="22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00"/>
          </w:cols>
          <w:pgMar w:left="240" w:top="140" w:right="259" w:bottom="1440" w:gutter="0" w:footer="0" w:header="0"/>
        </w:sectPr>
      </w:pPr>
    </w:p>
    <w:bookmarkStart w:id="45" w:name="page46"/>
    <w:bookmarkEnd w:id="45"/>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20" w:firstLine="378"/>
        <w:spacing w:after="0" w:line="257"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88"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193"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170" w:lineRule="exact"/>
        <w:rPr>
          <w:sz w:val="20"/>
          <w:szCs w:val="20"/>
          <w:color w:val="auto"/>
        </w:rPr>
      </w:pPr>
    </w:p>
    <w:p>
      <w:pPr>
        <w:ind w:firstLine="378"/>
        <w:spacing w:after="0" w:line="255"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193" w:lineRule="exact"/>
        <w:rPr>
          <w:sz w:val="20"/>
          <w:szCs w:val="20"/>
          <w:color w:val="auto"/>
        </w:rPr>
      </w:pPr>
    </w:p>
    <w:p>
      <w:pPr>
        <w:ind w:right="280"/>
        <w:spacing w:after="0" w:line="264" w:lineRule="auto"/>
        <w:rPr>
          <w:sz w:val="20"/>
          <w:szCs w:val="20"/>
          <w:color w:val="auto"/>
        </w:rPr>
      </w:pPr>
      <w:r>
        <w:rPr>
          <w:rFonts w:ascii="Arial" w:cs="Arial" w:eastAsia="Arial" w:hAnsi="Arial"/>
          <w:sz w:val="18"/>
          <w:szCs w:val="18"/>
          <w:b w:val="1"/>
          <w:bCs w:val="1"/>
          <w:i w:val="1"/>
          <w:iCs w:val="1"/>
          <w:color w:val="auto"/>
        </w:rPr>
        <w:t>We face additional risks due to the extent of our global operations since a majority of our products, and those of our customers, are manufactured and sold outside of the United States. The occurrence of any or a combination of the additional risks described below would significantly and negatively impact our business and results of operations.</w:t>
      </w:r>
    </w:p>
    <w:p>
      <w:pPr>
        <w:spacing w:after="0" w:line="181" w:lineRule="exact"/>
        <w:rPr>
          <w:sz w:val="20"/>
          <w:szCs w:val="20"/>
          <w:color w:val="auto"/>
        </w:rPr>
      </w:pPr>
    </w:p>
    <w:p>
      <w:pPr>
        <w:ind w:right="20" w:firstLine="378"/>
        <w:spacing w:after="0" w:line="255" w:lineRule="auto"/>
        <w:rPr>
          <w:sz w:val="20"/>
          <w:szCs w:val="20"/>
          <w:color w:val="auto"/>
        </w:rPr>
      </w:pPr>
      <w:r>
        <w:rPr>
          <w:rFonts w:ascii="Arial" w:cs="Arial" w:eastAsia="Arial" w:hAnsi="Arial"/>
          <w:sz w:val="18"/>
          <w:szCs w:val="18"/>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shipped to customers with operations in Asia represented approximately 94% of our net revenue in the nine months ended October 28, 2017, 94% of our net revenue in fiscal 2017 and 96% of net revenue in fiscal 2016.</w:t>
      </w:r>
    </w:p>
    <w:p>
      <w:pPr>
        <w:spacing w:after="0" w:line="193" w:lineRule="exact"/>
        <w:rPr>
          <w:sz w:val="20"/>
          <w:szCs w:val="20"/>
          <w:color w:val="auto"/>
        </w:rPr>
      </w:pPr>
    </w:p>
    <w:p>
      <w:pPr>
        <w:ind w:right="20" w:firstLine="378"/>
        <w:spacing w:after="0" w:line="259" w:lineRule="auto"/>
        <w:rPr>
          <w:sz w:val="20"/>
          <w:szCs w:val="20"/>
          <w:color w:val="auto"/>
        </w:rPr>
      </w:pPr>
      <w:r>
        <w:rPr>
          <w:rFonts w:ascii="Arial" w:cs="Arial" w:eastAsia="Arial" w:hAnsi="Arial"/>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periodically affecting the region that could affect our operations there. We anticipate that our manufacturing, assembly, testing and sales outside of the United States will continue to account for a substantial portion of our operations and revenue in future periods.</w:t>
      </w:r>
    </w:p>
    <w:p>
      <w:pPr>
        <w:spacing w:after="0" w:line="187" w:lineRule="exact"/>
        <w:rPr>
          <w:sz w:val="20"/>
          <w:szCs w:val="20"/>
          <w:color w:val="auto"/>
        </w:rPr>
      </w:pPr>
    </w:p>
    <w:p>
      <w:pPr>
        <w:ind w:left="38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225" w:lineRule="exact"/>
        <w:rPr>
          <w:sz w:val="20"/>
          <w:szCs w:val="20"/>
          <w:color w:val="auto"/>
        </w:rPr>
      </w:pPr>
    </w:p>
    <w:p>
      <w:pPr>
        <w:ind w:left="820" w:hanging="420"/>
        <w:spacing w:after="0"/>
        <w:tabs>
          <w:tab w:leader="none" w:pos="820" w:val="left"/>
        </w:tabs>
        <w:numPr>
          <w:ilvl w:val="0"/>
          <w:numId w:val="20"/>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248" w:lineRule="exact"/>
        <w:rPr>
          <w:rFonts w:ascii="Arial" w:cs="Arial" w:eastAsia="Arial" w:hAnsi="Arial"/>
          <w:sz w:val="16"/>
          <w:szCs w:val="16"/>
          <w:color w:val="auto"/>
        </w:rPr>
      </w:pPr>
    </w:p>
    <w:p>
      <w:pPr>
        <w:ind w:left="820" w:right="440" w:hanging="420"/>
        <w:spacing w:after="0" w:line="277" w:lineRule="auto"/>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in which some competitors may become more aggressive in their pricing practices, which would adversely impact our gross margin;</w:t>
      </w:r>
    </w:p>
    <w:p>
      <w:pPr>
        <w:spacing w:after="0" w:line="170" w:lineRule="exact"/>
        <w:rPr>
          <w:rFonts w:ascii="Arial" w:cs="Arial" w:eastAsia="Arial" w:hAnsi="Arial"/>
          <w:sz w:val="18"/>
          <w:szCs w:val="18"/>
          <w:color w:val="auto"/>
        </w:rPr>
      </w:pPr>
    </w:p>
    <w:p>
      <w:pPr>
        <w:ind w:left="820" w:right="720" w:hanging="420"/>
        <w:spacing w:after="0" w:line="277" w:lineRule="auto"/>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pending changes thereto, and difficulties in obtaining and complying with domestic and foreign export, import and other governmental approvals, permits and licenses;</w:t>
      </w:r>
    </w:p>
    <w:p>
      <w:pPr>
        <w:spacing w:after="0" w:line="170" w:lineRule="exact"/>
        <w:rPr>
          <w:rFonts w:ascii="Arial" w:cs="Arial" w:eastAsia="Arial" w:hAnsi="Arial"/>
          <w:sz w:val="18"/>
          <w:szCs w:val="18"/>
          <w:color w:val="auto"/>
        </w:rPr>
      </w:pPr>
    </w:p>
    <w:p>
      <w:pPr>
        <w:ind w:left="820" w:right="60" w:hanging="420"/>
        <w:spacing w:after="0" w:line="277" w:lineRule="auto"/>
        <w:tabs>
          <w:tab w:leader="none" w:pos="82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in which we are prohibited from engaging by the Foreign Corrupt Practices Act and other anti-corruption laws and regulations;</w:t>
      </w:r>
    </w:p>
    <w:p>
      <w:pPr>
        <w:spacing w:after="0" w:line="200" w:lineRule="exact"/>
        <w:rPr>
          <w:sz w:val="20"/>
          <w:szCs w:val="20"/>
          <w:color w:val="auto"/>
        </w:rPr>
      </w:pPr>
    </w:p>
    <w:p>
      <w:pPr>
        <w:spacing w:after="0" w:line="2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140" w:right="239" w:bottom="1440" w:gutter="0" w:footer="0" w:header="0"/>
        </w:sectPr>
      </w:pPr>
    </w:p>
    <w:bookmarkStart w:id="46" w:name="page47"/>
    <w:bookmarkEnd w:id="46"/>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left="820" w:hanging="420"/>
        <w:spacing w:after="0"/>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225" w:lineRule="exact"/>
        <w:rPr>
          <w:rFonts w:ascii="Arial" w:cs="Arial" w:eastAsia="Arial" w:hAnsi="Arial"/>
          <w:sz w:val="18"/>
          <w:szCs w:val="18"/>
          <w:color w:val="auto"/>
        </w:rPr>
      </w:pPr>
    </w:p>
    <w:p>
      <w:pPr>
        <w:ind w:left="820" w:right="440" w:hanging="420"/>
        <w:spacing w:after="0" w:line="277" w:lineRule="auto"/>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trade restrictions, higher tariffs, or changes in cross border taxation, particularly in light of the prospect of changes in U.S. international trade policies following the recent U.S. presidential election;</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21"/>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225" w:lineRule="exact"/>
        <w:rPr>
          <w:sz w:val="20"/>
          <w:szCs w:val="20"/>
          <w:color w:val="auto"/>
        </w:rPr>
      </w:pPr>
    </w:p>
    <w:p>
      <w:pPr>
        <w:ind w:right="460" w:firstLine="378"/>
        <w:spacing w:after="0" w:line="302" w:lineRule="auto"/>
        <w:rPr>
          <w:sz w:val="20"/>
          <w:szCs w:val="20"/>
          <w:color w:val="auto"/>
        </w:rPr>
      </w:pPr>
      <w:r>
        <w:rPr>
          <w:rFonts w:ascii="Arial" w:cs="Arial" w:eastAsia="Arial" w:hAnsi="Arial"/>
          <w:sz w:val="16"/>
          <w:szCs w:val="16"/>
          <w:color w:val="auto"/>
        </w:rPr>
        <w:t>As a result of having global operations, the sudden disruption of the supply chain and/or disruption of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54" w:lineRule="exact"/>
        <w:rPr>
          <w:sz w:val="20"/>
          <w:szCs w:val="20"/>
          <w:color w:val="auto"/>
        </w:rPr>
      </w:pPr>
    </w:p>
    <w:p>
      <w:pPr>
        <w:ind w:right="460" w:firstLine="378"/>
        <w:spacing w:after="0" w:line="264"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manufacturers have significant costs, will increase the cost of such operations which could harm our results of operations.</w:t>
      </w:r>
    </w:p>
    <w:p>
      <w:pPr>
        <w:spacing w:after="0" w:line="181" w:lineRule="exact"/>
        <w:rPr>
          <w:sz w:val="20"/>
          <w:szCs w:val="20"/>
          <w:color w:val="auto"/>
        </w:rPr>
      </w:pPr>
    </w:p>
    <w:p>
      <w:pPr>
        <w:ind w:right="680"/>
        <w:spacing w:after="0" w:line="277" w:lineRule="auto"/>
        <w:rPr>
          <w:sz w:val="20"/>
          <w:szCs w:val="20"/>
          <w:color w:val="auto"/>
        </w:rPr>
      </w:pPr>
      <w:r>
        <w:rPr>
          <w:rFonts w:ascii="Arial" w:cs="Arial" w:eastAsia="Arial" w:hAnsi="Arial"/>
          <w:sz w:val="18"/>
          <w:szCs w:val="18"/>
          <w:b w:val="1"/>
          <w:bCs w:val="1"/>
          <w:i w:val="1"/>
          <w:iCs w:val="1"/>
          <w:color w:val="auto"/>
        </w:rPr>
        <w:t>We must comply with a variety of existing and future laws and regulations that could impose substantial costs on us and may adversely affect our business.</w:t>
      </w:r>
    </w:p>
    <w:p>
      <w:pPr>
        <w:spacing w:after="0" w:line="170" w:lineRule="exact"/>
        <w:rPr>
          <w:sz w:val="20"/>
          <w:szCs w:val="20"/>
          <w:color w:val="auto"/>
        </w:rPr>
      </w:pPr>
    </w:p>
    <w:p>
      <w:pPr>
        <w:ind w:right="60" w:firstLine="378"/>
        <w:spacing w:after="0" w:line="255"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93" w:lineRule="exact"/>
        <w:rPr>
          <w:sz w:val="20"/>
          <w:szCs w:val="20"/>
          <w:color w:val="auto"/>
        </w:rPr>
      </w:pPr>
    </w:p>
    <w:p>
      <w:pPr>
        <w:ind w:firstLine="378"/>
        <w:spacing w:after="0" w:line="286" w:lineRule="auto"/>
        <w:rPr>
          <w:sz w:val="20"/>
          <w:szCs w:val="20"/>
          <w:color w:val="auto"/>
        </w:rPr>
      </w:pPr>
      <w:r>
        <w:rPr>
          <w:rFonts w:ascii="Arial" w:cs="Arial" w:eastAsia="Arial" w:hAnsi="Arial"/>
          <w:sz w:val="17"/>
          <w:szCs w:val="17"/>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66" w:lineRule="exact"/>
        <w:rPr>
          <w:sz w:val="20"/>
          <w:szCs w:val="20"/>
          <w:color w:val="auto"/>
        </w:rPr>
      </w:pPr>
    </w:p>
    <w:p>
      <w:pPr>
        <w:ind w:right="40" w:firstLine="378"/>
        <w:spacing w:after="0" w:line="294" w:lineRule="auto"/>
        <w:rPr>
          <w:sz w:val="20"/>
          <w:szCs w:val="20"/>
          <w:color w:val="auto"/>
        </w:rPr>
      </w:pPr>
      <w:r>
        <w:rPr>
          <w:rFonts w:ascii="Arial" w:cs="Arial" w:eastAsia="Arial" w:hAnsi="Arial"/>
          <w:sz w:val="16"/>
          <w:szCs w:val="16"/>
          <w:color w:val="auto"/>
        </w:rPr>
        <w:t>We are also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w:t>
      </w:r>
      <w:r>
        <w:rPr>
          <w:rFonts w:ascii="Arial" w:cs="Arial" w:eastAsia="Arial" w:hAnsi="Arial"/>
          <w:sz w:val="13"/>
          <w:szCs w:val="13"/>
          <w:color w:val="auto"/>
        </w:rPr>
        <w:t>.</w:t>
      </w:r>
      <w:r>
        <w:rPr>
          <w:rFonts w:ascii="Arial" w:cs="Arial" w:eastAsia="Arial" w:hAnsi="Arial"/>
          <w:sz w:val="16"/>
          <w:szCs w:val="16"/>
          <w:color w:val="auto"/>
        </w:rPr>
        <w:t xml:space="preserve">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64" w:lineRule="exact"/>
        <w:rPr>
          <w:sz w:val="20"/>
          <w:szCs w:val="20"/>
          <w:color w:val="auto"/>
        </w:rPr>
      </w:pPr>
    </w:p>
    <w:p>
      <w:pPr>
        <w:ind w:right="160" w:firstLine="378"/>
        <w:spacing w:after="0" w:line="264"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00" w:lineRule="exact"/>
        <w:rPr>
          <w:sz w:val="20"/>
          <w:szCs w:val="20"/>
          <w:color w:val="auto"/>
        </w:rPr>
      </w:pP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140" w:right="239" w:bottom="1440" w:gutter="0" w:footer="0" w:header="0"/>
        </w:sectPr>
      </w:pPr>
    </w:p>
    <w:bookmarkStart w:id="47" w:name="page48"/>
    <w:bookmarkEnd w:id="47"/>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225" w:lineRule="exact"/>
        <w:rPr>
          <w:sz w:val="20"/>
          <w:szCs w:val="20"/>
          <w:color w:val="auto"/>
        </w:rPr>
      </w:pPr>
    </w:p>
    <w:p>
      <w:pPr>
        <w:ind w:right="20" w:firstLine="378"/>
        <w:spacing w:after="0" w:line="268" w:lineRule="auto"/>
        <w:rPr>
          <w:sz w:val="20"/>
          <w:szCs w:val="20"/>
          <w:color w:val="auto"/>
        </w:rPr>
      </w:pPr>
      <w:r>
        <w:rPr>
          <w:rFonts w:ascii="Arial" w:cs="Arial" w:eastAsia="Arial" w:hAnsi="Arial"/>
          <w:sz w:val="17"/>
          <w:szCs w:val="17"/>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until June 2019. Furthermore, under the Israeli Encouragement law of “approved or benefited enterprise,” two branches of our subsidiary in Israel, Marvell Israel (M.I.S.L) Ltd., are entitled to, and have certain existing programs that qualify as, approved and benefited tax programs that include reduced tax rates and exemption of certain income through fiscal 2027. Moreover, receipt of past and future benefits under tax agreements may depend on our ability to fulfill commitments regarding employment of personnel or performance of specified activities in the applicable jurisdiction. Changes in our business plans, including divestitures, could result in termination of an agreement or loss of benefits thereunder. If any of our tax agreements in any of these foreign jurisdictions were terminated, our results of operations would be harmed.</w:t>
      </w:r>
    </w:p>
    <w:p>
      <w:pPr>
        <w:spacing w:after="0" w:line="185" w:lineRule="exact"/>
        <w:rPr>
          <w:sz w:val="20"/>
          <w:szCs w:val="20"/>
          <w:color w:val="auto"/>
        </w:rPr>
      </w:pPr>
    </w:p>
    <w:p>
      <w:pPr>
        <w:ind w:firstLine="378"/>
        <w:spacing w:after="0" w:line="273" w:lineRule="auto"/>
        <w:rPr>
          <w:sz w:val="20"/>
          <w:szCs w:val="20"/>
          <w:color w:val="auto"/>
        </w:rPr>
      </w:pPr>
      <w:r>
        <w:rPr>
          <w:rFonts w:ascii="Arial" w:cs="Arial" w:eastAsia="Arial" w:hAnsi="Arial"/>
          <w:sz w:val="17"/>
          <w:szCs w:val="17"/>
          <w:color w:val="auto"/>
        </w:rPr>
        <w:t>The Organization for Economic Cooperation and Development has been working on a Base Erosion and Profit Sharing Project, and issued in 2015, and is expected to continue to issue, guidelines and proposals that may change various aspects of the existing framework under which our tax obligations are determined in some of the countries in which we do business. The European Commission has also conducted investigations in multiple countries focusing on whether local country tax rulings or tax legislation provides preferential tax treatment that violates European Union state aid rules and concluded that certain countries, including Ireland and Belgium, have provided illegal state aid in certain cases. We can provide no assurance that changes in tax laws and additional investigations would not have an adverse tax impact on our international operations.</w:t>
      </w:r>
    </w:p>
    <w:p>
      <w:pPr>
        <w:spacing w:after="0" w:line="178" w:lineRule="exact"/>
        <w:rPr>
          <w:sz w:val="20"/>
          <w:szCs w:val="20"/>
          <w:color w:val="auto"/>
        </w:rPr>
      </w:pPr>
    </w:p>
    <w:p>
      <w:pPr>
        <w:ind w:right="40" w:firstLine="378"/>
        <w:spacing w:after="0" w:line="259" w:lineRule="auto"/>
        <w:rPr>
          <w:sz w:val="20"/>
          <w:szCs w:val="20"/>
          <w:color w:val="auto"/>
        </w:rPr>
      </w:pPr>
      <w:r>
        <w:rPr>
          <w:rFonts w:ascii="Arial" w:cs="Arial" w:eastAsia="Arial" w:hAnsi="Arial"/>
          <w:sz w:val="18"/>
          <w:szCs w:val="18"/>
          <w:color w:val="auto"/>
        </w:rPr>
        <w:t>In addition, the current U.S. administration and key members of Congress have made public statements indicating that tax reform is a priority. Certain changes to U.S. tax laws, including reduction of the U.S. corporate tax rate, expansion of the U.S. tax base by eliminating certain deductions, implementation of a territorial tax system, and addition of a border adjustment mechanism, could have material consequences on the amount of tax we pay in the U.S. and thereby on our financial position and results of operations.</w:t>
      </w:r>
    </w:p>
    <w:p>
      <w:pPr>
        <w:spacing w:after="0" w:line="187" w:lineRule="exact"/>
        <w:rPr>
          <w:sz w:val="20"/>
          <w:szCs w:val="20"/>
          <w:color w:val="auto"/>
        </w:rPr>
      </w:pPr>
    </w:p>
    <w:p>
      <w:pPr>
        <w:ind w:right="120"/>
        <w:spacing w:after="0" w:line="302" w:lineRule="auto"/>
        <w:rPr>
          <w:sz w:val="20"/>
          <w:szCs w:val="20"/>
          <w:color w:val="auto"/>
        </w:rPr>
      </w:pPr>
      <w:r>
        <w:rPr>
          <w:rFonts w:ascii="Arial" w:cs="Arial" w:eastAsia="Arial" w:hAnsi="Arial"/>
          <w:sz w:val="16"/>
          <w:szCs w:val="16"/>
          <w:b w:val="1"/>
          <w:bCs w:val="1"/>
          <w:i w:val="1"/>
          <w:iCs w:val="1"/>
          <w:color w:val="auto"/>
        </w:rPr>
        <w:t>During fiscal 2016 and continuing into the third quarter of fiscal 2018, we identified material weaknesses in our internal controls over financial reporting. If we are unable to develop, implement and maintain effective internal controls in future periods, our consolidated financial statements could contain material misstatements which would cause us to issue a restatement thereof. A restatement of our consolidated financial statements could cause our investors to lose confidence in our reported financial information and lead to a decline in our stock price.</w:t>
      </w:r>
    </w:p>
    <w:p>
      <w:pPr>
        <w:spacing w:after="0" w:line="154" w:lineRule="exact"/>
        <w:rPr>
          <w:sz w:val="20"/>
          <w:szCs w:val="20"/>
          <w:color w:val="auto"/>
        </w:rPr>
      </w:pPr>
    </w:p>
    <w:p>
      <w:pPr>
        <w:ind w:right="80" w:firstLine="378"/>
        <w:spacing w:after="0" w:line="257" w:lineRule="auto"/>
        <w:rPr>
          <w:sz w:val="20"/>
          <w:szCs w:val="20"/>
          <w:color w:val="auto"/>
        </w:rPr>
      </w:pPr>
      <w:r>
        <w:rPr>
          <w:rFonts w:ascii="Arial" w:cs="Arial" w:eastAsia="Arial" w:hAnsi="Arial"/>
          <w:sz w:val="18"/>
          <w:szCs w:val="18"/>
          <w:color w:val="auto"/>
        </w:rPr>
        <w:t>The Sarbanes-Oxley Act of 2002 and SEC rules require that management report on the effectiveness of our internal control over financial reporting and our disclosure controls and procedures. Among other things, management must conduct an assessment of internal control over financial reporting to allow management to report on the effectiveness of our internal control over financial reporting, as required by Section 404 of the Sarbanes-Oxley Act. Based on management’s assessment, we concluded that our internal controls over financial reporting were not effective as of October 28, 2017. The specific material weaknesses are described in Item 4 of this Quarterly Report on Form 10-Q.</w:t>
      </w:r>
    </w:p>
    <w:p>
      <w:pPr>
        <w:spacing w:after="0" w:line="188" w:lineRule="exact"/>
        <w:rPr>
          <w:sz w:val="20"/>
          <w:szCs w:val="20"/>
          <w:color w:val="auto"/>
        </w:rPr>
      </w:pPr>
    </w:p>
    <w:p>
      <w:pPr>
        <w:ind w:right="80" w:firstLine="378"/>
        <w:spacing w:after="0" w:line="273" w:lineRule="auto"/>
        <w:rPr>
          <w:sz w:val="20"/>
          <w:szCs w:val="20"/>
          <w:color w:val="auto"/>
        </w:rPr>
      </w:pPr>
      <w:r>
        <w:rPr>
          <w:rFonts w:ascii="Arial" w:cs="Arial" w:eastAsia="Arial" w:hAnsi="Arial"/>
          <w:sz w:val="17"/>
          <w:szCs w:val="17"/>
          <w:color w:val="auto"/>
        </w:rPr>
        <w:t>A material weakness is a deficiency, or a combination of deficiencies, in internal control over financial reporting, such that there is a reasonable possibility that a material misstatement of our annual or interim consolidated financial statements would not be prevented or detected. As with any material weakness, if our remedial measures are insufficient to address the material weaknesses, or if additional material weaknesses or significant deficiencies in our internal control over financial reporting are discovered or occur in the future, our consolidated financial statements may contain material misstatements. Any material misstatements could result in a restatement of our consolidated financial statements, cause us to fail to meet our reporting obligations or cause investors to lose confidence in our reported financial information, leading to a decline in our stock price.</w:t>
      </w:r>
    </w:p>
    <w:p>
      <w:pPr>
        <w:spacing w:after="0" w:line="200" w:lineRule="exact"/>
        <w:rPr>
          <w:sz w:val="20"/>
          <w:szCs w:val="20"/>
          <w:color w:val="auto"/>
        </w:rPr>
      </w:pPr>
    </w:p>
    <w:p>
      <w:pPr>
        <w:spacing w:after="0" w:line="22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380"/>
          </w:cols>
          <w:pgMar w:left="240" w:top="140" w:right="279" w:bottom="1440" w:gutter="0" w:footer="0" w:header="0"/>
        </w:sectPr>
      </w:pPr>
    </w:p>
    <w:bookmarkStart w:id="48" w:name="page49"/>
    <w:bookmarkEnd w:id="48"/>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160" w:firstLine="392"/>
        <w:spacing w:after="0" w:line="290" w:lineRule="auto"/>
        <w:rPr>
          <w:sz w:val="20"/>
          <w:szCs w:val="20"/>
          <w:color w:val="auto"/>
        </w:rPr>
      </w:pPr>
      <w:r>
        <w:rPr>
          <w:rFonts w:ascii="Arial" w:cs="Arial" w:eastAsia="Arial" w:hAnsi="Arial"/>
          <w:sz w:val="16"/>
          <w:szCs w:val="16"/>
          <w:color w:val="auto"/>
        </w:rPr>
        <w:t>Even when we have remediated our material weaknesses, any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We cannot ensure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reliable financial reports, or to detect and prevent fraud, which would harm our business.</w:t>
      </w:r>
    </w:p>
    <w:p>
      <w:pPr>
        <w:spacing w:after="0" w:line="166" w:lineRule="exact"/>
        <w:rPr>
          <w:sz w:val="20"/>
          <w:szCs w:val="20"/>
          <w:color w:val="auto"/>
        </w:rPr>
      </w:pPr>
    </w:p>
    <w:p>
      <w:pPr>
        <w:ind w:right="60"/>
        <w:spacing w:after="0" w:line="264" w:lineRule="auto"/>
        <w:rPr>
          <w:sz w:val="20"/>
          <w:szCs w:val="20"/>
          <w:color w:val="auto"/>
        </w:rPr>
      </w:pPr>
      <w:r>
        <w:rPr>
          <w:rFonts w:ascii="Arial" w:cs="Arial" w:eastAsia="Arial" w:hAnsi="Arial"/>
          <w:sz w:val="18"/>
          <w:szCs w:val="18"/>
          <w:b w:val="1"/>
          <w:bCs w:val="1"/>
          <w:i w:val="1"/>
          <w:i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181" w:lineRule="exact"/>
        <w:rPr>
          <w:sz w:val="20"/>
          <w:szCs w:val="20"/>
          <w:color w:val="auto"/>
        </w:rPr>
      </w:pPr>
    </w:p>
    <w:p>
      <w:pPr>
        <w:spacing w:after="0" w:line="272" w:lineRule="auto"/>
        <w:rPr>
          <w:sz w:val="20"/>
          <w:szCs w:val="20"/>
          <w:color w:val="auto"/>
        </w:rPr>
      </w:pPr>
      <w:r>
        <w:rPr>
          <w:rFonts w:ascii="Arial" w:cs="Arial" w:eastAsia="Arial" w:hAnsi="Arial"/>
          <w:sz w:val="17"/>
          <w:szCs w:val="17"/>
          <w:color w:val="auto"/>
        </w:rPr>
        <w:t>We have been named as a party to several lawsuits, government inquiries or investigations and other legal proceedings (referred to as “litigation”), and we may be named in additional ones in the future. Please see “Note 9 - Commitments and Contingencies” of our Notes to the Unaudited Condensed Consolidated Financial Statements set forth in Part I, Item I of this Quarterly Report on Form 10-Q for a more detailed description of material litigation matters in which we are currently engaged.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7"/>
          <w:szCs w:val="17"/>
          <w:i w:val="1"/>
          <w:iCs w:val="1"/>
          <w:color w:val="auto"/>
        </w:rPr>
        <w:t>We may be</w:t>
      </w:r>
      <w:r>
        <w:rPr>
          <w:rFonts w:ascii="Arial" w:cs="Arial" w:eastAsia="Arial" w:hAnsi="Arial"/>
          <w:sz w:val="17"/>
          <w:szCs w:val="17"/>
          <w:color w:val="auto"/>
        </w:rPr>
        <w:t xml:space="preserve"> </w:t>
      </w:r>
      <w:r>
        <w:rPr>
          <w:rFonts w:ascii="Arial" w:cs="Arial" w:eastAsia="Arial" w:hAnsi="Arial"/>
          <w:sz w:val="17"/>
          <w:szCs w:val="17"/>
          <w:i w:val="1"/>
          <w:iCs w:val="1"/>
          <w:color w:val="auto"/>
        </w:rPr>
        <w:t>unable to protect our intellectual property, which would negatively affect our ability to compete.”</w:t>
      </w:r>
    </w:p>
    <w:p>
      <w:pPr>
        <w:spacing w:after="0" w:line="178" w:lineRule="exact"/>
        <w:rPr>
          <w:sz w:val="20"/>
          <w:szCs w:val="20"/>
          <w:color w:val="auto"/>
        </w:rPr>
      </w:pPr>
    </w:p>
    <w:p>
      <w:pPr>
        <w:ind w:right="120" w:firstLine="378"/>
        <w:spacing w:after="0" w:line="302"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154" w:lineRule="exact"/>
        <w:rPr>
          <w:sz w:val="20"/>
          <w:szCs w:val="20"/>
          <w:color w:val="auto"/>
        </w:rPr>
      </w:pPr>
    </w:p>
    <w:p>
      <w:pPr>
        <w:ind w:left="820" w:right="260" w:hanging="420"/>
        <w:spacing w:after="0" w:line="277" w:lineRule="auto"/>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225" w:lineRule="exact"/>
        <w:rPr>
          <w:rFonts w:ascii="Arial" w:cs="Arial" w:eastAsia="Arial" w:hAnsi="Arial"/>
          <w:sz w:val="18"/>
          <w:szCs w:val="18"/>
          <w:color w:val="auto"/>
        </w:rPr>
      </w:pPr>
    </w:p>
    <w:p>
      <w:pPr>
        <w:ind w:left="820" w:right="360" w:hanging="420"/>
        <w:spacing w:after="0" w:line="277" w:lineRule="auto"/>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22"/>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248" w:lineRule="exact"/>
        <w:rPr>
          <w:rFonts w:ascii="Arial" w:cs="Arial" w:eastAsia="Arial" w:hAnsi="Arial"/>
          <w:sz w:val="16"/>
          <w:szCs w:val="16"/>
          <w:color w:val="auto"/>
        </w:rPr>
      </w:pPr>
    </w:p>
    <w:p>
      <w:pPr>
        <w:ind w:left="820" w:hanging="420"/>
        <w:spacing w:after="0"/>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ind w:right="120" w:firstLine="378"/>
        <w:spacing w:after="0" w:line="259" w:lineRule="auto"/>
        <w:rPr>
          <w:sz w:val="20"/>
          <w:szCs w:val="20"/>
          <w:color w:val="auto"/>
        </w:rPr>
      </w:pPr>
      <w:r>
        <w:rPr>
          <w:rFonts w:ascii="Arial" w:cs="Arial" w:eastAsia="Arial" w:hAnsi="Arial"/>
          <w:sz w:val="18"/>
          <w:szCs w:val="18"/>
          <w:color w:val="auto"/>
        </w:rPr>
        <w:t>Under certain circumstances, we have contractual and other legal obligations to indemnify and to incur legal expenses for current and former directors and officers. Additionally, from time to time, we have agreed to indemnify select customers for claims 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87" w:lineRule="exact"/>
        <w:rPr>
          <w:sz w:val="20"/>
          <w:szCs w:val="20"/>
          <w:color w:val="auto"/>
        </w:rPr>
      </w:pPr>
    </w:p>
    <w:p>
      <w:pPr>
        <w:ind w:right="380" w:firstLine="378"/>
        <w:spacing w:after="0" w:line="264" w:lineRule="auto"/>
        <w:rPr>
          <w:sz w:val="20"/>
          <w:szCs w:val="20"/>
          <w:color w:val="auto"/>
        </w:rPr>
      </w:pPr>
      <w:r>
        <w:rPr>
          <w:rFonts w:ascii="Arial" w:cs="Arial" w:eastAsia="Arial" w:hAnsi="Arial"/>
          <w:sz w:val="18"/>
          <w:szCs w:val="18"/>
          <w:color w:val="auto"/>
        </w:rPr>
        <w:t>Several securities class action lawsuits were filed against us following our September 11, 2015 announcement of an independent audit committee investigation of certain accounting and internal control matters in the second quarter of fiscal 2016 and our subsequent delinquency in filing our periodic financial reports.</w:t>
      </w:r>
    </w:p>
    <w:p>
      <w:pPr>
        <w:spacing w:after="0" w:line="200" w:lineRule="exact"/>
        <w:rPr>
          <w:sz w:val="20"/>
          <w:szCs w:val="20"/>
          <w:color w:val="auto"/>
        </w:rPr>
      </w:pPr>
    </w:p>
    <w:p>
      <w:pPr>
        <w:spacing w:after="0" w:line="2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00"/>
          </w:cols>
          <w:pgMar w:left="240" w:top="140" w:right="259" w:bottom="1440" w:gutter="0" w:footer="0" w:header="0"/>
        </w:sectPr>
      </w:pPr>
    </w:p>
    <w:bookmarkStart w:id="49" w:name="page50"/>
    <w:bookmarkEnd w:id="49"/>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20" w:firstLine="378"/>
        <w:spacing w:after="0" w:line="302" w:lineRule="auto"/>
        <w:rPr>
          <w:sz w:val="20"/>
          <w:szCs w:val="20"/>
          <w:color w:val="auto"/>
        </w:rPr>
      </w:pPr>
      <w:r>
        <w:rPr>
          <w:rFonts w:ascii="Arial" w:cs="Arial" w:eastAsia="Arial" w:hAnsi="Arial"/>
          <w:sz w:val="16"/>
          <w:szCs w:val="16"/>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 with third parties, which could materially and adversely affect our business, financial condition, results of operations, cash flows and stock price.</w:t>
      </w:r>
    </w:p>
    <w:p>
      <w:pPr>
        <w:spacing w:after="0" w:line="15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225" w:lineRule="exact"/>
        <w:rPr>
          <w:sz w:val="20"/>
          <w:szCs w:val="20"/>
          <w:color w:val="auto"/>
        </w:rPr>
      </w:pPr>
    </w:p>
    <w:p>
      <w:pPr>
        <w:ind w:right="120" w:firstLine="378"/>
        <w:spacing w:after="0" w:line="257" w:lineRule="auto"/>
        <w:rPr>
          <w:sz w:val="20"/>
          <w:szCs w:val="20"/>
          <w:color w:val="auto"/>
        </w:rPr>
      </w:pPr>
      <w:r>
        <w:rPr>
          <w:rFonts w:ascii="Arial" w:cs="Arial" w:eastAsia="Arial" w:hAnsi="Arial"/>
          <w:sz w:val="18"/>
          <w:szCs w:val="18"/>
          <w:color w:val="auto"/>
        </w:rPr>
        <w:t>We had approximately $2.0 billion of goodwill on our consolidated balance sheet as of October 28, 2017.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w:t>
      </w:r>
    </w:p>
    <w:p>
      <w:pPr>
        <w:spacing w:after="0" w:line="188" w:lineRule="exact"/>
        <w:rPr>
          <w:sz w:val="20"/>
          <w:szCs w:val="20"/>
          <w:color w:val="auto"/>
        </w:rPr>
      </w:pPr>
    </w:p>
    <w:p>
      <w:pPr>
        <w:ind w:right="120" w:firstLine="378"/>
        <w:spacing w:after="0" w:line="254" w:lineRule="auto"/>
        <w:rPr>
          <w:sz w:val="20"/>
          <w:szCs w:val="20"/>
          <w:color w:val="auto"/>
        </w:rPr>
      </w:pPr>
      <w:r>
        <w:rPr>
          <w:rFonts w:ascii="Arial" w:cs="Arial" w:eastAsia="Arial" w:hAnsi="Arial"/>
          <w:sz w:val="18"/>
          <w:szCs w:val="18"/>
          <w:color w:val="auto"/>
        </w:rPr>
        <w:t>We have identified that our business operates as a single operating segment with two components (Storage, and Networking and Connectivity), which we have concluded can be aggregated into a single reporting unit for purposes of testing goodwill impairment. As part of our restructuring announced in November 2016, our former Smart Networked Devices and Solutions component was renamed Networking and Connectivity.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192" w:lineRule="exact"/>
        <w:rPr>
          <w:sz w:val="20"/>
          <w:szCs w:val="20"/>
          <w:color w:val="auto"/>
        </w:rPr>
      </w:pPr>
    </w:p>
    <w:p>
      <w:pPr>
        <w:ind w:right="60" w:firstLine="378"/>
        <w:spacing w:after="0" w:line="257"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88"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If we were classified as a passive foreign investment company, there would be adverse tax consequences to U.S. holders of our ordinary shares.</w:t>
      </w:r>
    </w:p>
    <w:p>
      <w:pPr>
        <w:spacing w:after="0" w:line="248" w:lineRule="exact"/>
        <w:rPr>
          <w:sz w:val="20"/>
          <w:szCs w:val="20"/>
          <w:color w:val="auto"/>
        </w:rPr>
      </w:pPr>
    </w:p>
    <w:p>
      <w:pPr>
        <w:ind w:right="80" w:firstLine="392"/>
        <w:spacing w:after="0" w:line="302" w:lineRule="auto"/>
        <w:rPr>
          <w:sz w:val="20"/>
          <w:szCs w:val="20"/>
          <w:color w:val="auto"/>
        </w:rPr>
      </w:pPr>
      <w:r>
        <w:rPr>
          <w:rFonts w:ascii="Arial" w:cs="Arial" w:eastAsia="Arial" w:hAnsi="Arial"/>
          <w:sz w:val="16"/>
          <w:szCs w:val="16"/>
          <w:color w:val="auto"/>
        </w:rPr>
        <w:t>If we were classified as a “passive foreign investment company” or “PFIC” under section 1297 of the Internal Revenue Code, of 1986, as amended (the “Code”), for any taxable year during which a U.S. holder holds ordinary shares, such U.S. holder generally would be taxed at ordinary income tax rates on any gain realized on the sale or exchange of the ordinary shares and on any “excess distributions” (including constructive distributions) received on the ordinary shares. Such U.S. holder could also be subject to a special interest charge with respect to any such gain or excess distribution.</w:t>
      </w:r>
    </w:p>
    <w:p>
      <w:pPr>
        <w:spacing w:after="0" w:line="154" w:lineRule="exact"/>
        <w:rPr>
          <w:sz w:val="20"/>
          <w:szCs w:val="20"/>
          <w:color w:val="auto"/>
        </w:rPr>
      </w:pPr>
    </w:p>
    <w:p>
      <w:pPr>
        <w:ind w:firstLine="392"/>
        <w:spacing w:after="0" w:line="271" w:lineRule="auto"/>
        <w:rPr>
          <w:sz w:val="20"/>
          <w:szCs w:val="20"/>
          <w:color w:val="auto"/>
        </w:rPr>
      </w:pPr>
      <w:r>
        <w:rPr>
          <w:rFonts w:ascii="Arial" w:cs="Arial" w:eastAsia="Arial" w:hAnsi="Arial"/>
          <w:sz w:val="17"/>
          <w:szCs w:val="17"/>
          <w:color w:val="auto"/>
        </w:rPr>
        <w:t>We would be classified as a PFIC for U.S. federal income tax purposes in any taxable year in which either (i) at least 75% of our gross income is passive income or (ii) on average, the percentage of our assets that produce passive income or are held for the production of passive income is at least 50% (determined on an average gross value basis). We were not classified as a PFIC for fiscal year 2017 or in any prior taxable year. Whether we will, in fact, be classified as a PFIC for any subsequent taxable year depends on our assets and income over the course of the relevant taxable year and, as a result, cannot be predicted with certainty. In particular, because the total value of our assets for purposes of the asset test will be calculated based upon the market price of our ordinary shares, a significant and sustained decline in the market price of our ordinary shares and corresponding market capitalization relative to our passive assets could result in our being classified as a PFIC. There can be no assurance that we will not be classified as a PFIC in the future or the Internal Revenue Service will not challenge our determination concerning PFIC status for any prior period.</w:t>
      </w:r>
    </w:p>
    <w:p>
      <w:pPr>
        <w:spacing w:after="0" w:line="200" w:lineRule="exact"/>
        <w:rPr>
          <w:sz w:val="20"/>
          <w:szCs w:val="20"/>
          <w:color w:val="auto"/>
        </w:rPr>
      </w:pPr>
    </w:p>
    <w:p>
      <w:pPr>
        <w:spacing w:after="0" w:line="22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00"/>
          </w:cols>
          <w:pgMar w:left="240" w:top="140" w:right="259" w:bottom="1440" w:gutter="0" w:footer="0" w:header="0"/>
        </w:sectPr>
      </w:pPr>
    </w:p>
    <w:bookmarkStart w:id="50" w:name="page51"/>
    <w:bookmarkEnd w:id="50"/>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170" w:lineRule="exact"/>
        <w:rPr>
          <w:sz w:val="20"/>
          <w:szCs w:val="20"/>
          <w:color w:val="auto"/>
        </w:rPr>
      </w:pPr>
    </w:p>
    <w:p>
      <w:pPr>
        <w:ind w:firstLine="378"/>
        <w:spacing w:after="0" w:line="273" w:lineRule="auto"/>
        <w:rPr>
          <w:sz w:val="20"/>
          <w:szCs w:val="20"/>
          <w:color w:val="auto"/>
        </w:rPr>
      </w:pPr>
      <w:r>
        <w:rPr>
          <w:rFonts w:ascii="Arial" w:cs="Arial" w:eastAsia="Arial" w:hAnsi="Arial"/>
          <w:sz w:val="17"/>
          <w:szCs w:val="17"/>
          <w:color w:val="auto"/>
        </w:rPr>
        <w:t>Our insurance policies may not be adequate to fully offset losses from covered incidents, and we do not have coverage for certain losses. For example, there is very limited coverage available with respect to the services provided by our third-party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225" w:lineRule="exact"/>
        <w:rPr>
          <w:sz w:val="20"/>
          <w:szCs w:val="20"/>
          <w:color w:val="auto"/>
        </w:rPr>
      </w:pPr>
    </w:p>
    <w:p>
      <w:pPr>
        <w:ind w:right="500" w:firstLine="378"/>
        <w:spacing w:after="0" w:line="277" w:lineRule="auto"/>
        <w:rPr>
          <w:sz w:val="20"/>
          <w:szCs w:val="20"/>
          <w:color w:val="auto"/>
        </w:rPr>
      </w:pPr>
      <w:r>
        <w:rPr>
          <w:rFonts w:ascii="Arial" w:cs="Arial" w:eastAsia="Arial" w:hAnsi="Arial"/>
          <w:sz w:val="18"/>
          <w:szCs w:val="18"/>
          <w:color w:val="auto"/>
        </w:rPr>
        <w:t>Our buildings in Santa Clara, California; Singapore; Etoy, Switzerland; and Shanghai, China subject us to the risks of owning real property, which include, but are not limited to:</w:t>
      </w:r>
    </w:p>
    <w:p>
      <w:pPr>
        <w:spacing w:after="0" w:line="170" w:lineRule="exact"/>
        <w:rPr>
          <w:sz w:val="20"/>
          <w:szCs w:val="20"/>
          <w:color w:val="auto"/>
        </w:rPr>
      </w:pPr>
    </w:p>
    <w:p>
      <w:pPr>
        <w:ind w:left="820" w:hanging="420"/>
        <w:spacing w:after="0"/>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225" w:lineRule="exact"/>
        <w:rPr>
          <w:rFonts w:ascii="Arial" w:cs="Arial" w:eastAsia="Arial" w:hAnsi="Arial"/>
          <w:sz w:val="18"/>
          <w:szCs w:val="18"/>
          <w:color w:val="auto"/>
        </w:rPr>
      </w:pPr>
    </w:p>
    <w:p>
      <w:pPr>
        <w:ind w:left="820" w:right="20" w:hanging="420"/>
        <w:spacing w:after="0" w:line="277" w:lineRule="auto"/>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170" w:lineRule="exact"/>
        <w:rPr>
          <w:rFonts w:ascii="Arial" w:cs="Arial" w:eastAsia="Arial" w:hAnsi="Arial"/>
          <w:sz w:val="18"/>
          <w:szCs w:val="18"/>
          <w:color w:val="auto"/>
        </w:rPr>
      </w:pPr>
    </w:p>
    <w:p>
      <w:pPr>
        <w:ind w:left="820" w:hanging="420"/>
        <w:spacing w:after="0"/>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23"/>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to or renovating the facility;</w:t>
      </w:r>
    </w:p>
    <w:p>
      <w:pPr>
        <w:spacing w:after="0" w:line="236" w:lineRule="exact"/>
        <w:rPr>
          <w:rFonts w:ascii="Arial" w:cs="Arial" w:eastAsia="Arial" w:hAnsi="Arial"/>
          <w:sz w:val="17"/>
          <w:szCs w:val="17"/>
          <w:color w:val="auto"/>
        </w:rPr>
      </w:pPr>
    </w:p>
    <w:p>
      <w:pPr>
        <w:ind w:left="820" w:hanging="420"/>
        <w:spacing w:after="0"/>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w:t>
      </w:r>
    </w:p>
    <w:p>
      <w:pPr>
        <w:spacing w:after="0" w:line="225" w:lineRule="exact"/>
        <w:rPr>
          <w:rFonts w:ascii="Arial" w:cs="Arial" w:eastAsia="Arial" w:hAnsi="Arial"/>
          <w:sz w:val="18"/>
          <w:szCs w:val="18"/>
          <w:color w:val="auto"/>
        </w:rPr>
      </w:pPr>
    </w:p>
    <w:p>
      <w:pPr>
        <w:ind w:left="820" w:hanging="420"/>
        <w:spacing w:after="0"/>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225" w:lineRule="exact"/>
        <w:rPr>
          <w:rFonts w:ascii="Arial" w:cs="Arial" w:eastAsia="Arial" w:hAnsi="Arial"/>
          <w:sz w:val="18"/>
          <w:szCs w:val="18"/>
          <w:color w:val="auto"/>
        </w:rPr>
      </w:pPr>
    </w:p>
    <w:p>
      <w:pPr>
        <w:ind w:left="820" w:right="320" w:hanging="420"/>
        <w:spacing w:after="0" w:line="277" w:lineRule="auto"/>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170" w:lineRule="exact"/>
        <w:rPr>
          <w:sz w:val="20"/>
          <w:szCs w:val="20"/>
          <w:color w:val="auto"/>
        </w:rPr>
      </w:pPr>
    </w:p>
    <w:p>
      <w:pPr>
        <w:ind w:right="180"/>
        <w:spacing w:after="0" w:line="308" w:lineRule="auto"/>
        <w:rPr>
          <w:sz w:val="20"/>
          <w:szCs w:val="20"/>
          <w:color w:val="auto"/>
        </w:rPr>
      </w:pPr>
      <w:r>
        <w:rPr>
          <w:rFonts w:ascii="Arial" w:cs="Arial" w:eastAsia="Arial" w:hAnsi="Arial"/>
          <w:sz w:val="17"/>
          <w:szCs w:val="17"/>
          <w:b w:val="1"/>
          <w:bCs w:val="1"/>
          <w:i w:val="1"/>
          <w:iCs w:val="1"/>
          <w:color w:val="auto"/>
        </w:rPr>
        <w:t>*There can be no assurance that we will continue to declare cash dividends or effect share repurchases in any particular amount or at all, and statutory requirements under Bermuda Law may require us to defer payment of declared dividends or suspend share repurchases.</w:t>
      </w:r>
    </w:p>
    <w:p>
      <w:pPr>
        <w:spacing w:after="0" w:line="147" w:lineRule="exact"/>
        <w:rPr>
          <w:sz w:val="20"/>
          <w:szCs w:val="20"/>
          <w:color w:val="auto"/>
        </w:rPr>
      </w:pPr>
    </w:p>
    <w:p>
      <w:pPr>
        <w:ind w:right="80" w:firstLine="378"/>
        <w:spacing w:after="0" w:line="291" w:lineRule="auto"/>
        <w:rPr>
          <w:sz w:val="20"/>
          <w:szCs w:val="20"/>
          <w:color w:val="auto"/>
        </w:rPr>
      </w:pPr>
      <w:r>
        <w:rPr>
          <w:rFonts w:ascii="Arial" w:cs="Arial" w:eastAsia="Arial" w:hAnsi="Arial"/>
          <w:sz w:val="16"/>
          <w:szCs w:val="16"/>
          <w:color w:val="auto"/>
        </w:rPr>
        <w:t>In May 2012, we announced the declaration of our first quarterly cash dividend. In November 2016, we announced that our board of directors had authorized a $1 billion share repurchase program, of which $642 million of shares have already been repurchased. Future payment of a regular quarterly cash dividend on our common shares and future share repurchases will be subject to, among other things: the best interests of our company and our shareholders; our results of operations, cash balances and future cash requirements; financial condition; developments in ongoing litigation; statutory requirements under Bermuda law; market conditions; and other factors that the board of directors may deem relevant. Our dividend payments or share repurchases may change from time to time, and we cannot provide assurance that we will continue to declare dividends or repurchase shares in any particular amounts or at all. A reduction in, a delay of, or elimination of our dividend payments or share repurchases could have a negative effect on our share price.</w:t>
      </w:r>
    </w:p>
    <w:p>
      <w:pPr>
        <w:spacing w:after="0" w:line="167" w:lineRule="exact"/>
        <w:rPr>
          <w:sz w:val="20"/>
          <w:szCs w:val="20"/>
          <w:color w:val="auto"/>
        </w:rPr>
      </w:pPr>
    </w:p>
    <w:p>
      <w:pPr>
        <w:jc w:val="both"/>
        <w:ind w:right="160"/>
        <w:spacing w:after="0" w:line="312"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140" w:right="239" w:bottom="1440" w:gutter="0" w:footer="0" w:header="0"/>
        </w:sectPr>
      </w:pPr>
    </w:p>
    <w:bookmarkStart w:id="51" w:name="page52"/>
    <w:bookmarkEnd w:id="51"/>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38" w:lineRule="exact"/>
        <w:rPr>
          <w:sz w:val="20"/>
          <w:szCs w:val="20"/>
          <w:color w:val="auto"/>
        </w:rPr>
      </w:pPr>
    </w:p>
    <w:p>
      <w:pPr>
        <w:ind w:right="20" w:firstLine="378"/>
        <w:spacing w:after="0" w:line="291"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67" w:lineRule="exact"/>
        <w:rPr>
          <w:sz w:val="20"/>
          <w:szCs w:val="20"/>
          <w:color w:val="auto"/>
        </w:rPr>
      </w:pPr>
    </w:p>
    <w:p>
      <w:pPr>
        <w:ind w:firstLine="378"/>
        <w:spacing w:after="0" w:line="271" w:lineRule="auto"/>
        <w:rPr>
          <w:sz w:val="20"/>
          <w:szCs w:val="20"/>
          <w:color w:val="auto"/>
        </w:rPr>
      </w:pPr>
      <w:r>
        <w:rPr>
          <w:rFonts w:ascii="Arial" w:cs="Arial" w:eastAsia="Arial" w:hAnsi="Arial"/>
          <w:sz w:val="17"/>
          <w:szCs w:val="17"/>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79"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70" w:lineRule="exact"/>
        <w:rPr>
          <w:sz w:val="20"/>
          <w:szCs w:val="20"/>
          <w:color w:val="auto"/>
        </w:rPr>
      </w:pPr>
    </w:p>
    <w:p>
      <w:pPr>
        <w:ind w:left="380"/>
        <w:spacing w:after="0"/>
        <w:rPr>
          <w:sz w:val="20"/>
          <w:szCs w:val="20"/>
          <w:color w:val="auto"/>
        </w:rPr>
      </w:pPr>
      <w:r>
        <w:rPr>
          <w:rFonts w:ascii="Arial" w:cs="Arial" w:eastAsia="Arial" w:hAnsi="Arial"/>
          <w:sz w:val="16"/>
          <w:szCs w:val="16"/>
          <w:color w:val="auto"/>
        </w:rPr>
        <w:t>Our Bye-Laws contain change in corporate control provisions, which include authorizing the issuance of preferred shares without shareholder approval.</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This provision could make it more difficult for a third party to acquire us, even if doing so would benefit our shareholders.</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securities during the three months ended October 28, 2017.</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4"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details of our share repurchases during the three months ended October 28, 2017 (in thousands, except per share data):</w:t>
      </w:r>
    </w:p>
    <w:p>
      <w:pPr>
        <w:spacing w:after="0" w:line="36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440" w:type="dxa"/>
            <w:vAlign w:val="bottom"/>
          </w:tcPr>
          <w:p>
            <w:pPr>
              <w:spacing w:after="0"/>
              <w:rPr>
                <w:sz w:val="14"/>
                <w:szCs w:val="14"/>
                <w:color w:val="auto"/>
              </w:rPr>
            </w:pPr>
          </w:p>
        </w:tc>
        <w:tc>
          <w:tcPr>
            <w:tcW w:w="1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380" w:type="dxa"/>
            <w:vAlign w:val="bottom"/>
          </w:tcPr>
          <w:p>
            <w:pPr>
              <w:jc w:val="center"/>
              <w:spacing w:after="0"/>
              <w:rPr>
                <w:sz w:val="20"/>
                <w:szCs w:val="20"/>
                <w:color w:val="auto"/>
              </w:rPr>
            </w:pPr>
            <w:r>
              <w:rPr>
                <w:rFonts w:ascii="Arial" w:cs="Arial" w:eastAsia="Arial" w:hAnsi="Arial"/>
                <w:sz w:val="14"/>
                <w:szCs w:val="14"/>
                <w:b w:val="1"/>
                <w:bCs w:val="1"/>
                <w:color w:val="auto"/>
                <w:w w:val="92"/>
              </w:rPr>
              <w:t>Total Number of Shares</w:t>
            </w: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0" w:type="dxa"/>
            <w:vAlign w:val="bottom"/>
          </w:tcPr>
          <w:p>
            <w:pPr>
              <w:jc w:val="center"/>
              <w:ind w:right="99"/>
              <w:spacing w:after="0"/>
              <w:rPr>
                <w:sz w:val="20"/>
                <w:szCs w:val="20"/>
                <w:color w:val="auto"/>
              </w:rPr>
            </w:pPr>
            <w:r>
              <w:rPr>
                <w:rFonts w:ascii="Arial" w:cs="Arial" w:eastAsia="Arial" w:hAnsi="Arial"/>
                <w:sz w:val="14"/>
                <w:szCs w:val="14"/>
                <w:b w:val="1"/>
                <w:bCs w:val="1"/>
                <w:color w:val="auto"/>
                <w:w w:val="94"/>
              </w:rPr>
              <w:t>Approximate Dollar Value of</w:t>
            </w:r>
          </w:p>
        </w:tc>
        <w:tc>
          <w:tcPr>
            <w:tcW w:w="0" w:type="dxa"/>
            <w:vAlign w:val="bottom"/>
          </w:tcPr>
          <w:p>
            <w:pPr>
              <w:spacing w:after="0"/>
              <w:rPr>
                <w:sz w:val="1"/>
                <w:szCs w:val="1"/>
                <w:color w:val="auto"/>
              </w:rPr>
            </w:pPr>
          </w:p>
        </w:tc>
      </w:tr>
      <w:tr>
        <w:trPr>
          <w:trHeight w:val="149"/>
        </w:trPr>
        <w:tc>
          <w:tcPr>
            <w:tcW w:w="3440" w:type="dxa"/>
            <w:vAlign w:val="bottom"/>
          </w:tcPr>
          <w:p>
            <w:pPr>
              <w:spacing w:after="0"/>
              <w:rPr>
                <w:sz w:val="12"/>
                <w:szCs w:val="12"/>
                <w:color w:val="auto"/>
              </w:rPr>
            </w:pPr>
          </w:p>
        </w:tc>
        <w:tc>
          <w:tcPr>
            <w:tcW w:w="1500" w:type="dxa"/>
            <w:vAlign w:val="bottom"/>
            <w:vMerge w:val="restart"/>
          </w:tcPr>
          <w:p>
            <w:pPr>
              <w:jc w:val="right"/>
              <w:ind w:right="156"/>
              <w:spacing w:after="0"/>
              <w:rPr>
                <w:sz w:val="20"/>
                <w:szCs w:val="20"/>
                <w:color w:val="auto"/>
              </w:rPr>
            </w:pPr>
            <w:r>
              <w:rPr>
                <w:rFonts w:ascii="Arial" w:cs="Arial" w:eastAsia="Arial" w:hAnsi="Arial"/>
                <w:sz w:val="14"/>
                <w:szCs w:val="14"/>
                <w:b w:val="1"/>
                <w:bCs w:val="1"/>
                <w:color w:val="auto"/>
              </w:rPr>
              <w:t>Total Number of</w:t>
            </w: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Average Price</w:t>
            </w:r>
          </w:p>
        </w:tc>
        <w:tc>
          <w:tcPr>
            <w:tcW w:w="2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Purchased as Part of</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19"/>
              <w:spacing w:after="0" w:line="149" w:lineRule="exact"/>
              <w:rPr>
                <w:sz w:val="20"/>
                <w:szCs w:val="20"/>
                <w:color w:val="auto"/>
              </w:rPr>
            </w:pPr>
            <w:r>
              <w:rPr>
                <w:rFonts w:ascii="Arial" w:cs="Arial" w:eastAsia="Arial" w:hAnsi="Arial"/>
                <w:sz w:val="14"/>
                <w:szCs w:val="14"/>
                <w:b w:val="1"/>
                <w:bCs w:val="1"/>
                <w:color w:val="auto"/>
                <w:w w:val="92"/>
              </w:rPr>
              <w:t>Shares that May Yet Be</w:t>
            </w:r>
          </w:p>
        </w:tc>
        <w:tc>
          <w:tcPr>
            <w:tcW w:w="0" w:type="dxa"/>
            <w:vAlign w:val="bottom"/>
          </w:tcPr>
          <w:p>
            <w:pPr>
              <w:spacing w:after="0"/>
              <w:rPr>
                <w:sz w:val="1"/>
                <w:szCs w:val="1"/>
                <w:color w:val="auto"/>
              </w:rPr>
            </w:pPr>
          </w:p>
        </w:tc>
      </w:tr>
      <w:tr>
        <w:trPr>
          <w:trHeight w:val="149"/>
        </w:trPr>
        <w:tc>
          <w:tcPr>
            <w:tcW w:w="3440" w:type="dxa"/>
            <w:vAlign w:val="bottom"/>
            <w:vMerge w:val="restart"/>
          </w:tcPr>
          <w:p>
            <w:pPr>
              <w:ind w:left="40"/>
              <w:spacing w:after="0"/>
              <w:rPr>
                <w:sz w:val="20"/>
                <w:szCs w:val="20"/>
                <w:color w:val="auto"/>
              </w:rPr>
            </w:pPr>
            <w:r>
              <w:rPr>
                <w:rFonts w:ascii="Arial" w:cs="Arial" w:eastAsia="Arial" w:hAnsi="Arial"/>
                <w:sz w:val="14"/>
                <w:szCs w:val="14"/>
                <w:b w:val="1"/>
                <w:bCs w:val="1"/>
                <w:color w:val="auto"/>
              </w:rPr>
              <w:t>Period (1)</w:t>
            </w:r>
          </w:p>
        </w:tc>
        <w:tc>
          <w:tcPr>
            <w:tcW w:w="150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300" w:type="dxa"/>
            <w:vAlign w:val="bottom"/>
            <w:gridSpan w:val="2"/>
            <w:vMerge w:val="continue"/>
          </w:tcPr>
          <w:p>
            <w:pPr>
              <w:spacing w:after="0"/>
              <w:rPr>
                <w:sz w:val="12"/>
                <w:szCs w:val="12"/>
                <w:color w:val="auto"/>
              </w:rPr>
            </w:pPr>
          </w:p>
        </w:tc>
        <w:tc>
          <w:tcPr>
            <w:tcW w:w="23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Publicly Announced Plans or</w:t>
            </w: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200" w:type="dxa"/>
            <w:vAlign w:val="bottom"/>
          </w:tcPr>
          <w:p>
            <w:pPr>
              <w:jc w:val="center"/>
              <w:ind w:right="119"/>
              <w:spacing w:after="0" w:line="149" w:lineRule="exact"/>
              <w:rPr>
                <w:sz w:val="20"/>
                <w:szCs w:val="20"/>
                <w:color w:val="auto"/>
              </w:rPr>
            </w:pPr>
            <w:r>
              <w:rPr>
                <w:rFonts w:ascii="Arial" w:cs="Arial" w:eastAsia="Arial" w:hAnsi="Arial"/>
                <w:sz w:val="14"/>
                <w:szCs w:val="14"/>
                <w:b w:val="1"/>
                <w:bCs w:val="1"/>
                <w:color w:val="auto"/>
                <w:w w:val="92"/>
              </w:rPr>
              <w:t>Purchased Under the Plans or</w:t>
            </w:r>
          </w:p>
        </w:tc>
        <w:tc>
          <w:tcPr>
            <w:tcW w:w="0" w:type="dxa"/>
            <w:vAlign w:val="bottom"/>
          </w:tcPr>
          <w:p>
            <w:pPr>
              <w:spacing w:after="0"/>
              <w:rPr>
                <w:sz w:val="1"/>
                <w:szCs w:val="1"/>
                <w:color w:val="auto"/>
              </w:rPr>
            </w:pPr>
          </w:p>
        </w:tc>
      </w:tr>
      <w:tr>
        <w:trPr>
          <w:trHeight w:val="192"/>
        </w:trPr>
        <w:tc>
          <w:tcPr>
            <w:tcW w:w="3440" w:type="dxa"/>
            <w:vAlign w:val="bottom"/>
            <w:tcBorders>
              <w:bottom w:val="single" w:sz="8" w:color="CCEEFF"/>
            </w:tcBorders>
            <w:vMerge w:val="continue"/>
          </w:tcPr>
          <w:p>
            <w:pPr>
              <w:spacing w:after="0"/>
              <w:rPr>
                <w:sz w:val="16"/>
                <w:szCs w:val="16"/>
                <w:color w:val="auto"/>
              </w:rPr>
            </w:pPr>
          </w:p>
        </w:tc>
        <w:tc>
          <w:tcPr>
            <w:tcW w:w="1500" w:type="dxa"/>
            <w:vAlign w:val="bottom"/>
            <w:tcBorders>
              <w:bottom w:val="single" w:sz="8" w:color="auto"/>
            </w:tcBorders>
          </w:tcPr>
          <w:p>
            <w:pPr>
              <w:jc w:val="right"/>
              <w:ind w:right="116"/>
              <w:spacing w:after="0"/>
              <w:rPr>
                <w:sz w:val="20"/>
                <w:szCs w:val="20"/>
                <w:color w:val="auto"/>
              </w:rPr>
            </w:pPr>
            <w:r>
              <w:rPr>
                <w:rFonts w:ascii="Arial" w:cs="Arial" w:eastAsia="Arial" w:hAnsi="Arial"/>
                <w:sz w:val="14"/>
                <w:szCs w:val="14"/>
                <w:b w:val="1"/>
                <w:bCs w:val="1"/>
                <w:color w:val="auto"/>
              </w:rPr>
              <w:t>Shares Purchased</w:t>
            </w:r>
          </w:p>
        </w:tc>
        <w:tc>
          <w:tcPr>
            <w:tcW w:w="1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136"/>
              <w:spacing w:after="0"/>
              <w:rPr>
                <w:sz w:val="20"/>
                <w:szCs w:val="20"/>
                <w:color w:val="auto"/>
              </w:rPr>
            </w:pPr>
            <w:r>
              <w:rPr>
                <w:rFonts w:ascii="Arial" w:cs="Arial" w:eastAsia="Arial" w:hAnsi="Arial"/>
                <w:sz w:val="14"/>
                <w:szCs w:val="14"/>
                <w:b w:val="1"/>
                <w:bCs w:val="1"/>
                <w:color w:val="auto"/>
                <w:w w:val="95"/>
              </w:rPr>
              <w:t>Paid per Share</w:t>
            </w:r>
          </w:p>
        </w:tc>
        <w:tc>
          <w:tcPr>
            <w:tcW w:w="120" w:type="dxa"/>
            <w:vAlign w:val="bottom"/>
            <w:tcBorders>
              <w:bottom w:val="single" w:sz="8" w:color="CCEEFF"/>
            </w:tcBorders>
          </w:tcPr>
          <w:p>
            <w:pPr>
              <w:spacing w:after="0"/>
              <w:rPr>
                <w:sz w:val="16"/>
                <w:szCs w:val="16"/>
                <w:color w:val="auto"/>
              </w:rPr>
            </w:pPr>
          </w:p>
        </w:tc>
        <w:tc>
          <w:tcPr>
            <w:tcW w:w="23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Programs</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200" w:type="dxa"/>
            <w:vAlign w:val="bottom"/>
            <w:tcBorders>
              <w:bottom w:val="single" w:sz="8" w:color="auto"/>
            </w:tcBorders>
          </w:tcPr>
          <w:p>
            <w:pPr>
              <w:jc w:val="center"/>
              <w:ind w:right="119"/>
              <w:spacing w:after="0"/>
              <w:rPr>
                <w:sz w:val="20"/>
                <w:szCs w:val="20"/>
                <w:color w:val="auto"/>
              </w:rPr>
            </w:pPr>
            <w:r>
              <w:rPr>
                <w:rFonts w:ascii="Arial" w:cs="Arial" w:eastAsia="Arial" w:hAnsi="Arial"/>
                <w:sz w:val="14"/>
                <w:szCs w:val="14"/>
                <w:b w:val="1"/>
                <w:bCs w:val="1"/>
                <w:color w:val="auto"/>
                <w:w w:val="92"/>
              </w:rPr>
              <w:t>Programs (2)</w:t>
            </w:r>
          </w:p>
        </w:tc>
        <w:tc>
          <w:tcPr>
            <w:tcW w:w="0" w:type="dxa"/>
            <w:vAlign w:val="bottom"/>
          </w:tcPr>
          <w:p>
            <w:pPr>
              <w:spacing w:after="0"/>
              <w:rPr>
                <w:sz w:val="1"/>
                <w:szCs w:val="1"/>
                <w:color w:val="auto"/>
              </w:rPr>
            </w:pPr>
          </w:p>
        </w:tc>
      </w:tr>
      <w:tr>
        <w:trPr>
          <w:trHeight w:val="250"/>
        </w:trPr>
        <w:tc>
          <w:tcPr>
            <w:tcW w:w="3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July 30 – August 26, 2017</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30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497,973</w:t>
            </w:r>
          </w:p>
        </w:tc>
        <w:tc>
          <w:tcPr>
            <w:tcW w:w="0" w:type="dxa"/>
            <w:vAlign w:val="bottom"/>
          </w:tcPr>
          <w:p>
            <w:pPr>
              <w:spacing w:after="0"/>
              <w:rPr>
                <w:sz w:val="1"/>
                <w:szCs w:val="1"/>
                <w:color w:val="auto"/>
              </w:rPr>
            </w:pPr>
          </w:p>
        </w:tc>
      </w:tr>
      <w:tr>
        <w:trPr>
          <w:trHeight w:val="243"/>
        </w:trPr>
        <w:tc>
          <w:tcPr>
            <w:tcW w:w="3440" w:type="dxa"/>
            <w:vAlign w:val="bottom"/>
          </w:tcPr>
          <w:p>
            <w:pPr>
              <w:ind w:left="40"/>
              <w:spacing w:after="0"/>
              <w:rPr>
                <w:sz w:val="20"/>
                <w:szCs w:val="20"/>
                <w:color w:val="auto"/>
              </w:rPr>
            </w:pPr>
            <w:r>
              <w:rPr>
                <w:rFonts w:ascii="Arial" w:cs="Arial" w:eastAsia="Arial" w:hAnsi="Arial"/>
                <w:sz w:val="18"/>
                <w:szCs w:val="18"/>
                <w:color w:val="auto"/>
              </w:rPr>
              <w:t>August 27 – September 23, 2017</w:t>
            </w:r>
          </w:p>
        </w:tc>
        <w:tc>
          <w:tcPr>
            <w:tcW w:w="1500" w:type="dxa"/>
            <w:vAlign w:val="bottom"/>
          </w:tcPr>
          <w:p>
            <w:pPr>
              <w:jc w:val="right"/>
              <w:ind w:right="36"/>
              <w:spacing w:after="0"/>
              <w:rPr>
                <w:sz w:val="20"/>
                <w:szCs w:val="20"/>
                <w:color w:val="auto"/>
              </w:rPr>
            </w:pPr>
            <w:r>
              <w:rPr>
                <w:rFonts w:ascii="Arial" w:cs="Arial" w:eastAsia="Arial" w:hAnsi="Arial"/>
                <w:sz w:val="18"/>
                <w:szCs w:val="18"/>
                <w:color w:val="auto"/>
              </w:rPr>
              <w:t>4,061,100</w:t>
            </w:r>
          </w:p>
        </w:tc>
        <w:tc>
          <w:tcPr>
            <w:tcW w:w="3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17.83</w:t>
            </w:r>
          </w:p>
        </w:tc>
        <w:tc>
          <w:tcPr>
            <w:tcW w:w="120" w:type="dxa"/>
            <w:vAlign w:val="bottom"/>
          </w:tcPr>
          <w:p>
            <w:pPr>
              <w:spacing w:after="0"/>
              <w:rPr>
                <w:sz w:val="21"/>
                <w:szCs w:val="21"/>
                <w:color w:val="auto"/>
              </w:rPr>
            </w:pPr>
          </w:p>
        </w:tc>
        <w:tc>
          <w:tcPr>
            <w:tcW w:w="2380" w:type="dxa"/>
            <w:vAlign w:val="bottom"/>
          </w:tcPr>
          <w:p>
            <w:pPr>
              <w:jc w:val="right"/>
              <w:ind w:right="19"/>
              <w:spacing w:after="0"/>
              <w:rPr>
                <w:sz w:val="20"/>
                <w:szCs w:val="20"/>
                <w:color w:val="auto"/>
              </w:rPr>
            </w:pPr>
            <w:r>
              <w:rPr>
                <w:rFonts w:ascii="Arial" w:cs="Arial" w:eastAsia="Arial" w:hAnsi="Arial"/>
                <w:sz w:val="18"/>
                <w:szCs w:val="18"/>
                <w:color w:val="auto"/>
              </w:rPr>
              <w:t>4,061,100</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Pr>
          <w:p>
            <w:pPr>
              <w:jc w:val="right"/>
              <w:ind w:right="19"/>
              <w:spacing w:after="0"/>
              <w:rPr>
                <w:sz w:val="20"/>
                <w:szCs w:val="20"/>
                <w:color w:val="auto"/>
              </w:rPr>
            </w:pPr>
            <w:r>
              <w:rPr>
                <w:rFonts w:ascii="Arial" w:cs="Arial" w:eastAsia="Arial" w:hAnsi="Arial"/>
                <w:sz w:val="18"/>
                <w:szCs w:val="18"/>
                <w:color w:val="auto"/>
              </w:rPr>
              <w:t>425,576</w:t>
            </w:r>
          </w:p>
        </w:tc>
        <w:tc>
          <w:tcPr>
            <w:tcW w:w="0" w:type="dxa"/>
            <w:vAlign w:val="bottom"/>
          </w:tcPr>
          <w:p>
            <w:pPr>
              <w:spacing w:after="0"/>
              <w:rPr>
                <w:sz w:val="1"/>
                <w:szCs w:val="1"/>
                <w:color w:val="auto"/>
              </w:rPr>
            </w:pPr>
          </w:p>
        </w:tc>
      </w:tr>
      <w:tr>
        <w:trPr>
          <w:trHeight w:val="27"/>
        </w:trPr>
        <w:tc>
          <w:tcPr>
            <w:tcW w:w="3440" w:type="dxa"/>
            <w:vAlign w:val="bottom"/>
          </w:tcPr>
          <w:p>
            <w:pPr>
              <w:spacing w:after="0"/>
              <w:rPr>
                <w:sz w:val="2"/>
                <w:szCs w:val="2"/>
                <w:color w:val="auto"/>
              </w:rPr>
            </w:pPr>
          </w:p>
        </w:tc>
        <w:tc>
          <w:tcPr>
            <w:tcW w:w="15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23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34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September 24– October 28, 2017</w:t>
            </w:r>
          </w:p>
        </w:tc>
        <w:tc>
          <w:tcPr>
            <w:tcW w:w="1500" w:type="dxa"/>
            <w:vAlign w:val="bottom"/>
            <w:tcBorders>
              <w:bottom w:val="single" w:sz="8" w:color="CCEEFF"/>
            </w:tcBorders>
            <w:shd w:val="clear" w:color="auto" w:fill="CCEEFF"/>
          </w:tcPr>
          <w:p>
            <w:pPr>
              <w:jc w:val="right"/>
              <w:ind w:right="36"/>
              <w:spacing w:after="0"/>
              <w:rPr>
                <w:sz w:val="20"/>
                <w:szCs w:val="20"/>
                <w:color w:val="auto"/>
              </w:rPr>
            </w:pPr>
            <w:r>
              <w:rPr>
                <w:rFonts w:ascii="Arial" w:cs="Arial" w:eastAsia="Arial" w:hAnsi="Arial"/>
                <w:sz w:val="18"/>
                <w:szCs w:val="18"/>
                <w:color w:val="auto"/>
              </w:rPr>
              <w:t>3,754,700</w:t>
            </w:r>
          </w:p>
        </w:tc>
        <w:tc>
          <w:tcPr>
            <w:tcW w:w="300" w:type="dxa"/>
            <w:vAlign w:val="bottom"/>
            <w:tcBorders>
              <w:bottom w:val="single" w:sz="8" w:color="CCEEFF"/>
            </w:tcBorders>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w:t>
            </w:r>
          </w:p>
        </w:tc>
        <w:tc>
          <w:tcPr>
            <w:tcW w:w="1180" w:type="dxa"/>
            <w:vAlign w:val="bottom"/>
            <w:tcBorders>
              <w:bottom w:val="single" w:sz="8" w:color="CCEEFF"/>
            </w:tcBorders>
            <w:shd w:val="clear" w:color="auto" w:fill="CCEEFF"/>
          </w:tcPr>
          <w:p>
            <w:pPr>
              <w:jc w:val="right"/>
              <w:ind w:right="16"/>
              <w:spacing w:after="0"/>
              <w:rPr>
                <w:sz w:val="20"/>
                <w:szCs w:val="20"/>
                <w:color w:val="auto"/>
              </w:rPr>
            </w:pPr>
            <w:r>
              <w:rPr>
                <w:rFonts w:ascii="Arial" w:cs="Arial" w:eastAsia="Arial" w:hAnsi="Arial"/>
                <w:sz w:val="18"/>
                <w:szCs w:val="18"/>
                <w:color w:val="auto"/>
              </w:rPr>
              <w:t>18.01</w:t>
            </w:r>
          </w:p>
        </w:tc>
        <w:tc>
          <w:tcPr>
            <w:tcW w:w="120" w:type="dxa"/>
            <w:vAlign w:val="bottom"/>
            <w:tcBorders>
              <w:bottom w:val="single" w:sz="8" w:color="CCEEFF"/>
            </w:tcBorders>
            <w:shd w:val="clear" w:color="auto" w:fill="CCEEFF"/>
          </w:tcPr>
          <w:p>
            <w:pPr>
              <w:spacing w:after="0"/>
              <w:rPr>
                <w:sz w:val="23"/>
                <w:szCs w:val="23"/>
                <w:color w:val="auto"/>
              </w:rPr>
            </w:pPr>
          </w:p>
        </w:tc>
        <w:tc>
          <w:tcPr>
            <w:tcW w:w="238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3,754,700</w:t>
            </w:r>
          </w:p>
        </w:tc>
        <w:tc>
          <w:tcPr>
            <w:tcW w:w="300" w:type="dxa"/>
            <w:vAlign w:val="bottom"/>
            <w:tcBorders>
              <w:bottom w:val="single" w:sz="8" w:color="CCEEFF"/>
            </w:tcBorders>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8"/>
                <w:szCs w:val="18"/>
                <w:color w:val="auto"/>
              </w:rPr>
              <w:t>357,956</w:t>
            </w:r>
          </w:p>
        </w:tc>
        <w:tc>
          <w:tcPr>
            <w:tcW w:w="0" w:type="dxa"/>
            <w:vAlign w:val="bottom"/>
          </w:tcPr>
          <w:p>
            <w:pPr>
              <w:spacing w:after="0"/>
              <w:rPr>
                <w:sz w:val="1"/>
                <w:szCs w:val="1"/>
                <w:color w:val="auto"/>
              </w:rPr>
            </w:pPr>
          </w:p>
        </w:tc>
      </w:tr>
      <w:tr>
        <w:trPr>
          <w:trHeight w:val="257"/>
        </w:trPr>
        <w:tc>
          <w:tcPr>
            <w:tcW w:w="3440" w:type="dxa"/>
            <w:vAlign w:val="bottom"/>
          </w:tcPr>
          <w:p>
            <w:pPr>
              <w:ind w:left="40"/>
              <w:spacing w:after="0"/>
              <w:rPr>
                <w:sz w:val="20"/>
                <w:szCs w:val="20"/>
                <w:color w:val="auto"/>
              </w:rPr>
            </w:pPr>
            <w:r>
              <w:rPr>
                <w:rFonts w:ascii="Arial" w:cs="Arial" w:eastAsia="Arial" w:hAnsi="Arial"/>
                <w:sz w:val="18"/>
                <w:szCs w:val="18"/>
                <w:color w:val="auto"/>
              </w:rPr>
              <w:t>Total</w:t>
            </w:r>
          </w:p>
        </w:tc>
        <w:tc>
          <w:tcPr>
            <w:tcW w:w="150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8"/>
                <w:szCs w:val="18"/>
                <w:color w:val="auto"/>
              </w:rPr>
              <w:t>7,815,800</w:t>
            </w:r>
          </w:p>
        </w:tc>
        <w:tc>
          <w:tcPr>
            <w:tcW w:w="3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1180" w:type="dxa"/>
            <w:vAlign w:val="bottom"/>
          </w:tcPr>
          <w:p>
            <w:pPr>
              <w:jc w:val="right"/>
              <w:ind w:right="16"/>
              <w:spacing w:after="0"/>
              <w:rPr>
                <w:sz w:val="20"/>
                <w:szCs w:val="20"/>
                <w:color w:val="auto"/>
              </w:rPr>
            </w:pPr>
            <w:r>
              <w:rPr>
                <w:rFonts w:ascii="Arial" w:cs="Arial" w:eastAsia="Arial" w:hAnsi="Arial"/>
                <w:sz w:val="18"/>
                <w:szCs w:val="18"/>
                <w:color w:val="auto"/>
              </w:rPr>
              <w:t>17.91</w:t>
            </w:r>
          </w:p>
        </w:tc>
        <w:tc>
          <w:tcPr>
            <w:tcW w:w="120" w:type="dxa"/>
            <w:vAlign w:val="bottom"/>
          </w:tcPr>
          <w:p>
            <w:pPr>
              <w:spacing w:after="0"/>
              <w:rPr>
                <w:sz w:val="22"/>
                <w:szCs w:val="22"/>
                <w:color w:val="auto"/>
              </w:rPr>
            </w:pPr>
          </w:p>
        </w:tc>
        <w:tc>
          <w:tcPr>
            <w:tcW w:w="238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8"/>
                <w:szCs w:val="18"/>
                <w:color w:val="auto"/>
              </w:rPr>
              <w:t>7,815,800</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2200" w:type="dxa"/>
            <w:vAlign w:val="bottom"/>
          </w:tcPr>
          <w:p>
            <w:pPr>
              <w:jc w:val="right"/>
              <w:ind w:right="19"/>
              <w:spacing w:after="0"/>
              <w:rPr>
                <w:sz w:val="20"/>
                <w:szCs w:val="20"/>
                <w:color w:val="auto"/>
              </w:rPr>
            </w:pPr>
            <w:r>
              <w:rPr>
                <w:rFonts w:ascii="Arial" w:cs="Arial" w:eastAsia="Arial" w:hAnsi="Arial"/>
                <w:sz w:val="18"/>
                <w:szCs w:val="18"/>
                <w:color w:val="auto"/>
              </w:rPr>
              <w:t>357,956</w:t>
            </w:r>
          </w:p>
        </w:tc>
        <w:tc>
          <w:tcPr>
            <w:tcW w:w="0" w:type="dxa"/>
            <w:vAlign w:val="bottom"/>
          </w:tcPr>
          <w:p>
            <w:pPr>
              <w:spacing w:after="0"/>
              <w:rPr>
                <w:sz w:val="1"/>
                <w:szCs w:val="1"/>
                <w:color w:val="auto"/>
              </w:rPr>
            </w:pPr>
          </w:p>
        </w:tc>
      </w:tr>
      <w:tr>
        <w:trPr>
          <w:trHeight w:val="20"/>
        </w:trPr>
        <w:tc>
          <w:tcPr>
            <w:tcW w:w="3440" w:type="dxa"/>
            <w:vAlign w:val="bottom"/>
          </w:tcPr>
          <w:p>
            <w:pPr>
              <w:spacing w:after="0" w:line="20" w:lineRule="exact"/>
              <w:rPr>
                <w:sz w:val="1"/>
                <w:szCs w:val="1"/>
                <w:color w:val="auto"/>
              </w:rPr>
            </w:pPr>
          </w:p>
        </w:tc>
        <w:tc>
          <w:tcPr>
            <w:tcW w:w="15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75" w:lineRule="exact"/>
        <w:rPr>
          <w:sz w:val="20"/>
          <w:szCs w:val="20"/>
          <w:color w:val="auto"/>
        </w:rPr>
      </w:pPr>
    </w:p>
    <w:p>
      <w:pPr>
        <w:ind w:left="660" w:right="540" w:hanging="652"/>
        <w:spacing w:after="0" w:line="258" w:lineRule="auto"/>
        <w:tabs>
          <w:tab w:leader="none" w:pos="6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October 28, 2017, are based on our fiscal accounting periods which follow a quarterly 4-4-5 week fiscal accounting period.</w:t>
      </w:r>
    </w:p>
    <w:p>
      <w:pPr>
        <w:spacing w:after="0" w:line="1" w:lineRule="exact"/>
        <w:rPr>
          <w:rFonts w:ascii="Arial" w:cs="Arial" w:eastAsia="Arial" w:hAnsi="Arial"/>
          <w:sz w:val="18"/>
          <w:szCs w:val="18"/>
          <w:color w:val="auto"/>
        </w:rPr>
      </w:pPr>
    </w:p>
    <w:p>
      <w:pPr>
        <w:ind w:left="660" w:right="40" w:hanging="652"/>
        <w:spacing w:after="0" w:line="290" w:lineRule="auto"/>
        <w:tabs>
          <w:tab w:leader="none" w:pos="660" w:val="left"/>
        </w:tabs>
        <w:numPr>
          <w:ilvl w:val="0"/>
          <w:numId w:val="24"/>
        </w:numPr>
        <w:rPr>
          <w:rFonts w:ascii="Arial" w:cs="Arial" w:eastAsia="Arial" w:hAnsi="Arial"/>
          <w:sz w:val="16"/>
          <w:szCs w:val="16"/>
          <w:color w:val="auto"/>
        </w:rPr>
      </w:pPr>
      <w:r>
        <w:rPr>
          <w:rFonts w:ascii="Arial" w:cs="Arial" w:eastAsia="Arial" w:hAnsi="Arial"/>
          <w:sz w:val="16"/>
          <w:szCs w:val="16"/>
          <w:color w:val="auto"/>
        </w:rPr>
        <w:t>On November 17, 2016, the Company announced that its Board of Directors authorized a $1 billion share repurchase plan. The newly authorized stock repurchase program replaces in its entirety the prior $3.25 billion stock repurchase program, which had approximately $115 million of repurchase authority remaining as of November 17, 2016.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19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140" w:right="239" w:bottom="1440" w:gutter="0" w:footer="0" w:header="0"/>
        </w:sectPr>
      </w:pPr>
    </w:p>
    <w:bookmarkStart w:id="52" w:name="page53"/>
    <w:bookmarkEnd w:id="52"/>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34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39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60" w:type="dxa"/>
            <w:vAlign w:val="bottom"/>
            <w:gridSpan w:val="2"/>
          </w:tcPr>
          <w:p>
            <w:pPr>
              <w:jc w:val="center"/>
              <w:ind w:right="100"/>
              <w:spacing w:after="0"/>
              <w:rPr>
                <w:sz w:val="20"/>
                <w:szCs w:val="20"/>
                <w:color w:val="auto"/>
              </w:rPr>
            </w:pPr>
            <w:r>
              <w:rPr>
                <w:rFonts w:ascii="Arial" w:cs="Arial" w:eastAsia="Arial" w:hAnsi="Arial"/>
                <w:sz w:val="14"/>
                <w:szCs w:val="14"/>
                <w:color w:val="auto"/>
                <w:w w:val="94"/>
              </w:rPr>
              <w:t>Incorporated by</w:t>
            </w:r>
          </w:p>
        </w:tc>
        <w:tc>
          <w:tcPr>
            <w:tcW w:w="1480" w:type="dxa"/>
            <w:vAlign w:val="bottom"/>
          </w:tcPr>
          <w:p>
            <w:pPr>
              <w:spacing w:after="0"/>
              <w:rPr>
                <w:sz w:val="14"/>
                <w:szCs w:val="14"/>
                <w:color w:val="auto"/>
              </w:rPr>
            </w:pPr>
          </w:p>
        </w:tc>
      </w:tr>
      <w:tr>
        <w:trPr>
          <w:trHeight w:val="149"/>
        </w:trPr>
        <w:tc>
          <w:tcPr>
            <w:tcW w:w="1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39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460" w:type="dxa"/>
            <w:vAlign w:val="bottom"/>
            <w:gridSpan w:val="2"/>
          </w:tcPr>
          <w:p>
            <w:pPr>
              <w:jc w:val="center"/>
              <w:ind w:right="120"/>
              <w:spacing w:after="0" w:line="149" w:lineRule="exact"/>
              <w:rPr>
                <w:sz w:val="20"/>
                <w:szCs w:val="20"/>
                <w:color w:val="auto"/>
              </w:rPr>
            </w:pPr>
            <w:r>
              <w:rPr>
                <w:rFonts w:ascii="Arial" w:cs="Arial" w:eastAsia="Arial" w:hAnsi="Arial"/>
                <w:sz w:val="14"/>
                <w:szCs w:val="14"/>
                <w:color w:val="auto"/>
                <w:w w:val="93"/>
              </w:rPr>
              <w:t>Reference from</w:t>
            </w:r>
          </w:p>
        </w:tc>
        <w:tc>
          <w:tcPr>
            <w:tcW w:w="1480" w:type="dxa"/>
            <w:vAlign w:val="bottom"/>
          </w:tcPr>
          <w:p>
            <w:pPr>
              <w:spacing w:after="0"/>
              <w:rPr>
                <w:sz w:val="12"/>
                <w:szCs w:val="12"/>
                <w:color w:val="auto"/>
              </w:rPr>
            </w:pPr>
          </w:p>
        </w:tc>
      </w:tr>
      <w:tr>
        <w:trPr>
          <w:trHeight w:val="188"/>
        </w:trPr>
        <w:tc>
          <w:tcPr>
            <w:tcW w:w="820" w:type="dxa"/>
            <w:vAlign w:val="bottom"/>
            <w:tcBorders>
              <w:bottom w:val="single" w:sz="8" w:color="auto"/>
            </w:tcBorders>
            <w:gridSpan w:val="6"/>
          </w:tcPr>
          <w:p>
            <w:pPr>
              <w:ind w:left="80"/>
              <w:spacing w:after="0"/>
              <w:rPr>
                <w:sz w:val="20"/>
                <w:szCs w:val="20"/>
                <w:color w:val="auto"/>
              </w:rPr>
            </w:pPr>
            <w:r>
              <w:rPr>
                <w:rFonts w:ascii="Arial" w:cs="Arial" w:eastAsia="Arial" w:hAnsi="Arial"/>
                <w:sz w:val="14"/>
                <w:szCs w:val="14"/>
                <w:color w:val="auto"/>
              </w:rPr>
              <w:t>Exhibit No.</w:t>
            </w:r>
          </w:p>
        </w:tc>
        <w:tc>
          <w:tcPr>
            <w:tcW w:w="120" w:type="dxa"/>
            <w:vAlign w:val="bottom"/>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4660" w:type="dxa"/>
            <w:vAlign w:val="bottom"/>
            <w:tcBorders>
              <w:bottom w:val="single" w:sz="8" w:color="auto"/>
            </w:tcBorders>
            <w:gridSpan w:val="6"/>
          </w:tcPr>
          <w:p>
            <w:pPr>
              <w:ind w:left="1780"/>
              <w:spacing w:after="0"/>
              <w:rPr>
                <w:sz w:val="20"/>
                <w:szCs w:val="20"/>
                <w:color w:val="auto"/>
              </w:rPr>
            </w:pPr>
            <w:r>
              <w:rPr>
                <w:rFonts w:ascii="Arial" w:cs="Arial" w:eastAsia="Arial" w:hAnsi="Arial"/>
                <w:sz w:val="14"/>
                <w:szCs w:val="14"/>
                <w:color w:val="auto"/>
              </w:rPr>
              <w:t>Item</w:t>
            </w:r>
          </w:p>
        </w:tc>
        <w:tc>
          <w:tcPr>
            <w:tcW w:w="120" w:type="dxa"/>
            <w:vAlign w:val="bottom"/>
          </w:tcPr>
          <w:p>
            <w:pPr>
              <w:spacing w:after="0"/>
              <w:rPr>
                <w:sz w:val="16"/>
                <w:szCs w:val="16"/>
                <w:color w:val="auto"/>
              </w:rPr>
            </w:pPr>
          </w:p>
        </w:tc>
        <w:tc>
          <w:tcPr>
            <w:tcW w:w="580" w:type="dxa"/>
            <w:vAlign w:val="bottom"/>
            <w:tcBorders>
              <w:bottom w:val="single" w:sz="8" w:color="auto"/>
            </w:tcBorders>
          </w:tcPr>
          <w:p>
            <w:pPr>
              <w:jc w:val="right"/>
              <w:ind w:right="34"/>
              <w:spacing w:after="0"/>
              <w:rPr>
                <w:sz w:val="20"/>
                <w:szCs w:val="20"/>
                <w:color w:val="auto"/>
              </w:rPr>
            </w:pPr>
            <w:r>
              <w:rPr>
                <w:rFonts w:ascii="Arial" w:cs="Arial" w:eastAsia="Arial" w:hAnsi="Arial"/>
                <w:sz w:val="14"/>
                <w:szCs w:val="14"/>
                <w:color w:val="auto"/>
              </w:rPr>
              <w:t>Form</w:t>
            </w:r>
          </w:p>
        </w:tc>
        <w:tc>
          <w:tcPr>
            <w:tcW w:w="120" w:type="dxa"/>
            <w:vAlign w:val="bottom"/>
          </w:tcPr>
          <w:p>
            <w:pPr>
              <w:spacing w:after="0"/>
              <w:rPr>
                <w:sz w:val="16"/>
                <w:szCs w:val="16"/>
                <w:color w:val="auto"/>
              </w:rPr>
            </w:pPr>
          </w:p>
        </w:tc>
        <w:tc>
          <w:tcPr>
            <w:tcW w:w="1120" w:type="dxa"/>
            <w:vAlign w:val="bottom"/>
            <w:tcBorders>
              <w:bottom w:val="single" w:sz="8" w:color="auto"/>
            </w:tcBorders>
          </w:tcPr>
          <w:p>
            <w:pPr>
              <w:jc w:val="right"/>
              <w:ind w:right="114"/>
              <w:spacing w:after="0"/>
              <w:rPr>
                <w:sz w:val="20"/>
                <w:szCs w:val="20"/>
                <w:color w:val="auto"/>
              </w:rPr>
            </w:pPr>
            <w:r>
              <w:rPr>
                <w:rFonts w:ascii="Arial" w:cs="Arial" w:eastAsia="Arial" w:hAnsi="Arial"/>
                <w:sz w:val="14"/>
                <w:szCs w:val="14"/>
                <w:color w:val="auto"/>
              </w:rPr>
              <w:t>File Number</w:t>
            </w:r>
          </w:p>
        </w:tc>
        <w:tc>
          <w:tcPr>
            <w:tcW w:w="120" w:type="dxa"/>
            <w:vAlign w:val="bottom"/>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6"/>
              </w:rPr>
              <w:t>Exhibit Number</w:t>
            </w:r>
          </w:p>
        </w:tc>
        <w:tc>
          <w:tcPr>
            <w:tcW w:w="100" w:type="dxa"/>
            <w:vAlign w:val="bottom"/>
          </w:tcPr>
          <w:p>
            <w:pPr>
              <w:spacing w:after="0"/>
              <w:rPr>
                <w:sz w:val="16"/>
                <w:szCs w:val="16"/>
                <w:color w:val="auto"/>
              </w:rPr>
            </w:pPr>
          </w:p>
        </w:tc>
        <w:tc>
          <w:tcPr>
            <w:tcW w:w="1480" w:type="dxa"/>
            <w:vAlign w:val="bottom"/>
            <w:tcBorders>
              <w:bottom w:val="single" w:sz="8" w:color="auto"/>
            </w:tcBorders>
          </w:tcPr>
          <w:p>
            <w:pPr>
              <w:jc w:val="center"/>
              <w:spacing w:after="0"/>
              <w:rPr>
                <w:sz w:val="20"/>
                <w:szCs w:val="20"/>
                <w:color w:val="auto"/>
              </w:rPr>
            </w:pPr>
            <w:r>
              <w:rPr>
                <w:rFonts w:ascii="Arial" w:cs="Arial" w:eastAsia="Arial" w:hAnsi="Arial"/>
                <w:sz w:val="14"/>
                <w:szCs w:val="14"/>
                <w:color w:val="auto"/>
                <w:w w:val="95"/>
              </w:rPr>
              <w:t>Filed with SEC</w:t>
            </w:r>
          </w:p>
        </w:tc>
      </w:tr>
      <w:tr>
        <w:trPr>
          <w:trHeight w:val="243"/>
        </w:trPr>
        <w:tc>
          <w:tcPr>
            <w:tcW w:w="580" w:type="dxa"/>
            <w:vAlign w:val="bottom"/>
            <w:gridSpan w:val="5"/>
          </w:tcPr>
          <w:p>
            <w:pPr>
              <w:jc w:val="center"/>
              <w:ind w:left="111"/>
              <w:spacing w:after="0"/>
              <w:rPr>
                <w:sz w:val="20"/>
                <w:szCs w:val="20"/>
                <w:color w:val="auto"/>
              </w:rPr>
            </w:pPr>
            <w:r>
              <w:rPr>
                <w:rFonts w:ascii="Arial" w:cs="Arial" w:eastAsia="Arial" w:hAnsi="Arial"/>
                <w:sz w:val="18"/>
                <w:szCs w:val="18"/>
                <w:color w:val="auto"/>
                <w:w w:val="87"/>
              </w:rPr>
              <w:t>3.1</w:t>
            </w:r>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5580" w:type="dxa"/>
            <w:vAlign w:val="bottom"/>
            <w:gridSpan w:val="11"/>
          </w:tcPr>
          <w:p>
            <w:pPr>
              <w:spacing w:after="0"/>
              <w:rPr>
                <w:sz w:val="20"/>
                <w:szCs w:val="20"/>
                <w:color w:val="auto"/>
              </w:rPr>
            </w:pPr>
            <w:r>
              <w:rPr>
                <w:rFonts w:ascii="Arial" w:cs="Arial" w:eastAsia="Arial" w:hAnsi="Arial"/>
                <w:sz w:val="18"/>
                <w:szCs w:val="18"/>
                <w:color w:val="auto"/>
              </w:rPr>
              <w:t>Memorandum of Association of Marvell Technology Group Ltd.</w:t>
            </w: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S-1</w:t>
            </w:r>
          </w:p>
        </w:tc>
        <w:tc>
          <w:tcPr>
            <w:tcW w:w="1120" w:type="dxa"/>
            <w:vAlign w:val="bottom"/>
          </w:tcPr>
          <w:p>
            <w:pPr>
              <w:jc w:val="right"/>
              <w:spacing w:after="0"/>
              <w:rPr>
                <w:sz w:val="20"/>
                <w:szCs w:val="20"/>
                <w:color w:val="auto"/>
              </w:rPr>
            </w:pPr>
            <w:r>
              <w:rPr>
                <w:rFonts w:ascii="Arial" w:cs="Arial" w:eastAsia="Arial" w:hAnsi="Arial"/>
                <w:sz w:val="18"/>
                <w:szCs w:val="18"/>
                <w:color w:val="auto"/>
              </w:rPr>
              <w:t>333-33086</w:t>
            </w:r>
          </w:p>
        </w:tc>
        <w:tc>
          <w:tcPr>
            <w:tcW w:w="120" w:type="dxa"/>
            <w:vAlign w:val="bottom"/>
          </w:tcPr>
          <w:p>
            <w:pPr>
              <w:spacing w:after="0"/>
              <w:rPr>
                <w:sz w:val="21"/>
                <w:szCs w:val="21"/>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3.1</w:t>
            </w: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89"/>
              </w:rPr>
              <w:t>3/23/2000</w:t>
            </w:r>
          </w:p>
        </w:tc>
      </w:tr>
      <w:tr>
        <w:trPr>
          <w:trHeight w:val="230"/>
        </w:trPr>
        <w:tc>
          <w:tcPr>
            <w:tcW w:w="580" w:type="dxa"/>
            <w:vAlign w:val="bottom"/>
            <w:gridSpan w:val="5"/>
          </w:tcPr>
          <w:p>
            <w:pPr>
              <w:jc w:val="center"/>
              <w:ind w:left="111"/>
              <w:spacing w:after="0"/>
              <w:rPr>
                <w:rFonts w:ascii="Arial" w:cs="Arial" w:eastAsia="Arial" w:hAnsi="Arial"/>
                <w:sz w:val="18"/>
                <w:szCs w:val="18"/>
                <w:color w:val="0000FF"/>
                <w:w w:val="87"/>
              </w:rPr>
            </w:pPr>
            <w:hyperlink r:id="rId12">
              <w:r>
                <w:rPr>
                  <w:rFonts w:ascii="Arial" w:cs="Arial" w:eastAsia="Arial" w:hAnsi="Arial"/>
                  <w:sz w:val="18"/>
                  <w:szCs w:val="18"/>
                  <w:color w:val="0000FF"/>
                  <w:w w:val="87"/>
                </w:rPr>
                <w:t>3.</w:t>
              </w:r>
              <w:r>
                <w:rPr>
                  <w:rFonts w:ascii="Arial" w:cs="Arial" w:eastAsia="Arial" w:hAnsi="Arial"/>
                  <w:sz w:val="18"/>
                  <w:szCs w:val="18"/>
                  <w:u w:val="single" w:color="auto"/>
                  <w:color w:val="0000FF"/>
                  <w:w w:val="87"/>
                </w:rPr>
                <w:t>2</w:t>
              </w:r>
            </w:hyperlink>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580" w:type="dxa"/>
            <w:vAlign w:val="bottom"/>
            <w:gridSpan w:val="11"/>
          </w:tcPr>
          <w:p>
            <w:pPr>
              <w:spacing w:after="0"/>
              <w:rPr>
                <w:rFonts w:ascii="Arial" w:cs="Arial" w:eastAsia="Arial" w:hAnsi="Arial"/>
                <w:sz w:val="18"/>
                <w:szCs w:val="18"/>
                <w:color w:val="0000FF"/>
                <w:w w:val="98"/>
              </w:rPr>
            </w:pPr>
            <w:hyperlink r:id="rId12">
              <w:r>
                <w:rPr>
                  <w:rFonts w:ascii="Arial" w:cs="Arial" w:eastAsia="Arial" w:hAnsi="Arial"/>
                  <w:sz w:val="18"/>
                  <w:szCs w:val="18"/>
                  <w:color w:val="0000FF"/>
                  <w:w w:val="98"/>
                </w:rPr>
                <w:t>Fourth Amended and Restated Bye-Laws of Marvell Technology Group</w:t>
              </w:r>
            </w:hyperlink>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8-K</w:t>
            </w:r>
          </w:p>
        </w:tc>
        <w:tc>
          <w:tcPr>
            <w:tcW w:w="1120" w:type="dxa"/>
            <w:vAlign w:val="bottom"/>
          </w:tcPr>
          <w:p>
            <w:pPr>
              <w:jc w:val="right"/>
              <w:spacing w:after="0"/>
              <w:rPr>
                <w:sz w:val="20"/>
                <w:szCs w:val="20"/>
                <w:color w:val="auto"/>
              </w:rPr>
            </w:pPr>
            <w:r>
              <w:rPr>
                <w:rFonts w:ascii="Arial" w:cs="Arial" w:eastAsia="Arial" w:hAnsi="Arial"/>
                <w:sz w:val="18"/>
                <w:szCs w:val="18"/>
                <w:color w:val="auto"/>
              </w:rPr>
              <w:t>000-30877</w:t>
            </w:r>
          </w:p>
        </w:tc>
        <w:tc>
          <w:tcPr>
            <w:tcW w:w="120" w:type="dxa"/>
            <w:vAlign w:val="bottom"/>
          </w:tcPr>
          <w:p>
            <w:pPr>
              <w:spacing w:after="0"/>
              <w:rPr>
                <w:sz w:val="19"/>
                <w:szCs w:val="19"/>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3.1</w:t>
            </w:r>
          </w:p>
        </w:tc>
        <w:tc>
          <w:tcPr>
            <w:tcW w:w="100" w:type="dxa"/>
            <w:vAlign w:val="bottom"/>
          </w:tcPr>
          <w:p>
            <w:pPr>
              <w:spacing w:after="0"/>
              <w:rPr>
                <w:sz w:val="19"/>
                <w:szCs w:val="19"/>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0"/>
              </w:rPr>
              <w:t>11/10/2016</w:t>
            </w:r>
          </w:p>
        </w:tc>
      </w:tr>
      <w:tr>
        <w:trPr>
          <w:trHeight w:val="196"/>
        </w:trPr>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200" w:type="dxa"/>
            <w:vAlign w:val="bottom"/>
            <w:tcBorders>
              <w:top w:val="single" w:sz="8" w:color="0000FF"/>
            </w:tcBorders>
            <w:gridSpan w:val="8"/>
          </w:tcPr>
          <w:p>
            <w:pPr>
              <w:spacing w:after="0" w:line="196" w:lineRule="exact"/>
              <w:rPr>
                <w:rFonts w:ascii="Arial" w:cs="Arial" w:eastAsia="Arial" w:hAnsi="Arial"/>
                <w:sz w:val="18"/>
                <w:szCs w:val="18"/>
                <w:color w:val="0000FF"/>
              </w:rPr>
            </w:pPr>
            <w:hyperlink r:id="rId12">
              <w:r>
                <w:rPr>
                  <w:rFonts w:ascii="Arial" w:cs="Arial" w:eastAsia="Arial" w:hAnsi="Arial"/>
                  <w:sz w:val="18"/>
                  <w:szCs w:val="18"/>
                  <w:color w:val="0000FF"/>
                </w:rPr>
                <w:t>Ltd.</w:t>
              </w:r>
            </w:hyperlink>
          </w:p>
        </w:tc>
        <w:tc>
          <w:tcPr>
            <w:tcW w:w="380" w:type="dxa"/>
            <w:vAlign w:val="bottom"/>
            <w:gridSpan w:val="3"/>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0"/>
        </w:trPr>
        <w:tc>
          <w:tcPr>
            <w:tcW w:w="18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r>
      <w:tr>
        <w:trPr>
          <w:trHeight w:val="250"/>
        </w:trPr>
        <w:tc>
          <w:tcPr>
            <w:tcW w:w="580" w:type="dxa"/>
            <w:vAlign w:val="bottom"/>
            <w:gridSpan w:val="5"/>
          </w:tcPr>
          <w:p>
            <w:pPr>
              <w:jc w:val="center"/>
              <w:ind w:left="111"/>
              <w:spacing w:after="0"/>
              <w:rPr>
                <w:rFonts w:ascii="Arial" w:cs="Arial" w:eastAsia="Arial" w:hAnsi="Arial"/>
                <w:sz w:val="18"/>
                <w:szCs w:val="18"/>
                <w:color w:val="0000FF"/>
                <w:w w:val="87"/>
              </w:rPr>
            </w:pPr>
            <w:hyperlink r:id="rId13">
              <w:r>
                <w:rPr>
                  <w:rFonts w:ascii="Arial" w:cs="Arial" w:eastAsia="Arial" w:hAnsi="Arial"/>
                  <w:sz w:val="18"/>
                  <w:szCs w:val="18"/>
                  <w:color w:val="0000FF"/>
                  <w:w w:val="87"/>
                </w:rPr>
                <w:t>3.</w:t>
              </w:r>
              <w:r>
                <w:rPr>
                  <w:rFonts w:ascii="Arial" w:cs="Arial" w:eastAsia="Arial" w:hAnsi="Arial"/>
                  <w:sz w:val="18"/>
                  <w:szCs w:val="18"/>
                  <w:u w:val="single" w:color="auto"/>
                  <w:color w:val="0000FF"/>
                  <w:w w:val="87"/>
                </w:rPr>
                <w:t>3</w:t>
              </w:r>
            </w:hyperlink>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5580" w:type="dxa"/>
            <w:vAlign w:val="bottom"/>
            <w:gridSpan w:val="11"/>
          </w:tcPr>
          <w:p>
            <w:pPr>
              <w:spacing w:after="0"/>
              <w:rPr>
                <w:rFonts w:ascii="Arial" w:cs="Arial" w:eastAsia="Arial" w:hAnsi="Arial"/>
                <w:sz w:val="18"/>
                <w:szCs w:val="18"/>
                <w:color w:val="0000FF"/>
              </w:rPr>
            </w:pPr>
            <w:hyperlink r:id="rId13">
              <w:r>
                <w:rPr>
                  <w:rFonts w:ascii="Arial" w:cs="Arial" w:eastAsia="Arial" w:hAnsi="Arial"/>
                  <w:sz w:val="18"/>
                  <w:szCs w:val="18"/>
                  <w:color w:val="0000FF"/>
                </w:rPr>
                <w:t>Memorandum of Increase of Share Capital of Marvell Technology</w:t>
              </w:r>
            </w:hyperlink>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8-K</w:t>
            </w:r>
          </w:p>
        </w:tc>
        <w:tc>
          <w:tcPr>
            <w:tcW w:w="1120" w:type="dxa"/>
            <w:vAlign w:val="bottom"/>
          </w:tcPr>
          <w:p>
            <w:pPr>
              <w:jc w:val="right"/>
              <w:spacing w:after="0"/>
              <w:rPr>
                <w:sz w:val="20"/>
                <w:szCs w:val="20"/>
                <w:color w:val="auto"/>
              </w:rPr>
            </w:pPr>
            <w:r>
              <w:rPr>
                <w:rFonts w:ascii="Arial" w:cs="Arial" w:eastAsia="Arial" w:hAnsi="Arial"/>
                <w:sz w:val="18"/>
                <w:szCs w:val="18"/>
                <w:color w:val="auto"/>
              </w:rPr>
              <w:t>000-30877</w:t>
            </w:r>
          </w:p>
        </w:tc>
        <w:tc>
          <w:tcPr>
            <w:tcW w:w="120" w:type="dxa"/>
            <w:vAlign w:val="bottom"/>
          </w:tcPr>
          <w:p>
            <w:pPr>
              <w:spacing w:after="0"/>
              <w:rPr>
                <w:sz w:val="21"/>
                <w:szCs w:val="21"/>
                <w:color w:val="auto"/>
              </w:rPr>
            </w:pPr>
          </w:p>
        </w:tc>
        <w:tc>
          <w:tcPr>
            <w:tcW w:w="1360" w:type="dxa"/>
            <w:vAlign w:val="bottom"/>
          </w:tcPr>
          <w:p>
            <w:pPr>
              <w:jc w:val="center"/>
              <w:spacing w:after="0"/>
              <w:rPr>
                <w:sz w:val="20"/>
                <w:szCs w:val="20"/>
                <w:color w:val="auto"/>
              </w:rPr>
            </w:pPr>
            <w:r>
              <w:rPr>
                <w:rFonts w:ascii="Arial" w:cs="Arial" w:eastAsia="Arial" w:hAnsi="Arial"/>
                <w:sz w:val="18"/>
                <w:szCs w:val="18"/>
                <w:color w:val="auto"/>
                <w:w w:val="95"/>
              </w:rPr>
              <w:t>3.1</w:t>
            </w: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1"/>
              </w:rPr>
              <w:t>7/6/2006</w:t>
            </w:r>
          </w:p>
        </w:tc>
      </w:tr>
      <w:tr>
        <w:trPr>
          <w:trHeight w:val="196"/>
        </w:trPr>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780" w:type="dxa"/>
            <w:vAlign w:val="bottom"/>
            <w:tcBorders>
              <w:top w:val="single" w:sz="8" w:color="0000FF"/>
            </w:tcBorders>
            <w:gridSpan w:val="5"/>
          </w:tcPr>
          <w:p>
            <w:pPr>
              <w:spacing w:after="0" w:line="196" w:lineRule="exact"/>
              <w:rPr>
                <w:rFonts w:ascii="Arial" w:cs="Arial" w:eastAsia="Arial" w:hAnsi="Arial"/>
                <w:sz w:val="18"/>
                <w:szCs w:val="18"/>
                <w:color w:val="0000FF"/>
              </w:rPr>
            </w:pPr>
            <w:hyperlink r:id="rId13">
              <w:r>
                <w:rPr>
                  <w:rFonts w:ascii="Arial" w:cs="Arial" w:eastAsia="Arial" w:hAnsi="Arial"/>
                  <w:sz w:val="18"/>
                  <w:szCs w:val="18"/>
                  <w:color w:val="0000FF"/>
                </w:rPr>
                <w:t>Group Ltd.</w:t>
              </w:r>
            </w:hyperlink>
          </w:p>
        </w:tc>
        <w:tc>
          <w:tcPr>
            <w:tcW w:w="800" w:type="dxa"/>
            <w:vAlign w:val="bottom"/>
            <w:gridSpan w:val="6"/>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0"/>
        </w:trPr>
        <w:tc>
          <w:tcPr>
            <w:tcW w:w="180" w:type="dxa"/>
            <w:vAlign w:val="bottom"/>
          </w:tcPr>
          <w:p>
            <w:pPr>
              <w:spacing w:after="0" w:line="20" w:lineRule="exact"/>
              <w:rPr>
                <w:sz w:val="1"/>
                <w:szCs w:val="1"/>
                <w:color w:val="auto"/>
              </w:rPr>
            </w:pPr>
          </w:p>
        </w:tc>
        <w:tc>
          <w:tcPr>
            <w:tcW w:w="3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428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r>
      <w:tr>
        <w:trPr>
          <w:trHeight w:val="250"/>
        </w:trPr>
        <w:tc>
          <w:tcPr>
            <w:tcW w:w="480" w:type="dxa"/>
            <w:vAlign w:val="bottom"/>
            <w:gridSpan w:val="3"/>
          </w:tcPr>
          <w:p>
            <w:pPr>
              <w:ind w:left="180"/>
              <w:spacing w:after="0"/>
              <w:rPr>
                <w:rFonts w:ascii="Arial" w:cs="Arial" w:eastAsia="Arial" w:hAnsi="Arial"/>
                <w:sz w:val="18"/>
                <w:szCs w:val="18"/>
                <w:color w:val="0000FF"/>
                <w:w w:val="79"/>
              </w:rPr>
            </w:pPr>
            <w:hyperlink w:anchor="page55">
              <w:r>
                <w:rPr>
                  <w:rFonts w:ascii="Arial" w:cs="Arial" w:eastAsia="Arial" w:hAnsi="Arial"/>
                  <w:sz w:val="18"/>
                  <w:szCs w:val="18"/>
                  <w:color w:val="0000FF"/>
                  <w:w w:val="79"/>
                </w:rPr>
                <w:t>31.</w:t>
              </w:r>
              <w:r>
                <w:rPr>
                  <w:rFonts w:ascii="Arial" w:cs="Arial" w:eastAsia="Arial" w:hAnsi="Arial"/>
                  <w:sz w:val="18"/>
                  <w:szCs w:val="18"/>
                  <w:u w:val="single" w:color="auto"/>
                  <w:color w:val="0000FF"/>
                  <w:w w:val="79"/>
                </w:rPr>
                <w:t>1</w:t>
              </w:r>
            </w:hyperlink>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5580" w:type="dxa"/>
            <w:vAlign w:val="bottom"/>
            <w:gridSpan w:val="11"/>
          </w:tcPr>
          <w:p>
            <w:pPr>
              <w:spacing w:after="0"/>
              <w:rPr>
                <w:rFonts w:ascii="Arial" w:cs="Arial" w:eastAsia="Arial" w:hAnsi="Arial"/>
                <w:sz w:val="18"/>
                <w:szCs w:val="18"/>
                <w:color w:val="0000FF"/>
                <w:w w:val="97"/>
              </w:rPr>
            </w:pPr>
            <w:hyperlink w:anchor="page55">
              <w:r>
                <w:rPr>
                  <w:rFonts w:ascii="Arial" w:cs="Arial" w:eastAsia="Arial" w:hAnsi="Arial"/>
                  <w:sz w:val="18"/>
                  <w:szCs w:val="18"/>
                  <w:color w:val="0000FF"/>
                  <w:w w:val="97"/>
                </w:rPr>
                <w:t>Rule 13a-14(a)/15d-14(a) Certification of the Principal Executive Officer</w:t>
              </w:r>
            </w:hyperlink>
          </w:p>
        </w:tc>
        <w:tc>
          <w:tcPr>
            <w:tcW w:w="5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0"/>
        </w:trPr>
        <w:tc>
          <w:tcPr>
            <w:tcW w:w="180" w:type="dxa"/>
            <w:vAlign w:val="bottom"/>
          </w:tcPr>
          <w:p>
            <w:pPr>
              <w:spacing w:after="0" w:line="20" w:lineRule="exact"/>
              <w:rPr>
                <w:sz w:val="1"/>
                <w:szCs w:val="1"/>
                <w:color w:val="auto"/>
              </w:rPr>
            </w:pPr>
          </w:p>
        </w:tc>
        <w:tc>
          <w:tcPr>
            <w:tcW w:w="30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54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gridSpan w:val="2"/>
            <w:shd w:val="clear" w:color="auto" w:fill="0000FF"/>
          </w:tcPr>
          <w:p>
            <w:pPr>
              <w:spacing w:after="0" w:line="20" w:lineRule="exact"/>
              <w:rPr>
                <w:sz w:val="1"/>
                <w:szCs w:val="1"/>
                <w:color w:val="auto"/>
              </w:rPr>
            </w:pPr>
          </w:p>
        </w:tc>
        <w:tc>
          <w:tcPr>
            <w:tcW w:w="340" w:type="dxa"/>
            <w:vAlign w:val="bottom"/>
            <w:tcBorders>
              <w:left w:val="single" w:sz="8" w:color="0000FF"/>
            </w:tcBorders>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r>
      <w:tr>
        <w:trPr>
          <w:trHeight w:val="250"/>
        </w:trPr>
        <w:tc>
          <w:tcPr>
            <w:tcW w:w="480" w:type="dxa"/>
            <w:vAlign w:val="bottom"/>
            <w:gridSpan w:val="3"/>
          </w:tcPr>
          <w:p>
            <w:pPr>
              <w:ind w:left="180"/>
              <w:spacing w:after="0"/>
              <w:rPr>
                <w:rFonts w:ascii="Arial" w:cs="Arial" w:eastAsia="Arial" w:hAnsi="Arial"/>
                <w:sz w:val="18"/>
                <w:szCs w:val="18"/>
                <w:color w:val="0000FF"/>
                <w:w w:val="79"/>
              </w:rPr>
            </w:pPr>
            <w:hyperlink w:anchor="page56">
              <w:r>
                <w:rPr>
                  <w:rFonts w:ascii="Arial" w:cs="Arial" w:eastAsia="Arial" w:hAnsi="Arial"/>
                  <w:sz w:val="18"/>
                  <w:szCs w:val="18"/>
                  <w:color w:val="0000FF"/>
                  <w:w w:val="79"/>
                </w:rPr>
                <w:t>31.</w:t>
              </w:r>
              <w:r>
                <w:rPr>
                  <w:rFonts w:ascii="Arial" w:cs="Arial" w:eastAsia="Arial" w:hAnsi="Arial"/>
                  <w:sz w:val="18"/>
                  <w:szCs w:val="18"/>
                  <w:u w:val="single" w:color="auto"/>
                  <w:color w:val="0000FF"/>
                  <w:w w:val="79"/>
                </w:rPr>
                <w:t>2</w:t>
              </w:r>
            </w:hyperlink>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5580" w:type="dxa"/>
            <w:vAlign w:val="bottom"/>
            <w:gridSpan w:val="11"/>
          </w:tcPr>
          <w:p>
            <w:pPr>
              <w:spacing w:after="0"/>
              <w:rPr>
                <w:rFonts w:ascii="Arial" w:cs="Arial" w:eastAsia="Arial" w:hAnsi="Arial"/>
                <w:sz w:val="18"/>
                <w:szCs w:val="18"/>
                <w:color w:val="0000FF"/>
                <w:w w:val="98"/>
              </w:rPr>
            </w:pPr>
            <w:hyperlink w:anchor="page56">
              <w:r>
                <w:rPr>
                  <w:rFonts w:ascii="Arial" w:cs="Arial" w:eastAsia="Arial" w:hAnsi="Arial"/>
                  <w:sz w:val="18"/>
                  <w:szCs w:val="18"/>
                  <w:color w:val="0000FF"/>
                  <w:w w:val="98"/>
                </w:rPr>
                <w:t>Rule 13a-14(a)/15d-14(a) Certification of the Principal Financial Officer</w:t>
              </w:r>
            </w:hyperlink>
          </w:p>
        </w:tc>
        <w:tc>
          <w:tcPr>
            <w:tcW w:w="5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0"/>
        </w:trPr>
        <w:tc>
          <w:tcPr>
            <w:tcW w:w="180" w:type="dxa"/>
            <w:vAlign w:val="bottom"/>
          </w:tcPr>
          <w:p>
            <w:pPr>
              <w:spacing w:after="0" w:line="20" w:lineRule="exact"/>
              <w:rPr>
                <w:sz w:val="1"/>
                <w:szCs w:val="1"/>
                <w:color w:val="auto"/>
              </w:rPr>
            </w:pPr>
          </w:p>
        </w:tc>
        <w:tc>
          <w:tcPr>
            <w:tcW w:w="300" w:type="dxa"/>
            <w:vAlign w:val="bottom"/>
            <w:gridSpan w:val="2"/>
            <w:shd w:val="clear" w:color="auto" w:fill="0000FF"/>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454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gridSpan w:val="2"/>
            <w:shd w:val="clear" w:color="auto" w:fill="0000FF"/>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r>
      <w:tr>
        <w:trPr>
          <w:trHeight w:val="250"/>
        </w:trPr>
        <w:tc>
          <w:tcPr>
            <w:tcW w:w="820" w:type="dxa"/>
            <w:vAlign w:val="bottom"/>
            <w:gridSpan w:val="6"/>
          </w:tcPr>
          <w:p>
            <w:pPr>
              <w:ind w:left="180"/>
              <w:spacing w:after="0"/>
              <w:rPr>
                <w:rFonts w:ascii="Arial" w:cs="Arial" w:eastAsia="Arial" w:hAnsi="Arial"/>
                <w:sz w:val="18"/>
                <w:szCs w:val="18"/>
                <w:color w:val="0000FF"/>
              </w:rPr>
            </w:pPr>
            <w:hyperlink w:anchor="page57">
              <w:r>
                <w:rPr>
                  <w:rFonts w:ascii="Arial" w:cs="Arial" w:eastAsia="Arial" w:hAnsi="Arial"/>
                  <w:sz w:val="18"/>
                  <w:szCs w:val="18"/>
                  <w:color w:val="0000FF"/>
                </w:rPr>
                <w:t>32.</w:t>
              </w:r>
              <w:r>
                <w:rPr>
                  <w:rFonts w:ascii="Arial" w:cs="Arial" w:eastAsia="Arial" w:hAnsi="Arial"/>
                  <w:sz w:val="18"/>
                  <w:szCs w:val="18"/>
                  <w:u w:val="single" w:color="auto"/>
                  <w:color w:val="0000FF"/>
                </w:rPr>
                <w:t>1*</w:t>
              </w:r>
            </w:hyperlink>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5580" w:type="dxa"/>
            <w:vAlign w:val="bottom"/>
            <w:gridSpan w:val="11"/>
          </w:tcPr>
          <w:p>
            <w:pPr>
              <w:spacing w:after="0"/>
              <w:rPr>
                <w:rFonts w:ascii="Arial" w:cs="Arial" w:eastAsia="Arial" w:hAnsi="Arial"/>
                <w:sz w:val="18"/>
                <w:szCs w:val="18"/>
                <w:color w:val="0000FF"/>
                <w:w w:val="95"/>
              </w:rPr>
            </w:pPr>
            <w:hyperlink w:anchor="page57">
              <w:r>
                <w:rPr>
                  <w:rFonts w:ascii="Arial" w:cs="Arial" w:eastAsia="Arial" w:hAnsi="Arial"/>
                  <w:sz w:val="18"/>
                  <w:szCs w:val="18"/>
                  <w:color w:val="0000FF"/>
                  <w:w w:val="95"/>
                </w:rPr>
                <w:t>Certification Pursuant to 18 U.S.C. Section 1350, as Adopted Pursuant to</w:t>
              </w:r>
            </w:hyperlink>
          </w:p>
        </w:tc>
        <w:tc>
          <w:tcPr>
            <w:tcW w:w="5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196"/>
        </w:trPr>
        <w:tc>
          <w:tcPr>
            <w:tcW w:w="180" w:type="dxa"/>
            <w:vAlign w:val="bottom"/>
          </w:tcPr>
          <w:p>
            <w:pPr>
              <w:spacing w:after="0"/>
              <w:rPr>
                <w:sz w:val="17"/>
                <w:szCs w:val="17"/>
                <w:color w:val="auto"/>
              </w:rPr>
            </w:pPr>
          </w:p>
        </w:tc>
        <w:tc>
          <w:tcPr>
            <w:tcW w:w="100" w:type="dxa"/>
            <w:vAlign w:val="bottom"/>
            <w:tcBorders>
              <w:top w:val="single" w:sz="8" w:color="0000FF"/>
            </w:tcBorders>
          </w:tcPr>
          <w:p>
            <w:pPr>
              <w:spacing w:after="0"/>
              <w:rPr>
                <w:sz w:val="17"/>
                <w:szCs w:val="17"/>
                <w:color w:val="auto"/>
              </w:rPr>
            </w:pPr>
          </w:p>
        </w:tc>
        <w:tc>
          <w:tcPr>
            <w:tcW w:w="20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80" w:type="dxa"/>
            <w:vAlign w:val="bottom"/>
            <w:tcBorders>
              <w:top w:val="single" w:sz="8" w:color="0000FF"/>
            </w:tcBorders>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140" w:type="dxa"/>
            <w:vAlign w:val="bottom"/>
            <w:tcBorders>
              <w:top w:val="single" w:sz="8" w:color="0000FF"/>
              <w:bottom w:val="single" w:sz="8" w:color="0000FF"/>
            </w:tcBorders>
            <w:gridSpan w:val="7"/>
          </w:tcPr>
          <w:p>
            <w:pPr>
              <w:spacing w:after="0" w:line="196" w:lineRule="exact"/>
              <w:rPr>
                <w:rFonts w:ascii="Arial" w:cs="Arial" w:eastAsia="Arial" w:hAnsi="Arial"/>
                <w:sz w:val="18"/>
                <w:szCs w:val="18"/>
                <w:color w:val="0000FF"/>
                <w:w w:val="91"/>
              </w:rPr>
            </w:pPr>
            <w:hyperlink w:anchor="page57">
              <w:r>
                <w:rPr>
                  <w:rFonts w:ascii="Arial" w:cs="Arial" w:eastAsia="Arial" w:hAnsi="Arial"/>
                  <w:sz w:val="18"/>
                  <w:szCs w:val="18"/>
                  <w:color w:val="0000FF"/>
                  <w:w w:val="91"/>
                </w:rPr>
                <w:t>Section 906 of the Sarbanes-Oxley Act of 2002 for Principal Executive</w:t>
              </w:r>
            </w:hyperlink>
          </w:p>
        </w:tc>
        <w:tc>
          <w:tcPr>
            <w:tcW w:w="100" w:type="dxa"/>
            <w:vAlign w:val="bottom"/>
            <w:tcBorders>
              <w:top w:val="single" w:sz="8" w:color="0000FF"/>
            </w:tcBorders>
            <w:gridSpan w:val="2"/>
          </w:tcPr>
          <w:p>
            <w:pPr>
              <w:spacing w:after="0"/>
              <w:rPr>
                <w:sz w:val="17"/>
                <w:szCs w:val="17"/>
                <w:color w:val="auto"/>
              </w:rPr>
            </w:pPr>
          </w:p>
        </w:tc>
        <w:tc>
          <w:tcPr>
            <w:tcW w:w="340" w:type="dxa"/>
            <w:vAlign w:val="bottom"/>
            <w:gridSpan w:val="2"/>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196"/>
        </w:trPr>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40" w:type="dxa"/>
            <w:vAlign w:val="bottom"/>
            <w:tcBorders>
              <w:bottom w:val="single" w:sz="8" w:color="0000FF"/>
            </w:tcBorders>
            <w:gridSpan w:val="3"/>
          </w:tcPr>
          <w:p>
            <w:pPr>
              <w:spacing w:after="0" w:line="196" w:lineRule="exact"/>
              <w:rPr>
                <w:rFonts w:ascii="Arial" w:cs="Arial" w:eastAsia="Arial" w:hAnsi="Arial"/>
                <w:sz w:val="18"/>
                <w:szCs w:val="18"/>
                <w:color w:val="0000FF"/>
                <w:w w:val="97"/>
              </w:rPr>
            </w:pPr>
            <w:hyperlink w:anchor="page57">
              <w:r>
                <w:rPr>
                  <w:rFonts w:ascii="Arial" w:cs="Arial" w:eastAsia="Arial" w:hAnsi="Arial"/>
                  <w:sz w:val="18"/>
                  <w:szCs w:val="18"/>
                  <w:color w:val="0000FF"/>
                  <w:w w:val="97"/>
                </w:rPr>
                <w:t>Officer</w:t>
              </w:r>
            </w:hyperlink>
          </w:p>
        </w:tc>
        <w:tc>
          <w:tcPr>
            <w:tcW w:w="5040" w:type="dxa"/>
            <w:vAlign w:val="bottom"/>
            <w:gridSpan w:val="8"/>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50"/>
        </w:trPr>
        <w:tc>
          <w:tcPr>
            <w:tcW w:w="820" w:type="dxa"/>
            <w:vAlign w:val="bottom"/>
            <w:gridSpan w:val="6"/>
          </w:tcPr>
          <w:p>
            <w:pPr>
              <w:ind w:left="180"/>
              <w:spacing w:after="0"/>
              <w:rPr>
                <w:rFonts w:ascii="Arial" w:cs="Arial" w:eastAsia="Arial" w:hAnsi="Arial"/>
                <w:sz w:val="18"/>
                <w:szCs w:val="18"/>
                <w:color w:val="0000FF"/>
              </w:rPr>
            </w:pPr>
            <w:hyperlink w:anchor="page58">
              <w:r>
                <w:rPr>
                  <w:rFonts w:ascii="Arial" w:cs="Arial" w:eastAsia="Arial" w:hAnsi="Arial"/>
                  <w:sz w:val="18"/>
                  <w:szCs w:val="18"/>
                  <w:color w:val="0000FF"/>
                </w:rPr>
                <w:t>32.</w:t>
              </w:r>
              <w:r>
                <w:rPr>
                  <w:rFonts w:ascii="Arial" w:cs="Arial" w:eastAsia="Arial" w:hAnsi="Arial"/>
                  <w:sz w:val="18"/>
                  <w:szCs w:val="18"/>
                  <w:u w:val="single" w:color="auto"/>
                  <w:color w:val="0000FF"/>
                </w:rPr>
                <w:t>2*</w:t>
              </w:r>
            </w:hyperlink>
          </w:p>
        </w:tc>
        <w:tc>
          <w:tcPr>
            <w:tcW w:w="1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5580" w:type="dxa"/>
            <w:vAlign w:val="bottom"/>
            <w:gridSpan w:val="11"/>
          </w:tcPr>
          <w:p>
            <w:pPr>
              <w:spacing w:after="0"/>
              <w:rPr>
                <w:rFonts w:ascii="Arial" w:cs="Arial" w:eastAsia="Arial" w:hAnsi="Arial"/>
                <w:sz w:val="18"/>
                <w:szCs w:val="18"/>
                <w:color w:val="0000FF"/>
                <w:w w:val="95"/>
              </w:rPr>
            </w:pPr>
            <w:hyperlink w:anchor="page58">
              <w:r>
                <w:rPr>
                  <w:rFonts w:ascii="Arial" w:cs="Arial" w:eastAsia="Arial" w:hAnsi="Arial"/>
                  <w:sz w:val="18"/>
                  <w:szCs w:val="18"/>
                  <w:color w:val="0000FF"/>
                  <w:w w:val="95"/>
                </w:rPr>
                <w:t>Certification Pursuant to 18 U.S.C. Section 1350, as Adopted Pursuant to</w:t>
              </w:r>
            </w:hyperlink>
          </w:p>
        </w:tc>
        <w:tc>
          <w:tcPr>
            <w:tcW w:w="5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3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196"/>
        </w:trPr>
        <w:tc>
          <w:tcPr>
            <w:tcW w:w="180" w:type="dxa"/>
            <w:vAlign w:val="bottom"/>
          </w:tcPr>
          <w:p>
            <w:pPr>
              <w:spacing w:after="0"/>
              <w:rPr>
                <w:sz w:val="17"/>
                <w:szCs w:val="17"/>
                <w:color w:val="auto"/>
              </w:rPr>
            </w:pPr>
          </w:p>
        </w:tc>
        <w:tc>
          <w:tcPr>
            <w:tcW w:w="100" w:type="dxa"/>
            <w:vAlign w:val="bottom"/>
            <w:tcBorders>
              <w:top w:val="single" w:sz="8" w:color="0000FF"/>
            </w:tcBorders>
          </w:tcPr>
          <w:p>
            <w:pPr>
              <w:spacing w:after="0"/>
              <w:rPr>
                <w:sz w:val="17"/>
                <w:szCs w:val="17"/>
                <w:color w:val="auto"/>
              </w:rPr>
            </w:pPr>
          </w:p>
        </w:tc>
        <w:tc>
          <w:tcPr>
            <w:tcW w:w="200" w:type="dxa"/>
            <w:vAlign w:val="bottom"/>
            <w:tcBorders>
              <w:top w:val="single" w:sz="8" w:color="0000FF"/>
            </w:tcBorders>
          </w:tcPr>
          <w:p>
            <w:pPr>
              <w:spacing w:after="0"/>
              <w:rPr>
                <w:sz w:val="17"/>
                <w:szCs w:val="17"/>
                <w:color w:val="auto"/>
              </w:rPr>
            </w:pPr>
          </w:p>
        </w:tc>
        <w:tc>
          <w:tcPr>
            <w:tcW w:w="20" w:type="dxa"/>
            <w:vAlign w:val="bottom"/>
            <w:tcBorders>
              <w:top w:val="single" w:sz="8" w:color="0000FF"/>
            </w:tcBorders>
          </w:tcPr>
          <w:p>
            <w:pPr>
              <w:spacing w:after="0"/>
              <w:rPr>
                <w:sz w:val="17"/>
                <w:szCs w:val="17"/>
                <w:color w:val="auto"/>
              </w:rPr>
            </w:pPr>
          </w:p>
        </w:tc>
        <w:tc>
          <w:tcPr>
            <w:tcW w:w="80" w:type="dxa"/>
            <w:vAlign w:val="bottom"/>
            <w:tcBorders>
              <w:top w:val="single" w:sz="8" w:color="0000FF"/>
            </w:tcBorders>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240" w:type="dxa"/>
            <w:vAlign w:val="bottom"/>
            <w:tcBorders>
              <w:top w:val="single" w:sz="8" w:color="0000FF"/>
            </w:tcBorders>
            <w:gridSpan w:val="9"/>
          </w:tcPr>
          <w:p>
            <w:pPr>
              <w:spacing w:after="0" w:line="196" w:lineRule="exact"/>
              <w:rPr>
                <w:rFonts w:ascii="Arial" w:cs="Arial" w:eastAsia="Arial" w:hAnsi="Arial"/>
                <w:sz w:val="18"/>
                <w:szCs w:val="18"/>
                <w:color w:val="0000FF"/>
                <w:w w:val="94"/>
              </w:rPr>
            </w:pPr>
            <w:hyperlink w:anchor="page58">
              <w:r>
                <w:rPr>
                  <w:rFonts w:ascii="Arial" w:cs="Arial" w:eastAsia="Arial" w:hAnsi="Arial"/>
                  <w:sz w:val="18"/>
                  <w:szCs w:val="18"/>
                  <w:color w:val="0000FF"/>
                  <w:w w:val="94"/>
                </w:rPr>
                <w:t>Section 906 of the Sarbanes-Oxley Act of 2002 for Principal Financial</w:t>
              </w:r>
            </w:hyperlink>
          </w:p>
        </w:tc>
        <w:tc>
          <w:tcPr>
            <w:tcW w:w="340" w:type="dxa"/>
            <w:vAlign w:val="bottom"/>
            <w:gridSpan w:val="2"/>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196"/>
        </w:trPr>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080" w:type="dxa"/>
            <w:vAlign w:val="bottom"/>
            <w:tcBorders>
              <w:top w:val="single" w:sz="8" w:color="0000FF"/>
            </w:tcBorders>
            <w:gridSpan w:val="6"/>
          </w:tcPr>
          <w:p>
            <w:pPr>
              <w:spacing w:after="0" w:line="196" w:lineRule="exact"/>
              <w:rPr>
                <w:rFonts w:ascii="Arial" w:cs="Arial" w:eastAsia="Arial" w:hAnsi="Arial"/>
                <w:sz w:val="18"/>
                <w:szCs w:val="18"/>
                <w:color w:val="0000FF"/>
              </w:rPr>
            </w:pPr>
            <w:hyperlink w:anchor="page58">
              <w:r>
                <w:rPr>
                  <w:rFonts w:ascii="Arial" w:cs="Arial" w:eastAsia="Arial" w:hAnsi="Arial"/>
                  <w:sz w:val="18"/>
                  <w:szCs w:val="18"/>
                  <w:color w:val="0000FF"/>
                </w:rPr>
                <w:t>Officer</w:t>
              </w:r>
            </w:hyperlink>
          </w:p>
        </w:tc>
        <w:tc>
          <w:tcPr>
            <w:tcW w:w="500" w:type="dxa"/>
            <w:vAlign w:val="bottom"/>
            <w:gridSpan w:val="5"/>
          </w:tcPr>
          <w:p>
            <w:pPr>
              <w:spacing w:after="0"/>
              <w:rPr>
                <w:sz w:val="17"/>
                <w:szCs w:val="17"/>
                <w:color w:val="auto"/>
              </w:rPr>
            </w:pPr>
          </w:p>
        </w:tc>
        <w:tc>
          <w:tcPr>
            <w:tcW w:w="5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480" w:type="dxa"/>
            <w:vAlign w:val="bottom"/>
          </w:tcPr>
          <w:p>
            <w:pPr>
              <w:spacing w:after="0"/>
              <w:rPr>
                <w:sz w:val="17"/>
                <w:szCs w:val="17"/>
                <w:color w:val="auto"/>
              </w:rPr>
            </w:pPr>
          </w:p>
        </w:tc>
      </w:tr>
      <w:tr>
        <w:trPr>
          <w:trHeight w:val="20"/>
        </w:trPr>
        <w:tc>
          <w:tcPr>
            <w:tcW w:w="940" w:type="dxa"/>
            <w:vAlign w:val="bottom"/>
            <w:gridSpan w:val="7"/>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gridSpan w:val="2"/>
            <w:shd w:val="clear" w:color="auto" w:fill="0000FF"/>
          </w:tcPr>
          <w:p>
            <w:pPr>
              <w:spacing w:after="0" w:line="20" w:lineRule="exact"/>
              <w:rPr>
                <w:sz w:val="1"/>
                <w:szCs w:val="1"/>
                <w:color w:val="auto"/>
              </w:rPr>
            </w:pPr>
          </w:p>
        </w:tc>
        <w:tc>
          <w:tcPr>
            <w:tcW w:w="5060" w:type="dxa"/>
            <w:vAlign w:val="bottom"/>
            <w:gridSpan w:val="9"/>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r>
      <w:tr>
        <w:trPr>
          <w:trHeight w:val="291"/>
        </w:trPr>
        <w:tc>
          <w:tcPr>
            <w:tcW w:w="940" w:type="dxa"/>
            <w:vAlign w:val="bottom"/>
            <w:gridSpan w:val="7"/>
          </w:tcPr>
          <w:p>
            <w:pPr>
              <w:ind w:left="40"/>
              <w:spacing w:after="0"/>
              <w:rPr>
                <w:sz w:val="20"/>
                <w:szCs w:val="20"/>
                <w:color w:val="auto"/>
              </w:rPr>
            </w:pPr>
            <w:r>
              <w:rPr>
                <w:rFonts w:ascii="Arial" w:cs="Arial" w:eastAsia="Arial" w:hAnsi="Arial"/>
                <w:sz w:val="18"/>
                <w:szCs w:val="18"/>
                <w:color w:val="auto"/>
              </w:rPr>
              <w:t>101.INS</w:t>
            </w:r>
          </w:p>
        </w:tc>
        <w:tc>
          <w:tcPr>
            <w:tcW w:w="20" w:type="dxa"/>
            <w:vAlign w:val="bottom"/>
          </w:tcPr>
          <w:p>
            <w:pPr>
              <w:spacing w:after="0"/>
              <w:rPr>
                <w:sz w:val="24"/>
                <w:szCs w:val="24"/>
                <w:color w:val="auto"/>
              </w:rPr>
            </w:pPr>
          </w:p>
        </w:tc>
        <w:tc>
          <w:tcPr>
            <w:tcW w:w="5580" w:type="dxa"/>
            <w:vAlign w:val="bottom"/>
            <w:gridSpan w:val="11"/>
          </w:tcPr>
          <w:p>
            <w:pPr>
              <w:spacing w:after="0"/>
              <w:rPr>
                <w:sz w:val="20"/>
                <w:szCs w:val="20"/>
                <w:color w:val="auto"/>
              </w:rPr>
            </w:pPr>
            <w:r>
              <w:rPr>
                <w:rFonts w:ascii="Arial" w:cs="Arial" w:eastAsia="Arial" w:hAnsi="Arial"/>
                <w:sz w:val="18"/>
                <w:szCs w:val="18"/>
                <w:color w:val="auto"/>
              </w:rPr>
              <w:t>XBRL Instance Document</w:t>
            </w: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940" w:type="dxa"/>
            <w:vAlign w:val="bottom"/>
            <w:gridSpan w:val="7"/>
          </w:tcPr>
          <w:p>
            <w:pPr>
              <w:jc w:val="center"/>
              <w:ind w:right="200"/>
              <w:spacing w:after="0"/>
              <w:rPr>
                <w:sz w:val="20"/>
                <w:szCs w:val="20"/>
                <w:color w:val="auto"/>
              </w:rPr>
            </w:pPr>
            <w:r>
              <w:rPr>
                <w:rFonts w:ascii="Arial" w:cs="Arial" w:eastAsia="Arial" w:hAnsi="Arial"/>
                <w:sz w:val="18"/>
                <w:szCs w:val="18"/>
                <w:color w:val="auto"/>
                <w:w w:val="90"/>
              </w:rPr>
              <w:t>101.SCH</w:t>
            </w:r>
          </w:p>
        </w:tc>
        <w:tc>
          <w:tcPr>
            <w:tcW w:w="20" w:type="dxa"/>
            <w:vAlign w:val="bottom"/>
          </w:tcPr>
          <w:p>
            <w:pPr>
              <w:spacing w:after="0"/>
              <w:rPr>
                <w:sz w:val="23"/>
                <w:szCs w:val="23"/>
                <w:color w:val="auto"/>
              </w:rPr>
            </w:pPr>
          </w:p>
        </w:tc>
        <w:tc>
          <w:tcPr>
            <w:tcW w:w="5580" w:type="dxa"/>
            <w:vAlign w:val="bottom"/>
            <w:gridSpan w:val="11"/>
          </w:tcPr>
          <w:p>
            <w:pPr>
              <w:spacing w:after="0"/>
              <w:rPr>
                <w:sz w:val="20"/>
                <w:szCs w:val="20"/>
                <w:color w:val="auto"/>
              </w:rPr>
            </w:pPr>
            <w:r>
              <w:rPr>
                <w:rFonts w:ascii="Arial" w:cs="Arial" w:eastAsia="Arial" w:hAnsi="Arial"/>
                <w:sz w:val="18"/>
                <w:szCs w:val="18"/>
                <w:color w:val="auto"/>
              </w:rPr>
              <w:t>XBRL Taxonomy Extension Schema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940" w:type="dxa"/>
            <w:vAlign w:val="bottom"/>
            <w:gridSpan w:val="7"/>
          </w:tcPr>
          <w:p>
            <w:pPr>
              <w:jc w:val="center"/>
              <w:ind w:right="180"/>
              <w:spacing w:after="0"/>
              <w:rPr>
                <w:sz w:val="20"/>
                <w:szCs w:val="20"/>
                <w:color w:val="auto"/>
              </w:rPr>
            </w:pPr>
            <w:r>
              <w:rPr>
                <w:rFonts w:ascii="Arial" w:cs="Arial" w:eastAsia="Arial" w:hAnsi="Arial"/>
                <w:sz w:val="18"/>
                <w:szCs w:val="18"/>
                <w:color w:val="auto"/>
                <w:w w:val="97"/>
              </w:rPr>
              <w:t>101.CAL</w:t>
            </w:r>
          </w:p>
        </w:tc>
        <w:tc>
          <w:tcPr>
            <w:tcW w:w="20" w:type="dxa"/>
            <w:vAlign w:val="bottom"/>
          </w:tcPr>
          <w:p>
            <w:pPr>
              <w:spacing w:after="0"/>
              <w:rPr>
                <w:sz w:val="23"/>
                <w:szCs w:val="23"/>
                <w:color w:val="auto"/>
              </w:rPr>
            </w:pPr>
          </w:p>
        </w:tc>
        <w:tc>
          <w:tcPr>
            <w:tcW w:w="5580" w:type="dxa"/>
            <w:vAlign w:val="bottom"/>
            <w:gridSpan w:val="11"/>
          </w:tcPr>
          <w:p>
            <w:pPr>
              <w:spacing w:after="0"/>
              <w:rPr>
                <w:sz w:val="20"/>
                <w:szCs w:val="20"/>
                <w:color w:val="auto"/>
              </w:rPr>
            </w:pPr>
            <w:r>
              <w:rPr>
                <w:rFonts w:ascii="Arial" w:cs="Arial" w:eastAsia="Arial" w:hAnsi="Arial"/>
                <w:sz w:val="18"/>
                <w:szCs w:val="18"/>
                <w:color w:val="auto"/>
              </w:rPr>
              <w:t>XBRL Taxonomy Extension Calculation Linkbase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940" w:type="dxa"/>
            <w:vAlign w:val="bottom"/>
            <w:gridSpan w:val="7"/>
          </w:tcPr>
          <w:p>
            <w:pPr>
              <w:jc w:val="center"/>
              <w:ind w:right="200"/>
              <w:spacing w:after="0"/>
              <w:rPr>
                <w:sz w:val="20"/>
                <w:szCs w:val="20"/>
                <w:color w:val="auto"/>
              </w:rPr>
            </w:pPr>
            <w:r>
              <w:rPr>
                <w:rFonts w:ascii="Arial" w:cs="Arial" w:eastAsia="Arial" w:hAnsi="Arial"/>
                <w:sz w:val="18"/>
                <w:szCs w:val="18"/>
                <w:color w:val="auto"/>
                <w:w w:val="92"/>
              </w:rPr>
              <w:t>101.DEF</w:t>
            </w:r>
          </w:p>
        </w:tc>
        <w:tc>
          <w:tcPr>
            <w:tcW w:w="20" w:type="dxa"/>
            <w:vAlign w:val="bottom"/>
          </w:tcPr>
          <w:p>
            <w:pPr>
              <w:spacing w:after="0"/>
              <w:rPr>
                <w:sz w:val="23"/>
                <w:szCs w:val="23"/>
                <w:color w:val="auto"/>
              </w:rPr>
            </w:pPr>
          </w:p>
        </w:tc>
        <w:tc>
          <w:tcPr>
            <w:tcW w:w="5580" w:type="dxa"/>
            <w:vAlign w:val="bottom"/>
            <w:gridSpan w:val="11"/>
          </w:tcPr>
          <w:p>
            <w:pPr>
              <w:spacing w:after="0"/>
              <w:rPr>
                <w:sz w:val="20"/>
                <w:szCs w:val="20"/>
                <w:color w:val="auto"/>
              </w:rPr>
            </w:pPr>
            <w:r>
              <w:rPr>
                <w:rFonts w:ascii="Arial" w:cs="Arial" w:eastAsia="Arial" w:hAnsi="Arial"/>
                <w:sz w:val="18"/>
                <w:szCs w:val="18"/>
                <w:color w:val="auto"/>
              </w:rPr>
              <w:t>XBRL Taxonomy Extension Definition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940" w:type="dxa"/>
            <w:vAlign w:val="bottom"/>
            <w:gridSpan w:val="7"/>
          </w:tcPr>
          <w:p>
            <w:pPr>
              <w:jc w:val="center"/>
              <w:ind w:right="180"/>
              <w:spacing w:after="0"/>
              <w:rPr>
                <w:sz w:val="20"/>
                <w:szCs w:val="20"/>
                <w:color w:val="auto"/>
              </w:rPr>
            </w:pPr>
            <w:r>
              <w:rPr>
                <w:rFonts w:ascii="Arial" w:cs="Arial" w:eastAsia="Arial" w:hAnsi="Arial"/>
                <w:sz w:val="18"/>
                <w:szCs w:val="18"/>
                <w:color w:val="auto"/>
                <w:w w:val="98"/>
              </w:rPr>
              <w:t>101.LAB</w:t>
            </w:r>
          </w:p>
        </w:tc>
        <w:tc>
          <w:tcPr>
            <w:tcW w:w="20" w:type="dxa"/>
            <w:vAlign w:val="bottom"/>
          </w:tcPr>
          <w:p>
            <w:pPr>
              <w:spacing w:after="0"/>
              <w:rPr>
                <w:sz w:val="23"/>
                <w:szCs w:val="23"/>
                <w:color w:val="auto"/>
              </w:rPr>
            </w:pPr>
          </w:p>
        </w:tc>
        <w:tc>
          <w:tcPr>
            <w:tcW w:w="5580" w:type="dxa"/>
            <w:vAlign w:val="bottom"/>
            <w:gridSpan w:val="11"/>
          </w:tcPr>
          <w:p>
            <w:pPr>
              <w:spacing w:after="0"/>
              <w:rPr>
                <w:sz w:val="20"/>
                <w:szCs w:val="20"/>
                <w:color w:val="auto"/>
              </w:rPr>
            </w:pPr>
            <w:r>
              <w:rPr>
                <w:rFonts w:ascii="Arial" w:cs="Arial" w:eastAsia="Arial" w:hAnsi="Arial"/>
                <w:sz w:val="18"/>
                <w:szCs w:val="18"/>
                <w:color w:val="auto"/>
              </w:rPr>
              <w:t>XBRL Taxonomy Extension Label Linkbase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r>
        <w:trPr>
          <w:trHeight w:val="270"/>
        </w:trPr>
        <w:tc>
          <w:tcPr>
            <w:tcW w:w="940" w:type="dxa"/>
            <w:vAlign w:val="bottom"/>
            <w:gridSpan w:val="7"/>
          </w:tcPr>
          <w:p>
            <w:pPr>
              <w:jc w:val="center"/>
              <w:ind w:right="220"/>
              <w:spacing w:after="0"/>
              <w:rPr>
                <w:sz w:val="20"/>
                <w:szCs w:val="20"/>
                <w:color w:val="auto"/>
              </w:rPr>
            </w:pPr>
            <w:r>
              <w:rPr>
                <w:rFonts w:ascii="Arial" w:cs="Arial" w:eastAsia="Arial" w:hAnsi="Arial"/>
                <w:sz w:val="18"/>
                <w:szCs w:val="18"/>
                <w:color w:val="auto"/>
                <w:w w:val="88"/>
              </w:rPr>
              <w:t>101.PRE</w:t>
            </w:r>
          </w:p>
        </w:tc>
        <w:tc>
          <w:tcPr>
            <w:tcW w:w="20" w:type="dxa"/>
            <w:vAlign w:val="bottom"/>
          </w:tcPr>
          <w:p>
            <w:pPr>
              <w:spacing w:after="0"/>
              <w:rPr>
                <w:sz w:val="23"/>
                <w:szCs w:val="23"/>
                <w:color w:val="auto"/>
              </w:rPr>
            </w:pPr>
          </w:p>
        </w:tc>
        <w:tc>
          <w:tcPr>
            <w:tcW w:w="5580" w:type="dxa"/>
            <w:vAlign w:val="bottom"/>
            <w:gridSpan w:val="11"/>
          </w:tcPr>
          <w:p>
            <w:pPr>
              <w:spacing w:after="0"/>
              <w:rPr>
                <w:sz w:val="20"/>
                <w:szCs w:val="20"/>
                <w:color w:val="auto"/>
              </w:rPr>
            </w:pPr>
            <w:r>
              <w:rPr>
                <w:rFonts w:ascii="Arial" w:cs="Arial" w:eastAsia="Arial" w:hAnsi="Arial"/>
                <w:sz w:val="18"/>
                <w:szCs w:val="18"/>
                <w:color w:val="auto"/>
              </w:rPr>
              <w:t>XBRL Taxonomy Extension Presentation Linkbase Document</w:t>
            </w:r>
          </w:p>
        </w:tc>
        <w:tc>
          <w:tcPr>
            <w:tcW w:w="5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3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80" w:type="dxa"/>
            <w:vAlign w:val="bottom"/>
          </w:tcPr>
          <w:p>
            <w:pPr>
              <w:jc w:val="center"/>
              <w:spacing w:after="0"/>
              <w:rPr>
                <w:sz w:val="20"/>
                <w:szCs w:val="20"/>
                <w:color w:val="auto"/>
              </w:rPr>
            </w:pPr>
            <w:r>
              <w:rPr>
                <w:rFonts w:ascii="Arial" w:cs="Arial" w:eastAsia="Arial" w:hAnsi="Arial"/>
                <w:sz w:val="18"/>
                <w:szCs w:val="18"/>
                <w:color w:val="auto"/>
                <w:w w:val="92"/>
              </w:rPr>
              <w:t>Filed herewith</w:t>
            </w:r>
          </w:p>
        </w:tc>
      </w:tr>
    </w:tbl>
    <w:p>
      <w:pPr>
        <w:spacing w:after="0" w:line="175" w:lineRule="exact"/>
        <w:rPr>
          <w:sz w:val="20"/>
          <w:szCs w:val="20"/>
          <w:color w:val="auto"/>
        </w:rPr>
      </w:pPr>
    </w:p>
    <w:p>
      <w:pPr>
        <w:ind w:left="720" w:hanging="685"/>
        <w:spacing w:after="0"/>
        <w:tabs>
          <w:tab w:leader="none" w:pos="720" w:val="left"/>
        </w:tabs>
        <w:numPr>
          <w:ilvl w:val="0"/>
          <w:numId w:val="25"/>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in which directors or executive officers are eligible to participate.</w:t>
      </w:r>
    </w:p>
    <w:p>
      <w:pPr>
        <w:spacing w:after="0" w:line="63" w:lineRule="exact"/>
        <w:rPr>
          <w:sz w:val="20"/>
          <w:szCs w:val="20"/>
          <w:color w:val="auto"/>
        </w:rPr>
      </w:pPr>
    </w:p>
    <w:p>
      <w:pPr>
        <w:ind w:left="720" w:right="80" w:hanging="685"/>
        <w:spacing w:after="0" w:line="264" w:lineRule="auto"/>
        <w:tabs>
          <w:tab w:leader="none" w:pos="72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23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420"/>
          </w:cols>
          <w:pgMar w:left="240" w:top="140" w:right="239" w:bottom="1440" w:gutter="0" w:footer="0" w:header="0"/>
        </w:sectPr>
      </w:pPr>
    </w:p>
    <w:bookmarkStart w:id="53" w:name="page54"/>
    <w:bookmarkEnd w:id="53"/>
    <w:p>
      <w:pPr>
        <w:spacing w:after="0"/>
        <w:rPr>
          <w:rFonts w:ascii="Arial" w:cs="Arial" w:eastAsia="Arial" w:hAnsi="Arial"/>
          <w:sz w:val="18"/>
          <w:szCs w:val="18"/>
          <w:u w:val="single" w:color="auto"/>
          <w:color w:val="0000EE"/>
        </w:rPr>
      </w:pPr>
      <w:hyperlink w:anchor="page2">
        <w:r>
          <w:rPr>
            <w:rFonts w:ascii="Arial" w:cs="Arial" w:eastAsia="Arial" w:hAnsi="Arial"/>
            <w:sz w:val="18"/>
            <w:szCs w:val="18"/>
            <w:u w:val="single" w:color="auto"/>
            <w:color w:val="0000EE"/>
          </w:rPr>
          <w:t>Table of Contents</w:t>
        </w:r>
      </w:hyperlink>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jc w:val="center"/>
        <w:ind w:right="-739"/>
        <w:spacing w:after="0"/>
        <w:rPr>
          <w:sz w:val="20"/>
          <w:szCs w:val="20"/>
          <w:color w:val="auto"/>
        </w:rPr>
      </w:pPr>
      <w:r>
        <w:rPr>
          <w:rFonts w:ascii="Arial" w:cs="Arial" w:eastAsia="Arial" w:hAnsi="Arial"/>
          <w:sz w:val="18"/>
          <w:szCs w:val="18"/>
          <w:b w:val="1"/>
          <w:bCs w:val="1"/>
          <w:color w:val="auto"/>
        </w:rPr>
        <w:t>SIGNATURES</w:t>
      </w:r>
    </w:p>
    <w:p>
      <w:pPr>
        <w:spacing w:after="0" w:line="175"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306" w:lineRule="exact"/>
        <w:rPr>
          <w:sz w:val="20"/>
          <w:szCs w:val="20"/>
          <w:color w:val="auto"/>
        </w:rPr>
      </w:pPr>
    </w:p>
    <w:p>
      <w:pPr>
        <w:ind w:left="656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40"/>
        <w:spacing w:after="0"/>
        <w:tabs>
          <w:tab w:leader="none" w:pos="6540" w:val="left"/>
          <w:tab w:leader="none" w:pos="6980" w:val="left"/>
        </w:tabs>
        <w:rPr>
          <w:sz w:val="20"/>
          <w:szCs w:val="20"/>
          <w:color w:val="auto"/>
        </w:rPr>
      </w:pPr>
      <w:r>
        <w:rPr>
          <w:rFonts w:ascii="Arial" w:cs="Arial" w:eastAsia="Arial" w:hAnsi="Arial"/>
          <w:sz w:val="18"/>
          <w:szCs w:val="18"/>
          <w:color w:val="auto"/>
        </w:rPr>
        <w:t>Date: December 4,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4430395</wp:posOffset>
            </wp:positionH>
            <wp:positionV relativeFrom="paragraph">
              <wp:posOffset>31750</wp:posOffset>
            </wp:positionV>
            <wp:extent cx="25901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590165" cy="8890"/>
                    </a:xfrm>
                    <a:prstGeom prst="rect">
                      <a:avLst/>
                    </a:prstGeom>
                    <a:noFill/>
                  </pic:spPr>
                </pic:pic>
              </a:graphicData>
            </a:graphic>
          </wp:anchor>
        </w:drawing>
      </w:r>
    </w:p>
    <w:p>
      <w:pPr>
        <w:spacing w:after="0" w:line="53"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0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59" w:lineRule="exact"/>
        <w:rPr>
          <w:sz w:val="20"/>
          <w:szCs w:val="20"/>
          <w:color w:val="auto"/>
        </w:rPr>
      </w:pPr>
    </w:p>
    <w:p>
      <w:pPr>
        <w:ind w:left="700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9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0700"/>
          </w:cols>
          <w:pgMar w:left="240" w:top="140" w:right="959" w:bottom="1440" w:gutter="0" w:footer="0" w:header="0"/>
        </w:sectPr>
      </w:pPr>
    </w:p>
    <w:bookmarkStart w:id="54" w:name="page55"/>
    <w:bookmarkEnd w:id="54"/>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25" w:lineRule="exact"/>
        <w:rPr>
          <w:sz w:val="20"/>
          <w:szCs w:val="20"/>
          <w:color w:val="auto"/>
        </w:rPr>
      </w:pPr>
    </w:p>
    <w:p>
      <w:pPr>
        <w:ind w:left="340" w:hanging="332"/>
        <w:spacing w:after="0"/>
        <w:tabs>
          <w:tab w:leader="none" w:pos="3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27"/>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27"/>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27"/>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27"/>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27"/>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December 4,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55" w:name="page56"/>
    <w:bookmarkEnd w:id="55"/>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Jean Hu, certify that:</w:t>
      </w:r>
    </w:p>
    <w:p>
      <w:pPr>
        <w:spacing w:after="0" w:line="347" w:lineRule="exact"/>
        <w:rPr>
          <w:sz w:val="20"/>
          <w:szCs w:val="20"/>
          <w:color w:val="auto"/>
        </w:rPr>
      </w:pPr>
    </w:p>
    <w:p>
      <w:pPr>
        <w:ind w:left="340" w:hanging="332"/>
        <w:spacing w:after="0"/>
        <w:tabs>
          <w:tab w:leader="none" w:pos="3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340" w:right="120" w:hanging="332"/>
        <w:spacing w:after="0" w:line="342" w:lineRule="auto"/>
        <w:tabs>
          <w:tab w:leader="none" w:pos="340" w:val="left"/>
        </w:tabs>
        <w:numPr>
          <w:ilvl w:val="0"/>
          <w:numId w:val="28"/>
        </w:numPr>
        <w:rPr>
          <w:rFonts w:ascii="Arial" w:cs="Arial" w:eastAsia="Arial" w:hAnsi="Arial"/>
          <w:sz w:val="16"/>
          <w:szCs w:val="16"/>
          <w:color w:val="auto"/>
        </w:rPr>
      </w:pPr>
      <w:r>
        <w:rPr>
          <w:rFonts w:ascii="Arial" w:cs="Arial" w:eastAsia="Arial" w:hAnsi="Arial"/>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23" w:lineRule="exact"/>
        <w:rPr>
          <w:rFonts w:ascii="Arial" w:cs="Arial" w:eastAsia="Arial" w:hAnsi="Arial"/>
          <w:sz w:val="16"/>
          <w:szCs w:val="16"/>
          <w:color w:val="auto"/>
        </w:rPr>
      </w:pPr>
    </w:p>
    <w:p>
      <w:pPr>
        <w:ind w:left="340" w:right="580" w:hanging="332"/>
        <w:spacing w:after="0" w:line="308" w:lineRule="auto"/>
        <w:tabs>
          <w:tab w:leader="none" w:pos="340" w:val="left"/>
        </w:tabs>
        <w:numPr>
          <w:ilvl w:val="0"/>
          <w:numId w:val="2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46" w:lineRule="exact"/>
        <w:rPr>
          <w:rFonts w:ascii="Arial" w:cs="Arial" w:eastAsia="Arial" w:hAnsi="Arial"/>
          <w:sz w:val="17"/>
          <w:szCs w:val="17"/>
          <w:color w:val="auto"/>
        </w:rPr>
      </w:pPr>
    </w:p>
    <w:p>
      <w:pPr>
        <w:ind w:left="340" w:right="60" w:hanging="332"/>
        <w:spacing w:after="0" w:line="264" w:lineRule="auto"/>
        <w:tabs>
          <w:tab w:leader="none" w:pos="3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181" w:lineRule="exact"/>
        <w:rPr>
          <w:rFonts w:ascii="Arial" w:cs="Arial" w:eastAsia="Arial" w:hAnsi="Arial"/>
          <w:sz w:val="18"/>
          <w:szCs w:val="18"/>
          <w:color w:val="auto"/>
        </w:rPr>
      </w:pPr>
    </w:p>
    <w:p>
      <w:pPr>
        <w:ind w:left="980" w:right="220" w:hanging="324"/>
        <w:spacing w:after="0" w:line="264" w:lineRule="auto"/>
        <w:tabs>
          <w:tab w:leader="none" w:pos="980" w:val="left"/>
        </w:tabs>
        <w:numPr>
          <w:ilvl w:val="1"/>
          <w:numId w:val="2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81" w:lineRule="exact"/>
        <w:rPr>
          <w:rFonts w:ascii="Arial" w:cs="Arial" w:eastAsia="Arial" w:hAnsi="Arial"/>
          <w:sz w:val="18"/>
          <w:szCs w:val="18"/>
          <w:color w:val="auto"/>
        </w:rPr>
      </w:pPr>
    </w:p>
    <w:p>
      <w:pPr>
        <w:ind w:left="980" w:right="540" w:hanging="324"/>
        <w:spacing w:after="0" w:line="264" w:lineRule="auto"/>
        <w:tabs>
          <w:tab w:leader="none" w:pos="980" w:val="left"/>
        </w:tabs>
        <w:numPr>
          <w:ilvl w:val="1"/>
          <w:numId w:val="2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181" w:lineRule="exact"/>
        <w:rPr>
          <w:rFonts w:ascii="Arial" w:cs="Arial" w:eastAsia="Arial" w:hAnsi="Arial"/>
          <w:sz w:val="18"/>
          <w:szCs w:val="18"/>
          <w:color w:val="auto"/>
        </w:rPr>
      </w:pPr>
    </w:p>
    <w:p>
      <w:pPr>
        <w:jc w:val="both"/>
        <w:ind w:left="980" w:right="720" w:hanging="324"/>
        <w:spacing w:after="0" w:line="342" w:lineRule="auto"/>
        <w:tabs>
          <w:tab w:leader="none" w:pos="980" w:val="left"/>
        </w:tabs>
        <w:numPr>
          <w:ilvl w:val="1"/>
          <w:numId w:val="2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23" w:lineRule="exact"/>
        <w:rPr>
          <w:rFonts w:ascii="Arial" w:cs="Arial" w:eastAsia="Arial" w:hAnsi="Arial"/>
          <w:sz w:val="16"/>
          <w:szCs w:val="16"/>
          <w:color w:val="auto"/>
        </w:rPr>
      </w:pPr>
    </w:p>
    <w:p>
      <w:pPr>
        <w:ind w:left="980" w:right="220" w:hanging="324"/>
        <w:spacing w:after="0" w:line="264" w:lineRule="auto"/>
        <w:tabs>
          <w:tab w:leader="none" w:pos="980" w:val="left"/>
        </w:tabs>
        <w:numPr>
          <w:ilvl w:val="1"/>
          <w:numId w:val="2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1" w:lineRule="exact"/>
        <w:rPr>
          <w:rFonts w:ascii="Arial" w:cs="Arial" w:eastAsia="Arial" w:hAnsi="Arial"/>
          <w:sz w:val="18"/>
          <w:szCs w:val="18"/>
          <w:color w:val="auto"/>
        </w:rPr>
      </w:pPr>
    </w:p>
    <w:p>
      <w:pPr>
        <w:ind w:left="340" w:right="500" w:hanging="332"/>
        <w:spacing w:after="0" w:line="308" w:lineRule="auto"/>
        <w:tabs>
          <w:tab w:leader="none" w:pos="340" w:val="left"/>
        </w:tabs>
        <w:numPr>
          <w:ilvl w:val="0"/>
          <w:numId w:val="28"/>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46" w:lineRule="exact"/>
        <w:rPr>
          <w:rFonts w:ascii="Arial" w:cs="Arial" w:eastAsia="Arial" w:hAnsi="Arial"/>
          <w:sz w:val="17"/>
          <w:szCs w:val="17"/>
          <w:color w:val="auto"/>
        </w:rPr>
      </w:pPr>
    </w:p>
    <w:p>
      <w:pPr>
        <w:ind w:left="980" w:right="120" w:hanging="324"/>
        <w:spacing w:after="0" w:line="277" w:lineRule="auto"/>
        <w:tabs>
          <w:tab w:leader="none" w:pos="980" w:val="left"/>
        </w:tabs>
        <w:numPr>
          <w:ilvl w:val="1"/>
          <w:numId w:val="2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170" w:lineRule="exact"/>
        <w:rPr>
          <w:rFonts w:ascii="Arial" w:cs="Arial" w:eastAsia="Arial" w:hAnsi="Arial"/>
          <w:sz w:val="18"/>
          <w:szCs w:val="18"/>
          <w:color w:val="auto"/>
        </w:rPr>
      </w:pPr>
    </w:p>
    <w:p>
      <w:pPr>
        <w:ind w:left="980" w:right="80" w:hanging="324"/>
        <w:spacing w:after="0" w:line="277" w:lineRule="auto"/>
        <w:tabs>
          <w:tab w:leader="none" w:pos="980" w:val="left"/>
        </w:tabs>
        <w:numPr>
          <w:ilvl w:val="1"/>
          <w:numId w:val="2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16"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December 4,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580" w:right="239" w:bottom="1440" w:gutter="0" w:footer="0" w:header="0"/>
        </w:sectPr>
      </w:pPr>
    </w:p>
    <w:bookmarkStart w:id="56" w:name="page57"/>
    <w:bookmarkEnd w:id="56"/>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920"/>
        <w:spacing w:after="0" w:line="277" w:lineRule="auto"/>
        <w:rPr>
          <w:sz w:val="20"/>
          <w:szCs w:val="20"/>
          <w:color w:val="auto"/>
        </w:rPr>
      </w:pPr>
      <w:r>
        <w:rPr>
          <w:rFonts w:ascii="Arial" w:cs="Arial" w:eastAsia="Arial" w:hAnsi="Arial"/>
          <w:sz w:val="18"/>
          <w:szCs w:val="18"/>
          <w:color w:val="auto"/>
        </w:rPr>
        <w:t>I, Matthew J. Murphy, the Principal Executive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940" w:hanging="316"/>
        <w:spacing w:after="0" w:line="277" w:lineRule="auto"/>
        <w:tabs>
          <w:tab w:leader="none" w:pos="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28, 2017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29"/>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December 4,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Matthew J. Murphy</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President and Chief Executive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580" w:right="239" w:bottom="1440" w:gutter="0" w:footer="0" w:header="0"/>
        </w:sectPr>
      </w:pPr>
    </w:p>
    <w:bookmarkStart w:id="57" w:name="page58"/>
    <w:bookmarkEnd w:id="57"/>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580"/>
        <w:spacing w:after="0" w:line="277" w:lineRule="auto"/>
        <w:rPr>
          <w:sz w:val="20"/>
          <w:szCs w:val="20"/>
          <w:color w:val="auto"/>
        </w:rPr>
      </w:pPr>
      <w:r>
        <w:rPr>
          <w:rFonts w:ascii="Arial" w:cs="Arial" w:eastAsia="Arial" w:hAnsi="Arial"/>
          <w:sz w:val="18"/>
          <w:szCs w:val="18"/>
          <w:color w:val="auto"/>
        </w:rPr>
        <w:t>I, Jean Hu, the Principal Financial Officer of Marvell Technology Group Ltd. (the “Registrant”),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540" w:right="940" w:hanging="316"/>
        <w:spacing w:after="0" w:line="277" w:lineRule="auto"/>
        <w:tabs>
          <w:tab w:leader="none" w:pos="5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October 28, 2017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16"/>
        <w:spacing w:after="0"/>
        <w:tabs>
          <w:tab w:leader="none" w:pos="540" w:val="left"/>
        </w:tabs>
        <w:numPr>
          <w:ilvl w:val="0"/>
          <w:numId w:val="30"/>
        </w:numPr>
        <w:rPr>
          <w:rFonts w:ascii="Arial" w:cs="Arial" w:eastAsia="Arial" w:hAnsi="Arial"/>
          <w:sz w:val="17"/>
          <w:szCs w:val="17"/>
          <w:color w:val="auto"/>
        </w:rPr>
      </w:pPr>
      <w:r>
        <w:rPr>
          <w:rFonts w:ascii="Arial" w:cs="Arial" w:eastAsia="Arial" w:hAnsi="Arial"/>
          <w:sz w:val="17"/>
          <w:szCs w:val="17"/>
          <w:color w:val="auto"/>
        </w:rPr>
        <w:t>the information contained in the Report fairly presents, in all material respects, the financial condition and results of operations of the Registrant.</w:t>
      </w:r>
    </w:p>
    <w:p>
      <w:pPr>
        <w:spacing w:after="0" w:line="183" w:lineRule="exact"/>
        <w:rPr>
          <w:sz w:val="20"/>
          <w:szCs w:val="20"/>
          <w:color w:val="auto"/>
        </w:rPr>
      </w:pPr>
    </w:p>
    <w:p>
      <w:pPr>
        <w:ind w:left="40"/>
        <w:spacing w:after="0"/>
        <w:tabs>
          <w:tab w:leader="none" w:pos="5500" w:val="left"/>
          <w:tab w:leader="none" w:pos="5960" w:val="left"/>
        </w:tabs>
        <w:rPr>
          <w:sz w:val="20"/>
          <w:szCs w:val="20"/>
          <w:color w:val="auto"/>
        </w:rPr>
      </w:pPr>
      <w:r>
        <w:rPr>
          <w:rFonts w:ascii="Arial" w:cs="Arial" w:eastAsia="Arial" w:hAnsi="Arial"/>
          <w:sz w:val="18"/>
          <w:szCs w:val="18"/>
          <w:color w:val="auto"/>
        </w:rPr>
        <w:t>Date: December 4, 2017</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3778250</wp:posOffset>
            </wp:positionH>
            <wp:positionV relativeFrom="paragraph">
              <wp:posOffset>31750</wp:posOffset>
            </wp:positionV>
            <wp:extent cx="347345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3473450" cy="8890"/>
                    </a:xfrm>
                    <a:prstGeom prst="rect">
                      <a:avLst/>
                    </a:prstGeom>
                    <a:noFill/>
                  </pic:spPr>
                </pic:pic>
              </a:graphicData>
            </a:graphic>
          </wp:anchor>
        </w:drawing>
      </w:r>
    </w:p>
    <w:p>
      <w:pPr>
        <w:spacing w:after="0" w:line="53"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Chief Financial Officer</w:t>
      </w:r>
    </w:p>
    <w:p>
      <w:pPr>
        <w:spacing w:after="0" w:line="9" w:lineRule="exact"/>
        <w:rPr>
          <w:sz w:val="20"/>
          <w:szCs w:val="20"/>
          <w:color w:val="auto"/>
        </w:rPr>
      </w:pPr>
    </w:p>
    <w:p>
      <w:pPr>
        <w:ind w:left="59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1A7C4C9"/>
    <w:multiLevelType w:val="hybridMultilevel"/>
    <w:lvl w:ilvl="0">
      <w:lvlJc w:val="left"/>
      <w:lvlText w:val="☒"/>
      <w:numFmt w:val="bullet"/>
      <w:start w:val="1"/>
    </w:lvl>
  </w:abstractNum>
  <w:abstractNum w:abstractNumId="1">
    <w:nsid w:val="6B68079A"/>
    <w:multiLevelType w:val="hybridMultilevel"/>
    <w:lvl w:ilvl="0">
      <w:lvlJc w:val="left"/>
      <w:lvlText w:val="☐"/>
      <w:numFmt w:val="bullet"/>
      <w:start w:val="1"/>
    </w:lvl>
  </w:abstractNum>
  <w:abstractNum w:abstractNumId="2">
    <w:nsid w:val="4E6AFB66"/>
    <w:multiLevelType w:val="hybridMultilevel"/>
    <w:lvl w:ilvl="0">
      <w:lvlJc w:val="left"/>
      <w:lvlText w:val="•"/>
      <w:numFmt w:val="bullet"/>
      <w:start w:val="1"/>
    </w:lvl>
  </w:abstractNum>
  <w:abstractNum w:abstractNumId="3">
    <w:nsid w:val="25E45D32"/>
    <w:multiLevelType w:val="hybridMultilevel"/>
    <w:lvl w:ilvl="0">
      <w:lvlJc w:val="left"/>
      <w:lvlText w:val="•"/>
      <w:numFmt w:val="bullet"/>
      <w:start w:val="1"/>
    </w:lvl>
  </w:abstractNum>
  <w:abstractNum w:abstractNumId="4">
    <w:nsid w:val="519B500D"/>
    <w:multiLevelType w:val="hybridMultilevel"/>
    <w:lvl w:ilvl="0">
      <w:lvlJc w:val="left"/>
      <w:lvlText w:val="*"/>
      <w:numFmt w:val="bullet"/>
      <w:start w:val="1"/>
    </w:lvl>
  </w:abstractNum>
  <w:abstractNum w:abstractNumId="5">
    <w:nsid w:val="431BD7B7"/>
    <w:multiLevelType w:val="hybridMultilevel"/>
    <w:lvl w:ilvl="0">
      <w:lvlJc w:val="left"/>
      <w:lvlText w:val="**"/>
      <w:numFmt w:val="bullet"/>
      <w:start w:val="1"/>
    </w:lvl>
  </w:abstractNum>
  <w:abstractNum w:abstractNumId="6">
    <w:nsid w:val="3F2DBA31"/>
    <w:multiLevelType w:val="hybridMultilevel"/>
    <w:lvl w:ilvl="0">
      <w:lvlJc w:val="left"/>
      <w:lvlText w:val="(%1)"/>
      <w:numFmt w:val="lowerRoman"/>
      <w:start w:val="1"/>
    </w:lvl>
  </w:abstractNum>
  <w:abstractNum w:abstractNumId="7">
    <w:nsid w:val="7C83E458"/>
    <w:multiLevelType w:val="hybridMultilevel"/>
    <w:lvl w:ilvl="0">
      <w:lvlJc w:val="left"/>
      <w:lvlText w:val="•"/>
      <w:numFmt w:val="bullet"/>
      <w:start w:val="1"/>
    </w:lvl>
  </w:abstractNum>
  <w:abstractNum w:abstractNumId="8">
    <w:nsid w:val="257130A3"/>
    <w:multiLevelType w:val="hybridMultilevel"/>
    <w:lvl w:ilvl="0">
      <w:lvlJc w:val="left"/>
      <w:lvlText w:val="•"/>
      <w:numFmt w:val="bullet"/>
      <w:start w:val="1"/>
    </w:lvl>
  </w:abstractNum>
  <w:abstractNum w:abstractNumId="9">
    <w:nsid w:val="62BBD95A"/>
    <w:multiLevelType w:val="hybridMultilevel"/>
    <w:lvl w:ilvl="0">
      <w:lvlJc w:val="left"/>
      <w:lvlText w:val="•"/>
      <w:numFmt w:val="bullet"/>
      <w:start w:val="1"/>
    </w:lvl>
  </w:abstractNum>
  <w:abstractNum w:abstractNumId="10">
    <w:nsid w:val="436C6125"/>
    <w:multiLevelType w:val="hybridMultilevel"/>
    <w:lvl w:ilvl="0">
      <w:lvlJc w:val="left"/>
      <w:lvlText w:val="•"/>
      <w:numFmt w:val="bullet"/>
      <w:start w:val="1"/>
    </w:lvl>
  </w:abstractNum>
  <w:abstractNum w:abstractNumId="11">
    <w:nsid w:val="628C895D"/>
    <w:multiLevelType w:val="hybridMultilevel"/>
    <w:lvl w:ilvl="0">
      <w:lvlJc w:val="left"/>
      <w:lvlText w:val="•"/>
      <w:numFmt w:val="bullet"/>
      <w:start w:val="1"/>
    </w:lvl>
  </w:abstractNum>
  <w:abstractNum w:abstractNumId="12">
    <w:nsid w:val="333AB105"/>
    <w:multiLevelType w:val="hybridMultilevel"/>
    <w:lvl w:ilvl="0">
      <w:lvlJc w:val="left"/>
      <w:lvlText w:val="•"/>
      <w:numFmt w:val="bullet"/>
      <w:start w:val="1"/>
    </w:lvl>
  </w:abstractNum>
  <w:abstractNum w:abstractNumId="13">
    <w:nsid w:val="721DA317"/>
    <w:multiLevelType w:val="hybridMultilevel"/>
    <w:lvl w:ilvl="0">
      <w:lvlJc w:val="left"/>
      <w:lvlText w:val="•"/>
      <w:numFmt w:val="bullet"/>
      <w:start w:val="1"/>
    </w:lvl>
  </w:abstractNum>
  <w:abstractNum w:abstractNumId="14">
    <w:nsid w:val="2443A858"/>
    <w:multiLevelType w:val="hybridMultilevel"/>
    <w:lvl w:ilvl="0">
      <w:lvlJc w:val="left"/>
      <w:lvlText w:val="•"/>
      <w:numFmt w:val="bullet"/>
      <w:start w:val="1"/>
    </w:lvl>
  </w:abstractNum>
  <w:abstractNum w:abstractNumId="15">
    <w:nsid w:val="2D1D5AE9"/>
    <w:multiLevelType w:val="hybridMultilevel"/>
    <w:lvl w:ilvl="0">
      <w:lvlJc w:val="left"/>
      <w:lvlText w:val="•"/>
      <w:numFmt w:val="bullet"/>
      <w:start w:val="1"/>
    </w:lvl>
  </w:abstractNum>
  <w:abstractNum w:abstractNumId="16">
    <w:nsid w:val="6763845E"/>
    <w:multiLevelType w:val="hybridMultilevel"/>
    <w:lvl w:ilvl="0">
      <w:lvlJc w:val="left"/>
      <w:lvlText w:val="•"/>
      <w:numFmt w:val="bullet"/>
      <w:start w:val="1"/>
    </w:lvl>
  </w:abstractNum>
  <w:abstractNum w:abstractNumId="17">
    <w:nsid w:val="75A2A8D4"/>
    <w:multiLevelType w:val="hybridMultilevel"/>
    <w:lvl w:ilvl="0">
      <w:lvlJc w:val="left"/>
      <w:lvlText w:val="•"/>
      <w:numFmt w:val="bullet"/>
      <w:start w:val="1"/>
    </w:lvl>
  </w:abstractNum>
  <w:abstractNum w:abstractNumId="18">
    <w:nsid w:val="8EDBDAB"/>
    <w:multiLevelType w:val="hybridMultilevel"/>
    <w:lvl w:ilvl="0">
      <w:lvlJc w:val="left"/>
      <w:lvlText w:val="•"/>
      <w:numFmt w:val="bullet"/>
      <w:start w:val="1"/>
    </w:lvl>
  </w:abstractNum>
  <w:abstractNum w:abstractNumId="19">
    <w:nsid w:val="79838CB2"/>
    <w:multiLevelType w:val="hybridMultilevel"/>
    <w:lvl w:ilvl="0">
      <w:lvlJc w:val="left"/>
      <w:lvlText w:val="•"/>
      <w:numFmt w:val="bullet"/>
      <w:start w:val="1"/>
    </w:lvl>
  </w:abstractNum>
  <w:abstractNum w:abstractNumId="20">
    <w:nsid w:val="4353D0CD"/>
    <w:multiLevelType w:val="hybridMultilevel"/>
    <w:lvl w:ilvl="0">
      <w:lvlJc w:val="left"/>
      <w:lvlText w:val="•"/>
      <w:numFmt w:val="bullet"/>
      <w:start w:val="1"/>
    </w:lvl>
  </w:abstractNum>
  <w:abstractNum w:abstractNumId="21">
    <w:nsid w:val="B03E0C6"/>
    <w:multiLevelType w:val="hybridMultilevel"/>
    <w:lvl w:ilvl="0">
      <w:lvlJc w:val="left"/>
      <w:lvlText w:val="•"/>
      <w:numFmt w:val="bullet"/>
      <w:start w:val="1"/>
    </w:lvl>
  </w:abstractNum>
  <w:abstractNum w:abstractNumId="22">
    <w:nsid w:val="189A769B"/>
    <w:multiLevelType w:val="hybridMultilevel"/>
    <w:lvl w:ilvl="0">
      <w:lvlJc w:val="left"/>
      <w:lvlText w:val="•"/>
      <w:numFmt w:val="bullet"/>
      <w:start w:val="1"/>
    </w:lvl>
  </w:abstractNum>
  <w:abstractNum w:abstractNumId="23">
    <w:nsid w:val="54E49EB4"/>
    <w:multiLevelType w:val="hybridMultilevel"/>
    <w:lvl w:ilvl="0">
      <w:lvlJc w:val="left"/>
      <w:lvlText w:val="(%1)"/>
      <w:numFmt w:val="decimal"/>
      <w:start w:val="1"/>
    </w:lvl>
  </w:abstractNum>
  <w:abstractNum w:abstractNumId="24">
    <w:nsid w:val="71F32454"/>
    <w:multiLevelType w:val="hybridMultilevel"/>
    <w:lvl w:ilvl="0">
      <w:lvlJc w:val="left"/>
      <w:lvlText w:val="#"/>
      <w:numFmt w:val="bullet"/>
      <w:start w:val="1"/>
    </w:lvl>
  </w:abstractNum>
  <w:abstractNum w:abstractNumId="25">
    <w:nsid w:val="2CA88611"/>
    <w:multiLevelType w:val="hybridMultilevel"/>
    <w:lvl w:ilvl="0">
      <w:lvlJc w:val="left"/>
      <w:lvlText w:val="*"/>
      <w:numFmt w:val="bullet"/>
      <w:start w:val="1"/>
    </w:lvl>
  </w:abstractNum>
  <w:abstractNum w:abstractNumId="26">
    <w:nsid w:val="836C40E"/>
    <w:multiLevelType w:val="hybridMultilevel"/>
    <w:lvl w:ilvl="0">
      <w:lvlJc w:val="left"/>
      <w:lvlText w:val="%1."/>
      <w:numFmt w:val="decimal"/>
      <w:start w:val="1"/>
    </w:lvl>
    <w:lvl w:ilvl="1">
      <w:lvlJc w:val="left"/>
      <w:lvlText w:val="%2)"/>
      <w:numFmt w:val="lowerLetter"/>
      <w:start w:val="1"/>
    </w:lvl>
  </w:abstractNum>
  <w:abstractNum w:abstractNumId="27">
    <w:nsid w:val="2901D82"/>
    <w:multiLevelType w:val="hybridMultilevel"/>
    <w:lvl w:ilvl="0">
      <w:lvlJc w:val="left"/>
      <w:lvlText w:val="%1."/>
      <w:numFmt w:val="decimal"/>
      <w:start w:val="1"/>
    </w:lvl>
    <w:lvl w:ilvl="1">
      <w:lvlJc w:val="left"/>
      <w:lvlText w:val="%2)"/>
      <w:numFmt w:val="lowerLetter"/>
      <w:start w:val="1"/>
    </w:lvl>
  </w:abstractNum>
  <w:abstractNum w:abstractNumId="28">
    <w:nsid w:val="3A95F874"/>
    <w:multiLevelType w:val="hybridMultilevel"/>
    <w:lvl w:ilvl="0">
      <w:lvlJc w:val="left"/>
      <w:lvlText w:val="(%1)"/>
      <w:numFmt w:val="lowerRoman"/>
      <w:start w:val="1"/>
    </w:lvl>
  </w:abstractNum>
  <w:abstractNum w:abstractNumId="29">
    <w:nsid w:val="8138641"/>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2" Type="http://schemas.openxmlformats.org/officeDocument/2006/relationships/hyperlink" Target="http://www.sec.gov/Archives/edgar/data/1058057/000119312516765958/d278571dex31.htm" TargetMode="External"/><Relationship Id="rId13" Type="http://schemas.openxmlformats.org/officeDocument/2006/relationships/hyperlink" Target="http://www.sec.gov/Archives/edgar/data/1058057/000110465906045704/a06-14991_1ex3d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2019-12-29T02:49:35Z</dcterms:created>
  <dcterms:modified xsi:type="dcterms:W3CDTF">2019-12-29T02:49:35Z</dcterms:modified>
</cp:coreProperties>
</file>