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Pursuant to Section 13 or 15(d)</w:t>
      </w:r>
    </w:p>
    <w:p>
      <w:pPr>
        <w:jc w:val="center"/>
        <w:ind w:right="-5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Date of Report (Date of earliest event reported): January 29, 2018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00"/>
          </w:cols>
          <w:pgMar w:left="240" w:top="368" w:right="29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20"/>
          </w:cols>
          <w:pgMar w:left="240" w:top="368" w:right="299" w:bottom="1440" w:gutter="0" w:footer="0" w:header="0"/>
          <w:type w:val="continuous"/>
        </w:sectPr>
      </w:pPr>
    </w:p>
    <w:p>
      <w:pPr>
        <w:spacing w:after="0" w:line="6"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ind w:right="6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1"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1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spacing w:after="0" w:line="207" w:lineRule="exact"/>
        <w:tabs>
          <w:tab w:leader="none" w:pos="2140" w:val="left"/>
        </w:tabs>
        <w:rPr>
          <w:sz w:val="20"/>
          <w:szCs w:val="20"/>
          <w:color w:val="auto"/>
        </w:rPr>
      </w:pP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258" w:lineRule="exact"/>
        <w:rPr>
          <w:sz w:val="24"/>
          <w:szCs w:val="24"/>
          <w:color w:val="auto"/>
        </w:rPr>
      </w:pPr>
    </w:p>
    <w:p>
      <w:pPr>
        <w:ind w:right="8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133350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176530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type w:val="continuous"/>
        </w:sectPr>
      </w:pPr>
    </w:p>
    <w:bookmarkStart w:id="1" w:name="page2"/>
    <w:bookmarkEnd w:id="1"/>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On January 29, 2018, Marvell Technology Group Ltd. issued a press release announcing that the waiting period under the Hart-Scott-Rodino Antitrust Improvements Act of 1976, as amended, in connection with its previously announced proposed acquisition of Cavium, Inc., has expired. A copy of the press release is attached as Exhibit 99.1 to this Current Report on Form 8-K and incorporated herein by reference.</w:t>
      </w:r>
    </w:p>
    <w:p>
      <w:pPr>
        <w:spacing w:after="0" w:line="32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460" w:hanging="452"/>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following exhibit is filed with this Current Report on Form 8-K.</w:t>
      </w:r>
    </w:p>
    <w:p>
      <w:pPr>
        <w:spacing w:after="0" w:line="248" w:lineRule="exact"/>
        <w:rPr>
          <w:sz w:val="20"/>
          <w:szCs w:val="20"/>
          <w:color w:val="auto"/>
        </w:rPr>
      </w:pPr>
    </w:p>
    <w:tbl>
      <w:tblPr>
        <w:tblLayout w:type="fixed"/>
        <w:tblInd w:w="500" w:type="dxa"/>
        <w:tblCellMar>
          <w:top w:w="0" w:type="dxa"/>
          <w:left w:w="0" w:type="dxa"/>
          <w:bottom w:w="0" w:type="dxa"/>
          <w:right w:w="0" w:type="dxa"/>
        </w:tblCellMar>
      </w:tblPr>
      <w:tr>
        <w:trPr>
          <w:trHeight w:val="167"/>
        </w:trPr>
        <w:tc>
          <w:tcPr>
            <w:tcW w:w="60" w:type="dxa"/>
            <w:vAlign w:val="bottom"/>
          </w:tcPr>
          <w:p>
            <w:pPr>
              <w:spacing w:after="0"/>
              <w:rPr>
                <w:sz w:val="14"/>
                <w:szCs w:val="14"/>
                <w:color w:val="auto"/>
              </w:rPr>
            </w:pPr>
          </w:p>
        </w:tc>
        <w:tc>
          <w:tcPr>
            <w:tcW w:w="1280" w:type="dxa"/>
            <w:vAlign w:val="bottom"/>
            <w:gridSpan w:val="2"/>
          </w:tcPr>
          <w:p>
            <w:pPr>
              <w:spacing w:after="0"/>
              <w:rPr>
                <w:sz w:val="20"/>
                <w:szCs w:val="20"/>
                <w:color w:val="auto"/>
              </w:rPr>
            </w:pPr>
            <w:r>
              <w:rPr>
                <w:rFonts w:ascii="Arial" w:cs="Arial" w:eastAsia="Arial" w:hAnsi="Arial"/>
                <w:sz w:val="14"/>
                <w:szCs w:val="14"/>
                <w:color w:val="auto"/>
              </w:rPr>
              <w:t>Exhibit No.</w:t>
            </w:r>
          </w:p>
        </w:tc>
        <w:tc>
          <w:tcPr>
            <w:tcW w:w="2800" w:type="dxa"/>
            <w:vAlign w:val="bottom"/>
            <w:gridSpan w:val="2"/>
          </w:tcPr>
          <w:p>
            <w:pPr>
              <w:spacing w:after="0"/>
              <w:rPr>
                <w:sz w:val="20"/>
                <w:szCs w:val="20"/>
                <w:color w:val="auto"/>
              </w:rPr>
            </w:pPr>
            <w:r>
              <w:rPr>
                <w:rFonts w:ascii="Arial" w:cs="Arial" w:eastAsia="Arial" w:hAnsi="Arial"/>
                <w:sz w:val="14"/>
                <w:szCs w:val="14"/>
                <w:color w:val="auto"/>
              </w:rPr>
              <w:t>Description</w:t>
            </w:r>
          </w:p>
        </w:tc>
      </w:tr>
      <w:tr>
        <w:trPr>
          <w:trHeight w:val="20"/>
        </w:trPr>
        <w:tc>
          <w:tcPr>
            <w:tcW w:w="6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r>
      <w:tr>
        <w:trPr>
          <w:trHeight w:val="264"/>
        </w:trPr>
        <w:tc>
          <w:tcPr>
            <w:tcW w:w="720" w:type="dxa"/>
            <w:vAlign w:val="bottom"/>
            <w:gridSpan w:val="2"/>
          </w:tcPr>
          <w:p>
            <w:pPr>
              <w:jc w:val="right"/>
              <w:ind w:right="328"/>
              <w:spacing w:after="0"/>
              <w:rPr>
                <w:sz w:val="20"/>
                <w:szCs w:val="20"/>
                <w:color w:val="auto"/>
              </w:rPr>
            </w:pPr>
            <w:r>
              <w:rPr>
                <w:rFonts w:ascii="Arial" w:cs="Arial" w:eastAsia="Arial" w:hAnsi="Arial"/>
                <w:sz w:val="18"/>
                <w:szCs w:val="18"/>
                <w:color w:val="auto"/>
                <w:w w:val="85"/>
              </w:rPr>
              <w:t>99.1</w:t>
            </w:r>
          </w:p>
        </w:tc>
        <w:tc>
          <w:tcPr>
            <w:tcW w:w="620" w:type="dxa"/>
            <w:vAlign w:val="bottom"/>
          </w:tcPr>
          <w:p>
            <w:pPr>
              <w:spacing w:after="0"/>
              <w:rPr>
                <w:sz w:val="22"/>
                <w:szCs w:val="22"/>
                <w:color w:val="auto"/>
              </w:rPr>
            </w:pPr>
          </w:p>
        </w:tc>
        <w:tc>
          <w:tcPr>
            <w:tcW w:w="2800" w:type="dxa"/>
            <w:vAlign w:val="bottom"/>
            <w:tcBorders>
              <w:bottom w:val="single" w:sz="8" w:color="0000EE"/>
            </w:tcBorders>
            <w:gridSpan w:val="2"/>
          </w:tcPr>
          <w:p>
            <w:pPr>
              <w:spacing w:after="0"/>
              <w:rPr>
                <w:rFonts w:ascii="Arial" w:cs="Arial" w:eastAsia="Arial" w:hAnsi="Arial"/>
                <w:sz w:val="18"/>
                <w:szCs w:val="18"/>
                <w:color w:val="0000EE"/>
                <w:w w:val="86"/>
              </w:rPr>
            </w:pPr>
            <w:hyperlink w:anchor="page4">
              <w:r>
                <w:rPr>
                  <w:rFonts w:ascii="Arial" w:cs="Arial" w:eastAsia="Arial" w:hAnsi="Arial"/>
                  <w:sz w:val="18"/>
                  <w:szCs w:val="18"/>
                  <w:color w:val="0000EE"/>
                  <w:w w:val="86"/>
                </w:rPr>
                <w:t>Press Release, dated January 29, 2018.</w:t>
              </w:r>
            </w:hyperlink>
          </w:p>
        </w:tc>
      </w:tr>
    </w:tbl>
    <w:p>
      <w:pPr>
        <w:sectPr>
          <w:pgSz w:w="11900" w:h="16838" w:orient="portrait"/>
          <w:cols w:equalWidth="0" w:num="1">
            <w:col w:w="11280"/>
          </w:cols>
          <w:pgMar w:left="240" w:top="270" w:right="379" w:bottom="1440" w:gutter="0" w:footer="0" w:header="0"/>
        </w:sectPr>
      </w:pPr>
    </w:p>
    <w:bookmarkStart w:id="2" w:name="page3"/>
    <w:bookmarkEnd w:id="2"/>
    <w:p>
      <w:pPr>
        <w:jc w:val="center"/>
        <w:ind w:right="-1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6060" w:val="left"/>
        </w:tabs>
        <w:rPr>
          <w:sz w:val="20"/>
          <w:szCs w:val="20"/>
          <w:color w:val="auto"/>
        </w:rPr>
      </w:pPr>
      <w:r>
        <w:rPr>
          <w:rFonts w:ascii="Arial" w:cs="Arial" w:eastAsia="Arial" w:hAnsi="Arial"/>
          <w:sz w:val="18"/>
          <w:szCs w:val="18"/>
          <w:color w:val="auto"/>
        </w:rPr>
        <w:t>Date: January 29, 2018</w:t>
      </w:r>
      <w:r>
        <w:rPr>
          <w:sz w:val="20"/>
          <w:szCs w:val="20"/>
          <w:color w:val="auto"/>
        </w:rPr>
        <w:tab/>
      </w:r>
      <w:r>
        <w:rPr>
          <w:rFonts w:ascii="Arial" w:cs="Arial" w:eastAsia="Arial" w:hAnsi="Arial"/>
          <w:sz w:val="17"/>
          <w:szCs w:val="17"/>
          <w:color w:val="auto"/>
        </w:rPr>
        <w:t>By:  /s/ MITCHELL L. GAYNOR</w:t>
      </w:r>
    </w:p>
    <w:p>
      <w:pPr>
        <w:spacing w:after="0" w:line="23" w:lineRule="exact"/>
        <w:rPr>
          <w:sz w:val="20"/>
          <w:szCs w:val="20"/>
          <w:color w:val="auto"/>
        </w:rPr>
      </w:pPr>
    </w:p>
    <w:p>
      <w:pPr>
        <w:ind w:left="6460"/>
        <w:spacing w:after="0"/>
        <w:rPr>
          <w:sz w:val="20"/>
          <w:szCs w:val="20"/>
          <w:color w:val="auto"/>
        </w:rPr>
      </w:pPr>
      <w:r>
        <w:rPr>
          <w:rFonts w:ascii="Arial" w:cs="Arial" w:eastAsia="Arial" w:hAnsi="Arial"/>
          <w:sz w:val="18"/>
          <w:szCs w:val="18"/>
          <w:b w:val="1"/>
          <w:bCs w:val="1"/>
          <w:color w:val="auto"/>
        </w:rPr>
        <w:t>Mitchell 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4035425</wp:posOffset>
            </wp:positionH>
            <wp:positionV relativeFrom="paragraph">
              <wp:posOffset>-130810</wp:posOffset>
            </wp:positionV>
            <wp:extent cx="321564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215640" cy="8890"/>
                    </a:xfrm>
                    <a:prstGeom prst="rect">
                      <a:avLst/>
                    </a:prstGeom>
                    <a:noFill/>
                  </pic:spPr>
                </pic:pic>
              </a:graphicData>
            </a:graphic>
          </wp:anchor>
        </w:drawing>
      </w:r>
    </w:p>
    <w:p>
      <w:pPr>
        <w:spacing w:after="0" w:line="3" w:lineRule="exact"/>
        <w:rPr>
          <w:sz w:val="20"/>
          <w:szCs w:val="20"/>
          <w:color w:val="auto"/>
        </w:rPr>
      </w:pPr>
    </w:p>
    <w:p>
      <w:pPr>
        <w:ind w:left="6460"/>
        <w:spacing w:after="0"/>
        <w:rPr>
          <w:sz w:val="20"/>
          <w:szCs w:val="20"/>
          <w:color w:val="auto"/>
        </w:rPr>
      </w:pPr>
      <w:r>
        <w:rPr>
          <w:rFonts w:ascii="Arial" w:cs="Arial" w:eastAsia="Arial" w:hAnsi="Arial"/>
          <w:sz w:val="18"/>
          <w:szCs w:val="18"/>
          <w:b w:val="1"/>
          <w:bCs w:val="1"/>
          <w:i w:val="1"/>
          <w:iCs w:val="1"/>
          <w:color w:val="auto"/>
        </w:rPr>
        <w:t>Chief Administration and Legal Officer</w:t>
      </w:r>
    </w:p>
    <w:p>
      <w:pPr>
        <w:sectPr>
          <w:pgSz w:w="11900" w:h="16838" w:orient="portrait"/>
          <w:cols w:equalWidth="0" w:num="1">
            <w:col w:w="11220"/>
          </w:cols>
          <w:pgMar w:left="240" w:top="270" w:right="43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172085</wp:posOffset>
            </wp:positionV>
            <wp:extent cx="1792605" cy="13716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ANNOUNCES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EXPIRATION OF HART-SCOTT-RODINO WAITING PERIOD</w:t>
      </w:r>
    </w:p>
    <w:p>
      <w:pPr>
        <w:spacing w:after="0" w:line="207" w:lineRule="exact"/>
        <w:rPr>
          <w:sz w:val="20"/>
          <w:szCs w:val="20"/>
          <w:color w:val="auto"/>
        </w:rPr>
      </w:pPr>
    </w:p>
    <w:p>
      <w:pPr>
        <w:ind w:right="380" w:firstLine="456"/>
        <w:spacing w:after="0" w:line="266" w:lineRule="auto"/>
        <w:rPr>
          <w:sz w:val="20"/>
          <w:szCs w:val="20"/>
          <w:color w:val="auto"/>
        </w:rPr>
      </w:pPr>
      <w:r>
        <w:rPr>
          <w:rFonts w:ascii="Arial" w:cs="Arial" w:eastAsia="Arial" w:hAnsi="Arial"/>
          <w:sz w:val="18"/>
          <w:szCs w:val="18"/>
          <w:b w:val="1"/>
          <w:bCs w:val="1"/>
          <w:color w:val="auto"/>
        </w:rPr>
        <w:t>Santa Clara, Calif. (January 29, 2018)</w:t>
      </w:r>
      <w:r>
        <w:rPr>
          <w:rFonts w:ascii="Arial" w:cs="Arial" w:eastAsia="Arial" w:hAnsi="Arial"/>
          <w:sz w:val="18"/>
          <w:szCs w:val="18"/>
          <w:color w:val="auto"/>
        </w:rPr>
        <w:t>—Marvell Technology Group Ltd. (NASDAQ: MRVL) today announced that the waiting period under the</w:t>
      </w:r>
      <w:r>
        <w:rPr>
          <w:rFonts w:ascii="Arial" w:cs="Arial" w:eastAsia="Arial" w:hAnsi="Arial"/>
          <w:sz w:val="18"/>
          <w:szCs w:val="18"/>
          <w:b w:val="1"/>
          <w:bCs w:val="1"/>
          <w:color w:val="auto"/>
        </w:rPr>
        <w:t xml:space="preserve"> </w:t>
      </w:r>
      <w:r>
        <w:rPr>
          <w:rFonts w:ascii="Arial" w:cs="Arial" w:eastAsia="Arial" w:hAnsi="Arial"/>
          <w:sz w:val="18"/>
          <w:szCs w:val="18"/>
          <w:color w:val="auto"/>
        </w:rPr>
        <w:t>Hart-Scott-Rodino Antitrust Improvements Act of 1976 (“HSR Act”), as amended, in connection with its previously announced proposed acquisition of Cavium, Inc., expired at 11:59 p.m. EST on January 26, 2018.</w:t>
      </w:r>
    </w:p>
    <w:p>
      <w:pPr>
        <w:spacing w:after="0" w:line="180" w:lineRule="exact"/>
        <w:rPr>
          <w:sz w:val="20"/>
          <w:szCs w:val="20"/>
          <w:color w:val="auto"/>
        </w:rPr>
      </w:pPr>
    </w:p>
    <w:p>
      <w:pPr>
        <w:ind w:right="160" w:firstLine="456"/>
        <w:spacing w:after="0" w:line="277" w:lineRule="auto"/>
        <w:rPr>
          <w:sz w:val="20"/>
          <w:szCs w:val="20"/>
          <w:color w:val="auto"/>
        </w:rPr>
      </w:pPr>
      <w:r>
        <w:rPr>
          <w:rFonts w:ascii="Arial" w:cs="Arial" w:eastAsia="Arial" w:hAnsi="Arial"/>
          <w:sz w:val="18"/>
          <w:szCs w:val="18"/>
          <w:color w:val="auto"/>
        </w:rPr>
        <w:t>The expiration of the HSR Act waiting period satisfies one of the conditions to the closing of the proposed acquisition, which remains subject to other customary closing conditions, including receipt of shareholder approvals and other regulatory approvals.</w:t>
      </w:r>
    </w:p>
    <w:p>
      <w:pPr>
        <w:spacing w:after="0" w:line="170" w:lineRule="exact"/>
        <w:rPr>
          <w:sz w:val="20"/>
          <w:szCs w:val="20"/>
          <w:color w:val="auto"/>
        </w:rPr>
      </w:pPr>
    </w:p>
    <w:p>
      <w:pPr>
        <w:ind w:right="420" w:firstLine="456"/>
        <w:spacing w:after="0" w:line="342" w:lineRule="auto"/>
        <w:rPr>
          <w:sz w:val="20"/>
          <w:szCs w:val="20"/>
          <w:color w:val="auto"/>
        </w:rPr>
      </w:pPr>
      <w:r>
        <w:rPr>
          <w:rFonts w:ascii="Arial" w:cs="Arial" w:eastAsia="Arial" w:hAnsi="Arial"/>
          <w:sz w:val="16"/>
          <w:szCs w:val="16"/>
          <w:color w:val="auto"/>
        </w:rPr>
        <w:t>Additional information concerning the proposed acquisition, the general meeting of Marvell shareholders and the special meeting of Cavium stockholders will be included in the definitive joint proxy statement/prospectus that will be mailed to all Marvell shareholders and Cavium stockholders.</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2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Forward-Looking Statements</w:t>
      </w:r>
    </w:p>
    <w:p>
      <w:pPr>
        <w:spacing w:after="0" w:line="121"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This document contains certain forward-looking statements within the meaning of the federal securities laws with respect to the proposed transaction between Cavium and Marvell,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w:t>
      </w:r>
    </w:p>
    <w:p>
      <w:pPr>
        <w:sectPr>
          <w:pgSz w:w="11900" w:h="16838" w:orient="portrait"/>
          <w:cols w:equalWidth="0" w:num="1">
            <w:col w:w="11420"/>
          </w:cols>
          <w:pgMar w:left="240" w:top="121" w:right="239" w:bottom="1440" w:gutter="0" w:footer="0" w:header="0"/>
        </w:sectPr>
      </w:pPr>
    </w:p>
    <w:bookmarkStart w:id="4" w:name="page5"/>
    <w:bookmarkEnd w:id="4"/>
    <w:p>
      <w:pPr>
        <w:ind w:right="40"/>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uncertainties. Many factors could cause actual future events to differ materially from the forward-looking statements in this document, including but not limited to: (i) uncertainties as to the timing of the consummation of the transaction and the ability of each party to consummate the transaction, (ii) the failure to satisfy the conditions to the consummation of the transaction, (iii) the failure to realize the anticipated benefits of the proposed transaction, including as a result of delay in completing the transaction or integrating the businesses of Cavium and Marvell, (iv) the effect of the announcement or pendency of the transaction on Cavium’s business relationships, operating results, and business generally, (v) risks that the proposed transaction disrupts current plans and operations of Cavium or Marvell and potential difficulties in Cavium employee retention as a result of the transaction, (vi) the outcome of litigation and other legal proceedings against Cavium and/or Marvell or to which Cavium and/or Marvell become subject, and (vii) the ability of Marvell to successfully integrate Cavium’s operations and product lines. The foregoing review of important factors should not be construed as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U.S. Securities and Exchange Commission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Information and Where to Find It</w:t>
      </w:r>
    </w:p>
    <w:p>
      <w:pPr>
        <w:spacing w:after="0" w:line="121" w:lineRule="exact"/>
        <w:rPr>
          <w:sz w:val="20"/>
          <w:szCs w:val="20"/>
          <w:color w:val="auto"/>
        </w:rPr>
      </w:pPr>
    </w:p>
    <w:p>
      <w:pPr>
        <w:ind w:right="100"/>
        <w:spacing w:after="0" w:line="270" w:lineRule="auto"/>
        <w:rPr>
          <w:sz w:val="20"/>
          <w:szCs w:val="20"/>
          <w:color w:val="auto"/>
        </w:rPr>
      </w:pPr>
      <w:r>
        <w:rPr>
          <w:rFonts w:ascii="Arial" w:cs="Arial" w:eastAsia="Arial" w:hAnsi="Arial"/>
          <w:sz w:val="17"/>
          <w:szCs w:val="17"/>
          <w:color w:val="auto"/>
        </w:rPr>
        <w:t>This document relates to a proposed transaction between Marvell and Cavium. This document does not constitute an offer to sell or exchange, or the solicitation of an offer to buy or exchange, any securities, nor shall there be any sale of securities in any jurisdiction in which such offer, sale or exchange would be unlawful prior to registration or qualification under the securities laws of any such jurisdiction. Marvell filed a Registration Statement on Form S-4 (Registration No. 333-222235) containing a preliminary joint proxy statement/prospectus with the SEC regarding the proposed transaction on December 21, 2017, as amended on January 24, 2018. The registration statement on Form S-4 has not yet been declared effective by the SEC and is subject to revisions, some of which may be significant. A definitive joint proxy statement/prospectus will be sent to all Cavium stockholders and all Marvell shareholders. Each party also will file other documents regarding the proposed transaction with the SEC. Before making any voting decision, investors and security holders of Cavium and investors and security holders of Marvell are urged to read the registration statement, the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78" w:lineRule="exact"/>
        <w:rPr>
          <w:sz w:val="20"/>
          <w:szCs w:val="20"/>
          <w:color w:val="auto"/>
        </w:rPr>
      </w:pPr>
    </w:p>
    <w:p>
      <w:pPr>
        <w:ind w:right="120"/>
        <w:spacing w:after="0" w:line="308" w:lineRule="auto"/>
        <w:rPr>
          <w:sz w:val="20"/>
          <w:szCs w:val="20"/>
          <w:color w:val="auto"/>
        </w:rPr>
      </w:pPr>
      <w:r>
        <w:rPr>
          <w:rFonts w:ascii="Arial" w:cs="Arial" w:eastAsia="Arial" w:hAnsi="Arial"/>
          <w:sz w:val="17"/>
          <w:szCs w:val="17"/>
          <w:color w:val="auto"/>
        </w:rPr>
        <w:t xml:space="preserve">Investors and security holders may obtain or will be able to obtain free copies of the registration statement, the joint proxy statement/prospectus and all other relevant documents filed or that will be filed with the SEC by Marvell or Cavium through the website maintained by the SEC at </w:t>
      </w:r>
      <w:r>
        <w:rPr>
          <w:rFonts w:ascii="Arial" w:cs="Arial" w:eastAsia="Arial" w:hAnsi="Arial"/>
          <w:sz w:val="17"/>
          <w:szCs w:val="17"/>
          <w:u w:val="single" w:color="auto"/>
          <w:color w:val="auto"/>
        </w:rPr>
        <w:t>www.sec.gov</w:t>
      </w:r>
      <w:r>
        <w:rPr>
          <w:rFonts w:ascii="Arial" w:cs="Arial" w:eastAsia="Arial" w:hAnsi="Arial"/>
          <w:sz w:val="17"/>
          <w:szCs w:val="17"/>
          <w:color w:val="auto"/>
        </w:rPr>
        <w:t>.</w:t>
      </w:r>
    </w:p>
    <w:p>
      <w:pPr>
        <w:spacing w:after="0" w:line="147"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 xml:space="preserve">The documents filed by Marvell with the SEC also may be obtained free of charge at Marvell’s website at </w:t>
      </w:r>
      <w:r>
        <w:rPr>
          <w:rFonts w:ascii="Arial" w:cs="Arial" w:eastAsia="Arial" w:hAnsi="Arial"/>
          <w:sz w:val="18"/>
          <w:szCs w:val="18"/>
          <w:u w:val="single" w:color="auto"/>
          <w:color w:val="auto"/>
        </w:rPr>
        <w:t>http://investor.marvell.com/</w:t>
      </w:r>
      <w:r>
        <w:rPr>
          <w:rFonts w:ascii="Arial" w:cs="Arial" w:eastAsia="Arial" w:hAnsi="Arial"/>
          <w:sz w:val="18"/>
          <w:szCs w:val="18"/>
          <w:color w:val="auto"/>
        </w:rPr>
        <w:t xml:space="preserve"> or upon written request to Marvell at 5488 Marvell Lane, Santa Clara, CA 95054.</w:t>
      </w:r>
    </w:p>
    <w:p>
      <w:pPr>
        <w:spacing w:after="0" w:line="170"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 xml:space="preserve">The documents filed by Cavium with the SEC also may be obtained free of charge at Cavium’s website at </w:t>
      </w:r>
      <w:r>
        <w:rPr>
          <w:rFonts w:ascii="Arial" w:cs="Arial" w:eastAsia="Arial" w:hAnsi="Arial"/>
          <w:sz w:val="18"/>
          <w:szCs w:val="18"/>
          <w:u w:val="single" w:color="auto"/>
          <w:color w:val="auto"/>
        </w:rPr>
        <w:t>http://investor.caviumnetworks.com</w:t>
      </w:r>
      <w:r>
        <w:rPr>
          <w:rFonts w:ascii="Arial" w:cs="Arial" w:eastAsia="Arial" w:hAnsi="Arial"/>
          <w:sz w:val="18"/>
          <w:szCs w:val="18"/>
          <w:color w:val="auto"/>
        </w:rPr>
        <w:t xml:space="preserve"> or upon written request to 2315 N. First Street, San Jose, CA 95131.</w:t>
      </w:r>
    </w:p>
    <w:p>
      <w:pPr>
        <w:sectPr>
          <w:pgSz w:w="11900" w:h="16838" w:orient="portrait"/>
          <w:cols w:equalWidth="0" w:num="1">
            <w:col w:w="11420"/>
          </w:cols>
          <w:pgMar w:left="240" w:top="274" w:right="239" w:bottom="1440" w:gutter="0" w:footer="0" w:header="0"/>
        </w:sectPr>
      </w:pPr>
    </w:p>
    <w:bookmarkStart w:id="5" w:name="page6"/>
    <w:bookmarkEnd w:id="5"/>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For more information, investors are encouraged to visit </w:t>
      </w:r>
      <w:r>
        <w:rPr>
          <w:rFonts w:ascii="Arial" w:cs="Arial" w:eastAsia="Arial" w:hAnsi="Arial"/>
          <w:sz w:val="18"/>
          <w:szCs w:val="18"/>
          <w:u w:val="single" w:color="auto"/>
          <w:color w:val="auto"/>
        </w:rPr>
        <w:t>http://MarvellCavium.transactionannouncement.com</w:t>
      </w:r>
      <w:r>
        <w:rPr>
          <w:rFonts w:ascii="Arial" w:cs="Arial" w:eastAsia="Arial" w:hAnsi="Arial"/>
          <w:sz w:val="18"/>
          <w:szCs w:val="18"/>
          <w:color w:val="auto"/>
        </w:rPr>
        <w: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Participants in Solicitation</w:t>
      </w:r>
    </w:p>
    <w:p>
      <w:pPr>
        <w:spacing w:after="0" w:line="121"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Marvell, Cavium and their respective directors and executive officers may be deemed to be participants in the solicitation of proxies from Cavium’s stockholders and from Marvell’s shareholders in connection with the proposed transaction. Information about Cavium’s directors and executive officers and their ownership of Cavium’s common stock is set forth in the joint proxy statement/prospectus. To the extent that holdings of Cavium’s securities have changed since the amounts printed in the joint proxy statement/prospectus, such changes have been or will be reflected on Statements of Change in Ownership on Form 4 filed with the SEC. Information about Marvell’s directors and executive officers is set forth in Marvell’s proxy statement for its 2017 Annual Meeting of Shareholders on Schedule 14A filed with the SEC on May 3, 2017. Additional information regarding the interests of those persons and other persons who may be deemed participants in the proposed transaction may be obtained by reading the proxy statement/prospectus regarding the proposed transaction and other documents regarding the proposed transaction. You may obtain free copies of these documents as described in the preceding paragraph.</w:t>
      </w:r>
    </w:p>
    <w:p>
      <w:pPr>
        <w:spacing w:after="0" w:line="274" w:lineRule="exact"/>
        <w:rPr>
          <w:sz w:val="20"/>
          <w:szCs w:val="20"/>
          <w:color w:val="auto"/>
        </w:rPr>
      </w:pPr>
    </w:p>
    <w:p>
      <w:pPr>
        <w:ind w:left="2560"/>
        <w:spacing w:after="0"/>
        <w:rPr>
          <w:sz w:val="20"/>
          <w:szCs w:val="20"/>
          <w:color w:val="auto"/>
        </w:rPr>
      </w:pPr>
      <w:r>
        <w:rPr>
          <w:rFonts w:ascii="Arial" w:cs="Arial" w:eastAsia="Arial" w:hAnsi="Arial"/>
          <w:sz w:val="18"/>
          <w:szCs w:val="18"/>
          <w:i w:val="1"/>
          <w:iCs w:val="1"/>
          <w:color w:val="auto"/>
        </w:rPr>
        <w:t>Marvell and the Marvell logo are registered trademarks of Marvell and/or its affiliates.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T. Peter Andrew</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Treasury and Investor Relations</w:t>
      </w:r>
    </w:p>
    <w:p>
      <w:pPr>
        <w:spacing w:after="0" w:line="9" w:lineRule="exact"/>
        <w:rPr>
          <w:sz w:val="20"/>
          <w:szCs w:val="20"/>
          <w:color w:val="auto"/>
        </w:rPr>
      </w:pPr>
    </w:p>
    <w:p>
      <w:pPr>
        <w:jc w:val="right"/>
        <w:ind w:right="10220" w:firstLine="8"/>
        <w:spacing w:after="0" w:line="323" w:lineRule="auto"/>
        <w:tabs>
          <w:tab w:leader="none" w:pos="435" w:val="left"/>
        </w:tabs>
        <w:numPr>
          <w:ilvl w:val="0"/>
          <w:numId w:val="4"/>
        </w:numPr>
        <w:rPr>
          <w:rFonts w:ascii="Arial" w:cs="Arial" w:eastAsia="Arial" w:hAnsi="Arial"/>
          <w:sz w:val="16"/>
          <w:szCs w:val="16"/>
          <w:color w:val="auto"/>
        </w:rPr>
      </w:pPr>
      <w:r>
        <w:rPr>
          <w:rFonts w:ascii="Arial" w:cs="Arial" w:eastAsia="Arial" w:hAnsi="Arial"/>
          <w:sz w:val="16"/>
          <w:szCs w:val="16"/>
          <w:color w:val="auto"/>
        </w:rPr>
        <w:t xml:space="preserve">222-0777 </w:t>
      </w:r>
      <w:r>
        <w:rPr>
          <w:rFonts w:ascii="Arial" w:cs="Arial" w:eastAsia="Arial" w:hAnsi="Arial"/>
          <w:sz w:val="16"/>
          <w:szCs w:val="16"/>
          <w:u w:val="single" w:color="auto"/>
          <w:color w:val="auto"/>
        </w:rPr>
        <w:t>ir@marvell.com</w:t>
      </w:r>
    </w:p>
    <w:p>
      <w:pPr>
        <w:spacing w:after="0" w:line="13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
      <w:numFmt w:val="bullet"/>
      <w:start w:val="1"/>
    </w:lvl>
  </w:abstractNum>
  <w:abstractNum w:abstractNumId="2">
    <w:nsid w:val="2AE8944A"/>
    <w:multiLevelType w:val="hybridMultilevel"/>
    <w:lvl w:ilvl="0">
      <w:lvlJc w:val="left"/>
      <w:lvlText w:val="(%1)"/>
      <w:numFmt w:val="lowerLetter"/>
      <w:start w:val="4"/>
    </w:lvl>
  </w:abstractNum>
  <w:abstractNum w:abstractNumId="3">
    <w:nsid w:val="625558EC"/>
    <w:multiLevelType w:val="hybridMultilevel"/>
    <w:lvl w:ilvl="0">
      <w:lvlJc w:val="left"/>
      <w:lvlText w:val="(%1)"/>
      <w:numFmt w:val="decimal"/>
      <w:start w:val="408"/>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 Id="rId21" Type="http://schemas.openxmlformats.org/officeDocument/2006/relationships/image" Target="media/image14.pn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2019-12-29T02:15:36Z</dcterms:created>
  <dcterms:modified xsi:type="dcterms:W3CDTF">2019-12-29T02:15:36Z</dcterms:modified>
</cp:coreProperties>
</file>