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March 16,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tabs>
          <w:tab w:leader="none" w:pos="13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Marvell today announced that it had declared the payment of its quarterly dividend of $0.06 per share to be paid on April 22, 2016 to all shareholders of record as of March 29, 2016. The payment of future quarterly cash dividends is subject to, among other things, the best interests of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331" w:lineRule="exact"/>
        <w:rPr>
          <w:sz w:val="20"/>
          <w:szCs w:val="20"/>
          <w:color w:val="auto"/>
        </w:rPr>
      </w:pPr>
    </w:p>
    <w:p>
      <w:pPr>
        <w:spacing w:after="0"/>
        <w:tabs>
          <w:tab w:leader="none" w:pos="13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 Exhibits.</w:t>
      </w:r>
    </w:p>
    <w:p>
      <w:pPr>
        <w:spacing w:after="0" w:line="256"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March 16, 2016</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March 16,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David Eichler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48" w:lineRule="exact"/>
        <w:rPr>
          <w:sz w:val="20"/>
          <w:szCs w:val="20"/>
          <w:color w:val="auto"/>
        </w:rPr>
      </w:pPr>
    </w:p>
    <w:p>
      <w:pPr>
        <w:ind w:left="20"/>
        <w:spacing w:after="0"/>
        <w:rPr>
          <w:sz w:val="20"/>
          <w:szCs w:val="20"/>
          <w:color w:val="auto"/>
        </w:rPr>
      </w:pPr>
      <w:r>
        <w:rPr>
          <w:rFonts w:ascii="Arial" w:cs="Arial" w:eastAsia="Arial" w:hAnsi="Arial"/>
          <w:sz w:val="14"/>
          <w:szCs w:val="14"/>
          <w:b w:val="1"/>
          <w:bCs w:val="1"/>
          <w:color w:val="auto"/>
        </w:rPr>
        <w:t>Exhibit</w:t>
      </w:r>
    </w:p>
    <w:p>
      <w:pPr>
        <w:spacing w:after="0" w:line="4" w:lineRule="exact"/>
        <w:rPr>
          <w:sz w:val="20"/>
          <w:szCs w:val="20"/>
          <w:color w:val="auto"/>
        </w:rPr>
      </w:pPr>
    </w:p>
    <w:p>
      <w:pPr>
        <w:ind w:left="140"/>
        <w:spacing w:after="0"/>
        <w:tabs>
          <w:tab w:leader="none" w:pos="100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wp:posOffset>
            </wp:positionV>
            <wp:extent cx="29146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91465" cy="8890"/>
                    </a:xfrm>
                    <a:prstGeom prst="rect">
                      <a:avLst/>
                    </a:prstGeom>
                    <a:noFill/>
                  </pic:spPr>
                </pic:pic>
              </a:graphicData>
            </a:graphic>
          </wp:anchor>
        </w:drawing>
      </w:r>
    </w:p>
    <w:p>
      <w:pPr>
        <w:spacing w:after="0" w:line="81" w:lineRule="exact"/>
        <w:rPr>
          <w:sz w:val="20"/>
          <w:szCs w:val="20"/>
          <w:color w:val="auto"/>
        </w:rPr>
      </w:pPr>
    </w:p>
    <w:p>
      <w:pPr>
        <w:spacing w:after="0"/>
        <w:tabs>
          <w:tab w:leader="none" w:pos="10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March 16, 2016</w:t>
      </w:r>
    </w:p>
    <w:p>
      <w:pPr>
        <w:sectPr>
          <w:pgSz w:w="11900" w:h="16838" w:orient="portrait"/>
          <w:cols w:equalWidth="0" w:num="1">
            <w:col w:w="10219"/>
          </w:cols>
          <w:pgMar w:left="24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5382260</wp:posOffset>
            </wp:positionH>
            <wp:positionV relativeFrom="paragraph">
              <wp:posOffset>180340</wp:posOffset>
            </wp:positionV>
            <wp:extent cx="1869440" cy="1460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869440" cy="1460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2780" w:type="dxa"/>
            <w:vAlign w:val="bottom"/>
            <w:gridSpan w:val="2"/>
          </w:tcPr>
          <w:p>
            <w:pPr>
              <w:spacing w:after="0"/>
              <w:rPr>
                <w:sz w:val="20"/>
                <w:szCs w:val="20"/>
                <w:color w:val="auto"/>
              </w:rPr>
            </w:pPr>
            <w:r>
              <w:rPr>
                <w:rFonts w:ascii="Arial" w:cs="Arial" w:eastAsia="Arial" w:hAnsi="Arial"/>
                <w:sz w:val="18"/>
                <w:szCs w:val="18"/>
                <w:b w:val="1"/>
                <w:bCs w:val="1"/>
                <w:color w:val="auto"/>
                <w:w w:val="99"/>
              </w:rPr>
              <w:t>For further information, contact:</w:t>
            </w:r>
          </w:p>
        </w:tc>
        <w:tc>
          <w:tcPr>
            <w:tcW w:w="3100" w:type="dxa"/>
            <w:vAlign w:val="bottom"/>
          </w:tcPr>
          <w:p>
            <w:pPr>
              <w:spacing w:after="0"/>
              <w:rPr>
                <w:sz w:val="19"/>
                <w:szCs w:val="19"/>
                <w:color w:val="auto"/>
              </w:rPr>
            </w:pPr>
          </w:p>
        </w:tc>
        <w:tc>
          <w:tcPr>
            <w:tcW w:w="1600" w:type="dxa"/>
            <w:vAlign w:val="bottom"/>
          </w:tcPr>
          <w:p>
            <w:pPr>
              <w:spacing w:after="0"/>
              <w:rPr>
                <w:sz w:val="19"/>
                <w:szCs w:val="19"/>
                <w:color w:val="auto"/>
              </w:rPr>
            </w:pPr>
          </w:p>
        </w:tc>
        <w:tc>
          <w:tcPr>
            <w:tcW w:w="960" w:type="dxa"/>
            <w:vAlign w:val="bottom"/>
          </w:tcPr>
          <w:p>
            <w:pPr>
              <w:spacing w:after="0"/>
              <w:rPr>
                <w:sz w:val="19"/>
                <w:szCs w:val="19"/>
                <w:color w:val="auto"/>
              </w:rPr>
            </w:pP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5660" w:type="dxa"/>
            <w:vAlign w:val="bottom"/>
            <w:gridSpan w:val="3"/>
          </w:tcPr>
          <w:p>
            <w:pPr>
              <w:ind w:left="3100"/>
              <w:spacing w:after="0"/>
              <w:rPr>
                <w:sz w:val="20"/>
                <w:szCs w:val="20"/>
                <w:color w:val="auto"/>
              </w:rPr>
            </w:pPr>
            <w:r>
              <w:rPr>
                <w:rFonts w:ascii="Arial" w:cs="Arial" w:eastAsia="Arial" w:hAnsi="Arial"/>
                <w:sz w:val="18"/>
                <w:szCs w:val="18"/>
                <w:color w:val="auto"/>
              </w:rPr>
              <w:t>Sue Kim</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5660" w:type="dxa"/>
            <w:vAlign w:val="bottom"/>
            <w:gridSpan w:val="3"/>
          </w:tcPr>
          <w:p>
            <w:pPr>
              <w:ind w:left="310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1120" w:type="dxa"/>
            <w:vAlign w:val="bottom"/>
          </w:tcPr>
          <w:p>
            <w:pPr>
              <w:spacing w:after="0"/>
              <w:rPr>
                <w:sz w:val="18"/>
                <w:szCs w:val="18"/>
                <w:color w:val="auto"/>
              </w:rPr>
            </w:pPr>
          </w:p>
        </w:tc>
        <w:tc>
          <w:tcPr>
            <w:tcW w:w="4700" w:type="dxa"/>
            <w:vAlign w:val="bottom"/>
            <w:gridSpan w:val="2"/>
          </w:tcPr>
          <w:p>
            <w:pPr>
              <w:ind w:left="3100"/>
              <w:spacing w:after="0"/>
              <w:rPr>
                <w:sz w:val="20"/>
                <w:szCs w:val="20"/>
                <w:color w:val="auto"/>
              </w:rPr>
            </w:pPr>
            <w:r>
              <w:rPr>
                <w:rFonts w:ascii="Arial" w:cs="Arial" w:eastAsia="Arial" w:hAnsi="Arial"/>
                <w:sz w:val="18"/>
                <w:szCs w:val="18"/>
                <w:color w:val="auto"/>
              </w:rPr>
              <w:t>408-222-1942</w:t>
            </w:r>
          </w:p>
        </w:tc>
        <w:tc>
          <w:tcPr>
            <w:tcW w:w="960" w:type="dxa"/>
            <w:vAlign w:val="bottom"/>
          </w:tcPr>
          <w:p>
            <w:pPr>
              <w:spacing w:after="0"/>
              <w:rPr>
                <w:sz w:val="18"/>
                <w:szCs w:val="18"/>
                <w:color w:val="auto"/>
              </w:rPr>
            </w:pPr>
          </w:p>
        </w:tc>
      </w:tr>
      <w:tr>
        <w:trPr>
          <w:trHeight w:val="190"/>
        </w:trPr>
        <w:tc>
          <w:tcPr>
            <w:tcW w:w="166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johnahn@marvell.com</w:t>
            </w:r>
          </w:p>
        </w:tc>
        <w:tc>
          <w:tcPr>
            <w:tcW w:w="1120" w:type="dxa"/>
            <w:vAlign w:val="bottom"/>
          </w:tcPr>
          <w:p>
            <w:pPr>
              <w:spacing w:after="0"/>
              <w:rPr>
                <w:sz w:val="16"/>
                <w:szCs w:val="16"/>
                <w:color w:val="auto"/>
              </w:rPr>
            </w:pPr>
          </w:p>
        </w:tc>
        <w:tc>
          <w:tcPr>
            <w:tcW w:w="3100" w:type="dxa"/>
            <w:vAlign w:val="bottom"/>
          </w:tcPr>
          <w:p>
            <w:pPr>
              <w:spacing w:after="0"/>
              <w:rPr>
                <w:sz w:val="16"/>
                <w:szCs w:val="16"/>
                <w:color w:val="auto"/>
              </w:rPr>
            </w:pPr>
          </w:p>
        </w:tc>
        <w:tc>
          <w:tcPr>
            <w:tcW w:w="160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suekim@marvell.com</w:t>
            </w:r>
          </w:p>
        </w:tc>
        <w:tc>
          <w:tcPr>
            <w:tcW w:w="960" w:type="dxa"/>
            <w:vAlign w:val="bottom"/>
          </w:tcPr>
          <w:p>
            <w:pPr>
              <w:spacing w:after="0"/>
              <w:rPr>
                <w:sz w:val="16"/>
                <w:szCs w:val="16"/>
                <w:color w:val="auto"/>
              </w:rPr>
            </w:pPr>
          </w:p>
        </w:tc>
      </w:tr>
      <w:tr>
        <w:trPr>
          <w:trHeight w:val="453"/>
        </w:trPr>
        <w:tc>
          <w:tcPr>
            <w:tcW w:w="16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5660" w:type="dxa"/>
            <w:vAlign w:val="bottom"/>
            <w:gridSpan w:val="3"/>
          </w:tcPr>
          <w:p>
            <w:pPr>
              <w:ind w:left="220"/>
              <w:spacing w:after="0"/>
              <w:rPr>
                <w:sz w:val="20"/>
                <w:szCs w:val="20"/>
                <w:color w:val="auto"/>
              </w:rPr>
            </w:pPr>
            <w:r>
              <w:rPr>
                <w:rFonts w:ascii="Arial" w:cs="Arial" w:eastAsia="Arial" w:hAnsi="Arial"/>
                <w:sz w:val="18"/>
                <w:szCs w:val="18"/>
                <w:b w:val="1"/>
                <w:bCs w:val="1"/>
                <w:color w:val="auto"/>
                <w:w w:val="91"/>
              </w:rPr>
              <w:t>Marvell Technology Group Ltd. Declares Quarterly Dividend Payment</w:t>
            </w:r>
          </w:p>
        </w:tc>
      </w:tr>
    </w:tbl>
    <w:p>
      <w:pPr>
        <w:spacing w:after="0" w:line="198" w:lineRule="exact"/>
        <w:rPr>
          <w:sz w:val="20"/>
          <w:szCs w:val="20"/>
          <w:color w:val="auto"/>
        </w:rPr>
      </w:pPr>
    </w:p>
    <w:p>
      <w:pPr>
        <w:ind w:right="460"/>
        <w:spacing w:after="0" w:line="266" w:lineRule="auto"/>
        <w:rPr>
          <w:sz w:val="20"/>
          <w:szCs w:val="20"/>
          <w:color w:val="auto"/>
        </w:rPr>
      </w:pPr>
      <w:r>
        <w:rPr>
          <w:rFonts w:ascii="Arial" w:cs="Arial" w:eastAsia="Arial" w:hAnsi="Arial"/>
          <w:sz w:val="18"/>
          <w:szCs w:val="18"/>
          <w:b w:val="1"/>
          <w:bCs w:val="1"/>
          <w:color w:val="auto"/>
        </w:rPr>
        <w:t xml:space="preserve">Santa Clara, Calif. (March 16, 2016) </w:t>
      </w:r>
      <w:r>
        <w:rPr>
          <w:rFonts w:ascii="Arial" w:cs="Arial" w:eastAsia="Arial" w:hAnsi="Arial"/>
          <w:sz w:val="18"/>
          <w:szCs w:val="18"/>
          <w:color w:val="auto"/>
        </w:rPr>
        <w:t>— Marvell Technology Group Ltd. (NASDAQ: MRVL), a global leader in integrated silicon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announced that the Board of Directors has approved a quarterly dividend payment of $0.06 per share to all shareholders of record as of March 29, 2016. Marvell intends to pay the dividend on April 22, 2016.</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60"/>
        <w:spacing w:after="0" w:line="270" w:lineRule="auto"/>
        <w:rPr>
          <w:sz w:val="20"/>
          <w:szCs w:val="20"/>
          <w:color w:val="auto"/>
        </w:rPr>
      </w:pPr>
      <w:r>
        <w:rPr>
          <w:rFonts w:ascii="Arial" w:cs="Arial" w:eastAsia="Arial" w:hAnsi="Arial"/>
          <w:sz w:val="17"/>
          <w:szCs w:val="17"/>
          <w:color w:val="auto"/>
        </w:rPr>
        <w:t>This press release contains forward-looking statements within the meaning of the federal securities laws that involve risks and uncertainties, including expectations regarding the timing of payment of declared or future dividends.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results of operations, cash balances and future cash requirements, financial condition, developments in ongoing litigation, statutory requirements of Bermuda law and other factors that Marvell’s board of directors may deem relevant. For other factors that could cause Marvell’s results to vary from expectations, please see the risk factors identified in the Marvell’s latest Annual Report on Form 10-K for the fiscal year ended January 31, 2015 and latest Quarterly Report on Form 10-Q for the fiscal quarter ended May 2, 2015 as filed with the SEC, and other factors detailed from time to time in Marvell’s filings with the SEC. Marvell undertakes no obligation to revise or update publicly any forward-looking statements.</w:t>
      </w:r>
    </w:p>
    <w:p>
      <w:pPr>
        <w:sectPr>
          <w:pgSz w:w="11900" w:h="16838" w:orient="portrait"/>
          <w:cols w:equalWidth="0" w:num="1">
            <w:col w:w="11420"/>
          </w:cols>
          <w:pgMar w:left="240" w:top="121"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 software enabling the “Smart Life and Smart Lifestyle.” From storage to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138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2</w:t>
      </w:r>
    </w:p>
    <w:sectPr>
      <w:pgSz w:w="11900" w:h="16838" w:orient="portrait"/>
      <w:cols w:equalWidth="0" w:num="1">
        <w:col w:w="11400"/>
      </w:cols>
      <w:pgMar w:left="240" w:top="270"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2019-12-06T21:22:05Z</dcterms:created>
  <dcterms:modified xsi:type="dcterms:W3CDTF">2019-12-06T21:22:05Z</dcterms:modified>
</cp:coreProperties>
</file>