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February 17,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2.02</w:t>
      </w:r>
      <w:r>
        <w:rPr>
          <w:sz w:val="20"/>
          <w:szCs w:val="20"/>
          <w:color w:val="auto"/>
        </w:rPr>
        <w:tab/>
      </w:r>
      <w:r>
        <w:rPr>
          <w:rFonts w:ascii="Arial" w:cs="Arial" w:eastAsia="Arial" w:hAnsi="Arial"/>
          <w:sz w:val="16"/>
          <w:szCs w:val="16"/>
          <w:b w:val="1"/>
          <w:bCs w:val="1"/>
          <w:color w:val="auto"/>
        </w:rPr>
        <w:t>Results of Operations and Financial Condition.</w:t>
      </w:r>
    </w:p>
    <w:p>
      <w:pPr>
        <w:spacing w:after="0" w:line="121" w:lineRule="exact"/>
        <w:rPr>
          <w:sz w:val="20"/>
          <w:szCs w:val="20"/>
          <w:color w:val="auto"/>
        </w:rPr>
      </w:pPr>
    </w:p>
    <w:p>
      <w:pPr>
        <w:ind w:right="180" w:firstLine="456"/>
        <w:spacing w:after="0" w:line="259" w:lineRule="auto"/>
        <w:rPr>
          <w:sz w:val="20"/>
          <w:szCs w:val="20"/>
          <w:color w:val="auto"/>
        </w:rPr>
      </w:pPr>
      <w:r>
        <w:rPr>
          <w:rFonts w:ascii="Arial" w:cs="Arial" w:eastAsia="Arial" w:hAnsi="Arial"/>
          <w:sz w:val="18"/>
          <w:szCs w:val="18"/>
          <w:color w:val="auto"/>
        </w:rPr>
        <w:t>The information in Item 2.02 of this Current Report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87" w:lineRule="exact"/>
        <w:rPr>
          <w:sz w:val="20"/>
          <w:szCs w:val="20"/>
          <w:color w:val="auto"/>
        </w:rPr>
      </w:pPr>
    </w:p>
    <w:p>
      <w:pPr>
        <w:ind w:right="20" w:firstLine="456"/>
        <w:spacing w:after="0" w:line="264" w:lineRule="auto"/>
        <w:rPr>
          <w:sz w:val="20"/>
          <w:szCs w:val="20"/>
          <w:color w:val="auto"/>
        </w:rPr>
      </w:pPr>
      <w:r>
        <w:rPr>
          <w:rFonts w:ascii="Arial" w:cs="Arial" w:eastAsia="Arial" w:hAnsi="Arial"/>
          <w:sz w:val="18"/>
          <w:szCs w:val="18"/>
          <w:color w:val="auto"/>
        </w:rPr>
        <w:t>On February 17, 2016, Marvell Technology Group Ltd. (“Marvell”) issued a press release regarding the settlement of the patent infringement lawsuit between Marvell and Carnegie Mellon University (“CMU”). A copy of the press release is furnished herewith as Exhibit 99.1 and is incorporated by reference herein and to Item 8.01 below.</w:t>
      </w:r>
    </w:p>
    <w:p>
      <w:pPr>
        <w:spacing w:after="0" w:line="181" w:lineRule="exact"/>
        <w:rPr>
          <w:sz w:val="20"/>
          <w:szCs w:val="20"/>
          <w:color w:val="auto"/>
        </w:rPr>
      </w:pPr>
    </w:p>
    <w:p>
      <w:pPr>
        <w:ind w:right="100" w:firstLine="456"/>
        <w:spacing w:after="0" w:line="277" w:lineRule="auto"/>
        <w:rPr>
          <w:sz w:val="20"/>
          <w:szCs w:val="20"/>
          <w:color w:val="auto"/>
        </w:rPr>
      </w:pPr>
      <w:r>
        <w:rPr>
          <w:rFonts w:ascii="Arial" w:cs="Arial" w:eastAsia="Arial" w:hAnsi="Arial"/>
          <w:sz w:val="18"/>
          <w:szCs w:val="18"/>
          <w:color w:val="auto"/>
        </w:rPr>
        <w:t>As disclosed in Exhibit 99.1 of our Current Report on Form 8-K filed on December 7, 2015, Marvell previously recorded a loss contingency reserve of $388.5 million. No future royalties are due to CMU.</w:t>
      </w:r>
    </w:p>
    <w:p>
      <w:pPr>
        <w:spacing w:after="0" w:line="193"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0"/>
          <w:szCs w:val="20"/>
          <w:color w:val="auto"/>
        </w:rPr>
      </w:pPr>
    </w:p>
    <w:p>
      <w:pPr>
        <w:ind w:right="180" w:firstLine="456"/>
        <w:spacing w:after="0" w:line="290" w:lineRule="auto"/>
        <w:rPr>
          <w:sz w:val="20"/>
          <w:szCs w:val="20"/>
          <w:color w:val="auto"/>
        </w:rPr>
      </w:pPr>
      <w:r>
        <w:rPr>
          <w:rFonts w:ascii="Arial" w:cs="Arial" w:eastAsia="Arial" w:hAnsi="Arial"/>
          <w:sz w:val="16"/>
          <w:szCs w:val="16"/>
          <w:color w:val="auto"/>
        </w:rPr>
        <w:t>In connection with the CMU settlement, Marvell has agreed to pay an aggregate of $750 million, without any ongoing royalty payments, to CMU and the parties have agreed to mutually acceptable release, license and covenant not to sue provisions. Marvell expects the action to be finally dismissed in the third quarter of fiscal 2017, approximately 6 months after payment of the full amount of the settlement payment. In connection with the settlement, the primary supersedeas bond that Marvell entered into in connection with this litigation has been reduced to $439 million and the secondary bond, which is secured, has been adjusted to $311 million. The bonds will be reduced as Marvell makes the settlement payments, which Marvell expects will be completed within the first quarter of fiscal 2017. All of Marvell’s obligations under both bonds will be discharged pursuant to a stipulated dismissal to be filed by the parties within three days of the final settlement payment. The bonds will continue to be supported by the bond specific indemnity agreement filed as Exhibit 99.2 to our Current Report on Form 8-K filed on September 11, 2015 until such are terminated and released.</w:t>
      </w:r>
    </w:p>
    <w:p>
      <w:pPr>
        <w:spacing w:after="0" w:line="16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229" w:lineRule="exact"/>
        <w:rPr>
          <w:sz w:val="20"/>
          <w:szCs w:val="20"/>
          <w:color w:val="auto"/>
        </w:rPr>
      </w:pPr>
    </w:p>
    <w:p>
      <w:pPr>
        <w:ind w:right="20" w:firstLine="456"/>
        <w:spacing w:after="0" w:line="270" w:lineRule="auto"/>
        <w:rPr>
          <w:sz w:val="20"/>
          <w:szCs w:val="20"/>
          <w:color w:val="auto"/>
        </w:rPr>
      </w:pPr>
      <w:r>
        <w:rPr>
          <w:rFonts w:ascii="Arial" w:cs="Arial" w:eastAsia="Arial" w:hAnsi="Arial"/>
          <w:sz w:val="17"/>
          <w:szCs w:val="17"/>
          <w:color w:val="auto"/>
        </w:rPr>
        <w:t>This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the timing of payment of the settlement amount and court approval of the final dismissal of the action and release of the supersedeas bonds. For other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05"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8"/>
          <w:szCs w:val="18"/>
          <w:b w:val="1"/>
          <w:bCs w:val="1"/>
          <w:color w:val="auto"/>
        </w:rPr>
        <w:t>FINANCIAL STATEMENTS AND EXHIBITS.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51" w:lineRule="exact"/>
        <w:rPr>
          <w:sz w:val="20"/>
          <w:szCs w:val="20"/>
          <w:color w:val="auto"/>
        </w:rPr>
      </w:pPr>
    </w:p>
    <w:tbl>
      <w:tblPr>
        <w:tblLayout w:type="fixed"/>
        <w:tblInd w:w="10" w:type="dxa"/>
        <w:tblCellMar>
          <w:top w:w="0" w:type="dxa"/>
          <w:left w:w="0" w:type="dxa"/>
          <w:bottom w:w="0" w:type="dxa"/>
          <w:right w:w="0" w:type="dxa"/>
        </w:tblCellMar>
      </w:tblPr>
      <w:tr>
        <w:trPr>
          <w:trHeight w:val="162"/>
        </w:trPr>
        <w:tc>
          <w:tcPr>
            <w:tcW w:w="1440" w:type="dxa"/>
            <w:vAlign w:val="bottom"/>
            <w:tcBorders>
              <w:top w:val="single" w:sz="8" w:color="auto"/>
              <w:left w:val="single" w:sz="8" w:color="auto"/>
              <w:bottom w:val="single" w:sz="8" w:color="auto"/>
              <w:right w:val="single" w:sz="8" w:color="auto"/>
            </w:tcBorders>
          </w:tcPr>
          <w:p>
            <w:pPr>
              <w:jc w:val="center"/>
              <w:ind w:left="59"/>
              <w:spacing w:after="0"/>
              <w:rPr>
                <w:sz w:val="20"/>
                <w:szCs w:val="20"/>
                <w:color w:val="auto"/>
              </w:rPr>
            </w:pPr>
            <w:r>
              <w:rPr>
                <w:rFonts w:ascii="Arial" w:cs="Arial" w:eastAsia="Arial" w:hAnsi="Arial"/>
                <w:sz w:val="14"/>
                <w:szCs w:val="14"/>
                <w:b w:val="1"/>
                <w:bCs w:val="1"/>
                <w:color w:val="auto"/>
                <w:w w:val="95"/>
              </w:rPr>
              <w:t>Exhibit No</w:t>
            </w:r>
          </w:p>
        </w:tc>
        <w:tc>
          <w:tcPr>
            <w:tcW w:w="10000" w:type="dxa"/>
            <w:vAlign w:val="bottom"/>
            <w:tcBorders>
              <w:top w:val="single" w:sz="8" w:color="auto"/>
              <w:bottom w:val="single" w:sz="8" w:color="auto"/>
              <w:right w:val="single" w:sz="8" w:color="auto"/>
            </w:tcBorders>
          </w:tcPr>
          <w:p>
            <w:pPr>
              <w:ind w:left="1300"/>
              <w:spacing w:after="0"/>
              <w:rPr>
                <w:sz w:val="20"/>
                <w:szCs w:val="20"/>
                <w:color w:val="auto"/>
              </w:rPr>
            </w:pPr>
            <w:r>
              <w:rPr>
                <w:rFonts w:ascii="Arial" w:cs="Arial" w:eastAsia="Arial" w:hAnsi="Arial"/>
                <w:sz w:val="14"/>
                <w:szCs w:val="14"/>
                <w:b w:val="1"/>
                <w:bCs w:val="1"/>
                <w:color w:val="auto"/>
              </w:rPr>
              <w:t>Description</w:t>
            </w:r>
          </w:p>
        </w:tc>
      </w:tr>
      <w:tr>
        <w:trPr>
          <w:trHeight w:val="210"/>
        </w:trPr>
        <w:tc>
          <w:tcPr>
            <w:tcW w:w="1440" w:type="dxa"/>
            <w:vAlign w:val="bottom"/>
            <w:tcBorders>
              <w:left w:val="single" w:sz="8" w:color="auto"/>
              <w:bottom w:val="single" w:sz="8" w:color="auto"/>
              <w:right w:val="single" w:sz="8" w:color="auto"/>
            </w:tcBorders>
          </w:tcPr>
          <w:p>
            <w:pPr>
              <w:jc w:val="right"/>
              <w:ind w:right="419"/>
              <w:spacing w:after="0"/>
              <w:rPr>
                <w:sz w:val="20"/>
                <w:szCs w:val="20"/>
                <w:color w:val="auto"/>
              </w:rPr>
            </w:pPr>
            <w:r>
              <w:rPr>
                <w:rFonts w:ascii="Arial" w:cs="Arial" w:eastAsia="Arial" w:hAnsi="Arial"/>
                <w:sz w:val="18"/>
                <w:szCs w:val="18"/>
                <w:color w:val="auto"/>
              </w:rPr>
              <w:t>99.1</w:t>
            </w:r>
          </w:p>
        </w:tc>
        <w:tc>
          <w:tcPr>
            <w:tcW w:w="10000" w:type="dxa"/>
            <w:vAlign w:val="bottom"/>
            <w:tcBorders>
              <w:bottom w:val="single" w:sz="8" w:color="auto"/>
              <w:right w:val="single" w:sz="8" w:color="auto"/>
            </w:tcBorders>
          </w:tcPr>
          <w:p>
            <w:pPr>
              <w:ind w:left="1300"/>
              <w:spacing w:after="0"/>
              <w:rPr>
                <w:sz w:val="20"/>
                <w:szCs w:val="20"/>
                <w:color w:val="auto"/>
              </w:rPr>
            </w:pPr>
            <w:r>
              <w:rPr>
                <w:rFonts w:ascii="Arial" w:cs="Arial" w:eastAsia="Arial" w:hAnsi="Arial"/>
                <w:sz w:val="18"/>
                <w:szCs w:val="18"/>
                <w:color w:val="auto"/>
              </w:rPr>
              <w:t>Press Release dated February 17, 2016</w:t>
            </w:r>
          </w:p>
        </w:tc>
      </w:tr>
    </w:tbl>
    <w:p>
      <w:pPr>
        <w:spacing w:after="0" w:line="134" w:lineRule="exact"/>
        <w:rPr>
          <w:sz w:val="20"/>
          <w:szCs w:val="20"/>
          <w:color w:val="auto"/>
        </w:rPr>
      </w:pPr>
    </w:p>
    <w:p>
      <w:pPr>
        <w:jc w:val="right"/>
        <w:ind w:right="2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40"/>
          </w:cols>
          <w:pgMar w:left="240" w:top="270" w:right="219" w:bottom="1440" w:gutter="0" w:footer="0" w:header="0"/>
        </w:sectPr>
      </w:pPr>
    </w:p>
    <w:bookmarkStart w:id="2" w:name="page3"/>
    <w:bookmarkEnd w:id="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February 17,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4533265</wp:posOffset>
            </wp:positionH>
            <wp:positionV relativeFrom="paragraph">
              <wp:posOffset>-130810</wp:posOffset>
            </wp:positionV>
            <wp:extent cx="271843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718435" cy="8890"/>
                    </a:xfrm>
                    <a:prstGeom prst="rect">
                      <a:avLst/>
                    </a:prstGeom>
                    <a:noFill/>
                  </pic:spPr>
                </pic:pic>
              </a:graphicData>
            </a:graphic>
          </wp:anchor>
        </w:drawing>
      </w:r>
    </w:p>
    <w:p>
      <w:pPr>
        <w:spacing w:after="0" w:line="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26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tbl>
      <w:tblPr>
        <w:tblLayout w:type="fixed"/>
        <w:tblInd w:w="10" w:type="dxa"/>
        <w:tblCellMar>
          <w:top w:w="0" w:type="dxa"/>
          <w:left w:w="0" w:type="dxa"/>
          <w:bottom w:w="0" w:type="dxa"/>
          <w:right w:w="0" w:type="dxa"/>
        </w:tblCellMar>
      </w:tblPr>
      <w:tr>
        <w:trPr>
          <w:trHeight w:val="234"/>
        </w:trPr>
        <w:tc>
          <w:tcPr>
            <w:tcW w:w="1440" w:type="dxa"/>
            <w:vAlign w:val="bottom"/>
          </w:tcPr>
          <w:p>
            <w:pPr>
              <w:spacing w:after="0"/>
              <w:rPr>
                <w:sz w:val="20"/>
                <w:szCs w:val="20"/>
                <w:color w:val="auto"/>
              </w:rPr>
            </w:pPr>
          </w:p>
        </w:tc>
        <w:tc>
          <w:tcPr>
            <w:tcW w:w="10000" w:type="dxa"/>
            <w:vAlign w:val="bottom"/>
          </w:tcPr>
          <w:p>
            <w:pPr>
              <w:ind w:left="3580"/>
              <w:spacing w:after="0"/>
              <w:rPr>
                <w:sz w:val="20"/>
                <w:szCs w:val="20"/>
                <w:color w:val="auto"/>
              </w:rPr>
            </w:pPr>
            <w:r>
              <w:rPr>
                <w:rFonts w:ascii="Arial" w:cs="Arial" w:eastAsia="Arial" w:hAnsi="Arial"/>
                <w:sz w:val="18"/>
                <w:szCs w:val="18"/>
                <w:b w:val="1"/>
                <w:bCs w:val="1"/>
                <w:color w:val="auto"/>
              </w:rPr>
              <w:t>EXHIBIT INDEX</w:t>
            </w:r>
          </w:p>
        </w:tc>
      </w:tr>
      <w:tr>
        <w:trPr>
          <w:trHeight w:val="243"/>
        </w:trPr>
        <w:tc>
          <w:tcPr>
            <w:tcW w:w="1440" w:type="dxa"/>
            <w:vAlign w:val="bottom"/>
            <w:tcBorders>
              <w:bottom w:val="single" w:sz="8" w:color="auto"/>
            </w:tcBorders>
          </w:tcPr>
          <w:p>
            <w:pPr>
              <w:spacing w:after="0"/>
              <w:rPr>
                <w:sz w:val="21"/>
                <w:szCs w:val="21"/>
                <w:color w:val="auto"/>
              </w:rPr>
            </w:pPr>
          </w:p>
        </w:tc>
        <w:tc>
          <w:tcPr>
            <w:tcW w:w="10000" w:type="dxa"/>
            <w:vAlign w:val="bottom"/>
            <w:tcBorders>
              <w:bottom w:val="single" w:sz="8" w:color="auto"/>
            </w:tcBorders>
          </w:tcPr>
          <w:p>
            <w:pPr>
              <w:spacing w:after="0"/>
              <w:rPr>
                <w:sz w:val="21"/>
                <w:szCs w:val="21"/>
                <w:color w:val="auto"/>
              </w:rPr>
            </w:pPr>
          </w:p>
        </w:tc>
      </w:tr>
      <w:tr>
        <w:trPr>
          <w:trHeight w:val="142"/>
        </w:trPr>
        <w:tc>
          <w:tcPr>
            <w:tcW w:w="1440" w:type="dxa"/>
            <w:vAlign w:val="bottom"/>
            <w:tcBorders>
              <w:left w:val="single" w:sz="8" w:color="auto"/>
              <w:bottom w:val="single" w:sz="8" w:color="auto"/>
              <w:right w:val="single" w:sz="8" w:color="auto"/>
            </w:tcBorders>
          </w:tcPr>
          <w:p>
            <w:pPr>
              <w:jc w:val="center"/>
              <w:ind w:left="59"/>
              <w:spacing w:after="0" w:line="142" w:lineRule="exact"/>
              <w:rPr>
                <w:sz w:val="20"/>
                <w:szCs w:val="20"/>
                <w:color w:val="auto"/>
              </w:rPr>
            </w:pPr>
            <w:r>
              <w:rPr>
                <w:rFonts w:ascii="Arial" w:cs="Arial" w:eastAsia="Arial" w:hAnsi="Arial"/>
                <w:sz w:val="14"/>
                <w:szCs w:val="14"/>
                <w:b w:val="1"/>
                <w:bCs w:val="1"/>
                <w:color w:val="auto"/>
                <w:w w:val="95"/>
              </w:rPr>
              <w:t>Exhibit No</w:t>
            </w:r>
          </w:p>
        </w:tc>
        <w:tc>
          <w:tcPr>
            <w:tcW w:w="10000" w:type="dxa"/>
            <w:vAlign w:val="bottom"/>
            <w:tcBorders>
              <w:bottom w:val="single" w:sz="8" w:color="auto"/>
              <w:right w:val="single" w:sz="8" w:color="auto"/>
            </w:tcBorders>
          </w:tcPr>
          <w:p>
            <w:pPr>
              <w:ind w:left="1300"/>
              <w:spacing w:after="0" w:line="142" w:lineRule="exact"/>
              <w:rPr>
                <w:sz w:val="20"/>
                <w:szCs w:val="20"/>
                <w:color w:val="auto"/>
              </w:rPr>
            </w:pPr>
            <w:r>
              <w:rPr>
                <w:rFonts w:ascii="Arial" w:cs="Arial" w:eastAsia="Arial" w:hAnsi="Arial"/>
                <w:sz w:val="14"/>
                <w:szCs w:val="14"/>
                <w:b w:val="1"/>
                <w:bCs w:val="1"/>
                <w:color w:val="auto"/>
              </w:rPr>
              <w:t>Description</w:t>
            </w:r>
          </w:p>
        </w:tc>
      </w:tr>
      <w:tr>
        <w:trPr>
          <w:trHeight w:val="210"/>
        </w:trPr>
        <w:tc>
          <w:tcPr>
            <w:tcW w:w="1440" w:type="dxa"/>
            <w:vAlign w:val="bottom"/>
            <w:tcBorders>
              <w:left w:val="single" w:sz="8" w:color="auto"/>
              <w:bottom w:val="single" w:sz="8" w:color="auto"/>
              <w:right w:val="single" w:sz="8" w:color="auto"/>
            </w:tcBorders>
          </w:tcPr>
          <w:p>
            <w:pPr>
              <w:jc w:val="right"/>
              <w:ind w:right="419"/>
              <w:spacing w:after="0"/>
              <w:rPr>
                <w:sz w:val="20"/>
                <w:szCs w:val="20"/>
                <w:color w:val="auto"/>
              </w:rPr>
            </w:pPr>
            <w:r>
              <w:rPr>
                <w:rFonts w:ascii="Arial" w:cs="Arial" w:eastAsia="Arial" w:hAnsi="Arial"/>
                <w:sz w:val="18"/>
                <w:szCs w:val="18"/>
                <w:color w:val="auto"/>
              </w:rPr>
              <w:t>99.1</w:t>
            </w:r>
          </w:p>
        </w:tc>
        <w:tc>
          <w:tcPr>
            <w:tcW w:w="10000" w:type="dxa"/>
            <w:vAlign w:val="bottom"/>
            <w:tcBorders>
              <w:bottom w:val="single" w:sz="8" w:color="auto"/>
              <w:right w:val="single" w:sz="8" w:color="auto"/>
            </w:tcBorders>
          </w:tcPr>
          <w:p>
            <w:pPr>
              <w:ind w:left="1300"/>
              <w:spacing w:after="0"/>
              <w:rPr>
                <w:sz w:val="20"/>
                <w:szCs w:val="20"/>
                <w:color w:val="auto"/>
              </w:rPr>
            </w:pPr>
            <w:r>
              <w:rPr>
                <w:rFonts w:ascii="Arial" w:cs="Arial" w:eastAsia="Arial" w:hAnsi="Arial"/>
                <w:sz w:val="18"/>
                <w:szCs w:val="18"/>
                <w:color w:val="auto"/>
              </w:rPr>
              <w:t>Press Release dated February 17, 2016</w:t>
            </w:r>
          </w:p>
        </w:tc>
      </w:tr>
    </w:tbl>
    <w:p>
      <w:pPr>
        <w:ind w:left="1300"/>
        <w:spacing w:after="0"/>
        <w:rPr>
          <w:sz w:val="20"/>
          <w:szCs w:val="20"/>
          <w:color w:val="auto"/>
        </w:rPr>
        <w:sectPr>
          <w:pgSz w:w="11900" w:h="16838" w:orient="portrait"/>
          <w:cols w:equalWidth="0" w:num="1">
            <w:col w:w="11440"/>
          </w:cols>
          <w:pgMar w:left="240" w:top="270" w:right="219"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5390515</wp:posOffset>
            </wp:positionH>
            <wp:positionV relativeFrom="paragraph">
              <wp:posOffset>172085</wp:posOffset>
            </wp:positionV>
            <wp:extent cx="1861185" cy="21463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61185" cy="214630"/>
                    </a:xfrm>
                    <a:prstGeom prst="rect">
                      <a:avLst/>
                    </a:prstGeom>
                    <a:noFill/>
                  </pic:spPr>
                </pic:pic>
              </a:graphicData>
            </a:graphic>
          </wp:anchor>
        </w:drawing>
      </w:r>
    </w:p>
    <w:p>
      <w:pPr>
        <w:spacing w:after="0" w:line="200" w:lineRule="exact"/>
        <w:rPr>
          <w:sz w:val="20"/>
          <w:szCs w:val="20"/>
          <w:color w:val="auto"/>
        </w:rPr>
      </w:pPr>
    </w:p>
    <w:p>
      <w:pPr>
        <w:spacing w:after="0" w:line="370"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2660" w:type="dxa"/>
            <w:vAlign w:val="bottom"/>
            <w:gridSpan w:val="2"/>
          </w:tcPr>
          <w:p>
            <w:pPr>
              <w:spacing w:after="0"/>
              <w:rPr>
                <w:sz w:val="20"/>
                <w:szCs w:val="20"/>
                <w:color w:val="auto"/>
              </w:rPr>
            </w:pPr>
            <w:r>
              <w:rPr>
                <w:rFonts w:ascii="Arial" w:cs="Arial" w:eastAsia="Arial" w:hAnsi="Arial"/>
                <w:sz w:val="18"/>
                <w:szCs w:val="18"/>
                <w:b w:val="1"/>
                <w:bCs w:val="1"/>
                <w:color w:val="auto"/>
                <w:w w:val="95"/>
              </w:rPr>
              <w:t>For further information, contact:</w:t>
            </w:r>
          </w:p>
        </w:tc>
        <w:tc>
          <w:tcPr>
            <w:tcW w:w="5820" w:type="dxa"/>
            <w:vAlign w:val="bottom"/>
          </w:tcPr>
          <w:p>
            <w:pPr>
              <w:spacing w:after="0"/>
              <w:rPr>
                <w:sz w:val="19"/>
                <w:szCs w:val="19"/>
                <w:color w:val="auto"/>
              </w:rPr>
            </w:pPr>
          </w:p>
        </w:tc>
        <w:tc>
          <w:tcPr>
            <w:tcW w:w="1600" w:type="dxa"/>
            <w:vAlign w:val="bottom"/>
          </w:tcPr>
          <w:p>
            <w:pPr>
              <w:spacing w:after="0"/>
              <w:rPr>
                <w:sz w:val="19"/>
                <w:szCs w:val="19"/>
                <w:color w:val="auto"/>
              </w:rPr>
            </w:pPr>
          </w:p>
        </w:tc>
      </w:tr>
      <w:tr>
        <w:trPr>
          <w:trHeight w:val="216"/>
        </w:trPr>
        <w:tc>
          <w:tcPr>
            <w:tcW w:w="26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5820" w:type="dxa"/>
            <w:vAlign w:val="bottom"/>
          </w:tcPr>
          <w:p>
            <w:pPr>
              <w:spacing w:after="0"/>
              <w:rPr>
                <w:sz w:val="18"/>
                <w:szCs w:val="18"/>
                <w:color w:val="auto"/>
              </w:rPr>
            </w:pPr>
          </w:p>
        </w:tc>
        <w:tc>
          <w:tcPr>
            <w:tcW w:w="160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26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5820" w:type="dxa"/>
            <w:vAlign w:val="bottom"/>
          </w:tcPr>
          <w:p>
            <w:pPr>
              <w:spacing w:after="0"/>
              <w:rPr>
                <w:sz w:val="18"/>
                <w:szCs w:val="18"/>
                <w:color w:val="auto"/>
              </w:rPr>
            </w:pPr>
          </w:p>
        </w:tc>
        <w:tc>
          <w:tcPr>
            <w:tcW w:w="160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1000" w:type="dxa"/>
            <w:vAlign w:val="bottom"/>
          </w:tcPr>
          <w:p>
            <w:pPr>
              <w:spacing w:after="0"/>
              <w:rPr>
                <w:sz w:val="18"/>
                <w:szCs w:val="18"/>
                <w:color w:val="auto"/>
              </w:rPr>
            </w:pPr>
          </w:p>
        </w:tc>
        <w:tc>
          <w:tcPr>
            <w:tcW w:w="7420" w:type="dxa"/>
            <w:vAlign w:val="bottom"/>
            <w:gridSpan w:val="2"/>
          </w:tcPr>
          <w:p>
            <w:pPr>
              <w:ind w:left="582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1000" w:type="dxa"/>
            <w:vAlign w:val="bottom"/>
          </w:tcPr>
          <w:p>
            <w:pPr>
              <w:spacing w:after="0"/>
              <w:rPr>
                <w:sz w:val="16"/>
                <w:szCs w:val="16"/>
                <w:color w:val="auto"/>
              </w:rPr>
            </w:pPr>
          </w:p>
        </w:tc>
        <w:tc>
          <w:tcPr>
            <w:tcW w:w="5820" w:type="dxa"/>
            <w:vAlign w:val="bottom"/>
          </w:tcPr>
          <w:p>
            <w:pPr>
              <w:spacing w:after="0"/>
              <w:rPr>
                <w:sz w:val="16"/>
                <w:szCs w:val="16"/>
                <w:color w:val="auto"/>
              </w:rPr>
            </w:pPr>
          </w:p>
        </w:tc>
        <w:tc>
          <w:tcPr>
            <w:tcW w:w="160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suekim@marvell.com</w:t>
            </w:r>
          </w:p>
        </w:tc>
      </w:tr>
      <w:tr>
        <w:trPr>
          <w:trHeight w:val="574"/>
        </w:trPr>
        <w:tc>
          <w:tcPr>
            <w:tcW w:w="16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7420" w:type="dxa"/>
            <w:vAlign w:val="bottom"/>
            <w:gridSpan w:val="2"/>
          </w:tcPr>
          <w:p>
            <w:pPr>
              <w:jc w:val="center"/>
              <w:ind w:right="1210"/>
              <w:spacing w:after="0"/>
              <w:rPr>
                <w:sz w:val="20"/>
                <w:szCs w:val="20"/>
                <w:color w:val="auto"/>
              </w:rPr>
            </w:pPr>
            <w:r>
              <w:rPr>
                <w:rFonts w:ascii="Arial" w:cs="Arial" w:eastAsia="Arial" w:hAnsi="Arial"/>
                <w:sz w:val="22"/>
                <w:szCs w:val="22"/>
                <w:b w:val="1"/>
                <w:bCs w:val="1"/>
                <w:color w:val="auto"/>
                <w:w w:val="90"/>
              </w:rPr>
              <w:t>Marvell Technology Group Ltd. and Carnegie Mellon University</w:t>
            </w:r>
          </w:p>
        </w:tc>
      </w:tr>
      <w:tr>
        <w:trPr>
          <w:trHeight w:val="281"/>
        </w:trPr>
        <w:tc>
          <w:tcPr>
            <w:tcW w:w="16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7420" w:type="dxa"/>
            <w:vAlign w:val="bottom"/>
            <w:gridSpan w:val="2"/>
          </w:tcPr>
          <w:p>
            <w:pPr>
              <w:jc w:val="center"/>
              <w:ind w:right="1230"/>
              <w:spacing w:after="0"/>
              <w:rPr>
                <w:sz w:val="20"/>
                <w:szCs w:val="20"/>
                <w:color w:val="auto"/>
              </w:rPr>
            </w:pPr>
            <w:r>
              <w:rPr>
                <w:rFonts w:ascii="Arial" w:cs="Arial" w:eastAsia="Arial" w:hAnsi="Arial"/>
                <w:sz w:val="22"/>
                <w:szCs w:val="22"/>
                <w:b w:val="1"/>
                <w:bCs w:val="1"/>
                <w:color w:val="auto"/>
                <w:w w:val="87"/>
              </w:rPr>
              <w:t>Announce Settlement</w:t>
            </w:r>
          </w:p>
        </w:tc>
      </w:tr>
    </w:tbl>
    <w:p>
      <w:pPr>
        <w:spacing w:after="0" w:line="296" w:lineRule="exact"/>
        <w:rPr>
          <w:sz w:val="20"/>
          <w:szCs w:val="20"/>
          <w:color w:val="auto"/>
        </w:rPr>
      </w:pPr>
    </w:p>
    <w:p>
      <w:pPr>
        <w:ind w:right="300"/>
        <w:spacing w:after="0" w:line="261" w:lineRule="auto"/>
        <w:rPr>
          <w:sz w:val="20"/>
          <w:szCs w:val="20"/>
          <w:color w:val="auto"/>
        </w:rPr>
      </w:pPr>
      <w:r>
        <w:rPr>
          <w:rFonts w:ascii="Arial" w:cs="Arial" w:eastAsia="Arial" w:hAnsi="Arial"/>
          <w:sz w:val="18"/>
          <w:szCs w:val="18"/>
          <w:b w:val="1"/>
          <w:bCs w:val="1"/>
          <w:color w:val="auto"/>
        </w:rPr>
        <w:t xml:space="preserve">Santa Clara, Calif. (February 17, 2016) </w:t>
      </w:r>
      <w:r>
        <w:rPr>
          <w:rFonts w:ascii="Arial" w:cs="Arial" w:eastAsia="Arial" w:hAnsi="Arial"/>
          <w:sz w:val="18"/>
          <w:szCs w:val="18"/>
          <w:color w:val="auto"/>
        </w:rPr>
        <w:t>— Marvell Technology Group Ltd. (NASDAQ: MRVL), a global leader in integrated silicon solutions, and</w:t>
      </w:r>
      <w:r>
        <w:rPr>
          <w:rFonts w:ascii="Arial" w:cs="Arial" w:eastAsia="Arial" w:hAnsi="Arial"/>
          <w:sz w:val="18"/>
          <w:szCs w:val="18"/>
          <w:b w:val="1"/>
          <w:bCs w:val="1"/>
          <w:color w:val="auto"/>
        </w:rPr>
        <w:t xml:space="preserve"> </w:t>
      </w:r>
      <w:r>
        <w:rPr>
          <w:rFonts w:ascii="Arial" w:cs="Arial" w:eastAsia="Arial" w:hAnsi="Arial"/>
          <w:sz w:val="18"/>
          <w:szCs w:val="18"/>
          <w:color w:val="auto"/>
        </w:rPr>
        <w:t>Carnegie Mellon University, a private research university, today announced that, pursuant to a court-ordered mediation, the Company and University have settled their patent infringement lawsuit. The parties have resolved the case on mutually acceptable terms, including an aggregate payment by Marvell to CMU of $750 million, with no ongoing royalty payments.</w:t>
      </w:r>
    </w:p>
    <w:p>
      <w:pPr>
        <w:spacing w:after="0" w:line="184" w:lineRule="exact"/>
        <w:rPr>
          <w:sz w:val="20"/>
          <w:szCs w:val="20"/>
          <w:color w:val="auto"/>
        </w:rPr>
      </w:pPr>
    </w:p>
    <w:p>
      <w:pPr>
        <w:ind w:right="140"/>
        <w:spacing w:after="0" w:line="264" w:lineRule="auto"/>
        <w:rPr>
          <w:sz w:val="20"/>
          <w:szCs w:val="20"/>
          <w:color w:val="auto"/>
        </w:rPr>
      </w:pPr>
      <w:r>
        <w:rPr>
          <w:rFonts w:ascii="Arial" w:cs="Arial" w:eastAsia="Arial" w:hAnsi="Arial"/>
          <w:sz w:val="18"/>
          <w:szCs w:val="18"/>
          <w:color w:val="auto"/>
        </w:rPr>
        <w:t>This settlement concludes the legal matter filed almost seven years ago. As previously disclosed, in December of 2012, CMU obtained a jury verdict against the Company in the U.S. District Court of W.D. Pennsylvania in the amount of approximately $1.54 billion (plus an ongoing royalty) based on patent infringement claims. This settlement will resolve all pending appeals.</w:t>
      </w:r>
    </w:p>
    <w:p>
      <w:pPr>
        <w:spacing w:after="0" w:line="181"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As of January 30, 2016, the Company’s cash and short term investments exceeded $2.3 billion. Marvell had previously recorded approximately $388 million for litigation reserves in fiscal 2016 related to CMU.</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27" w:lineRule="exact"/>
        <w:rPr>
          <w:sz w:val="20"/>
          <w:szCs w:val="20"/>
          <w:color w:val="auto"/>
        </w:rPr>
      </w:pPr>
    </w:p>
    <w:p>
      <w:pPr>
        <w:ind w:right="40"/>
        <w:spacing w:after="0" w:line="252" w:lineRule="auto"/>
        <w:rPr>
          <w:sz w:val="20"/>
          <w:szCs w:val="20"/>
          <w:color w:val="auto"/>
        </w:rPr>
      </w:pPr>
      <w:r>
        <w:rPr>
          <w:rFonts w:ascii="Arial" w:cs="Arial" w:eastAsia="Arial" w:hAnsi="Arial"/>
          <w:sz w:val="18"/>
          <w:szCs w:val="18"/>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any risks detailed in Marvell’s SEC filings from time to time. Marvell undertakes no obligation to revise or update publicly any forward-looking statements.</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2019-12-06T21:22:23Z</dcterms:created>
  <dcterms:modified xsi:type="dcterms:W3CDTF">2019-12-06T21:22:23Z</dcterms:modified>
</cp:coreProperties>
</file>