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March 10,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3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On March 10, 2016, Marvell Technology Group Ltd. issued a press release responding to a media report. A copy of the press release is furnished herewith as Exhibit 99.1 and is incorporated by reference herein.</w:t>
      </w:r>
    </w:p>
    <w:p>
      <w:pPr>
        <w:spacing w:after="0" w:line="315" w:lineRule="exact"/>
        <w:rPr>
          <w:sz w:val="20"/>
          <w:szCs w:val="20"/>
          <w:color w:val="auto"/>
        </w:rPr>
      </w:pPr>
    </w:p>
    <w:p>
      <w:pPr>
        <w:spacing w:after="0"/>
        <w:tabs>
          <w:tab w:leader="none" w:pos="13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8"/>
          <w:szCs w:val="18"/>
          <w:b w:val="1"/>
          <w:bCs w:val="1"/>
          <w:color w:val="auto"/>
        </w:rPr>
        <w:t>FINANCIAL STATEMENTS AND EXHIBITS.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Exhibits</w:t>
      </w:r>
    </w:p>
    <w:p>
      <w:pPr>
        <w:spacing w:after="0" w:line="248" w:lineRule="exact"/>
        <w:rPr>
          <w:sz w:val="20"/>
          <w:szCs w:val="20"/>
          <w:color w:val="auto"/>
        </w:rPr>
      </w:pPr>
    </w:p>
    <w:p>
      <w:pPr>
        <w:ind w:left="20"/>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ind w:left="140"/>
        <w:spacing w:after="0"/>
        <w:tabs>
          <w:tab w:leader="none" w:pos="100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wp:posOffset>
            </wp:positionV>
            <wp:extent cx="29146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spacing w:after="0" w:line="81"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10, 2016</w:t>
      </w:r>
    </w:p>
    <w:p>
      <w:pPr>
        <w:spacing w:after="0" w:line="158" w:lineRule="exact"/>
        <w:rPr>
          <w:sz w:val="20"/>
          <w:szCs w:val="20"/>
          <w:color w:val="auto"/>
        </w:rPr>
      </w:pPr>
    </w:p>
    <w:p>
      <w:pPr>
        <w:jc w:val="center"/>
        <w:ind w:right="-5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880"/>
          </w:cols>
          <w:pgMar w:left="240" w:top="270" w:right="77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March 11,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14605</wp:posOffset>
            </wp:positionV>
            <wp:extent cx="269303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David Eichler</w:t>
      </w:r>
    </w:p>
    <w:p>
      <w:pPr>
        <w:spacing w:after="0" w:line="23" w:lineRule="exact"/>
        <w:rPr>
          <w:sz w:val="20"/>
          <w:szCs w:val="20"/>
          <w:color w:val="auto"/>
        </w:rPr>
      </w:pPr>
    </w:p>
    <w:p>
      <w:pPr>
        <w:ind w:left="7180"/>
        <w:spacing w:after="0"/>
        <w:rPr>
          <w:sz w:val="20"/>
          <w:szCs w:val="20"/>
          <w:color w:val="auto"/>
        </w:rPr>
      </w:pPr>
      <w:r>
        <w:rPr>
          <w:rFonts w:ascii="Arial" w:cs="Arial" w:eastAsia="Arial" w:hAnsi="Arial"/>
          <w:sz w:val="18"/>
          <w:szCs w:val="18"/>
          <w:i w:val="1"/>
          <w:iCs w:val="1"/>
          <w:color w:val="auto"/>
        </w:rPr>
        <w:t>Interim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p>
      <w:pPr>
        <w:ind w:left="20"/>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ind w:left="140"/>
        <w:spacing w:after="0"/>
        <w:tabs>
          <w:tab w:leader="none" w:pos="100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wp:posOffset>
            </wp:positionV>
            <wp:extent cx="29146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spacing w:after="0" w:line="81"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10, 2016</w:t>
      </w:r>
    </w:p>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5450840</wp:posOffset>
            </wp:positionH>
            <wp:positionV relativeFrom="paragraph">
              <wp:posOffset>172085</wp:posOffset>
            </wp:positionV>
            <wp:extent cx="1800860" cy="3257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800860" cy="3257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300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880" w:type="dxa"/>
            <w:vAlign w:val="bottom"/>
          </w:tcPr>
          <w:p>
            <w:pPr>
              <w:spacing w:after="0"/>
              <w:rPr>
                <w:sz w:val="19"/>
                <w:szCs w:val="19"/>
                <w:color w:val="auto"/>
              </w:rPr>
            </w:pPr>
          </w:p>
        </w:tc>
        <w:tc>
          <w:tcPr>
            <w:tcW w:w="1600" w:type="dxa"/>
            <w:vAlign w:val="bottom"/>
          </w:tcPr>
          <w:p>
            <w:pPr>
              <w:spacing w:after="0"/>
              <w:rPr>
                <w:sz w:val="19"/>
                <w:szCs w:val="19"/>
                <w:color w:val="auto"/>
              </w:rPr>
            </w:pPr>
          </w:p>
        </w:tc>
        <w:tc>
          <w:tcPr>
            <w:tcW w:w="500" w:type="dxa"/>
            <w:vAlign w:val="bottom"/>
          </w:tcPr>
          <w:p>
            <w:pPr>
              <w:spacing w:after="0"/>
              <w:rPr>
                <w:sz w:val="19"/>
                <w:szCs w:val="19"/>
                <w:color w:val="auto"/>
              </w:rPr>
            </w:pPr>
          </w:p>
        </w:tc>
      </w:tr>
      <w:tr>
        <w:trPr>
          <w:trHeight w:val="216"/>
        </w:trPr>
        <w:tc>
          <w:tcPr>
            <w:tcW w:w="300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4980" w:type="dxa"/>
            <w:vAlign w:val="bottom"/>
            <w:gridSpan w:val="3"/>
          </w:tcPr>
          <w:p>
            <w:pPr>
              <w:ind w:left="2880"/>
              <w:spacing w:after="0"/>
              <w:rPr>
                <w:sz w:val="20"/>
                <w:szCs w:val="20"/>
                <w:color w:val="auto"/>
              </w:rPr>
            </w:pPr>
            <w:r>
              <w:rPr>
                <w:rFonts w:ascii="Arial" w:cs="Arial" w:eastAsia="Arial" w:hAnsi="Arial"/>
                <w:sz w:val="18"/>
                <w:szCs w:val="18"/>
                <w:color w:val="auto"/>
              </w:rPr>
              <w:t>Sue Kim</w:t>
            </w:r>
          </w:p>
        </w:tc>
      </w:tr>
      <w:tr>
        <w:trPr>
          <w:trHeight w:val="216"/>
        </w:trPr>
        <w:tc>
          <w:tcPr>
            <w:tcW w:w="300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980" w:type="dxa"/>
            <w:vAlign w:val="bottom"/>
            <w:gridSpan w:val="3"/>
          </w:tcPr>
          <w:p>
            <w:pPr>
              <w:ind w:left="288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1340" w:type="dxa"/>
            <w:vAlign w:val="bottom"/>
          </w:tcPr>
          <w:p>
            <w:pPr>
              <w:spacing w:after="0"/>
              <w:rPr>
                <w:sz w:val="18"/>
                <w:szCs w:val="18"/>
                <w:color w:val="auto"/>
              </w:rPr>
            </w:pPr>
          </w:p>
        </w:tc>
        <w:tc>
          <w:tcPr>
            <w:tcW w:w="4480" w:type="dxa"/>
            <w:vAlign w:val="bottom"/>
            <w:gridSpan w:val="2"/>
          </w:tcPr>
          <w:p>
            <w:pPr>
              <w:ind w:left="2880"/>
              <w:spacing w:after="0"/>
              <w:rPr>
                <w:sz w:val="20"/>
                <w:szCs w:val="20"/>
                <w:color w:val="auto"/>
              </w:rPr>
            </w:pPr>
            <w:r>
              <w:rPr>
                <w:rFonts w:ascii="Arial" w:cs="Arial" w:eastAsia="Arial" w:hAnsi="Arial"/>
                <w:sz w:val="18"/>
                <w:szCs w:val="18"/>
                <w:color w:val="auto"/>
              </w:rPr>
              <w:t>408-222-1942</w:t>
            </w:r>
          </w:p>
        </w:tc>
        <w:tc>
          <w:tcPr>
            <w:tcW w:w="500" w:type="dxa"/>
            <w:vAlign w:val="bottom"/>
          </w:tcPr>
          <w:p>
            <w:pPr>
              <w:spacing w:after="0"/>
              <w:rPr>
                <w:sz w:val="18"/>
                <w:szCs w:val="18"/>
                <w:color w:val="auto"/>
              </w:rPr>
            </w:pP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1340" w:type="dxa"/>
            <w:vAlign w:val="bottom"/>
          </w:tcPr>
          <w:p>
            <w:pPr>
              <w:spacing w:after="0"/>
              <w:rPr>
                <w:sz w:val="16"/>
                <w:szCs w:val="16"/>
                <w:color w:val="auto"/>
              </w:rPr>
            </w:pPr>
          </w:p>
        </w:tc>
        <w:tc>
          <w:tcPr>
            <w:tcW w:w="2880" w:type="dxa"/>
            <w:vAlign w:val="bottom"/>
          </w:tcPr>
          <w:p>
            <w:pPr>
              <w:spacing w:after="0"/>
              <w:rPr>
                <w:sz w:val="16"/>
                <w:szCs w:val="16"/>
                <w:color w:val="auto"/>
              </w:rPr>
            </w:pPr>
          </w:p>
        </w:tc>
        <w:tc>
          <w:tcPr>
            <w:tcW w:w="160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suekim@marvell.com</w:t>
            </w:r>
          </w:p>
        </w:tc>
        <w:tc>
          <w:tcPr>
            <w:tcW w:w="500" w:type="dxa"/>
            <w:vAlign w:val="bottom"/>
          </w:tcPr>
          <w:p>
            <w:pPr>
              <w:spacing w:after="0"/>
              <w:rPr>
                <w:sz w:val="16"/>
                <w:szCs w:val="16"/>
                <w:color w:val="auto"/>
              </w:rPr>
            </w:pPr>
          </w:p>
        </w:tc>
      </w:tr>
      <w:tr>
        <w:trPr>
          <w:trHeight w:val="453"/>
        </w:trPr>
        <w:tc>
          <w:tcPr>
            <w:tcW w:w="16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4980" w:type="dxa"/>
            <w:vAlign w:val="bottom"/>
            <w:gridSpan w:val="3"/>
          </w:tcPr>
          <w:p>
            <w:pPr>
              <w:ind w:left="440"/>
              <w:spacing w:after="0"/>
              <w:rPr>
                <w:sz w:val="20"/>
                <w:szCs w:val="20"/>
                <w:color w:val="auto"/>
              </w:rPr>
            </w:pPr>
            <w:r>
              <w:rPr>
                <w:rFonts w:ascii="Arial" w:cs="Arial" w:eastAsia="Arial" w:hAnsi="Arial"/>
                <w:sz w:val="18"/>
                <w:szCs w:val="18"/>
                <w:b w:val="1"/>
                <w:bCs w:val="1"/>
                <w:color w:val="auto"/>
                <w:w w:val="90"/>
              </w:rPr>
              <w:t>Marvell Technology Group Ltd. Responds to Media Report</w:t>
            </w:r>
          </w:p>
        </w:tc>
      </w:tr>
    </w:tbl>
    <w:p>
      <w:pPr>
        <w:spacing w:after="0" w:line="198" w:lineRule="exact"/>
        <w:rPr>
          <w:sz w:val="20"/>
          <w:szCs w:val="20"/>
          <w:color w:val="auto"/>
        </w:rPr>
      </w:pPr>
    </w:p>
    <w:p>
      <w:pPr>
        <w:ind w:right="100"/>
        <w:spacing w:after="0" w:line="281" w:lineRule="auto"/>
        <w:rPr>
          <w:sz w:val="20"/>
          <w:szCs w:val="20"/>
          <w:color w:val="auto"/>
        </w:rPr>
      </w:pPr>
      <w:r>
        <w:rPr>
          <w:rFonts w:ascii="Arial" w:cs="Arial" w:eastAsia="Arial" w:hAnsi="Arial"/>
          <w:sz w:val="17"/>
          <w:szCs w:val="17"/>
          <w:b w:val="1"/>
          <w:bCs w:val="1"/>
          <w:color w:val="auto"/>
        </w:rPr>
        <w:t xml:space="preserve">Santa Clara, Calif. (March 10, 2016) </w:t>
      </w:r>
      <w:r>
        <w:rPr>
          <w:rFonts w:ascii="Arial" w:cs="Arial" w:eastAsia="Arial" w:hAnsi="Arial"/>
          <w:sz w:val="17"/>
          <w:szCs w:val="17"/>
          <w:color w:val="auto"/>
        </w:rPr>
        <w:t>— Marvell Technology Group Ltd. (NASDAQ: MRVL) is aware of certain press reports speculating that Avago</w:t>
      </w:r>
      <w:r>
        <w:rPr>
          <w:rFonts w:ascii="Arial" w:cs="Arial" w:eastAsia="Arial" w:hAnsi="Arial"/>
          <w:sz w:val="17"/>
          <w:szCs w:val="17"/>
          <w:b w:val="1"/>
          <w:bCs w:val="1"/>
          <w:color w:val="auto"/>
        </w:rPr>
        <w:t xml:space="preserve"> </w:t>
      </w:r>
      <w:r>
        <w:rPr>
          <w:rFonts w:ascii="Arial" w:cs="Arial" w:eastAsia="Arial" w:hAnsi="Arial"/>
          <w:sz w:val="17"/>
          <w:szCs w:val="17"/>
          <w:color w:val="auto"/>
        </w:rPr>
        <w:t>Technologies (Broadcom) is a potential purchaser of Marvell. Marvell’s policy is not to comment on rumors or speculation, but because this particular rumor has the potential to be disruptive to Marvell’s business, Marvell is confirming that it has not been and is not engaged in discussions with Avago with respect to any possible offer to acquire Marvell. Marvell does not intend to comment further on this or other rumors or speculation.</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40"/>
        <w:spacing w:after="0" w:line="290"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its use of non-GAAP financial measures as important 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the risks detailed in Marvell’s SEC filings from time to time. For factors that could cause Marvell’s results to vary from expectations, please see the risk factors identified in the Marvell’s latest Annual Report on Form 10-K for the year ended January 31, 2015 and its latest Quarterly Report on Form 10-Q for the quarter ended May 2, 2015 as filed with the SEC, and other factors detailed from time to time in Marvell’s filings with the SEC. Marvell undertakes no obligation to revise or update publicly any forward-looking statements.</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Marvell (NASDAQ: MRVL) is a global leader in providing complete silicon solutions and Kinoma software enabling the “Smart Life and Smart Lifestyle.” From storage to Internet of Things (IoT), cloud infrastructure,</w:t>
      </w:r>
    </w:p>
    <w:p>
      <w:pPr>
        <w:sectPr>
          <w:pgSz w:w="11900" w:h="16838" w:orient="portrait"/>
          <w:cols w:equalWidth="0" w:num="1">
            <w:col w:w="11420"/>
          </w:cols>
          <w:pgMar w:left="240" w:top="121" w:right="239" w:bottom="1440" w:gutter="0" w:footer="0" w:header="0"/>
        </w:sectPr>
      </w:pPr>
    </w:p>
    <w:bookmarkStart w:id="5" w:name="page6"/>
    <w:bookmarkEnd w:id="5"/>
    <w:p>
      <w:pPr>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54" w:lineRule="exact"/>
        <w:rPr>
          <w:sz w:val="20"/>
          <w:szCs w:val="20"/>
          <w:color w:val="auto"/>
        </w:rPr>
      </w:pPr>
    </w:p>
    <w:p>
      <w:pPr>
        <w:ind w:right="126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Marvell, the M logo, ARMADA, Avastar and Kinoma are registered trademarks of Marvell and/or its affiliates. Other names and brands may be claimed as the property of others.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w:t>
      </w:r>
    </w:p>
    <w:sectPr>
      <w:pgSz w:w="11900" w:h="16838" w:orient="portrait"/>
      <w:cols w:equalWidth="0" w:num="1">
        <w:col w:w="11280"/>
      </w:cols>
      <w:pgMar w:left="240" w:top="274" w:right="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2019-12-06T20:59:22Z</dcterms:created>
  <dcterms:modified xsi:type="dcterms:W3CDTF">2019-12-06T20:59:22Z</dcterms:modified>
</cp:coreProperties>
</file>