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February 3,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308" w:lineRule="auto"/>
        <w:rPr>
          <w:sz w:val="20"/>
          <w:szCs w:val="20"/>
          <w:color w:val="auto"/>
        </w:rPr>
      </w:pPr>
      <w:r>
        <w:rPr>
          <w:rFonts w:ascii="Arial" w:cs="Arial" w:eastAsia="Arial" w:hAnsi="Arial"/>
          <w:sz w:val="17"/>
          <w:szCs w:val="17"/>
          <w:color w:val="auto"/>
        </w:rPr>
        <w:t>On February 3, 2016, Marvell Technology Group Ltd. (“Marvell”) issued a statement in response to the Schedule 13-D filed on February 3, 2016 by Starboard Value LP. A copy of the press release is furnished herewith as Exhibit 99.1 and is incorporated by reference herein.</w:t>
      </w:r>
    </w:p>
    <w:p>
      <w:pPr>
        <w:spacing w:after="0" w:line="291"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8"/>
          <w:szCs w:val="18"/>
          <w:b w:val="1"/>
          <w:bCs w:val="1"/>
          <w:color w:val="auto"/>
        </w:rPr>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3, 2016</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40"/>
          </w:cols>
          <w:pgMar w:left="240" w:top="270" w:right="51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3,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3, 2016</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5382260</wp:posOffset>
            </wp:positionH>
            <wp:positionV relativeFrom="paragraph">
              <wp:posOffset>172085</wp:posOffset>
            </wp:positionV>
            <wp:extent cx="186944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6944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John Christiansen / David Isaacs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Sard Verbinnen &amp; Co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415-618-8750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jchristiansen@sardverb.com/disaacs@sardverb.com</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Comments on Starboard Value 13-D Filing</w:t>
      </w:r>
    </w:p>
    <w:p>
      <w:pPr>
        <w:spacing w:after="0" w:line="225" w:lineRule="exact"/>
        <w:rPr>
          <w:sz w:val="20"/>
          <w:szCs w:val="20"/>
          <w:color w:val="auto"/>
        </w:rPr>
      </w:pPr>
    </w:p>
    <w:p>
      <w:pPr>
        <w:ind w:right="400"/>
        <w:spacing w:after="0" w:line="282" w:lineRule="auto"/>
        <w:rPr>
          <w:sz w:val="20"/>
          <w:szCs w:val="20"/>
          <w:color w:val="auto"/>
        </w:rPr>
      </w:pPr>
      <w:r>
        <w:rPr>
          <w:rFonts w:ascii="Arial" w:cs="Arial" w:eastAsia="Arial" w:hAnsi="Arial"/>
          <w:sz w:val="18"/>
          <w:szCs w:val="18"/>
          <w:b w:val="1"/>
          <w:bCs w:val="1"/>
          <w:color w:val="auto"/>
        </w:rPr>
        <w:t xml:space="preserve">Santa Clara, Calif. (February 3, 2016) </w:t>
      </w:r>
      <w:r>
        <w:rPr>
          <w:rFonts w:ascii="Arial" w:cs="Arial" w:eastAsia="Arial" w:hAnsi="Arial"/>
          <w:sz w:val="18"/>
          <w:szCs w:val="18"/>
          <w:color w:val="auto"/>
        </w:rPr>
        <w:t>— Marvell Technology Group Ltd. (NASDAQ: MRVL) today issued the following statement in response to the</w:t>
      </w:r>
      <w:r>
        <w:rPr>
          <w:rFonts w:ascii="Arial" w:cs="Arial" w:eastAsia="Arial" w:hAnsi="Arial"/>
          <w:sz w:val="18"/>
          <w:szCs w:val="18"/>
          <w:b w:val="1"/>
          <w:bCs w:val="1"/>
          <w:color w:val="auto"/>
        </w:rPr>
        <w:t xml:space="preserve"> </w:t>
      </w:r>
      <w:r>
        <w:rPr>
          <w:rFonts w:ascii="Arial" w:cs="Arial" w:eastAsia="Arial" w:hAnsi="Arial"/>
          <w:sz w:val="18"/>
          <w:szCs w:val="18"/>
          <w:color w:val="auto"/>
        </w:rPr>
        <w:t>Schedule 13-D filed today by Starboard Value LP.</w:t>
      </w:r>
    </w:p>
    <w:p>
      <w:pPr>
        <w:spacing w:after="0" w:line="166" w:lineRule="exact"/>
        <w:rPr>
          <w:sz w:val="20"/>
          <w:szCs w:val="20"/>
          <w:color w:val="auto"/>
        </w:rPr>
      </w:pPr>
    </w:p>
    <w:p>
      <w:pPr>
        <w:ind w:right="60"/>
        <w:spacing w:after="0" w:line="308" w:lineRule="auto"/>
        <w:rPr>
          <w:sz w:val="20"/>
          <w:szCs w:val="20"/>
          <w:color w:val="auto"/>
        </w:rPr>
      </w:pPr>
      <w:r>
        <w:rPr>
          <w:rFonts w:ascii="Arial" w:cs="Arial" w:eastAsia="Arial" w:hAnsi="Arial"/>
          <w:sz w:val="17"/>
          <w:szCs w:val="17"/>
          <w:color w:val="auto"/>
        </w:rPr>
        <w:t>“Marvell regularly engages with our shareholders to understand their perspectives on the company and on our long-term growth strategy, and we welcome all constructive input. We will carefully review any suggestions Starboard or their advisors may have, as we would with any other shareholder.</w:t>
      </w:r>
    </w:p>
    <w:p>
      <w:pPr>
        <w:spacing w:after="0" w:line="147"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“As always, Marvell is committed to acting in the best interests of the company and all of our shareholders, and we are focused on continuing to leverage our expertise in semiconductor devices to drive growth across our end markets. We are focused on executing our strategy as our Audit Committee is moving toward completion of the previously disclosed independent investigation of certain accounting and internal control matters and we progress toward regaining compliance with our SEC reporting obligations. The Board of Directors has engaged international executive search firms to conduct searches for additional board members and a permanent Chief Financial Officer. In 2016, we will continue to focus on delivering more great products and solutions to customers and value to shareholders.”</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0"/>
        <w:spacing w:after="0" w:line="297"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the timing and outcome of the Audit Committee’s investigation and the</w:t>
      </w:r>
    </w:p>
    <w:p>
      <w:pPr>
        <w:sectPr>
          <w:pgSz w:w="11900" w:h="16838" w:orient="portrait"/>
          <w:cols w:equalWidth="0" w:num="1">
            <w:col w:w="11420"/>
          </w:cols>
          <w:pgMar w:left="240" w:top="121" w:right="239" w:bottom="1440" w:gutter="0" w:footer="0" w:header="0"/>
        </w:sectPr>
      </w:pPr>
    </w:p>
    <w:bookmarkStart w:id="5" w:name="page6"/>
    <w:bookmarkEnd w:id="5"/>
    <w:p>
      <w:pPr>
        <w:ind w:right="4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findings and recommendations of the Audit Committee, actions that may be taken by Marvell as a result of the Audit Committee’s investigation, adverse impact of litigation or regulatory activities, Marvell’s ability to add additional directors, hire a permanent Chief Financial Officer and to engage a new independent public accounting firm in a timely manner, Marvell’s ability to regain compliance with its SEC reporting obligations within the time of any exemption granted by NASDAQ,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 logo are registered trademarks of Marvell and/or its affiliates.</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2019-12-06T20:53:07Z</dcterms:created>
  <dcterms:modified xsi:type="dcterms:W3CDTF">2019-12-06T20:53:07Z</dcterms:modified>
</cp:coreProperties>
</file>