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219075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13"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178435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68" w:lineRule="exact"/>
        <w:rPr>
          <w:sz w:val="24"/>
          <w:szCs w:val="24"/>
          <w:color w:val="auto"/>
        </w:rPr>
      </w:pPr>
    </w:p>
    <w:p>
      <w:pPr>
        <w:ind w:left="4540"/>
        <w:spacing w:after="0"/>
        <w:rPr>
          <w:sz w:val="20"/>
          <w:szCs w:val="20"/>
          <w:color w:val="auto"/>
        </w:rPr>
      </w:pPr>
      <w:r>
        <w:rPr>
          <w:rFonts w:ascii="Arial" w:cs="Arial" w:eastAsia="Arial" w:hAnsi="Arial"/>
          <w:sz w:val="25"/>
          <w:szCs w:val="25"/>
          <w:b w:val="1"/>
          <w:bCs w:val="1"/>
          <w:color w:val="auto"/>
        </w:rPr>
        <w:t>CURRENT REPORT</w:t>
      </w:r>
    </w:p>
    <w:p>
      <w:pPr>
        <w:spacing w:after="0" w:line="118" w:lineRule="exact"/>
        <w:rPr>
          <w:sz w:val="24"/>
          <w:szCs w:val="24"/>
          <w:color w:val="auto"/>
        </w:rPr>
      </w:pPr>
    </w:p>
    <w:p>
      <w:pPr>
        <w:ind w:left="3680"/>
        <w:spacing w:after="0"/>
        <w:rPr>
          <w:sz w:val="20"/>
          <w:szCs w:val="20"/>
          <w:color w:val="auto"/>
        </w:rPr>
      </w:pPr>
      <w:r>
        <w:rPr>
          <w:rFonts w:ascii="Arial" w:cs="Arial" w:eastAsia="Arial" w:hAnsi="Arial"/>
          <w:sz w:val="25"/>
          <w:szCs w:val="25"/>
          <w:b w:val="1"/>
          <w:bCs w:val="1"/>
          <w:color w:val="auto"/>
        </w:rPr>
        <w:t>Pursuant to Section 13 or 15(d) of the</w:t>
      </w:r>
    </w:p>
    <w:p>
      <w:pPr>
        <w:spacing w:after="0" w:line="38" w:lineRule="exact"/>
        <w:rPr>
          <w:sz w:val="24"/>
          <w:szCs w:val="24"/>
          <w:color w:val="auto"/>
        </w:rPr>
      </w:pPr>
    </w:p>
    <w:p>
      <w:pPr>
        <w:jc w:val="center"/>
        <w:ind w:right="-39"/>
        <w:spacing w:after="0"/>
        <w:rPr>
          <w:sz w:val="20"/>
          <w:szCs w:val="20"/>
          <w:color w:val="auto"/>
        </w:rPr>
      </w:pPr>
      <w:r>
        <w:rPr>
          <w:rFonts w:ascii="Arial" w:cs="Arial" w:eastAsia="Arial" w:hAnsi="Arial"/>
          <w:sz w:val="25"/>
          <w:szCs w:val="25"/>
          <w:b w:val="1"/>
          <w:bCs w:val="1"/>
          <w:color w:val="auto"/>
        </w:rPr>
        <w:t>Securities Exchange Act of 1934</w:t>
      </w:r>
    </w:p>
    <w:p>
      <w:pPr>
        <w:spacing w:after="0" w:line="206"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Date of Report (Date of earliest event reported): May 17, 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238125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41"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227965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409"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409" w:right="279" w:bottom="1440" w:gutter="0" w:footer="0" w:header="0"/>
          <w:type w:val="continuous"/>
        </w:sectPr>
      </w:pPr>
    </w:p>
    <w:p>
      <w:pPr>
        <w:spacing w:after="0" w:line="12" w:lineRule="exact"/>
        <w:rPr>
          <w:sz w:val="24"/>
          <w:szCs w:val="24"/>
          <w:color w:val="auto"/>
        </w:rPr>
      </w:pPr>
    </w:p>
    <w:p>
      <w:pPr>
        <w:jc w:val="center"/>
        <w:ind w:right="380"/>
        <w:spacing w:after="0"/>
        <w:rPr>
          <w:sz w:val="20"/>
          <w:szCs w:val="20"/>
          <w:color w:val="auto"/>
        </w:rPr>
      </w:pPr>
      <w:r>
        <w:rPr>
          <w:rFonts w:ascii="Arial" w:cs="Arial" w:eastAsia="Arial" w:hAnsi="Arial"/>
          <w:sz w:val="13"/>
          <w:szCs w:val="13"/>
          <w:b w:val="1"/>
          <w:bCs w:val="1"/>
          <w:color w:val="auto"/>
        </w:rPr>
        <w:t>(State or Other Jurisdiction of</w:t>
      </w:r>
    </w:p>
    <w:p>
      <w:pPr>
        <w:jc w:val="center"/>
        <w:ind w:right="380"/>
        <w:spacing w:after="0"/>
        <w:rPr>
          <w:sz w:val="20"/>
          <w:szCs w:val="20"/>
          <w:color w:val="auto"/>
        </w:rPr>
      </w:pPr>
      <w:r>
        <w:rPr>
          <w:rFonts w:ascii="Arial" w:cs="Arial" w:eastAsia="Arial" w:hAnsi="Arial"/>
          <w:sz w:val="14"/>
          <w:szCs w:val="14"/>
          <w:b w:val="1"/>
          <w:bCs w:val="1"/>
          <w:color w:val="auto"/>
        </w:rPr>
        <w:t>Incorporation)</w:t>
      </w:r>
    </w:p>
    <w:p>
      <w:pPr>
        <w:spacing w:after="0" w:line="20" w:lineRule="exact"/>
        <w:rPr>
          <w:sz w:val="24"/>
          <w:szCs w:val="24"/>
          <w:color w:val="auto"/>
        </w:rPr>
      </w:pPr>
      <w:r>
        <w:rPr>
          <w:sz w:val="24"/>
          <w:szCs w:val="24"/>
          <w:color w:val="auto"/>
        </w:rPr>
        <w:br w:type="column"/>
      </w:r>
    </w:p>
    <w:p>
      <w:pPr>
        <w:jc w:val="center"/>
        <w:ind w:right="1640"/>
        <w:spacing w:after="0"/>
        <w:rPr>
          <w:sz w:val="20"/>
          <w:szCs w:val="20"/>
          <w:color w:val="auto"/>
        </w:rPr>
      </w:pPr>
      <w:r>
        <w:rPr>
          <w:rFonts w:ascii="Arial" w:cs="Arial" w:eastAsia="Arial" w:hAnsi="Arial"/>
          <w:sz w:val="13"/>
          <w:szCs w:val="13"/>
          <w:b w:val="1"/>
          <w:bCs w:val="1"/>
          <w:color w:val="auto"/>
        </w:rPr>
        <w:t>(Commission 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280" w:space="720"/>
            <w:col w:w="3320" w:space="720"/>
            <w:col w:w="2340"/>
          </w:cols>
          <w:pgMar w:left="240" w:top="409"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233680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409" w:right="279" w:bottom="1440" w:gutter="0" w:footer="0" w:header="0"/>
          <w:type w:val="continuous"/>
        </w:sectPr>
      </w:pPr>
    </w:p>
    <w:p>
      <w:pPr>
        <w:spacing w:after="0" w:line="200" w:lineRule="exact"/>
        <w:rPr>
          <w:sz w:val="24"/>
          <w:szCs w:val="24"/>
          <w:color w:val="auto"/>
        </w:rPr>
      </w:pPr>
    </w:p>
    <w:p>
      <w:pPr>
        <w:spacing w:after="0" w:line="38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177800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220980</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409" w:right="279" w:bottom="1440" w:gutter="0" w:footer="0" w:header="0"/>
          <w:type w:val="continuous"/>
        </w:sectPr>
      </w:pPr>
    </w:p>
    <w:bookmarkStart w:id="1" w:name="page2"/>
    <w:bookmarkEnd w:id="1"/>
    <w:p>
      <w:pPr>
        <w:ind w:left="1140" w:right="60" w:hanging="1133"/>
        <w:spacing w:after="0" w:line="282" w:lineRule="auto"/>
        <w:tabs>
          <w:tab w:leader="none" w:pos="112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w:t>
      </w:r>
      <w:r>
        <w:rPr>
          <w:sz w:val="20"/>
          <w:szCs w:val="20"/>
          <w:color w:val="auto"/>
        </w:rPr>
        <w:tab/>
      </w:r>
      <w:r>
        <w:rPr>
          <w:rFonts w:ascii="Arial" w:cs="Arial" w:eastAsia="Arial" w:hAnsi="Arial"/>
          <w:sz w:val="18"/>
          <w:szCs w:val="18"/>
          <w:b w:val="1"/>
          <w:bCs w:val="1"/>
          <w:color w:val="auto"/>
        </w:rPr>
        <w:t>Departure of Directors or Certain Officers; Election of Directors; Appointment of Certain Officers; Compensatory Arrangements of Certain Officers.</w:t>
      </w:r>
    </w:p>
    <w:p>
      <w:pPr>
        <w:spacing w:after="0" w:line="58" w:lineRule="exact"/>
        <w:rPr>
          <w:sz w:val="20"/>
          <w:szCs w:val="20"/>
          <w:color w:val="auto"/>
        </w:rPr>
      </w:pPr>
    </w:p>
    <w:p>
      <w:pPr>
        <w:spacing w:after="0"/>
        <w:rPr>
          <w:sz w:val="20"/>
          <w:szCs w:val="20"/>
          <w:color w:val="auto"/>
        </w:rPr>
      </w:pPr>
      <w:r>
        <w:rPr>
          <w:rFonts w:ascii="Arial" w:cs="Arial" w:eastAsia="Arial" w:hAnsi="Arial"/>
          <w:sz w:val="18"/>
          <w:szCs w:val="18"/>
          <w:u w:val="single" w:color="auto"/>
          <w:color w:val="auto"/>
        </w:rPr>
        <w:t>Election of Director</w:t>
      </w:r>
    </w:p>
    <w:p>
      <w:pPr>
        <w:spacing w:after="0" w:line="117" w:lineRule="exact"/>
        <w:rPr>
          <w:sz w:val="20"/>
          <w:szCs w:val="20"/>
          <w:color w:val="auto"/>
        </w:rPr>
      </w:pPr>
    </w:p>
    <w:p>
      <w:pPr>
        <w:ind w:right="40" w:firstLine="456"/>
        <w:spacing w:after="0" w:line="276" w:lineRule="auto"/>
        <w:rPr>
          <w:sz w:val="20"/>
          <w:szCs w:val="20"/>
          <w:color w:val="auto"/>
        </w:rPr>
      </w:pPr>
      <w:r>
        <w:rPr>
          <w:rFonts w:ascii="Arial" w:cs="Arial" w:eastAsia="Arial" w:hAnsi="Arial"/>
          <w:sz w:val="17"/>
          <w:szCs w:val="17"/>
          <w:color w:val="auto"/>
        </w:rPr>
        <w:t>On May 17, 2016, the board of directors (the “Board”) of Marvell Technology Group Ltd. (the “Company”) elected Mr. Michael G. Strachan to serve as a member of the Company’s Board, effective as of the same day. Mr. Strachan was appointed for a term that extends until the 2016 annual meeting of the shareholders. Mr. Strachan was also appointed to serve on the Audit Committee of the Board. Mr. Strachan is the “Additional Independent Appointee” as defined in the Agreement dated as of April 25, 2016 between the Company and Starboard Value LP and certain of its affiliates, which agreement was filed as Exhibit 10.1 to the Company’s Current Report on Form 8-K dated as of April 25, 2016.</w:t>
      </w:r>
    </w:p>
    <w:p>
      <w:pPr>
        <w:spacing w:after="0" w:line="173" w:lineRule="exact"/>
        <w:rPr>
          <w:sz w:val="20"/>
          <w:szCs w:val="20"/>
          <w:color w:val="auto"/>
        </w:rPr>
      </w:pPr>
    </w:p>
    <w:p>
      <w:pPr>
        <w:ind w:firstLine="456"/>
        <w:spacing w:after="0" w:line="255" w:lineRule="auto"/>
        <w:rPr>
          <w:sz w:val="20"/>
          <w:szCs w:val="20"/>
          <w:color w:val="auto"/>
        </w:rPr>
      </w:pPr>
      <w:r>
        <w:rPr>
          <w:rFonts w:ascii="Arial" w:cs="Arial" w:eastAsia="Arial" w:hAnsi="Arial"/>
          <w:sz w:val="18"/>
          <w:szCs w:val="18"/>
          <w:color w:val="auto"/>
        </w:rPr>
        <w:t>Mr. Strachan retired from Ernst &amp; Young LLP in December 2008. From July 2007 until December 2008, he was a member of Ernst &amp; Young’s America’s Executive Board, which oversaw the firm’s strategic initiatives in North and South America. From July 2006 to December 2008, he was a member of Ernst &amp; Young’s U.S. Executive Board, which oversaw partnership matters in the U.S. for the firm. From July 2000 through December 2008, he was Vice Chairman and Area Managing Partner for Ernst &amp; Young offices between San Jose, California and Seattle, Washington, and was responsible for oversight of the firm’s operations in that area. He began his career at Ernst &amp; Young in 1976. Mr. Strachan received a Bachelor of Science in Accounting from Northern Illinois University.</w:t>
      </w:r>
    </w:p>
    <w:p>
      <w:pPr>
        <w:spacing w:after="0" w:line="193" w:lineRule="exact"/>
        <w:rPr>
          <w:sz w:val="20"/>
          <w:szCs w:val="20"/>
          <w:color w:val="auto"/>
        </w:rPr>
      </w:pPr>
    </w:p>
    <w:p>
      <w:pPr>
        <w:ind w:left="460"/>
        <w:spacing w:after="0"/>
        <w:rPr>
          <w:sz w:val="20"/>
          <w:szCs w:val="20"/>
          <w:color w:val="auto"/>
        </w:rPr>
      </w:pPr>
      <w:r>
        <w:rPr>
          <w:rFonts w:ascii="Arial" w:cs="Arial" w:eastAsia="Arial" w:hAnsi="Arial"/>
          <w:sz w:val="17"/>
          <w:szCs w:val="17"/>
          <w:color w:val="auto"/>
        </w:rPr>
        <w:t>The election to the Board of Mr. Strachan was not pursuant to any arrangement or understanding between Mr. Strachan and any third party.</w:t>
      </w:r>
    </w:p>
    <w:p>
      <w:pPr>
        <w:spacing w:after="0" w:line="237" w:lineRule="exact"/>
        <w:rPr>
          <w:sz w:val="20"/>
          <w:szCs w:val="20"/>
          <w:color w:val="auto"/>
        </w:rPr>
      </w:pPr>
    </w:p>
    <w:p>
      <w:pPr>
        <w:ind w:right="60" w:firstLine="456"/>
        <w:spacing w:after="0" w:line="277" w:lineRule="auto"/>
        <w:rPr>
          <w:sz w:val="20"/>
          <w:szCs w:val="20"/>
          <w:color w:val="auto"/>
        </w:rPr>
      </w:pPr>
      <w:r>
        <w:rPr>
          <w:rFonts w:ascii="Arial" w:cs="Arial" w:eastAsia="Arial" w:hAnsi="Arial"/>
          <w:sz w:val="18"/>
          <w:szCs w:val="18"/>
          <w:color w:val="auto"/>
        </w:rPr>
        <w:t>The Board has determined that Mr. Strachan will qualify as “independent” under the guidelines promulgated by the Nasdaq Stock Market, Inc. and the applicable Securities and Exchange Commission rules.</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The election of Mr. Strachan was announced in the press release attached hereto as Exhibit 99.1 and incorporated by reference herein.</w:t>
      </w:r>
    </w:p>
    <w:p>
      <w:pPr>
        <w:spacing w:after="0" w:line="370" w:lineRule="exact"/>
        <w:rPr>
          <w:sz w:val="20"/>
          <w:szCs w:val="20"/>
          <w:color w:val="auto"/>
        </w:rPr>
      </w:pPr>
    </w:p>
    <w:p>
      <w:pPr>
        <w:spacing w:after="0"/>
        <w:tabs>
          <w:tab w:leader="none" w:pos="11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460" w:hanging="452"/>
        <w:spacing w:after="0"/>
        <w:tabs>
          <w:tab w:leader="none" w:pos="46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25" w:lineRule="exact"/>
        <w:rPr>
          <w:sz w:val="20"/>
          <w:szCs w:val="20"/>
          <w:color w:val="auto"/>
        </w:rPr>
      </w:pPr>
    </w:p>
    <w:p>
      <w:pPr>
        <w:spacing w:after="0"/>
        <w:tabs>
          <w:tab w:leader="none" w:pos="70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May 18, 2016.</w:t>
      </w:r>
    </w:p>
    <w:p>
      <w:pPr>
        <w:spacing w:after="0" w:line="15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60"/>
          </w:cols>
          <w:pgMar w:left="240" w:top="270" w:right="29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May 18, 2016</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374" w:lineRule="exact"/>
        <w:rPr>
          <w:sz w:val="20"/>
          <w:szCs w:val="20"/>
          <w:color w:val="auto"/>
        </w:rPr>
      </w:pPr>
    </w:p>
    <w:p>
      <w:pPr>
        <w:ind w:left="6860"/>
        <w:spacing w:after="0"/>
        <w:tabs>
          <w:tab w:leader="none" w:pos="856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8"/>
          <w:szCs w:val="18"/>
          <w:color w:val="auto"/>
        </w:rPr>
        <w:t>/s/ David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jc w:val="center"/>
        <w:ind w:left="7240"/>
        <w:spacing w:after="0"/>
        <w:rPr>
          <w:sz w:val="20"/>
          <w:szCs w:val="20"/>
          <w:color w:val="auto"/>
        </w:rPr>
      </w:pPr>
      <w:r>
        <w:rPr>
          <w:rFonts w:ascii="Arial" w:cs="Arial" w:eastAsia="Arial" w:hAnsi="Arial"/>
          <w:sz w:val="18"/>
          <w:szCs w:val="18"/>
          <w:color w:val="auto"/>
        </w:rPr>
        <w:t>David Eichler</w:t>
      </w:r>
    </w:p>
    <w:p>
      <w:pPr>
        <w:spacing w:after="0" w:line="23" w:lineRule="exact"/>
        <w:rPr>
          <w:sz w:val="20"/>
          <w:szCs w:val="20"/>
          <w:color w:val="auto"/>
        </w:rPr>
      </w:pPr>
    </w:p>
    <w:p>
      <w:pPr>
        <w:jc w:val="center"/>
        <w:ind w:left="7240"/>
        <w:spacing w:after="0"/>
        <w:rPr>
          <w:sz w:val="20"/>
          <w:szCs w:val="20"/>
          <w:color w:val="auto"/>
        </w:rPr>
      </w:pPr>
      <w:r>
        <w:rPr>
          <w:rFonts w:ascii="Arial" w:cs="Arial" w:eastAsia="Arial" w:hAnsi="Arial"/>
          <w:sz w:val="18"/>
          <w:szCs w:val="18"/>
          <w:color w:val="auto"/>
        </w:rPr>
        <w:t>Interim Chief Financial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 w:name="page4"/>
    <w:bookmarkEnd w:id="3"/>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48" w:lineRule="exact"/>
        <w:rPr>
          <w:sz w:val="20"/>
          <w:szCs w:val="20"/>
          <w:color w:val="auto"/>
        </w:rPr>
      </w:pPr>
    </w:p>
    <w:tbl>
      <w:tblPr>
        <w:tblLayout w:type="fixed"/>
        <w:tblInd w:w="0" w:type="dxa"/>
        <w:tblCellMar>
          <w:top w:w="0" w:type="dxa"/>
          <w:left w:w="0" w:type="dxa"/>
          <w:bottom w:w="0" w:type="dxa"/>
          <w:right w:w="0" w:type="dxa"/>
        </w:tblCellMar>
      </w:tblPr>
      <w:tr>
        <w:trPr>
          <w:trHeight w:val="171"/>
        </w:trPr>
        <w:tc>
          <w:tcPr>
            <w:tcW w:w="720" w:type="dxa"/>
            <w:vAlign w:val="bottom"/>
          </w:tcPr>
          <w:p>
            <w:pPr>
              <w:ind w:left="20"/>
              <w:spacing w:after="0"/>
              <w:rPr>
                <w:sz w:val="20"/>
                <w:szCs w:val="20"/>
                <w:color w:val="auto"/>
              </w:rPr>
            </w:pPr>
            <w:r>
              <w:rPr>
                <w:rFonts w:ascii="Arial" w:cs="Arial" w:eastAsia="Arial" w:hAnsi="Arial"/>
                <w:sz w:val="14"/>
                <w:szCs w:val="14"/>
                <w:b w:val="1"/>
                <w:bCs w:val="1"/>
                <w:color w:val="auto"/>
                <w:w w:val="92"/>
              </w:rPr>
              <w:t>Exhibit No.</w:t>
            </w:r>
          </w:p>
        </w:tc>
        <w:tc>
          <w:tcPr>
            <w:tcW w:w="3340" w:type="dxa"/>
            <w:vAlign w:val="bottom"/>
            <w:gridSpan w:val="3"/>
          </w:tcPr>
          <w:p>
            <w:pPr>
              <w:ind w:left="780"/>
              <w:spacing w:after="0"/>
              <w:rPr>
                <w:sz w:val="20"/>
                <w:szCs w:val="20"/>
                <w:color w:val="auto"/>
              </w:rPr>
            </w:pPr>
            <w:r>
              <w:rPr>
                <w:rFonts w:ascii="Arial" w:cs="Arial" w:eastAsia="Arial" w:hAnsi="Arial"/>
                <w:sz w:val="14"/>
                <w:szCs w:val="14"/>
                <w:b w:val="1"/>
                <w:bCs w:val="1"/>
                <w:color w:val="auto"/>
              </w:rPr>
              <w:t>Description</w:t>
            </w:r>
          </w:p>
        </w:tc>
      </w:tr>
      <w:tr>
        <w:trPr>
          <w:trHeight w:val="20"/>
        </w:trPr>
        <w:tc>
          <w:tcPr>
            <w:tcW w:w="720" w:type="dxa"/>
            <w:vAlign w:val="bottom"/>
            <w:shd w:val="clear" w:color="auto" w:fill="000000"/>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700" w:type="dxa"/>
            <w:vAlign w:val="bottom"/>
            <w:shd w:val="clear" w:color="auto" w:fill="000000"/>
          </w:tcPr>
          <w:p>
            <w:pPr>
              <w:spacing w:after="0" w:line="20" w:lineRule="exact"/>
              <w:rPr>
                <w:sz w:val="1"/>
                <w:szCs w:val="1"/>
                <w:color w:val="auto"/>
              </w:rPr>
            </w:pPr>
          </w:p>
        </w:tc>
        <w:tc>
          <w:tcPr>
            <w:tcW w:w="1860" w:type="dxa"/>
            <w:vAlign w:val="bottom"/>
          </w:tcPr>
          <w:p>
            <w:pPr>
              <w:spacing w:after="0" w:line="20" w:lineRule="exact"/>
              <w:rPr>
                <w:sz w:val="1"/>
                <w:szCs w:val="1"/>
                <w:color w:val="auto"/>
              </w:rPr>
            </w:pPr>
          </w:p>
        </w:tc>
      </w:tr>
      <w:tr>
        <w:trPr>
          <w:trHeight w:val="318"/>
        </w:trPr>
        <w:tc>
          <w:tcPr>
            <w:tcW w:w="720" w:type="dxa"/>
            <w:vAlign w:val="bottom"/>
          </w:tcPr>
          <w:p>
            <w:pPr>
              <w:spacing w:after="0"/>
              <w:rPr>
                <w:sz w:val="20"/>
                <w:szCs w:val="20"/>
                <w:color w:val="auto"/>
              </w:rPr>
            </w:pPr>
            <w:r>
              <w:rPr>
                <w:rFonts w:ascii="Arial" w:cs="Arial" w:eastAsia="Arial" w:hAnsi="Arial"/>
                <w:sz w:val="18"/>
                <w:szCs w:val="18"/>
                <w:color w:val="auto"/>
              </w:rPr>
              <w:t>99.1</w:t>
            </w:r>
          </w:p>
        </w:tc>
        <w:tc>
          <w:tcPr>
            <w:tcW w:w="3340" w:type="dxa"/>
            <w:vAlign w:val="bottom"/>
            <w:gridSpan w:val="3"/>
          </w:tcPr>
          <w:p>
            <w:pPr>
              <w:ind w:left="780"/>
              <w:spacing w:after="0"/>
              <w:rPr>
                <w:sz w:val="20"/>
                <w:szCs w:val="20"/>
                <w:color w:val="auto"/>
              </w:rPr>
            </w:pPr>
            <w:r>
              <w:rPr>
                <w:rFonts w:ascii="Arial" w:cs="Arial" w:eastAsia="Arial" w:hAnsi="Arial"/>
                <w:sz w:val="18"/>
                <w:szCs w:val="18"/>
                <w:color w:val="auto"/>
                <w:w w:val="87"/>
              </w:rPr>
              <w:t>Press Release, dated May 18, 2016.</w:t>
            </w:r>
          </w:p>
        </w:tc>
      </w:tr>
    </w:tbl>
    <w:p>
      <w:pPr>
        <w:spacing w:after="0" w:line="134"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219"/>
          </w:cols>
          <w:pgMar w:left="240" w:top="270" w:right="1440"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3846830</wp:posOffset>
            </wp:positionH>
            <wp:positionV relativeFrom="paragraph">
              <wp:posOffset>172085</wp:posOffset>
            </wp:positionV>
            <wp:extent cx="2298065" cy="24003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298065" cy="24003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606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1580" w:type="dxa"/>
            <w:vAlign w:val="bottom"/>
          </w:tcPr>
          <w:p>
            <w:pPr>
              <w:spacing w:after="0"/>
              <w:rPr>
                <w:sz w:val="19"/>
                <w:szCs w:val="19"/>
                <w:color w:val="auto"/>
              </w:rPr>
            </w:pPr>
          </w:p>
        </w:tc>
      </w:tr>
      <w:tr>
        <w:trPr>
          <w:trHeight w:val="216"/>
        </w:trPr>
        <w:tc>
          <w:tcPr>
            <w:tcW w:w="606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1580" w:type="dxa"/>
            <w:vAlign w:val="bottom"/>
          </w:tcPr>
          <w:p>
            <w:pPr>
              <w:spacing w:after="0"/>
              <w:rPr>
                <w:sz w:val="20"/>
                <w:szCs w:val="20"/>
                <w:color w:val="auto"/>
              </w:rPr>
            </w:pPr>
            <w:r>
              <w:rPr>
                <w:rFonts w:ascii="Arial" w:cs="Arial" w:eastAsia="Arial" w:hAnsi="Arial"/>
                <w:sz w:val="18"/>
                <w:szCs w:val="18"/>
                <w:color w:val="auto"/>
              </w:rPr>
              <w:t>Sue Kim</w:t>
            </w:r>
          </w:p>
        </w:tc>
      </w:tr>
      <w:tr>
        <w:trPr>
          <w:trHeight w:val="216"/>
        </w:trPr>
        <w:tc>
          <w:tcPr>
            <w:tcW w:w="606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1580" w:type="dxa"/>
            <w:vAlign w:val="bottom"/>
          </w:tcPr>
          <w:p>
            <w:pPr>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4400" w:type="dxa"/>
            <w:vAlign w:val="bottom"/>
          </w:tcPr>
          <w:p>
            <w:pPr>
              <w:spacing w:after="0"/>
              <w:rPr>
                <w:sz w:val="18"/>
                <w:szCs w:val="18"/>
                <w:color w:val="auto"/>
              </w:rPr>
            </w:pPr>
          </w:p>
        </w:tc>
        <w:tc>
          <w:tcPr>
            <w:tcW w:w="1580" w:type="dxa"/>
            <w:vAlign w:val="bottom"/>
          </w:tcPr>
          <w:p>
            <w:pPr>
              <w:spacing w:after="0"/>
              <w:rPr>
                <w:sz w:val="20"/>
                <w:szCs w:val="20"/>
                <w:color w:val="auto"/>
              </w:rPr>
            </w:pPr>
            <w:r>
              <w:rPr>
                <w:rFonts w:ascii="Arial" w:cs="Arial" w:eastAsia="Arial" w:hAnsi="Arial"/>
                <w:sz w:val="18"/>
                <w:szCs w:val="18"/>
                <w:color w:val="auto"/>
              </w:rPr>
              <w:t>408-222-1942</w:t>
            </w:r>
          </w:p>
        </w:tc>
      </w:tr>
      <w:tr>
        <w:trPr>
          <w:trHeight w:val="190"/>
        </w:trPr>
        <w:tc>
          <w:tcPr>
            <w:tcW w:w="166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1"/>
              </w:rPr>
              <w:t>johnahn@marvell.com</w:t>
            </w:r>
          </w:p>
        </w:tc>
        <w:tc>
          <w:tcPr>
            <w:tcW w:w="4400" w:type="dxa"/>
            <w:vAlign w:val="bottom"/>
          </w:tcPr>
          <w:p>
            <w:pPr>
              <w:spacing w:after="0"/>
              <w:rPr>
                <w:sz w:val="16"/>
                <w:szCs w:val="16"/>
                <w:color w:val="auto"/>
              </w:rPr>
            </w:pPr>
          </w:p>
        </w:tc>
        <w:tc>
          <w:tcPr>
            <w:tcW w:w="158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0"/>
              </w:rPr>
              <w:t>suekim@marvell.com</w:t>
            </w:r>
          </w:p>
        </w:tc>
      </w:tr>
    </w:tbl>
    <w:p>
      <w:pPr>
        <w:spacing w:after="0" w:line="200" w:lineRule="exact"/>
        <w:rPr>
          <w:sz w:val="20"/>
          <w:szCs w:val="20"/>
          <w:color w:val="auto"/>
        </w:rPr>
      </w:pPr>
    </w:p>
    <w:p>
      <w:pPr>
        <w:spacing w:after="0" w:line="227" w:lineRule="exact"/>
        <w:rPr>
          <w:sz w:val="20"/>
          <w:szCs w:val="20"/>
          <w:color w:val="auto"/>
        </w:rPr>
      </w:pPr>
    </w:p>
    <w:p>
      <w:pPr>
        <w:jc w:val="center"/>
        <w:spacing w:after="0" w:line="272" w:lineRule="auto"/>
        <w:rPr>
          <w:sz w:val="20"/>
          <w:szCs w:val="20"/>
          <w:color w:val="auto"/>
        </w:rPr>
      </w:pPr>
      <w:r>
        <w:rPr>
          <w:rFonts w:ascii="Arial" w:cs="Arial" w:eastAsia="Arial" w:hAnsi="Arial"/>
          <w:sz w:val="29"/>
          <w:szCs w:val="29"/>
          <w:b w:val="1"/>
          <w:bCs w:val="1"/>
          <w:color w:val="auto"/>
        </w:rPr>
        <w:t>Marvell Technology Group Ltd. Announces Appointment of Michael Strachan to Board of Directors</w:t>
      </w:r>
    </w:p>
    <w:p>
      <w:pPr>
        <w:spacing w:after="0" w:line="149" w:lineRule="exact"/>
        <w:rPr>
          <w:sz w:val="20"/>
          <w:szCs w:val="20"/>
          <w:color w:val="auto"/>
        </w:rPr>
      </w:pPr>
    </w:p>
    <w:p>
      <w:pPr>
        <w:ind w:right="60"/>
        <w:spacing w:after="0" w:line="266" w:lineRule="auto"/>
        <w:rPr>
          <w:sz w:val="20"/>
          <w:szCs w:val="20"/>
          <w:color w:val="auto"/>
        </w:rPr>
      </w:pPr>
      <w:r>
        <w:rPr>
          <w:rFonts w:ascii="Arial" w:cs="Arial" w:eastAsia="Arial" w:hAnsi="Arial"/>
          <w:sz w:val="18"/>
          <w:szCs w:val="18"/>
          <w:b w:val="1"/>
          <w:bCs w:val="1"/>
          <w:color w:val="auto"/>
        </w:rPr>
        <w:t xml:space="preserve">Santa Clara, Calif. (May 18, 2016) </w:t>
      </w:r>
      <w:r>
        <w:rPr>
          <w:rFonts w:ascii="Arial" w:cs="Arial" w:eastAsia="Arial" w:hAnsi="Arial"/>
          <w:sz w:val="18"/>
          <w:szCs w:val="18"/>
          <w:color w:val="auto"/>
        </w:rPr>
        <w:t>— Marvell Technology Group Ltd. (NASDAQ: MRVL), a global leader in integrated silicon solutions, today announced</w:t>
      </w:r>
      <w:r>
        <w:rPr>
          <w:rFonts w:ascii="Arial" w:cs="Arial" w:eastAsia="Arial" w:hAnsi="Arial"/>
          <w:sz w:val="18"/>
          <w:szCs w:val="18"/>
          <w:b w:val="1"/>
          <w:bCs w:val="1"/>
          <w:color w:val="auto"/>
        </w:rPr>
        <w:t xml:space="preserve"> </w:t>
      </w:r>
      <w:r>
        <w:rPr>
          <w:rFonts w:ascii="Arial" w:cs="Arial" w:eastAsia="Arial" w:hAnsi="Arial"/>
          <w:sz w:val="18"/>
          <w:szCs w:val="18"/>
          <w:color w:val="auto"/>
        </w:rPr>
        <w:t>that the Board of Directors has approved the appointment of Michael Strachan as an independent Director of the Company, effective immediately. Mr. Strachan’s appointment expands the number of Board members to eleven Directors.</w:t>
      </w:r>
    </w:p>
    <w:p>
      <w:pPr>
        <w:spacing w:after="0" w:line="180"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“We are delighted to have Mike join Marvell’s Board of Directors,” said Richard Hill, Marvell’s Chairman. “He brings a wealth of financial leadership experience to Marvell, which will be extremely valuable as the Company continues to grow its business worldwide. Mike will greatly enhance our depth of financial expertise on the Board of Directors, which accelerates our ability to have better controls in place to assure our investors the highest quality financial reporting at Marvell. I am confident that Mike will provide a positive impact to our company.”</w:t>
      </w:r>
    </w:p>
    <w:p>
      <w:pPr>
        <w:spacing w:after="0" w:line="187"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Before his retirement in 2008, Mr. Strachan was a partner at Ernst &amp; Young LLP, where he had spent his entire professional career since graduating Magna Cum Laude from Northern Illinois University with a Bachelor of Science degree in accounting in 1976. Mr. Strachan also served on the Board of Directors of LSI Corporation from 2009 until the company was sold to Avago in 2014. Mr. Strachan is an audit committee financial expert as defined by Regulation S-K under the Securities and Exchange Act of 1934.</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20"/>
        <w:spacing w:after="0" w:line="286" w:lineRule="auto"/>
        <w:rPr>
          <w:sz w:val="20"/>
          <w:szCs w:val="20"/>
          <w:color w:val="auto"/>
        </w:rPr>
      </w:pPr>
      <w:r>
        <w:rPr>
          <w:rFonts w:ascii="Arial" w:cs="Arial" w:eastAsia="Arial" w:hAnsi="Arial"/>
          <w:sz w:val="17"/>
          <w:szCs w:val="17"/>
          <w:color w:val="auto"/>
        </w:rPr>
        <w:t>Marvell (NASDAQ: MRVL) is a global leader in providing complete silicon solutions. From storage to cloud infrastructure, Internet of Things (IoT), connectivity and multimedia, Marvell’s diverse product portfolio aligns complete platform designs with industry-leading performance, security, reliability and efficiency. At the core of the world’s most powerful consumer, network and enterprise systems, Marvell empowers partners and their</w:t>
      </w:r>
    </w:p>
    <w:p>
      <w:pPr>
        <w:sectPr>
          <w:pgSz w:w="11900" w:h="16838" w:orient="portrait"/>
          <w:cols w:equalWidth="0" w:num="1">
            <w:col w:w="11420"/>
          </w:cols>
          <w:pgMar w:left="240" w:top="121" w:right="239" w:bottom="1440" w:gutter="0" w:footer="0" w:header="0"/>
        </w:sectPr>
      </w:pPr>
    </w:p>
    <w:bookmarkStart w:id="5" w:name="page6"/>
    <w:bookmarkEnd w:id="5"/>
    <w:p>
      <w:pPr>
        <w:spacing w:after="0" w:line="308"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customers to always stand at the forefront of innovation, performance and mass appeal. By providing people around the world with mobility and ease of access to services, adding value to their social, personal and work lives, Marvell is committed to enhancing the human experience.</w:t>
      </w:r>
    </w:p>
    <w:p>
      <w:pPr>
        <w:spacing w:after="0" w:line="147" w:lineRule="exact"/>
        <w:rPr>
          <w:sz w:val="20"/>
          <w:szCs w:val="20"/>
          <w:color w:val="auto"/>
        </w:rPr>
      </w:pPr>
    </w:p>
    <w:p>
      <w:pPr>
        <w:ind w:right="960"/>
        <w:spacing w:after="0" w:line="277" w:lineRule="auto"/>
        <w:rPr>
          <w:sz w:val="20"/>
          <w:szCs w:val="20"/>
          <w:color w:val="auto"/>
        </w:rPr>
      </w:pPr>
      <w:r>
        <w:rPr>
          <w:rFonts w:ascii="Arial" w:cs="Arial" w:eastAsia="Arial" w:hAnsi="Arial"/>
          <w:sz w:val="18"/>
          <w:szCs w:val="18"/>
          <w:color w:val="auto"/>
        </w:rPr>
        <w:t>As used in this release, the term “Marvell” refers to Marvell Technology Group Ltd. and its subsidiaries. For more information, please visit www.Marvell.com.</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2</w:t>
      </w:r>
    </w:p>
    <w:sectPr>
      <w:pgSz w:w="11900" w:h="16838" w:orient="portrait"/>
      <w:cols w:equalWidth="0" w:num="1">
        <w:col w:w="10980"/>
      </w:cols>
      <w:pgMar w:left="240" w:top="274" w:right="6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2019-12-06T21:30:51Z</dcterms:created>
  <dcterms:modified xsi:type="dcterms:W3CDTF">2019-12-06T21:30:51Z</dcterms:modified>
</cp:coreProperties>
</file>