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April 1, 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6"/>
          <w:szCs w:val="16"/>
          <w:b w:val="1"/>
          <w:bCs w:val="1"/>
          <w:color w:val="auto"/>
        </w:rPr>
        <w:t>Item 5.02</w:t>
      </w:r>
    </w:p>
    <w:p>
      <w:pPr>
        <w:spacing w:after="0" w:line="20" w:lineRule="exact"/>
        <w:rPr>
          <w:sz w:val="20"/>
          <w:szCs w:val="20"/>
          <w:color w:val="auto"/>
        </w:rPr>
      </w:pPr>
      <w:r>
        <w:rPr>
          <w:sz w:val="20"/>
          <w:szCs w:val="20"/>
          <w:color w:val="auto"/>
        </w:rPr>
        <w:br w:type="column"/>
      </w:r>
    </w:p>
    <w:p>
      <w:pPr>
        <w:ind w:right="60"/>
        <w:spacing w:after="0" w:line="282" w:lineRule="auto"/>
        <w:rPr>
          <w:sz w:val="20"/>
          <w:szCs w:val="20"/>
          <w:color w:val="auto"/>
        </w:rPr>
      </w:pPr>
      <w:r>
        <w:rPr>
          <w:rFonts w:ascii="Arial" w:cs="Arial" w:eastAsia="Arial" w:hAnsi="Arial"/>
          <w:sz w:val="18"/>
          <w:szCs w:val="18"/>
          <w:b w:val="1"/>
          <w:bCs w:val="1"/>
          <w:color w:val="auto"/>
        </w:rPr>
        <w:t>Departure of Directors or Certain Officers; Election of Directors; Appointment of Certain Officers; Compensatory Arrangements of Certain Officers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-883285</wp:posOffset>
            </wp:positionH>
            <wp:positionV relativeFrom="paragraph">
              <wp:posOffset>-391160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58" w:lineRule="exact"/>
        <w:rPr>
          <w:sz w:val="20"/>
          <w:szCs w:val="20"/>
          <w:color w:val="auto"/>
        </w:rPr>
      </w:pPr>
    </w:p>
    <w:p>
      <w:pPr>
        <w:sectPr>
          <w:pgSz w:w="11900" w:h="16838" w:orient="portrait"/>
          <w:cols w:equalWidth="0" w:num="2">
            <w:col w:w="720" w:space="660"/>
            <w:col w:w="10020"/>
          </w:cols>
          <w:pgMar w:left="240" w:top="270" w:right="259" w:bottom="1440" w:gutter="0" w:footer="0" w:header="0"/>
        </w:sectPr>
      </w:pPr>
    </w:p>
    <w:p>
      <w:pPr>
        <w:ind w:firstLine="464"/>
        <w:spacing w:after="0" w:line="264" w:lineRule="auto"/>
        <w:tabs>
          <w:tab w:leader="none" w:pos="711" w:val="left"/>
        </w:tabs>
        <w:numPr>
          <w:ilvl w:val="0"/>
          <w:numId w:val="2"/>
        </w:numPr>
        <w:rPr>
          <w:rFonts w:ascii="Arial" w:cs="Arial" w:eastAsia="Arial" w:hAnsi="Arial"/>
          <w:sz w:val="18"/>
          <w:szCs w:val="18"/>
          <w:color w:val="auto"/>
        </w:rPr>
      </w:pPr>
      <w:r>
        <w:rPr>
          <w:rFonts w:ascii="Arial" w:cs="Arial" w:eastAsia="Arial" w:hAnsi="Arial"/>
          <w:sz w:val="18"/>
          <w:szCs w:val="18"/>
          <w:color w:val="auto"/>
        </w:rPr>
        <w:t>On April 1, 2016, the employment of Dr. Sehat Sutardja as Chief Executive Officer of Marvell Technology Group Ltd. (“Marvell”) and of Weili Dai as President of Marvell was terminated by Marvell’s Board of Directors. Dr. Sutardja and Ms. Dai will remain on the Board of Directors, with Dr. Sutardja remaining as Chairman.</w:t>
      </w:r>
    </w:p>
    <w:p>
      <w:pPr>
        <w:spacing w:after="0" w:line="181" w:lineRule="exact"/>
        <w:rPr>
          <w:rFonts w:ascii="Arial" w:cs="Arial" w:eastAsia="Arial" w:hAnsi="Arial"/>
          <w:sz w:val="18"/>
          <w:szCs w:val="18"/>
          <w:color w:val="auto"/>
        </w:rPr>
      </w:pPr>
    </w:p>
    <w:p>
      <w:pPr>
        <w:ind w:right="120" w:firstLine="464"/>
        <w:spacing w:after="0" w:line="273" w:lineRule="auto"/>
        <w:tabs>
          <w:tab w:leader="none" w:pos="701" w:val="left"/>
        </w:tabs>
        <w:numPr>
          <w:ilvl w:val="0"/>
          <w:numId w:val="2"/>
        </w:numPr>
        <w:rPr>
          <w:rFonts w:ascii="Arial" w:cs="Arial" w:eastAsia="Arial" w:hAnsi="Arial"/>
          <w:sz w:val="17"/>
          <w:szCs w:val="17"/>
          <w:color w:val="auto"/>
        </w:rPr>
      </w:pPr>
      <w:r>
        <w:rPr>
          <w:rFonts w:ascii="Arial" w:cs="Arial" w:eastAsia="Arial" w:hAnsi="Arial"/>
          <w:sz w:val="17"/>
          <w:szCs w:val="17"/>
          <w:color w:val="auto"/>
        </w:rPr>
        <w:t>On April 2, 2016, the Board formed an Interim Office of the Chief Executive (the “IOCE”) to oversee the day-to-day running of Marvell’s operations. The members of the IOCE are Ms. Maya Strelar-Migotti, Executive Vice President, Smart Networked Devices and Solutions (SNDS) Business Group and Dr. Pantelis Alexopoulos, Executive Vice President of the Storage Business Group, Dr. Zining Wu, Chief Technology Officer, Mr. David Eichler, Interim Chief Financial Officer, Mr. Tom Savage, Senior Vice President and General Counsel and Mr. William Valle, Vice President, Global Human Resources. In their capacities as members of the IOCE, Ms. Strelar-Migotti and Dr. Alexopoulos each have the authority to exercise all powers of the Chief Executive Officer. The Board, in conjunction with a leading executive search firm, will lead the search for a CEO and President.</w:t>
      </w:r>
    </w:p>
    <w:p>
      <w:pPr>
        <w:spacing w:after="0" w:line="178"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executive officers in the Interim Office of the Chief Executive are as follows:</w:t>
      </w:r>
    </w:p>
    <w:p>
      <w:pPr>
        <w:spacing w:after="0" w:line="11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Maya Strelar Migotti – 59 – Executive Vice President, Smart Networked Devices and Solutions (SNDS) Business Group</w:t>
      </w:r>
    </w:p>
    <w:p>
      <w:pPr>
        <w:spacing w:after="0" w:line="121" w:lineRule="exact"/>
        <w:rPr>
          <w:sz w:val="20"/>
          <w:szCs w:val="20"/>
          <w:color w:val="auto"/>
        </w:rPr>
      </w:pPr>
    </w:p>
    <w:p>
      <w:pPr>
        <w:ind w:right="20" w:firstLine="456"/>
        <w:spacing w:after="0" w:line="276" w:lineRule="auto"/>
        <w:rPr>
          <w:sz w:val="20"/>
          <w:szCs w:val="20"/>
          <w:color w:val="auto"/>
        </w:rPr>
      </w:pPr>
      <w:r>
        <w:rPr>
          <w:rFonts w:ascii="Arial" w:cs="Arial" w:eastAsia="Arial" w:hAnsi="Arial"/>
          <w:sz w:val="17"/>
          <w:szCs w:val="17"/>
          <w:color w:val="auto"/>
        </w:rPr>
        <w:t>Ms. Strelar-Migotti has served as Senior Vice President, SNDS Business Group since August 2015. For 15 years prior to joining Marvell, Ms. Strelar-Migotti held a number of senior executive roles within Ericsson and has managed organizations and customer programs in North America, Europe, China and India. From June 2009 until August 2015, Ms. Strelar-Migotti was Head of the Ericsson Silicon Valley Site, and Vice President of the IP and Broadband Development Organization in Ericsson. Ms. Strelar-Migotti holds a Bachelor of Science degree and Master of Science degree in Telecommunications from University of Zagreb Croatia and has completed executive training at New York’s Columbia University.</w:t>
      </w:r>
    </w:p>
    <w:p>
      <w:pPr>
        <w:spacing w:after="0" w:line="2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Dr. Pantelis Alexopoulos – 67 Executive Vice President of the Storage Business Group</w:t>
      </w:r>
    </w:p>
    <w:p>
      <w:pPr>
        <w:spacing w:after="0" w:line="121" w:lineRule="exact"/>
        <w:rPr>
          <w:sz w:val="20"/>
          <w:szCs w:val="20"/>
          <w:color w:val="auto"/>
        </w:rPr>
      </w:pPr>
    </w:p>
    <w:p>
      <w:pPr>
        <w:ind w:right="20" w:firstLine="456"/>
        <w:spacing w:after="0" w:line="255" w:lineRule="auto"/>
        <w:rPr>
          <w:sz w:val="20"/>
          <w:szCs w:val="20"/>
          <w:color w:val="auto"/>
        </w:rPr>
      </w:pPr>
      <w:r>
        <w:rPr>
          <w:rFonts w:ascii="Arial" w:cs="Arial" w:eastAsia="Arial" w:hAnsi="Arial"/>
          <w:sz w:val="18"/>
          <w:szCs w:val="18"/>
          <w:color w:val="auto"/>
        </w:rPr>
        <w:t>Dr. Alexopoulos has served as Senior Vice President of the Storage Business Group at Marvell since August 2015. Dr. Alexopoulos joined Marvell from the Agency for Science, Technology and Research (A*STAR), located in Singapore, where he served as Executive Director of the Data Storage Institute from February 2010 to July 2015. Prior to his tenure at A*STAR, Dr. Alexopoulos held senior executive management roles at major storage companies TDK Fujitsu Philippines Corporation, Seagate and Maxtor. Dr. Alexopoulos holds a Ph.D. in Materials Science and Engineering from Cornell University, a Master of Science degree in Materials Science and Engineering from the University of Utah, and a Bachelor of Science degree in Physics from Aristotle University of Thessaloniki.</w:t>
      </w:r>
    </w:p>
    <w:p>
      <w:pPr>
        <w:spacing w:after="0" w:line="2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Dr. Zining Wu – 44 -Chief Technology Officer</w:t>
      </w:r>
    </w:p>
    <w:p>
      <w:pPr>
        <w:spacing w:after="0" w:line="121" w:lineRule="exact"/>
        <w:rPr>
          <w:sz w:val="20"/>
          <w:szCs w:val="20"/>
          <w:color w:val="auto"/>
        </w:rPr>
      </w:pPr>
    </w:p>
    <w:p>
      <w:pPr>
        <w:ind w:right="20" w:firstLine="456"/>
        <w:spacing w:after="0" w:line="276" w:lineRule="auto"/>
        <w:rPr>
          <w:sz w:val="20"/>
          <w:szCs w:val="20"/>
          <w:color w:val="auto"/>
        </w:rPr>
      </w:pPr>
      <w:r>
        <w:rPr>
          <w:rFonts w:ascii="Arial" w:cs="Arial" w:eastAsia="Arial" w:hAnsi="Arial"/>
          <w:sz w:val="17"/>
          <w:szCs w:val="17"/>
          <w:color w:val="auto"/>
        </w:rPr>
        <w:t>Dr. Wu serves as Chief Technology Officer of Marvell Technology Group Ltd., a position he has held since January 2014. Prior to his current position, Dr. Wu was Vice President, Data Storage Technology at Marvell from August 2008 to March 2014 and Vice President for wireless communication SoCs from 2013 to 2014. Previous to this role, Dr. Wu held various engineering and managerial roles within Marvell, including Senior Director of Engineering for wireless communication SoCs. He joined Marvell in July 1999. Dr. Wu holds a Bachelor of Science degree in Electronic Engineering from Tsinghua University in Beijing, China, and a Master of Science degree and Ph.D. in Electrical Engineering from Stanford University.</w:t>
      </w:r>
    </w:p>
    <w:p>
      <w:pPr>
        <w:spacing w:after="0" w:line="2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Dave Eichler -67 - Interim Chief Financial Officer</w:t>
      </w:r>
    </w:p>
    <w:p>
      <w:pPr>
        <w:spacing w:after="0" w:line="121" w:lineRule="exact"/>
        <w:rPr>
          <w:sz w:val="20"/>
          <w:szCs w:val="20"/>
          <w:color w:val="auto"/>
        </w:rPr>
      </w:pPr>
    </w:p>
    <w:p>
      <w:pPr>
        <w:ind w:right="180" w:firstLine="456"/>
        <w:spacing w:after="0" w:line="277" w:lineRule="auto"/>
        <w:rPr>
          <w:sz w:val="20"/>
          <w:szCs w:val="20"/>
          <w:color w:val="auto"/>
        </w:rPr>
      </w:pPr>
      <w:r>
        <w:rPr>
          <w:rFonts w:ascii="Arial" w:cs="Arial" w:eastAsia="Arial" w:hAnsi="Arial"/>
          <w:sz w:val="18"/>
          <w:szCs w:val="18"/>
          <w:color w:val="auto"/>
        </w:rPr>
        <w:t>Dave Eichler has been Interim Chief Financial Officer since October 16, 2015. Mr. Eichler has over 30 years of financial experience. Mr. Eichler was an independent CFO consultant from 2011 to 2013 and has been</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0" w:right="259" w:bottom="1440" w:gutter="0" w:footer="0" w:header="0"/>
          <w:type w:val="continuous"/>
        </w:sectPr>
      </w:pPr>
    </w:p>
    <w:bookmarkStart w:id="2" w:name="page3"/>
    <w:bookmarkEnd w:id="2"/>
    <w:p>
      <w:pPr>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partner at Randstad Professionals US, LP, d/b/a Tatum since 2014.Mr. Eichler has served as CFO for a variety of semiconductor, software and electronics companies during his career including Catalyst Semiconductor, Phoenix Technologies, Intellisync, Inc., Alliance Semiconductor, and Hyundai Electronics. He holds a Bachelor of Science degree in Business from Northeastern University and a Master’s degree in Business Administration from the University of California, Los Angeles.</w:t>
      </w:r>
    </w:p>
    <w:p>
      <w:pPr>
        <w:spacing w:after="0" w:line="331" w:lineRule="exact"/>
        <w:rPr>
          <w:sz w:val="20"/>
          <w:szCs w:val="20"/>
          <w:color w:val="auto"/>
        </w:rPr>
      </w:pPr>
    </w:p>
    <w:p>
      <w:pPr>
        <w:spacing w:after="0"/>
        <w:tabs>
          <w:tab w:leader="none" w:pos="1360" w:val="left"/>
        </w:tabs>
        <w:rPr>
          <w:sz w:val="20"/>
          <w:szCs w:val="20"/>
          <w:color w:val="auto"/>
        </w:rPr>
      </w:pPr>
      <w:r>
        <w:rPr>
          <w:rFonts w:ascii="Arial" w:cs="Arial" w:eastAsia="Arial" w:hAnsi="Arial"/>
          <w:sz w:val="18"/>
          <w:szCs w:val="18"/>
          <w:b w:val="1"/>
          <w:bCs w:val="1"/>
          <w:color w:val="auto"/>
        </w:rPr>
        <w:t>ITEM 7.01</w:t>
      </w:r>
      <w:r>
        <w:rPr>
          <w:sz w:val="20"/>
          <w:szCs w:val="20"/>
          <w:color w:val="auto"/>
        </w:rPr>
        <w:tab/>
      </w:r>
      <w:r>
        <w:rPr>
          <w:rFonts w:ascii="Arial" w:cs="Arial" w:eastAsia="Arial" w:hAnsi="Arial"/>
          <w:sz w:val="17"/>
          <w:szCs w:val="17"/>
          <w:b w:val="1"/>
          <w:bCs w:val="1"/>
          <w:color w:val="auto"/>
        </w:rPr>
        <w:t>REGULATION FD DISCLOSURE.</w:t>
      </w:r>
    </w:p>
    <w:p>
      <w:pPr>
        <w:spacing w:after="0" w:line="121" w:lineRule="exact"/>
        <w:rPr>
          <w:sz w:val="20"/>
          <w:szCs w:val="20"/>
          <w:color w:val="auto"/>
        </w:rPr>
      </w:pPr>
    </w:p>
    <w:p>
      <w:pPr>
        <w:ind w:right="500" w:firstLine="456"/>
        <w:spacing w:after="0" w:line="277" w:lineRule="auto"/>
        <w:rPr>
          <w:sz w:val="20"/>
          <w:szCs w:val="20"/>
          <w:color w:val="auto"/>
        </w:rPr>
      </w:pPr>
      <w:r>
        <w:rPr>
          <w:rFonts w:ascii="Arial" w:cs="Arial" w:eastAsia="Arial" w:hAnsi="Arial"/>
          <w:sz w:val="18"/>
          <w:szCs w:val="18"/>
          <w:color w:val="auto"/>
        </w:rPr>
        <w:t>On April 5, 2016, Marvell issued a press release concerning the senior leadership transition described in this report. A copy of the press release is furnished herewith as Exhibit 99.1 and is incorporated by reference herein.</w:t>
      </w:r>
    </w:p>
    <w:p>
      <w:pPr>
        <w:spacing w:after="0" w:line="315" w:lineRule="exact"/>
        <w:rPr>
          <w:sz w:val="20"/>
          <w:szCs w:val="20"/>
          <w:color w:val="auto"/>
        </w:rPr>
      </w:pPr>
    </w:p>
    <w:p>
      <w:pPr>
        <w:spacing w:after="0"/>
        <w:tabs>
          <w:tab w:leader="none" w:pos="136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8"/>
          <w:szCs w:val="18"/>
          <w:b w:val="1"/>
          <w:bCs w:val="1"/>
          <w:color w:val="auto"/>
        </w:rPr>
        <w:t>FINANCIAL STATEMENTS AND EXHIBITS.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 Exhibits</w:t>
      </w:r>
    </w:p>
    <w:p>
      <w:pPr>
        <w:spacing w:after="0" w:line="248" w:lineRule="exact"/>
        <w:rPr>
          <w:sz w:val="20"/>
          <w:szCs w:val="20"/>
          <w:color w:val="auto"/>
        </w:rPr>
      </w:pPr>
    </w:p>
    <w:p>
      <w:pPr>
        <w:ind w:left="20"/>
        <w:spacing w:after="0"/>
        <w:rPr>
          <w:sz w:val="20"/>
          <w:szCs w:val="20"/>
          <w:color w:val="auto"/>
        </w:rPr>
      </w:pPr>
      <w:r>
        <w:rPr>
          <w:rFonts w:ascii="Arial" w:cs="Arial" w:eastAsia="Arial" w:hAnsi="Arial"/>
          <w:sz w:val="14"/>
          <w:szCs w:val="14"/>
          <w:b w:val="1"/>
          <w:bCs w:val="1"/>
          <w:color w:val="auto"/>
        </w:rPr>
        <w:t>Exhibit</w:t>
      </w:r>
    </w:p>
    <w:p>
      <w:pPr>
        <w:spacing w:after="0" w:line="4" w:lineRule="exact"/>
        <w:rPr>
          <w:sz w:val="20"/>
          <w:szCs w:val="20"/>
          <w:color w:val="auto"/>
        </w:rPr>
      </w:pPr>
    </w:p>
    <w:p>
      <w:pPr>
        <w:ind w:left="140"/>
        <w:spacing w:after="0"/>
        <w:tabs>
          <w:tab w:leader="none" w:pos="1000" w:val="left"/>
        </w:tabs>
        <w:rPr>
          <w:sz w:val="20"/>
          <w:szCs w:val="20"/>
          <w:color w:val="auto"/>
        </w:rPr>
      </w:pPr>
      <w:r>
        <w:rPr>
          <w:rFonts w:ascii="Arial" w:cs="Arial" w:eastAsia="Arial" w:hAnsi="Arial"/>
          <w:sz w:val="14"/>
          <w:szCs w:val="14"/>
          <w:b w:val="1"/>
          <w:bCs w:val="1"/>
          <w:color w:val="auto"/>
        </w:rPr>
        <w:t>No</w:t>
      </w:r>
      <w:r>
        <w:rPr>
          <w:sz w:val="20"/>
          <w:szCs w:val="20"/>
          <w:color w:val="auto"/>
        </w:rPr>
        <w:tab/>
      </w:r>
      <w:r>
        <w:rPr>
          <w:rFonts w:ascii="Arial" w:cs="Arial" w:eastAsia="Arial" w:hAnsi="Arial"/>
          <w:sz w:val="14"/>
          <w:szCs w:val="14"/>
          <w:b w:val="1"/>
          <w:bCs w:val="1"/>
          <w:u w:val="single" w:color="auto"/>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-3175</wp:posOffset>
            </wp:positionV>
            <wp:extent cx="29146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91465" cy="8890"/>
                    </a:xfrm>
                    <a:prstGeom prst="rect">
                      <a:avLst/>
                    </a:prstGeom>
                    <a:noFill/>
                  </pic:spPr>
                </pic:pic>
              </a:graphicData>
            </a:graphic>
          </wp:anchor>
        </w:drawing>
      </w:r>
    </w:p>
    <w:p>
      <w:pPr>
        <w:spacing w:after="0" w:line="81" w:lineRule="exact"/>
        <w:rPr>
          <w:sz w:val="20"/>
          <w:szCs w:val="20"/>
          <w:color w:val="auto"/>
        </w:rPr>
      </w:pPr>
    </w:p>
    <w:p>
      <w:pPr>
        <w:spacing w:after="0"/>
        <w:tabs>
          <w:tab w:leader="none" w:pos="100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6"/>
          <w:szCs w:val="16"/>
          <w:color w:val="auto"/>
        </w:rPr>
        <w:t>Press Release dated April 5, 2016</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4" w:right="239" w:bottom="1440" w:gutter="0" w:footer="0" w:header="0"/>
        </w:sectPr>
      </w:pPr>
    </w:p>
    <w:bookmarkStart w:id="3" w:name="page4"/>
    <w:bookmarkEnd w:id="3"/>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April 5, 2016</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David Eichler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David Eichler</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Interim Chief Financial Officer</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420"/>
          </w:cols>
          <w:pgMar w:left="240" w:top="270" w:right="239" w:bottom="1440" w:gutter="0" w:footer="0" w:header="0"/>
        </w:sectPr>
      </w:pPr>
    </w:p>
    <w:bookmarkStart w:id="4" w:name="page5"/>
    <w:bookmarkEnd w:id="4"/>
    <w:p>
      <w:pPr>
        <w:jc w:val="right"/>
        <w:ind w:right="37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48" w:lineRule="exact"/>
        <w:rPr>
          <w:sz w:val="20"/>
          <w:szCs w:val="20"/>
          <w:color w:val="auto"/>
        </w:rPr>
      </w:pPr>
    </w:p>
    <w:p>
      <w:pPr>
        <w:ind w:left="20"/>
        <w:spacing w:after="0"/>
        <w:rPr>
          <w:sz w:val="20"/>
          <w:szCs w:val="20"/>
          <w:color w:val="auto"/>
        </w:rPr>
      </w:pPr>
      <w:r>
        <w:rPr>
          <w:rFonts w:ascii="Arial" w:cs="Arial" w:eastAsia="Arial" w:hAnsi="Arial"/>
          <w:sz w:val="14"/>
          <w:szCs w:val="14"/>
          <w:b w:val="1"/>
          <w:bCs w:val="1"/>
          <w:color w:val="auto"/>
        </w:rPr>
        <w:t>Exhibit</w:t>
      </w:r>
    </w:p>
    <w:p>
      <w:pPr>
        <w:spacing w:after="0" w:line="4" w:lineRule="exact"/>
        <w:rPr>
          <w:sz w:val="20"/>
          <w:szCs w:val="20"/>
          <w:color w:val="auto"/>
        </w:rPr>
      </w:pPr>
    </w:p>
    <w:p>
      <w:pPr>
        <w:ind w:left="140"/>
        <w:spacing w:after="0"/>
        <w:tabs>
          <w:tab w:leader="none" w:pos="1000" w:val="left"/>
        </w:tabs>
        <w:rPr>
          <w:sz w:val="20"/>
          <w:szCs w:val="20"/>
          <w:color w:val="auto"/>
        </w:rPr>
      </w:pPr>
      <w:r>
        <w:rPr>
          <w:rFonts w:ascii="Arial" w:cs="Arial" w:eastAsia="Arial" w:hAnsi="Arial"/>
          <w:sz w:val="14"/>
          <w:szCs w:val="14"/>
          <w:b w:val="1"/>
          <w:bCs w:val="1"/>
          <w:color w:val="auto"/>
        </w:rPr>
        <w:t>No</w:t>
      </w:r>
      <w:r>
        <w:rPr>
          <w:sz w:val="20"/>
          <w:szCs w:val="20"/>
          <w:color w:val="auto"/>
        </w:rPr>
        <w:tab/>
      </w:r>
      <w:r>
        <w:rPr>
          <w:rFonts w:ascii="Arial" w:cs="Arial" w:eastAsia="Arial" w:hAnsi="Arial"/>
          <w:sz w:val="14"/>
          <w:szCs w:val="14"/>
          <w:b w:val="1"/>
          <w:bCs w:val="1"/>
          <w:u w:val="single" w:color="auto"/>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-3175</wp:posOffset>
            </wp:positionV>
            <wp:extent cx="291465"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291465" cy="8890"/>
                    </a:xfrm>
                    <a:prstGeom prst="rect">
                      <a:avLst/>
                    </a:prstGeom>
                    <a:noFill/>
                  </pic:spPr>
                </pic:pic>
              </a:graphicData>
            </a:graphic>
          </wp:anchor>
        </w:drawing>
      </w:r>
    </w:p>
    <w:p>
      <w:pPr>
        <w:spacing w:after="0" w:line="81" w:lineRule="exact"/>
        <w:rPr>
          <w:sz w:val="20"/>
          <w:szCs w:val="20"/>
          <w:color w:val="auto"/>
        </w:rPr>
      </w:pPr>
    </w:p>
    <w:p>
      <w:pPr>
        <w:spacing w:after="0"/>
        <w:tabs>
          <w:tab w:leader="none" w:pos="100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6"/>
          <w:szCs w:val="16"/>
          <w:color w:val="auto"/>
        </w:rPr>
        <w:t>Press Release dated April 5, 2016</w:t>
      </w:r>
    </w:p>
    <w:p>
      <w:pPr>
        <w:sectPr>
          <w:pgSz w:w="11900" w:h="16838" w:orient="portrait"/>
          <w:cols w:equalWidth="0" w:num="1">
            <w:col w:w="10219"/>
          </w:cols>
          <w:pgMar w:left="240" w:top="270" w:right="1440" w:bottom="1440" w:gutter="0" w:footer="0" w:header="0"/>
        </w:sectPr>
      </w:pPr>
    </w:p>
    <w:bookmarkStart w:id="5" w:name="page6"/>
    <w:bookmarkEnd w:id="5"/>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5424805</wp:posOffset>
            </wp:positionH>
            <wp:positionV relativeFrom="paragraph">
              <wp:posOffset>180340</wp:posOffset>
            </wp:positionV>
            <wp:extent cx="1826895" cy="17145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826895" cy="1714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59"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422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1660" w:type="dxa"/>
            <w:vAlign w:val="bottom"/>
          </w:tcPr>
          <w:p>
            <w:pPr>
              <w:spacing w:after="0"/>
              <w:rPr>
                <w:sz w:val="19"/>
                <w:szCs w:val="19"/>
                <w:color w:val="auto"/>
              </w:rPr>
            </w:pPr>
          </w:p>
        </w:tc>
        <w:tc>
          <w:tcPr>
            <w:tcW w:w="1600" w:type="dxa"/>
            <w:vAlign w:val="bottom"/>
          </w:tcPr>
          <w:p>
            <w:pPr>
              <w:spacing w:after="0"/>
              <w:rPr>
                <w:sz w:val="19"/>
                <w:szCs w:val="19"/>
                <w:color w:val="auto"/>
              </w:rPr>
            </w:pPr>
          </w:p>
        </w:tc>
      </w:tr>
      <w:tr>
        <w:trPr>
          <w:trHeight w:val="216"/>
        </w:trPr>
        <w:tc>
          <w:tcPr>
            <w:tcW w:w="4220" w:type="dxa"/>
            <w:vAlign w:val="bottom"/>
            <w:gridSpan w:val="2"/>
          </w:tcPr>
          <w:p>
            <w:pPr>
              <w:spacing w:after="0"/>
              <w:rPr>
                <w:sz w:val="20"/>
                <w:szCs w:val="20"/>
                <w:color w:val="auto"/>
              </w:rPr>
            </w:pPr>
            <w:r>
              <w:rPr>
                <w:rFonts w:ascii="Arial" w:cs="Arial" w:eastAsia="Arial" w:hAnsi="Arial"/>
                <w:sz w:val="18"/>
                <w:szCs w:val="18"/>
                <w:color w:val="auto"/>
              </w:rPr>
              <w:t>John Spencer Ahn</w:t>
            </w:r>
          </w:p>
        </w:tc>
        <w:tc>
          <w:tcPr>
            <w:tcW w:w="3260" w:type="dxa"/>
            <w:vAlign w:val="bottom"/>
            <w:gridSpan w:val="2"/>
          </w:tcPr>
          <w:p>
            <w:pPr>
              <w:ind w:left="1660"/>
              <w:spacing w:after="0"/>
              <w:rPr>
                <w:sz w:val="20"/>
                <w:szCs w:val="20"/>
                <w:color w:val="auto"/>
              </w:rPr>
            </w:pPr>
            <w:r>
              <w:rPr>
                <w:rFonts w:ascii="Arial" w:cs="Arial" w:eastAsia="Arial" w:hAnsi="Arial"/>
                <w:sz w:val="18"/>
                <w:szCs w:val="18"/>
                <w:color w:val="auto"/>
              </w:rPr>
              <w:t>Sue Kim</w:t>
            </w:r>
          </w:p>
        </w:tc>
      </w:tr>
      <w:tr>
        <w:trPr>
          <w:trHeight w:val="216"/>
        </w:trPr>
        <w:tc>
          <w:tcPr>
            <w:tcW w:w="422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3260" w:type="dxa"/>
            <w:vAlign w:val="bottom"/>
            <w:gridSpan w:val="2"/>
          </w:tcPr>
          <w:p>
            <w:pPr>
              <w:ind w:left="1660"/>
              <w:spacing w:after="0"/>
              <w:rPr>
                <w:sz w:val="20"/>
                <w:szCs w:val="20"/>
                <w:color w:val="auto"/>
              </w:rPr>
            </w:pPr>
            <w:r>
              <w:rPr>
                <w:rFonts w:ascii="Arial" w:cs="Arial" w:eastAsia="Arial" w:hAnsi="Arial"/>
                <w:sz w:val="18"/>
                <w:szCs w:val="18"/>
                <w:color w:val="auto"/>
              </w:rPr>
              <w:t>Media Relations</w:t>
            </w:r>
          </w:p>
        </w:tc>
      </w:t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408-222-7544</w:t>
            </w:r>
          </w:p>
        </w:tc>
        <w:tc>
          <w:tcPr>
            <w:tcW w:w="2560" w:type="dxa"/>
            <w:vAlign w:val="bottom"/>
          </w:tcPr>
          <w:p>
            <w:pPr>
              <w:spacing w:after="0"/>
              <w:rPr>
                <w:sz w:val="18"/>
                <w:szCs w:val="18"/>
                <w:color w:val="auto"/>
              </w:rPr>
            </w:pPr>
          </w:p>
        </w:tc>
        <w:tc>
          <w:tcPr>
            <w:tcW w:w="3260" w:type="dxa"/>
            <w:vAlign w:val="bottom"/>
            <w:gridSpan w:val="2"/>
          </w:tcPr>
          <w:p>
            <w:pPr>
              <w:ind w:left="1660"/>
              <w:spacing w:after="0"/>
              <w:rPr>
                <w:sz w:val="20"/>
                <w:szCs w:val="20"/>
                <w:color w:val="auto"/>
              </w:rPr>
            </w:pPr>
            <w:r>
              <w:rPr>
                <w:rFonts w:ascii="Arial" w:cs="Arial" w:eastAsia="Arial" w:hAnsi="Arial"/>
                <w:sz w:val="18"/>
                <w:szCs w:val="18"/>
                <w:color w:val="auto"/>
              </w:rPr>
              <w:t>408-222-1942</w:t>
            </w:r>
          </w:p>
        </w:tc>
      </w:tr>
      <w:tr>
        <w:trPr>
          <w:trHeight w:val="190"/>
        </w:trPr>
        <w:tc>
          <w:tcPr>
            <w:tcW w:w="166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1"/>
              </w:rPr>
              <w:t>johnahn@marvell.com</w:t>
            </w:r>
          </w:p>
        </w:tc>
        <w:tc>
          <w:tcPr>
            <w:tcW w:w="2560" w:type="dxa"/>
            <w:vAlign w:val="bottom"/>
          </w:tcPr>
          <w:p>
            <w:pPr>
              <w:spacing w:after="0"/>
              <w:rPr>
                <w:sz w:val="16"/>
                <w:szCs w:val="16"/>
                <w:color w:val="auto"/>
              </w:rPr>
            </w:pPr>
          </w:p>
        </w:tc>
        <w:tc>
          <w:tcPr>
            <w:tcW w:w="1660" w:type="dxa"/>
            <w:vAlign w:val="bottom"/>
          </w:tcPr>
          <w:p>
            <w:pPr>
              <w:spacing w:after="0"/>
              <w:rPr>
                <w:sz w:val="16"/>
                <w:szCs w:val="16"/>
                <w:color w:val="auto"/>
              </w:rPr>
            </w:pPr>
          </w:p>
        </w:tc>
        <w:tc>
          <w:tcPr>
            <w:tcW w:w="160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1"/>
              </w:rPr>
              <w:t>suekim@marvell.com</w:t>
            </w:r>
          </w:p>
        </w:tc>
      </w:tr>
    </w:tbl>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Announces Senior Leadership Transition</w:t>
      </w:r>
    </w:p>
    <w:p>
      <w:pPr>
        <w:spacing w:after="0" w:line="22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CEO Sehat Sutardja and President Weili Dai Depart from</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Management Positions, Effective Immediately</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Board Forms Interim Office of the Chief Executive to Lead</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Company until Replacements are Appointed</w:t>
      </w:r>
    </w:p>
    <w:p>
      <w:pPr>
        <w:spacing w:after="0" w:line="207" w:lineRule="exact"/>
        <w:rPr>
          <w:sz w:val="20"/>
          <w:szCs w:val="20"/>
          <w:color w:val="auto"/>
        </w:rPr>
      </w:pPr>
    </w:p>
    <w:p>
      <w:pPr>
        <w:ind w:right="80"/>
        <w:spacing w:after="0" w:line="261" w:lineRule="auto"/>
        <w:rPr>
          <w:sz w:val="20"/>
          <w:szCs w:val="20"/>
          <w:color w:val="auto"/>
        </w:rPr>
      </w:pPr>
      <w:r>
        <w:rPr>
          <w:rFonts w:ascii="Arial" w:cs="Arial" w:eastAsia="Arial" w:hAnsi="Arial"/>
          <w:sz w:val="18"/>
          <w:szCs w:val="18"/>
          <w:b w:val="1"/>
          <w:bCs w:val="1"/>
          <w:color w:val="auto"/>
        </w:rPr>
        <w:t xml:space="preserve">Santa Clara, Calif. (April 5, 2016) </w:t>
      </w:r>
      <w:r>
        <w:rPr>
          <w:rFonts w:ascii="Arial" w:cs="Arial" w:eastAsia="Arial" w:hAnsi="Arial"/>
          <w:sz w:val="18"/>
          <w:szCs w:val="18"/>
          <w:color w:val="auto"/>
        </w:rPr>
        <w:t>— Marvell Technology Group Ltd. (NASDAQ: MRVL), a global leader in integrated silicon solutions, today announced</w:t>
      </w:r>
      <w:r>
        <w:rPr>
          <w:rFonts w:ascii="Arial" w:cs="Arial" w:eastAsia="Arial" w:hAnsi="Arial"/>
          <w:sz w:val="18"/>
          <w:szCs w:val="18"/>
          <w:b w:val="1"/>
          <w:bCs w:val="1"/>
          <w:color w:val="auto"/>
        </w:rPr>
        <w:t xml:space="preserve"> </w:t>
      </w:r>
      <w:r>
        <w:rPr>
          <w:rFonts w:ascii="Arial" w:cs="Arial" w:eastAsia="Arial" w:hAnsi="Arial"/>
          <w:sz w:val="18"/>
          <w:szCs w:val="18"/>
          <w:color w:val="auto"/>
        </w:rPr>
        <w:t>the departure of Chief Executive Officer Sehat Sutardja and President Weili Dai from their management positions, effective immediately. Dr. Sutardja and Ms. Dai will remain on the Board of Directors, with Dr. Sutardja continuing as Chairman. The Board, in conjunction with a leading executive search firm, will conduct a search for a new CEO and President.</w:t>
      </w:r>
    </w:p>
    <w:p>
      <w:pPr>
        <w:spacing w:after="0" w:line="184" w:lineRule="exact"/>
        <w:rPr>
          <w:sz w:val="20"/>
          <w:szCs w:val="20"/>
          <w:color w:val="auto"/>
        </w:rPr>
      </w:pPr>
    </w:p>
    <w:p>
      <w:pPr>
        <w:ind w:right="300"/>
        <w:spacing w:after="0" w:line="259" w:lineRule="auto"/>
        <w:rPr>
          <w:sz w:val="20"/>
          <w:szCs w:val="20"/>
          <w:color w:val="auto"/>
        </w:rPr>
      </w:pPr>
      <w:r>
        <w:rPr>
          <w:rFonts w:ascii="Arial" w:cs="Arial" w:eastAsia="Arial" w:hAnsi="Arial"/>
          <w:sz w:val="18"/>
          <w:szCs w:val="18"/>
          <w:color w:val="auto"/>
        </w:rPr>
        <w:t>The Board has formed an Interim Office of the Chief Executive to oversee day-to-day leadership of the Company’s operations. The Interim Office of the Chief Executive will be headed by Ms. Maya Strelar-Migotti, Executive Vice President, Smart Networked Devices and Solutions (SNDS) Business Group and Dr. Pantelis Alexopoulos, Executive Vice President of the Storage Business Group, as Interim Co-Chief Executive Officers. Each has the authority to exercise all powers of the Chief Executive Officer.</w:t>
      </w:r>
    </w:p>
    <w:p>
      <w:pPr>
        <w:spacing w:after="0" w:line="187" w:lineRule="exact"/>
        <w:rPr>
          <w:sz w:val="20"/>
          <w:szCs w:val="20"/>
          <w:color w:val="auto"/>
        </w:rPr>
      </w:pPr>
    </w:p>
    <w:p>
      <w:pPr>
        <w:ind w:right="20"/>
        <w:spacing w:after="0" w:line="308" w:lineRule="auto"/>
        <w:rPr>
          <w:sz w:val="20"/>
          <w:szCs w:val="20"/>
          <w:color w:val="auto"/>
        </w:rPr>
      </w:pPr>
      <w:r>
        <w:rPr>
          <w:rFonts w:ascii="Arial" w:cs="Arial" w:eastAsia="Arial" w:hAnsi="Arial"/>
          <w:sz w:val="17"/>
          <w:szCs w:val="17"/>
          <w:color w:val="auto"/>
        </w:rPr>
        <w:t>The other members of the Interim Office of the Chief Executive include Dr. Zining Wu, Chief Technology Officer; Mr. David Eichler, Interim Chief Financial Officer; Mr. Tom Savage, Senior Vice President and General Counsel; and Mr. William Valle, Vice President, Global Human Resources.</w:t>
      </w:r>
    </w:p>
    <w:p>
      <w:pPr>
        <w:spacing w:after="0" w:line="147"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color w:val="auto"/>
        </w:rPr>
        <w:t>Arturo Krueger, Marvell’s lead outside director, said, “The Board would like to thank Sehat and Weili for their enormous contributions and service since they founded Marvell in 1995. Marvell has revolutionized the world</w:t>
      </w:r>
    </w:p>
    <w:p>
      <w:pPr>
        <w:sectPr>
          <w:pgSz w:w="11900" w:h="16838" w:orient="portrait"/>
          <w:cols w:equalWidth="0" w:num="1">
            <w:col w:w="11420"/>
          </w:cols>
          <w:pgMar w:left="240" w:top="121" w:right="239" w:bottom="1440" w:gutter="0" w:footer="0" w:header="0"/>
        </w:sectPr>
      </w:pPr>
    </w:p>
    <w:bookmarkStart w:id="6" w:name="page7"/>
    <w:bookmarkEnd w:id="6"/>
    <w:p>
      <w:pPr>
        <w:ind w:right="60"/>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through its innovative technology and breakthrough designs in the semiconductor industry. However, the Board believes that the time has come to move in a new leadership direction. The Company’s highest priority is to leverage Marvell’s strong core business and technology to drive the next stage of product innovation and profitable growth. The Board has full confidence in the proven ability of Maya and Pantelis, together with the other members of the Interim Office of the Chief Executive and all of Marvell’s employees, to continue providing world-class research and development and customer support during this time of transition. We look forward to demonstrating our continuing commitment to excellence in our products and service, as well as to creating value for our shareholders.”</w:t>
      </w:r>
    </w:p>
    <w:p>
      <w:pPr>
        <w:spacing w:after="0" w:line="193"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On February 22, 2016, the Audit Committee approved the engagement of Deloitte &amp; Touche LLP as the Company’s new independent public accounting firm. On March 1, 2016, the Company reported the results of the Audit Committee’s independent investigation of certain accounting and internal control matters. With these two key matters completed, the Company is working diligently to complete the preparation and filing of its Annual Report on Form 10-K for fiscal 2016 and its Quarterly Reports on Form 10-Q for the second and third quarters of fiscal 2016 as soon as practicable. As previously announced, a search for a permanent Chief Financial Officer and additional independent board members is underway with the assistance of an international executive search firm.</w:t>
      </w:r>
    </w:p>
    <w:p>
      <w:pPr>
        <w:spacing w:after="0" w:line="126"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40"/>
          </w:cols>
          <w:pgMar w:left="240" w:top="274" w:right="31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Forward-Looking Statements under the Private Securities Litigation Reform Act of 1995</w:t>
      </w:r>
    </w:p>
    <w:p>
      <w:pPr>
        <w:spacing w:after="0" w:line="121" w:lineRule="exact"/>
        <w:rPr>
          <w:sz w:val="20"/>
          <w:szCs w:val="20"/>
          <w:color w:val="auto"/>
        </w:rPr>
      </w:pPr>
    </w:p>
    <w:p>
      <w:pPr>
        <w:ind w:right="20"/>
        <w:spacing w:after="0" w:line="269" w:lineRule="auto"/>
        <w:rPr>
          <w:sz w:val="20"/>
          <w:szCs w:val="20"/>
          <w:color w:val="auto"/>
        </w:rPr>
      </w:pPr>
      <w:r>
        <w:rPr>
          <w:rFonts w:ascii="Arial" w:cs="Arial" w:eastAsia="Arial" w:hAnsi="Arial"/>
          <w:sz w:val="17"/>
          <w:szCs w:val="17"/>
          <w:color w:val="auto"/>
        </w:rPr>
        <w:t>This press release contains forward-looking statements within the meaning of the federal securities laws that involve risks and uncertainties. Words such as “anticipates,” “expects,” “intends,” “plans,” “believes,” “seeks,” “estimates,” “can,” “will”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among others: the interim performance of Interim Office of the Chief Executive; Marvell’s ability to recruit new executive leadership in a timely manner and, if they are recruited, their performance, the timing of Marvell’s regaining of compliance with its SEC reporting obligations, any matters arising out of the review and audit of Marvell’s financial statements by Marvell’s new independent registered public accounting firm, the results of further review by the Audit Committee of certain matters that came to the Audit Committee’s attention during the course of its now-completed investigation, adverse impact of litigation or regulatory activities, and other risks detailed in Marvell’s SEC filings from time to time. For other factors that could cause Marvell’s results to vary from expectations, please see the risk factors identified in the Marvell’s latest Annual Report on Form 10-K for the year ended January 31, 2015 and its latest Quarterly Report on Form 10-Q for the quarter ended May 2, 2015 as filed with the SEC, and other factors detailed from time to time in Marvell’s filings with the SEC. Marvell undertakes no obligation to revise or update publicly any forward-looking statements.</w:t>
      </w:r>
    </w:p>
    <w:p>
      <w:pPr>
        <w:spacing w:after="0" w:line="2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Marvell (NASDAQ: MRVL) is a global leader in providing complete silicon solutions and Kinoma software enabling the “Smart Life and Smart Lifestyle.” From storage to Internet of Things (IoT), cloud infrastructure, digital entertainment and in-home content delivery,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193" w:lineRule="exact"/>
        <w:rPr>
          <w:sz w:val="20"/>
          <w:szCs w:val="20"/>
          <w:color w:val="auto"/>
        </w:rPr>
      </w:pPr>
    </w:p>
    <w:p>
      <w:pPr>
        <w:ind w:right="1380"/>
        <w:spacing w:after="0" w:line="277" w:lineRule="auto"/>
        <w:rPr>
          <w:sz w:val="20"/>
          <w:szCs w:val="20"/>
          <w:color w:val="auto"/>
        </w:rPr>
      </w:pPr>
      <w:r>
        <w:rPr>
          <w:rFonts w:ascii="Arial" w:cs="Arial" w:eastAsia="Arial" w:hAnsi="Arial"/>
          <w:sz w:val="18"/>
          <w:szCs w:val="18"/>
          <w:color w:val="auto"/>
        </w:rPr>
        <w:t>As used in this release, the term “Marvell” refers to Marvell Technology Group Ltd. and its subsidiaries. For more information, please visit www.Marvell.com.</w:t>
      </w:r>
    </w:p>
    <w:p>
      <w:pPr>
        <w:spacing w:after="0" w:line="1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70" w:right="259" w:bottom="1440" w:gutter="0" w:footer="0" w:header="0"/>
        </w:sectPr>
      </w:pPr>
    </w:p>
    <w:bookmarkStart w:id="8" w:name="page9"/>
    <w:bookmarkEnd w:id="8"/>
    <w:p>
      <w:pPr>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Marvell, the M logo, ARMADA, Avastar and Kinoma are registered trademarks of Marvell and/or its affiliates. Other names and brands may be claimed as the property of others.</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4</w:t>
      </w:r>
    </w:p>
    <w:sectPr>
      <w:pgSz w:w="11900" w:h="16838" w:orient="portrait"/>
      <w:cols w:equalWidth="0" w:num="1">
        <w:col w:w="11200"/>
      </w:cols>
      <w:pgMar w:left="240" w:top="274" w:right="4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2"/>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jpe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2019-12-06T21:43:06Z</dcterms:created>
  <dcterms:modified xsi:type="dcterms:W3CDTF">2019-12-06T21:43:06Z</dcterms:modified>
</cp:coreProperties>
</file>