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May 18, 2016</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tabs>
          <w:tab w:leader="none" w:pos="136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Marvell Technology Group Ltd. (“Marvell”) today announced that it had declared the payment of its quarterly dividend of $0.06 per share to be paid on July 12, 2016 to all shareholders of record as of June 14, 2016. The payment of future quarterly cash dividends is subject to, among other things, the best interests of Marvell’s shareholders, its results of operations, cash balances and future cash requirements, financial condition, developments in ongoing litigation, statutory requirements of Bermuda law, and other factors that the board of directors may deem relevant.</w:t>
      </w:r>
    </w:p>
    <w:p>
      <w:pPr>
        <w:spacing w:after="0" w:line="316" w:lineRule="exact"/>
        <w:rPr>
          <w:sz w:val="20"/>
          <w:szCs w:val="20"/>
          <w:color w:val="auto"/>
        </w:rPr>
      </w:pPr>
    </w:p>
    <w:p>
      <w:pPr>
        <w:spacing w:after="0"/>
        <w:tabs>
          <w:tab w:leader="none" w:pos="13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 Exhibits.</w:t>
      </w:r>
    </w:p>
    <w:p>
      <w:pPr>
        <w:spacing w:after="0" w:line="256" w:lineRule="exact"/>
        <w:rPr>
          <w:sz w:val="20"/>
          <w:szCs w:val="20"/>
          <w:color w:val="auto"/>
        </w:rPr>
      </w:pPr>
    </w:p>
    <w:p>
      <w:pPr>
        <w:spacing w:after="0"/>
        <w:tabs>
          <w:tab w:leader="none" w:pos="6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18, 2016</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80"/>
          </w:cols>
          <w:pgMar w:left="240" w:top="270" w:right="27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May 18, 2016</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David Eichler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David Eichler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48"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Exhibit</w:t>
      </w:r>
    </w:p>
    <w:p>
      <w:pPr>
        <w:spacing w:after="0" w:line="4" w:lineRule="exact"/>
        <w:rPr>
          <w:sz w:val="20"/>
          <w:szCs w:val="20"/>
          <w:color w:val="auto"/>
        </w:rPr>
      </w:pPr>
    </w:p>
    <w:p>
      <w:pPr>
        <w:ind w:left="140"/>
        <w:spacing w:after="0"/>
        <w:tabs>
          <w:tab w:leader="none" w:pos="1000" w:val="left"/>
        </w:tabs>
        <w:rPr>
          <w:sz w:val="20"/>
          <w:szCs w:val="20"/>
          <w:color w:val="auto"/>
        </w:rPr>
      </w:pPr>
      <w:r>
        <w:rPr>
          <w:rFonts w:ascii="Arial" w:cs="Arial" w:eastAsia="Arial" w:hAnsi="Arial"/>
          <w:sz w:val="14"/>
          <w:szCs w:val="14"/>
          <w:b w:val="1"/>
          <w:bCs w:val="1"/>
          <w:color w:val="auto"/>
        </w:rPr>
        <w:t>No.</w:t>
      </w:r>
      <w:r>
        <w:rPr>
          <w:sz w:val="20"/>
          <w:szCs w:val="20"/>
          <w:color w:val="auto"/>
        </w:rPr>
        <w:tab/>
      </w:r>
      <w:r>
        <w:rPr>
          <w:rFonts w:ascii="Arial" w:cs="Arial" w:eastAsia="Arial" w:hAnsi="Arial"/>
          <w:sz w:val="14"/>
          <w:szCs w:val="14"/>
          <w:b w:val="1"/>
          <w:bCs w:val="1"/>
          <w:u w:val="single" w:color="auto"/>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-3175</wp:posOffset>
            </wp:positionV>
            <wp:extent cx="29146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291465" cy="8890"/>
                    </a:xfrm>
                    <a:prstGeom prst="rect">
                      <a:avLst/>
                    </a:prstGeom>
                    <a:noFill/>
                  </pic:spPr>
                </pic:pic>
              </a:graphicData>
            </a:graphic>
          </wp:anchor>
        </w:drawing>
      </w:r>
    </w:p>
    <w:p>
      <w:pPr>
        <w:spacing w:after="0" w:line="81"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May 18, 2016</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5459095</wp:posOffset>
            </wp:positionH>
            <wp:positionV relativeFrom="paragraph">
              <wp:posOffset>180340</wp:posOffset>
            </wp:positionV>
            <wp:extent cx="1792605" cy="13716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792605"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tbl>
      <w:tblPr>
        <w:tblLayout w:type="fixed"/>
        <w:tblInd w:w="0" w:type="dxa"/>
        <w:tblCellMar>
          <w:top w:w="0" w:type="dxa"/>
          <w:left w:w="0" w:type="dxa"/>
          <w:bottom w:w="0" w:type="dxa"/>
          <w:right w:w="0" w:type="dxa"/>
        </w:tblCellMar>
      </w:tblPr>
      <w:tr>
        <w:trPr>
          <w:trHeight w:val="220"/>
        </w:trPr>
        <w:tc>
          <w:tcPr>
            <w:tcW w:w="2780" w:type="dxa"/>
            <w:vAlign w:val="bottom"/>
            <w:gridSpan w:val="2"/>
          </w:tcPr>
          <w:p>
            <w:pPr>
              <w:spacing w:after="0"/>
              <w:rPr>
                <w:sz w:val="20"/>
                <w:szCs w:val="20"/>
                <w:color w:val="auto"/>
              </w:rPr>
            </w:pPr>
            <w:r>
              <w:rPr>
                <w:rFonts w:ascii="Arial" w:cs="Arial" w:eastAsia="Arial" w:hAnsi="Arial"/>
                <w:sz w:val="18"/>
                <w:szCs w:val="18"/>
                <w:b w:val="1"/>
                <w:bCs w:val="1"/>
                <w:color w:val="auto"/>
                <w:w w:val="99"/>
              </w:rPr>
              <w:t>For further information, contact:</w:t>
            </w:r>
          </w:p>
        </w:tc>
        <w:tc>
          <w:tcPr>
            <w:tcW w:w="3100" w:type="dxa"/>
            <w:vAlign w:val="bottom"/>
          </w:tcPr>
          <w:p>
            <w:pPr>
              <w:spacing w:after="0"/>
              <w:rPr>
                <w:sz w:val="19"/>
                <w:szCs w:val="19"/>
                <w:color w:val="auto"/>
              </w:rPr>
            </w:pPr>
          </w:p>
        </w:tc>
        <w:tc>
          <w:tcPr>
            <w:tcW w:w="1600" w:type="dxa"/>
            <w:vAlign w:val="bottom"/>
          </w:tcPr>
          <w:p>
            <w:pPr>
              <w:spacing w:after="0"/>
              <w:rPr>
                <w:sz w:val="19"/>
                <w:szCs w:val="19"/>
                <w:color w:val="auto"/>
              </w:rPr>
            </w:pPr>
          </w:p>
        </w:tc>
        <w:tc>
          <w:tcPr>
            <w:tcW w:w="960" w:type="dxa"/>
            <w:vAlign w:val="bottom"/>
          </w:tcPr>
          <w:p>
            <w:pPr>
              <w:spacing w:after="0"/>
              <w:rPr>
                <w:sz w:val="19"/>
                <w:szCs w:val="19"/>
                <w:color w:val="auto"/>
              </w:rPr>
            </w:pP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John Spencer Ahn</w:t>
            </w:r>
          </w:p>
        </w:tc>
        <w:tc>
          <w:tcPr>
            <w:tcW w:w="5660" w:type="dxa"/>
            <w:vAlign w:val="bottom"/>
            <w:gridSpan w:val="3"/>
          </w:tcPr>
          <w:p>
            <w:pPr>
              <w:ind w:left="3100"/>
              <w:spacing w:after="0"/>
              <w:rPr>
                <w:sz w:val="20"/>
                <w:szCs w:val="20"/>
                <w:color w:val="auto"/>
              </w:rPr>
            </w:pPr>
            <w:r>
              <w:rPr>
                <w:rFonts w:ascii="Arial" w:cs="Arial" w:eastAsia="Arial" w:hAnsi="Arial"/>
                <w:sz w:val="18"/>
                <w:szCs w:val="18"/>
                <w:color w:val="auto"/>
              </w:rPr>
              <w:t>Sue Kim</w:t>
            </w:r>
          </w:p>
        </w:tc>
      </w:tr>
      <w:tr>
        <w:trPr>
          <w:trHeight w:val="216"/>
        </w:trPr>
        <w:tc>
          <w:tcPr>
            <w:tcW w:w="2780" w:type="dxa"/>
            <w:vAlign w:val="bottom"/>
            <w:gridSpan w:val="2"/>
          </w:tcPr>
          <w:p>
            <w:pPr>
              <w:spacing w:after="0"/>
              <w:rPr>
                <w:sz w:val="20"/>
                <w:szCs w:val="20"/>
                <w:color w:val="auto"/>
              </w:rPr>
            </w:pPr>
            <w:r>
              <w:rPr>
                <w:rFonts w:ascii="Arial" w:cs="Arial" w:eastAsia="Arial" w:hAnsi="Arial"/>
                <w:sz w:val="18"/>
                <w:szCs w:val="18"/>
                <w:color w:val="auto"/>
              </w:rPr>
              <w:t>Investor Relations</w:t>
            </w:r>
          </w:p>
        </w:tc>
        <w:tc>
          <w:tcPr>
            <w:tcW w:w="5660" w:type="dxa"/>
            <w:vAlign w:val="bottom"/>
            <w:gridSpan w:val="3"/>
          </w:tcPr>
          <w:p>
            <w:pPr>
              <w:ind w:left="3100"/>
              <w:spacing w:after="0"/>
              <w:rPr>
                <w:sz w:val="20"/>
                <w:szCs w:val="20"/>
                <w:color w:val="auto"/>
              </w:rPr>
            </w:pPr>
            <w:r>
              <w:rPr>
                <w:rFonts w:ascii="Arial" w:cs="Arial" w:eastAsia="Arial" w:hAnsi="Arial"/>
                <w:sz w:val="18"/>
                <w:szCs w:val="18"/>
                <w:color w:val="auto"/>
              </w:rPr>
              <w:t>Media Relations</w:t>
            </w:r>
          </w:p>
        </w:tc>
      </w:tr>
      <w:tr>
        <w:trPr>
          <w:trHeight w:val="216"/>
        </w:trPr>
        <w:tc>
          <w:tcPr>
            <w:tcW w:w="1660" w:type="dxa"/>
            <w:vAlign w:val="bottom"/>
          </w:tcPr>
          <w:p>
            <w:pPr>
              <w:spacing w:after="0"/>
              <w:rPr>
                <w:sz w:val="20"/>
                <w:szCs w:val="20"/>
                <w:color w:val="auto"/>
              </w:rPr>
            </w:pPr>
            <w:r>
              <w:rPr>
                <w:rFonts w:ascii="Arial" w:cs="Arial" w:eastAsia="Arial" w:hAnsi="Arial"/>
                <w:sz w:val="18"/>
                <w:szCs w:val="18"/>
                <w:color w:val="auto"/>
              </w:rPr>
              <w:t>408-222-7544</w:t>
            </w:r>
          </w:p>
        </w:tc>
        <w:tc>
          <w:tcPr>
            <w:tcW w:w="1120" w:type="dxa"/>
            <w:vAlign w:val="bottom"/>
          </w:tcPr>
          <w:p>
            <w:pPr>
              <w:spacing w:after="0"/>
              <w:rPr>
                <w:sz w:val="18"/>
                <w:szCs w:val="18"/>
                <w:color w:val="auto"/>
              </w:rPr>
            </w:pPr>
          </w:p>
        </w:tc>
        <w:tc>
          <w:tcPr>
            <w:tcW w:w="4700" w:type="dxa"/>
            <w:vAlign w:val="bottom"/>
            <w:gridSpan w:val="2"/>
          </w:tcPr>
          <w:p>
            <w:pPr>
              <w:ind w:left="3100"/>
              <w:spacing w:after="0"/>
              <w:rPr>
                <w:sz w:val="20"/>
                <w:szCs w:val="20"/>
                <w:color w:val="auto"/>
              </w:rPr>
            </w:pPr>
            <w:r>
              <w:rPr>
                <w:rFonts w:ascii="Arial" w:cs="Arial" w:eastAsia="Arial" w:hAnsi="Arial"/>
                <w:sz w:val="18"/>
                <w:szCs w:val="18"/>
                <w:color w:val="auto"/>
              </w:rPr>
              <w:t>408-222-1942</w:t>
            </w:r>
          </w:p>
        </w:tc>
        <w:tc>
          <w:tcPr>
            <w:tcW w:w="960" w:type="dxa"/>
            <w:vAlign w:val="bottom"/>
          </w:tcPr>
          <w:p>
            <w:pPr>
              <w:spacing w:after="0"/>
              <w:rPr>
                <w:sz w:val="18"/>
                <w:szCs w:val="18"/>
                <w:color w:val="auto"/>
              </w:rPr>
            </w:pPr>
          </w:p>
        </w:tc>
      </w:tr>
      <w:tr>
        <w:trPr>
          <w:trHeight w:val="190"/>
        </w:trPr>
        <w:tc>
          <w:tcPr>
            <w:tcW w:w="16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johnahn@marvell.com</w:t>
            </w:r>
          </w:p>
        </w:tc>
        <w:tc>
          <w:tcPr>
            <w:tcW w:w="1120" w:type="dxa"/>
            <w:vAlign w:val="bottom"/>
          </w:tcPr>
          <w:p>
            <w:pPr>
              <w:spacing w:after="0"/>
              <w:rPr>
                <w:sz w:val="16"/>
                <w:szCs w:val="16"/>
                <w:color w:val="auto"/>
              </w:rPr>
            </w:pPr>
          </w:p>
        </w:tc>
        <w:tc>
          <w:tcPr>
            <w:tcW w:w="3100" w:type="dxa"/>
            <w:vAlign w:val="bottom"/>
          </w:tcPr>
          <w:p>
            <w:pPr>
              <w:spacing w:after="0"/>
              <w:rPr>
                <w:sz w:val="16"/>
                <w:szCs w:val="16"/>
                <w:color w:val="auto"/>
              </w:rPr>
            </w:pPr>
          </w:p>
        </w:tc>
        <w:tc>
          <w:tcPr>
            <w:tcW w:w="160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suekim@marvell.com</w:t>
            </w:r>
          </w:p>
        </w:tc>
        <w:tc>
          <w:tcPr>
            <w:tcW w:w="960" w:type="dxa"/>
            <w:vAlign w:val="bottom"/>
          </w:tcPr>
          <w:p>
            <w:pPr>
              <w:spacing w:after="0"/>
              <w:rPr>
                <w:sz w:val="16"/>
                <w:szCs w:val="16"/>
                <w:color w:val="auto"/>
              </w:rPr>
            </w:pPr>
          </w:p>
        </w:tc>
      </w:tr>
      <w:tr>
        <w:trPr>
          <w:trHeight w:val="453"/>
        </w:trPr>
        <w:tc>
          <w:tcPr>
            <w:tcW w:w="16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660" w:type="dxa"/>
            <w:vAlign w:val="bottom"/>
            <w:gridSpan w:val="3"/>
          </w:tcPr>
          <w:p>
            <w:pPr>
              <w:ind w:left="220"/>
              <w:spacing w:after="0"/>
              <w:rPr>
                <w:sz w:val="20"/>
                <w:szCs w:val="20"/>
                <w:color w:val="auto"/>
              </w:rPr>
            </w:pPr>
            <w:r>
              <w:rPr>
                <w:rFonts w:ascii="Arial" w:cs="Arial" w:eastAsia="Arial" w:hAnsi="Arial"/>
                <w:sz w:val="18"/>
                <w:szCs w:val="18"/>
                <w:b w:val="1"/>
                <w:bCs w:val="1"/>
                <w:color w:val="auto"/>
                <w:w w:val="91"/>
              </w:rPr>
              <w:t>Marvell Technology Group Ltd. Declares Quarterly Dividend Payment</w:t>
            </w:r>
          </w:p>
        </w:tc>
      </w:tr>
    </w:tbl>
    <w:p>
      <w:pPr>
        <w:spacing w:after="0" w:line="198" w:lineRule="exact"/>
        <w:rPr>
          <w:sz w:val="20"/>
          <w:szCs w:val="20"/>
          <w:color w:val="auto"/>
        </w:rPr>
      </w:pPr>
    </w:p>
    <w:p>
      <w:pPr>
        <w:jc w:val="both"/>
        <w:ind w:right="60"/>
        <w:spacing w:after="0" w:line="266" w:lineRule="auto"/>
        <w:rPr>
          <w:sz w:val="20"/>
          <w:szCs w:val="20"/>
          <w:color w:val="auto"/>
        </w:rPr>
      </w:pPr>
      <w:r>
        <w:rPr>
          <w:rFonts w:ascii="Arial" w:cs="Arial" w:eastAsia="Arial" w:hAnsi="Arial"/>
          <w:sz w:val="18"/>
          <w:szCs w:val="18"/>
          <w:b w:val="1"/>
          <w:bCs w:val="1"/>
          <w:color w:val="auto"/>
        </w:rPr>
        <w:t xml:space="preserve">Santa Clara, Calif. (May 18, 2016) </w:t>
      </w:r>
      <w:r>
        <w:rPr>
          <w:rFonts w:ascii="Arial" w:cs="Arial" w:eastAsia="Arial" w:hAnsi="Arial"/>
          <w:sz w:val="18"/>
          <w:szCs w:val="18"/>
          <w:color w:val="auto"/>
        </w:rPr>
        <w:t>— Marvell Technology Group Ltd. (NASDAQ: MRVL), a global leader in integrated silicon solutions, today announced</w:t>
      </w:r>
      <w:r>
        <w:rPr>
          <w:rFonts w:ascii="Arial" w:cs="Arial" w:eastAsia="Arial" w:hAnsi="Arial"/>
          <w:sz w:val="18"/>
          <w:szCs w:val="18"/>
          <w:b w:val="1"/>
          <w:bCs w:val="1"/>
          <w:color w:val="auto"/>
        </w:rPr>
        <w:t xml:space="preserve"> </w:t>
      </w:r>
      <w:r>
        <w:rPr>
          <w:rFonts w:ascii="Arial" w:cs="Arial" w:eastAsia="Arial" w:hAnsi="Arial"/>
          <w:sz w:val="18"/>
          <w:szCs w:val="18"/>
          <w:color w:val="auto"/>
        </w:rPr>
        <w:t>that the Board of Directors has approved a quarterly dividend payment of $0.06 per share to all shareholders of record as of June 14, 2016. Marvell intends to pay the dividend on July 12, 2016.</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121" w:lineRule="exact"/>
        <w:rPr>
          <w:sz w:val="20"/>
          <w:szCs w:val="20"/>
          <w:color w:val="auto"/>
        </w:rPr>
      </w:pPr>
    </w:p>
    <w:p>
      <w:pPr>
        <w:ind w:right="60"/>
        <w:spacing w:after="0" w:line="270" w:lineRule="auto"/>
        <w:rPr>
          <w:sz w:val="20"/>
          <w:szCs w:val="20"/>
          <w:color w:val="auto"/>
        </w:rPr>
      </w:pPr>
      <w:r>
        <w:rPr>
          <w:rFonts w:ascii="Arial" w:cs="Arial" w:eastAsia="Arial" w:hAnsi="Arial"/>
          <w:sz w:val="17"/>
          <w:szCs w:val="17"/>
          <w:color w:val="auto"/>
        </w:rPr>
        <w:t>This press release contains forward-looking statements within the meaning of the federal securities laws that involve risks and uncertainties, including expectations regarding the timing of payment of declared or future dividends. Words such as “anticipates,” “expects,” “intends,” “plans,” “believes,” “seeks,” “estimates,” “can,” “will” and similar expressions identify such forward-looking statements. These statements are not guarantees of results and should not be considered as an indication of future activity or future performance. Actual events or results may differ materially from those described in this press release due to a number of risks and uncertainties, including, among others, Marvell’s results of operations, cash balances and future cash requirements, financial condition, developments in ongoing litigation, statutory requirements of Bermuda law and other factors that Marvell’s board of directors may deem relevant. For other factors that could cause Marvell’s results to vary from expectations, please see the risk factors identified in the Marvell’s latest Annual Report on Form 10-K for the fiscal year ended January 31, 2015 and latest Quarterly Report on Form 10-Q for the fiscal quarter ended May 2, 2015 as filed with the SEC, and other factors detailed from time to time in Marvell’s filings with the SEC. Marvell undertakes no obligation to revise or update publicly any forward-looking statements.</w:t>
      </w:r>
    </w:p>
    <w:p>
      <w:pPr>
        <w:sectPr>
          <w:pgSz w:w="11900" w:h="16838" w:orient="portrait"/>
          <w:cols w:equalWidth="0" w:num="1">
            <w:col w:w="11420"/>
          </w:cols>
          <w:pgMar w:left="240" w:top="121"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121" w:lineRule="exact"/>
        <w:rPr>
          <w:sz w:val="20"/>
          <w:szCs w:val="20"/>
          <w:color w:val="auto"/>
        </w:rPr>
      </w:pPr>
    </w:p>
    <w:p>
      <w:pPr>
        <w:spacing w:after="0" w:line="276" w:lineRule="auto"/>
        <w:rPr>
          <w:sz w:val="20"/>
          <w:szCs w:val="20"/>
          <w:color w:val="auto"/>
        </w:rPr>
      </w:pPr>
      <w:r>
        <w:rPr>
          <w:rFonts w:ascii="Arial" w:cs="Arial" w:eastAsia="Arial" w:hAnsi="Arial"/>
          <w:sz w:val="17"/>
          <w:szCs w:val="17"/>
          <w:color w:val="auto"/>
        </w:rPr>
        <w:t>Marvell (NASDAQ: MRVL) is a global leader in providing complete silicon solutions. From storage to cloud infrastructure, Internet of Things (IoT), connectivity and multimedia,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personal and work lives, Marvell is committed to enhancing the human experience.</w:t>
      </w:r>
    </w:p>
    <w:p>
      <w:pPr>
        <w:spacing w:after="0" w:line="173" w:lineRule="exact"/>
        <w:rPr>
          <w:sz w:val="20"/>
          <w:szCs w:val="20"/>
          <w:color w:val="auto"/>
        </w:rPr>
      </w:pPr>
    </w:p>
    <w:p>
      <w:pPr>
        <w:ind w:right="1380"/>
        <w:spacing w:after="0" w:line="277" w:lineRule="auto"/>
        <w:rPr>
          <w:sz w:val="20"/>
          <w:szCs w:val="20"/>
          <w:color w:val="auto"/>
        </w:rPr>
      </w:pPr>
      <w:r>
        <w:rPr>
          <w:rFonts w:ascii="Arial" w:cs="Arial" w:eastAsia="Arial" w:hAnsi="Arial"/>
          <w:sz w:val="18"/>
          <w:szCs w:val="18"/>
          <w:color w:val="auto"/>
        </w:rPr>
        <w:t>As used in this release, the term “Marvell” refers to Marvell Technology Group Ltd. and its subsidiaries. For more information, please visit www.Marvell.com.</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sectPr>
      <w:pgSz w:w="11900" w:h="16838" w:orient="portrait"/>
      <w:cols w:equalWidth="0" w:num="1">
        <w:col w:w="11400"/>
      </w:cols>
      <w:pgMar w:left="240" w:top="270"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2019-12-06T21:57:33Z</dcterms:created>
  <dcterms:modified xsi:type="dcterms:W3CDTF">2019-12-06T21:57:33Z</dcterms:modified>
</cp:coreProperties>
</file>