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July 19,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60" w:firstLine="913"/>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280" w:firstLine="913"/>
        <w:spacing w:after="0" w:line="312" w:lineRule="auto"/>
        <w:rPr>
          <w:sz w:val="20"/>
          <w:szCs w:val="20"/>
          <w:color w:val="auto"/>
        </w:rPr>
      </w:pPr>
      <w:r>
        <w:rPr>
          <w:rFonts w:ascii="Arial" w:cs="Arial" w:eastAsia="Arial" w:hAnsi="Arial"/>
          <w:sz w:val="16"/>
          <w:szCs w:val="16"/>
          <w:color w:val="auto"/>
        </w:rPr>
        <w:t>On July 19, 2016, Marvell Technology Group Ltd. (“Marvell”) issued a press release reporting its financial results for the fourth fiscal quarter and fiscal year 2016, ended January 30, 2016, and updated financial results for the second and third quarters of fiscal 2016, ended August 1, 2015 and October 31, 2015, respectively. A copy of the press release is furnished herewith as Exhibit 99.1 and is incorporated by reference herein.</w:t>
      </w:r>
    </w:p>
    <w:p>
      <w:pPr>
        <w:spacing w:after="0" w:line="147" w:lineRule="exact"/>
        <w:rPr>
          <w:sz w:val="20"/>
          <w:szCs w:val="20"/>
          <w:color w:val="auto"/>
        </w:rPr>
      </w:pPr>
    </w:p>
    <w:p>
      <w:pPr>
        <w:ind w:right="60" w:firstLine="913"/>
        <w:spacing w:after="0" w:line="259" w:lineRule="auto"/>
        <w:rPr>
          <w:sz w:val="20"/>
          <w:szCs w:val="20"/>
          <w:color w:val="auto"/>
        </w:rPr>
      </w:pPr>
      <w:r>
        <w:rPr>
          <w:rFonts w:ascii="Arial" w:cs="Arial" w:eastAsia="Arial" w:hAnsi="Arial"/>
          <w:sz w:val="18"/>
          <w:szCs w:val="18"/>
          <w:color w:val="auto"/>
        </w:rPr>
        <w:t>Marvell will conduct a conference call on Tuesday, July 19, 2016 at 1:45 p.m. Pacific Time to discuss results for the fourth quarter and full year fiscal 2016. Interested parties may join the conference call by dialing 1-844-647-5488 or 1-615-247-0258, pass-code 45077084. The call will be webcast by Thomson Reuters and can be accessed at the Marvell Investor Relations website at http://investor.marvell.com/ with a replay available following the call until August 19, 2016.</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100" w:firstLine="456"/>
        <w:spacing w:after="0" w:line="273" w:lineRule="auto"/>
        <w:rPr>
          <w:sz w:val="20"/>
          <w:szCs w:val="20"/>
          <w:color w:val="auto"/>
        </w:rPr>
      </w:pPr>
      <w:r>
        <w:rPr>
          <w:rFonts w:ascii="Arial" w:cs="Arial" w:eastAsia="Arial" w:hAnsi="Arial"/>
          <w:sz w:val="17"/>
          <w:szCs w:val="17"/>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expense, amortization and write-off of acquired intangible assets, acquisition-related costs, restructuring and other related charges, and certain one-time expenses and benefits, including, but not limited to, litigation settlements, that are driven primarily by discrete events that management does not consider to be directly related to Marvell’s core operating performance.</w:t>
      </w:r>
    </w:p>
    <w:p>
      <w:pPr>
        <w:spacing w:after="0" w:line="17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66"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920" w:right="140" w:hanging="318"/>
        <w:spacing w:after="0" w:line="277" w:lineRule="auto"/>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9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financial measures are adjusted by the exclusion of the following items:</w:t>
      </w:r>
    </w:p>
    <w:p>
      <w:pPr>
        <w:spacing w:after="0" w:line="131" w:lineRule="exact"/>
        <w:rPr>
          <w:sz w:val="20"/>
          <w:szCs w:val="20"/>
          <w:color w:val="auto"/>
        </w:rPr>
      </w:pPr>
    </w:p>
    <w:p>
      <w:pPr>
        <w:ind w:left="1920" w:right="100" w:hanging="318"/>
        <w:spacing w:after="0" w:line="293" w:lineRule="auto"/>
        <w:tabs>
          <w:tab w:leader="none" w:pos="192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Share-based compensation</w:t>
      </w:r>
      <w:r>
        <w:rPr>
          <w:rFonts w:ascii="Arial" w:cs="Arial" w:eastAsia="Arial" w:hAnsi="Arial"/>
          <w:sz w:val="16"/>
          <w:szCs w:val="16"/>
          <w:color w:val="auto"/>
        </w:rPr>
        <w:t>. Share-based compensation relates primarily to employee stock options, restricted stock units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stock 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70" w:lineRule="exact"/>
        <w:rPr>
          <w:rFonts w:ascii="Arial" w:cs="Arial" w:eastAsia="Arial" w:hAnsi="Arial"/>
          <w:sz w:val="16"/>
          <w:szCs w:val="16"/>
          <w:color w:val="auto"/>
        </w:rPr>
      </w:pPr>
    </w:p>
    <w:p>
      <w:pPr>
        <w:ind w:left="1920" w:right="560" w:hanging="318"/>
        <w:spacing w:after="0" w:line="264" w:lineRule="auto"/>
        <w:tabs>
          <w:tab w:leader="none" w:pos="192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and 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1920" w:hanging="318"/>
        <w:spacing w:after="0" w:line="279" w:lineRule="auto"/>
        <w:tabs>
          <w:tab w:leader="none" w:pos="192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Acquisition-related costs</w:t>
      </w:r>
      <w:r>
        <w:rPr>
          <w:rFonts w:ascii="Arial" w:cs="Arial" w:eastAsia="Arial" w:hAnsi="Arial"/>
          <w:sz w:val="17"/>
          <w:szCs w:val="17"/>
          <w:color w:val="auto"/>
        </w:rPr>
        <w:t>. Acquisition-related costs primarily include the amortization of retention bonuses required by the terms of</w:t>
      </w:r>
      <w:r>
        <w:rPr>
          <w:rFonts w:ascii="Arial" w:cs="Arial" w:eastAsia="Arial" w:hAnsi="Arial"/>
          <w:sz w:val="17"/>
          <w:szCs w:val="17"/>
          <w:i w:val="1"/>
          <w:iCs w:val="1"/>
          <w:color w:val="auto"/>
        </w:rPr>
        <w:t xml:space="preserve"> </w:t>
      </w:r>
      <w:r>
        <w:rPr>
          <w:rFonts w:ascii="Arial" w:cs="Arial" w:eastAsia="Arial" w:hAnsi="Arial"/>
          <w:sz w:val="17"/>
          <w:szCs w:val="17"/>
          <w:color w:val="auto"/>
        </w:rPr>
        <w:t>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6" w:lineRule="exact"/>
        <w:rPr>
          <w:rFonts w:ascii="Arial" w:cs="Arial" w:eastAsia="Arial" w:hAnsi="Arial"/>
          <w:sz w:val="17"/>
          <w:szCs w:val="17"/>
          <w:color w:val="auto"/>
        </w:rPr>
      </w:pPr>
    </w:p>
    <w:p>
      <w:pPr>
        <w:ind w:left="1920" w:right="60" w:hanging="318"/>
        <w:spacing w:after="0" w:line="276" w:lineRule="auto"/>
        <w:tabs>
          <w:tab w:leader="none" w:pos="192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Restructuring and other related expenses</w:t>
      </w:r>
      <w:r>
        <w:rPr>
          <w:rFonts w:ascii="Arial" w:cs="Arial" w:eastAsia="Arial" w:hAnsi="Arial"/>
          <w:sz w:val="17"/>
          <w:szCs w:val="17"/>
          <w:color w:val="auto"/>
        </w:rPr>
        <w:t>. Restructuring and other related expenses include costs which qualify under U.S. GAAP</w:t>
      </w:r>
      <w:r>
        <w:rPr>
          <w:rFonts w:ascii="Arial" w:cs="Arial" w:eastAsia="Arial" w:hAnsi="Arial"/>
          <w:sz w:val="17"/>
          <w:szCs w:val="17"/>
          <w:i w:val="1"/>
          <w:iCs w:val="1"/>
          <w:color w:val="auto"/>
        </w:rPr>
        <w:t xml:space="preserve"> </w:t>
      </w:r>
      <w:r>
        <w:rPr>
          <w:rFonts w:ascii="Arial" w:cs="Arial" w:eastAsia="Arial" w:hAnsi="Arial"/>
          <w:sz w:val="17"/>
          <w:szCs w:val="17"/>
          <w:color w:val="auto"/>
        </w:rPr>
        <w:t>as restructuring costs. 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7" w:lineRule="exact"/>
        <w:rPr>
          <w:rFonts w:ascii="Arial" w:cs="Arial" w:eastAsia="Arial" w:hAnsi="Arial"/>
          <w:sz w:val="17"/>
          <w:szCs w:val="17"/>
          <w:color w:val="auto"/>
        </w:rPr>
      </w:pPr>
    </w:p>
    <w:p>
      <w:pPr>
        <w:ind w:left="1920" w:right="60" w:hanging="318"/>
        <w:spacing w:after="0" w:line="312" w:lineRule="auto"/>
        <w:tabs>
          <w:tab w:leader="none" w:pos="192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Certain One-Time Expenses and Benefits</w:t>
      </w:r>
      <w:r>
        <w:rPr>
          <w:rFonts w:ascii="Arial" w:cs="Arial" w:eastAsia="Arial" w:hAnsi="Arial"/>
          <w:sz w:val="16"/>
          <w:szCs w:val="16"/>
          <w:color w:val="auto"/>
        </w:rPr>
        <w:t>. From time to time, Marvell has other costs/benefits that are not directly related to</w:t>
      </w:r>
      <w:r>
        <w:rPr>
          <w:rFonts w:ascii="Arial" w:cs="Arial" w:eastAsia="Arial" w:hAnsi="Arial"/>
          <w:sz w:val="16"/>
          <w:szCs w:val="16"/>
          <w:i w:val="1"/>
          <w:iCs w:val="1"/>
          <w:color w:val="auto"/>
        </w:rPr>
        <w:t xml:space="preserve"> </w:t>
      </w:r>
      <w:r>
        <w:rPr>
          <w:rFonts w:ascii="Arial" w:cs="Arial" w:eastAsia="Arial" w:hAnsi="Arial"/>
          <w:sz w:val="16"/>
          <w:szCs w:val="16"/>
          <w:color w:val="auto"/>
        </w:rPr>
        <w:t>Marvell’s ongoing or core business results, including, but not limited to, certain litigation settlements. Excluding this data provides investors with a basis to compare Marvell’s performance against the performance of other companies without this variability.</w:t>
      </w:r>
    </w:p>
    <w:p>
      <w:pPr>
        <w:spacing w:after="0" w:line="14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1920" w:right="120" w:hanging="318"/>
        <w:spacing w:after="0" w:line="291" w:lineRule="auto"/>
        <w:tabs>
          <w:tab w:leader="none" w:pos="1920" w:val="left"/>
        </w:tabs>
        <w:numPr>
          <w:ilvl w:val="0"/>
          <w:numId w:val="4"/>
        </w:numPr>
        <w:rPr>
          <w:rFonts w:ascii="Arial" w:cs="Arial" w:eastAsia="Arial" w:hAnsi="Arial"/>
          <w:sz w:val="16"/>
          <w:szCs w:val="16"/>
          <w:color w:val="auto"/>
        </w:rPr>
      </w:pPr>
      <w:r>
        <w:rPr>
          <w:rFonts w:ascii="Arial" w:cs="Arial" w:eastAsia="Arial" w:hAnsi="Arial"/>
          <w:sz w:val="16"/>
          <w:szCs w:val="16"/>
          <w:color w:val="auto"/>
        </w:rPr>
        <w:t>Non-GAAP diluted net income per share is calculated by dividing non-GAAP net income by non-GAAP weighted average shares (diluted). For purposes of calculating non-GAAP diluted net income per share, the GAAP weighted average shares outstanding</w:t>
      </w:r>
    </w:p>
    <w:p>
      <w:pPr>
        <w:ind w:left="1920" w:right="60"/>
        <w:spacing w:after="0" w:line="292" w:lineRule="auto"/>
        <w:rPr>
          <w:rFonts w:ascii="Arial" w:cs="Arial" w:eastAsia="Arial" w:hAnsi="Arial"/>
          <w:sz w:val="16"/>
          <w:szCs w:val="16"/>
          <w:color w:val="auto"/>
        </w:rPr>
      </w:pPr>
      <w:r>
        <w:rPr>
          <w:rFonts w:ascii="Arial" w:cs="Arial" w:eastAsia="Arial" w:hAnsi="Arial"/>
          <w:sz w:val="16"/>
          <w:szCs w:val="16"/>
          <w:color w:val="auto"/>
        </w:rPr>
        <w:t>(diluted)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63" w:lineRule="exact"/>
        <w:rPr>
          <w:sz w:val="20"/>
          <w:szCs w:val="20"/>
          <w:color w:val="auto"/>
        </w:rPr>
      </w:pPr>
    </w:p>
    <w:p>
      <w:pPr>
        <w:jc w:val="both"/>
        <w:ind w:right="60" w:firstLine="913"/>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99.1   Press Release dated July 19, 2016</w:t>
      </w:r>
    </w:p>
    <w:p>
      <w:pPr>
        <w:spacing w:after="0" w:line="374"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July 19,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40"/>
          </w:cols>
          <w:pgMar w:left="240" w:top="270" w:right="51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19, 2016</w:t>
      </w:r>
    </w:p>
    <w:p>
      <w:pPr>
        <w:sectPr>
          <w:pgSz w:w="11900" w:h="16838" w:orient="portrait"/>
          <w:cols w:equalWidth="0" w:num="1">
            <w:col w:w="10219"/>
          </w:cols>
          <w:pgMar w:left="240" w:top="270"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5424805</wp:posOffset>
            </wp:positionH>
            <wp:positionV relativeFrom="paragraph">
              <wp:posOffset>172085</wp:posOffset>
            </wp:positionV>
            <wp:extent cx="1826895" cy="1714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Fiscal Quarter and Fiscal Year 2016 Financial Results</w:t>
      </w:r>
    </w:p>
    <w:p>
      <w:pPr>
        <w:spacing w:after="0" w:line="225" w:lineRule="exact"/>
        <w:rPr>
          <w:sz w:val="20"/>
          <w:szCs w:val="20"/>
          <w:color w:val="auto"/>
        </w:rPr>
      </w:pPr>
    </w:p>
    <w:p>
      <w:pPr>
        <w:ind w:right="260"/>
        <w:spacing w:after="0" w:line="266" w:lineRule="auto"/>
        <w:rPr>
          <w:sz w:val="20"/>
          <w:szCs w:val="20"/>
          <w:color w:val="auto"/>
        </w:rPr>
      </w:pPr>
      <w:r>
        <w:rPr>
          <w:rFonts w:ascii="Arial" w:cs="Arial" w:eastAsia="Arial" w:hAnsi="Arial"/>
          <w:sz w:val="18"/>
          <w:szCs w:val="18"/>
          <w:b w:val="1"/>
          <w:bCs w:val="1"/>
          <w:color w:val="auto"/>
        </w:rPr>
        <w:t xml:space="preserve">Santa Clara, Calif. (July 19, 2016)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fiscal year 2016, ended January 30, 2016, and reported updated financial results for the second and third quarters of fiscal 2016, ended August 1, 2015 and October 31, 2015, respectively.</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Fourth Quarter of Fiscal 2016 and Fiscal Year 2016 Financial Highlights</w:t>
      </w:r>
    </w:p>
    <w:p>
      <w:pPr>
        <w:spacing w:after="0" w:line="135"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Revenue: Q4 FY 2016, $616 Million; FY 2016, $2.7 Billion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GAAP Net Earnings (Loss): Q4 FY 2016, $4 Million; FY 2016, ($811) Million (includes the settlement with CMU described below)</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GAAP Diluted Earnings (Loss) Per Share: Q4 FY 2016, $0.01; FY 2016, ($1.59)</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Non-GAAP Net Income: Q4 FY 2016, $55 Million; FY 2016 $194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Non-GAAP Diluted EPS: Q4 FY 2016, $0.11; FY 2016 $0.37</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Cash Flow from Operations: Q4 FY 2016, $53 Million; FY 2016 $205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Cash and ST Investments: $2.3 Billion (prior to giving effect to the settlement with CMU described below)</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2016 and Fiscal Year 2016 Summary</w:t>
      </w:r>
    </w:p>
    <w:p>
      <w:pPr>
        <w:spacing w:after="0" w:line="121"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Revenues for the fourth quarter of fiscal 2016 were $616 million, down approximately 9 percent from $675 million in the third quarter of fiscal 2016, ended October 31, 2015, and down approximately 28 percent from $857 million in the fourth quarter of fiscal 2015, ended January 31, 2015.</w:t>
      </w:r>
    </w:p>
    <w:p>
      <w:pPr>
        <w:spacing w:after="0" w:line="147"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In the fourth quarter of fiscal 2016, storage revenue increased 12 percent sequentially, reflecting improved demand from HDD customers but was partially offset by slightly lower SSD controller sales. Networking revenue in the fourth quarter of fiscal 2016 grew 8 percent sequentially due to broad-based demand improvement across most of our product areas. Mobile and wireless revenue decreased 34 percent sequentially, mainly driven by the previously anticipated declines in revenue resulting from Marvell’s exit of the mobile handset business. The Company anticipates mobile handset platform-related revenue to decline through fiscal year 2017 due to the restructuring actions announced on September 24, 2015.</w:t>
      </w:r>
    </w:p>
    <w:p>
      <w:pPr>
        <w:sectPr>
          <w:pgSz w:w="11900" w:h="16838" w:orient="portrait"/>
          <w:cols w:equalWidth="0" w:num="1">
            <w:col w:w="11420"/>
          </w:cols>
          <w:pgMar w:left="240" w:top="121" w:right="239" w:bottom="1440" w:gutter="0" w:footer="0" w:header="0"/>
        </w:sectPr>
      </w:pPr>
    </w:p>
    <w:bookmarkStart w:id="7" w:name="page8"/>
    <w:bookmarkEnd w:id="7"/>
    <w:p>
      <w:pPr>
        <w:ind w:right="14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the fiscal year end January 30, 2016, revenue was $2.7 billion, a decrease of 26 percent from $3.7 billion for the fiscal year ended January 31, 2015. For the fiscal year 2016, storage revenues declined 31 percent from fiscal year 2015 mainly due to soft PC demand compounded by lower SSD controller shipments. Networking revenue in fiscal 2016 declined 18 percent due to weak enterprise switching/routing demand. Mobile and wireless revenue in fiscal 2016 declined 27 percent mainly due to lower mobile handset platform-related revenue resulting from Marvell’s exit of the mobile handset business.</w:t>
      </w:r>
    </w:p>
    <w:p>
      <w:pPr>
        <w:spacing w:after="0" w:line="154" w:lineRule="exact"/>
        <w:rPr>
          <w:sz w:val="20"/>
          <w:szCs w:val="20"/>
          <w:color w:val="auto"/>
        </w:rPr>
      </w:pPr>
    </w:p>
    <w:p>
      <w:pPr>
        <w:spacing w:after="0"/>
        <w:rPr>
          <w:sz w:val="20"/>
          <w:szCs w:val="20"/>
          <w:color w:val="auto"/>
        </w:rPr>
      </w:pPr>
      <w:r>
        <w:rPr>
          <w:rFonts w:ascii="Arial" w:cs="Arial" w:eastAsia="Arial" w:hAnsi="Arial"/>
          <w:sz w:val="17"/>
          <w:szCs w:val="17"/>
          <w:color w:val="auto"/>
        </w:rPr>
        <w:t>GAAP net earnings for the fourth quarter of fiscal 2016 was $4 million, or $0.01 per share (diluted) compared with a GAAP net loss of ($58) million, or</w:t>
      </w:r>
    </w:p>
    <w:p>
      <w:pPr>
        <w:spacing w:after="0" w:line="35"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($0.11) loss per share (diluted), for the third quarter of fiscal 2016, and GAAP net income of $82 million, or $0.16 per share (diluted), for the fourth quarter of fiscal 2015.</w:t>
      </w:r>
    </w:p>
    <w:p>
      <w:pPr>
        <w:spacing w:after="0" w:line="184"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For the fiscal year ended January 30, 2016, GAAP net loss was ($811) million, or ($1.59) per share (diluted), compared with GAAP net income of $435 million, or $0.84 per share (diluted), for the fiscal year ended January 31, 2015. The GAAP net loss in fiscal year 2016 was largely due to the payment of $750 million related to the Carnegie Mellon University litigation settlement.</w:t>
      </w:r>
    </w:p>
    <w:p>
      <w:pPr>
        <w:spacing w:after="0" w:line="181"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Non-GAAP net income for the fourth quarter of fiscal 2016 was $55 million, or $0.11 per share (diluted), which included adjustments of approximately $50 million including: $4 million for restructuring related to the mobile handset platform business, $32 million for share-based compensation, $4 million for litigation reserves and settlements, and $10 million for other items. By comparison, non-GAAP net income for the third quarter of fiscal 2016 was $29 million, or $0.06 per share (diluted), which included adjustments of $87 million including: $46 million for restructuring related to the mobile handset platform business, $31 million for share-based compensation, $1 million for litigation reserves and settlements, and $9 million for other items. Non-GAAP net income for the fourth quarter of fiscal 2015 was $131 million, or $0.25 per share (diluted), which included adjustments of $49 million including: $38 million for share-based compensation and $11 million for other items. Refer to the GAAP to Non-GAAP reconciliation table and related footnotes contained in this press release for more details.</w:t>
      </w:r>
    </w:p>
    <w:p>
      <w:pPr>
        <w:sectPr>
          <w:pgSz w:w="11900" w:h="16838" w:orient="portrait"/>
          <w:cols w:equalWidth="0" w:num="1">
            <w:col w:w="11400"/>
          </w:cols>
          <w:pgMar w:left="240" w:top="274" w:right="259" w:bottom="1440" w:gutter="0" w:footer="0" w:header="0"/>
        </w:sectPr>
      </w:pPr>
    </w:p>
    <w:bookmarkStart w:id="8" w:name="page9"/>
    <w:bookmarkEnd w:id="8"/>
    <w:p>
      <w:pPr>
        <w:ind w:right="1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the fiscal year ended January 30, 2016, non-GAAP net income was $194 million, or $0.37 per share (diluted), compared with non-GAAP net income of $611 million, or $1.15 per share (diluted) for the fiscal year ended January 31, 2015.</w:t>
      </w:r>
    </w:p>
    <w:p>
      <w:pPr>
        <w:spacing w:after="0" w:line="17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reports net income, basic and diluted net income per share, in accordance with generally accepted accounting principles (GAAP) and on a non-GAAP basis as outlined below. Reconciliations of GAAP net income to non-GAAP net income for the three months ended January 30, 2016, October 31, 2015, and August 31, 2015, as well as the fiscal years ended January 30, 2016 and January 31, 2015, appear in the financial statements below. Non-GAAP net income, where applicable, excludes the effect of share-based compensation, amortization and write-off of acquired intangible assets, acquisition-related costs, restructuring and other related charges, estimated litigation reserves and settlements, and certain one-time expenses and benefits that are driven by discrete events that management does not consider to be directly related to Marvell’s core operating performance.</w:t>
      </w:r>
    </w:p>
    <w:p>
      <w:pPr>
        <w:spacing w:after="0" w:line="178"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GAAP gross margin percentage for the fourth quarter of fiscal 2016 was 50.9 percent, compared to 43.8 percent for the third quarter of fiscal 2016 and 51.4 percent for the fourth quarter of fiscal 2015. GAAP gross margin for fiscal year 2016 was 45.2 percent as compared to 50.3 percent in fiscal year 2015.</w:t>
      </w:r>
    </w:p>
    <w:p>
      <w:pPr>
        <w:spacing w:after="0" w:line="124"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Non-GAAP gross margin percentage for the fourth quarter of fiscal 2016 was 51.9 percent, compared to 46.0 percent for the third quarter of fiscal 2016 and 51.8 percent for the fourth quarter of fiscal 2015. The sequential improvement in fourth quarter GAAP and Non-GAAP gross margin percentages was mainly due to a more lower mix of lower margin mobile handset platform-related revenues relative the prior quarter. Non-GAAP gross margin for fiscal year 2016 was 49.1 percent compared to 50.5 percent in fiscal year 2015. The decline in GAAP and non-GAAP gross margin percentages in fiscal year 2016 was mainly due to a higher mix of lower margin mobile handset platform-related revenues relative to fiscal year 2015. Refer to the GAAP to Non-GAAP reconciliation table and related footnotes at the end of this press release for more details.</w:t>
      </w:r>
    </w:p>
    <w:p>
      <w:pPr>
        <w:sectPr>
          <w:pgSz w:w="11900" w:h="16838" w:orient="portrait"/>
          <w:cols w:equalWidth="0" w:num="1">
            <w:col w:w="11420"/>
          </w:cols>
          <w:pgMar w:left="240" w:top="274" w:right="239" w:bottom="1440" w:gutter="0" w:footer="0" w:header="0"/>
        </w:sectPr>
      </w:pPr>
    </w:p>
    <w:bookmarkStart w:id="9" w:name="page10"/>
    <w:bookmarkEnd w:id="9"/>
    <w:p>
      <w:pPr>
        <w:ind w:right="12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Operating expenses on a GAAP basis for the fourth quarter of fiscal 2016 were $311 million, or 12 percent lower compared with $355 million in the third quarter of fiscal year 2016, and 14 percent lower compared to $360 million in the fourth quarter of fiscal 2015. Operating expenses on a GAAP basis for fiscal year 2016 were $2 billion, or 41 percent higher compared to $1.5 billion in fiscal year 2015. GAAP operating expenses for fiscal 2016 include approximately $655 million related to the Carnegie Mellon University litigation settlement, with $78.9 million of the $750 million settlement recorded in COGS. Operating expenses for the third and fourth quarters of fiscal year 2016 include $6 million and $11 million, respectively, of legal and accounting fees related to the Audit Committee investigation, and the related shareholder litigation and inquiries by the SEC and United States Attorney’s Office.</w:t>
      </w:r>
    </w:p>
    <w:p>
      <w:pPr>
        <w:spacing w:after="0" w:line="165"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Non-GAAP operating expenses were $267 million in the fourth quarter compared to $283 million in the third quarter, a 6 percent decline, and $315 million in the fourth quarter of fiscal 2015, a 15 percent decline. For fiscal year 2016, non-GAAP operating expenses were $1.2 billion (excluding the impact of $655 million related to Carnegie Mellon University litigation settlement recorded in operating expenses), a decline of 10 percent from $1.3 billion in fiscal year 2015. Refer to the GAAP to Non-GAAP reconciliation table and related footnotes contained in this press release for more details.</w:t>
      </w:r>
    </w:p>
    <w:p>
      <w:pPr>
        <w:spacing w:after="0" w:line="17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Shares used to compute GAAP net income per diluted share for the fourth quarter of fiscal 2016 were 509 million shares, compared with 505 million shares in the third quarter of fiscal 2016 and 522 million shares in the fourth quarter of fiscal 2015. Shares used to compute GAAP net income per diluted share for fiscal year 2016 were 511 million shares as compared with 521 million shares for fiscal year 2015.</w:t>
      </w:r>
    </w:p>
    <w:p>
      <w:pPr>
        <w:spacing w:after="0" w:line="181" w:lineRule="exact"/>
        <w:rPr>
          <w:sz w:val="20"/>
          <w:szCs w:val="20"/>
          <w:color w:val="auto"/>
        </w:rPr>
      </w:pPr>
    </w:p>
    <w:p>
      <w:pPr>
        <w:jc w:val="both"/>
        <w:ind w:right="340"/>
        <w:spacing w:after="0" w:line="286" w:lineRule="auto"/>
        <w:rPr>
          <w:sz w:val="20"/>
          <w:szCs w:val="20"/>
          <w:color w:val="auto"/>
        </w:rPr>
      </w:pPr>
      <w:r>
        <w:rPr>
          <w:rFonts w:ascii="Arial" w:cs="Arial" w:eastAsia="Arial" w:hAnsi="Arial"/>
          <w:sz w:val="17"/>
          <w:szCs w:val="17"/>
          <w:color w:val="auto"/>
        </w:rPr>
        <w:t>Shares used to compute non-GAAP net income per diluted share for the fourth quarter of fiscal 2016 were 519 million shares, compared with 519 million shares for the third quarter of fiscal 2016 and 533 million shares for the fourth quarter of fiscal 2015. Shares used to compute non-GAAP net income per diluted share for fiscal year 2016 were 526 million shares as compared with 532 million shares for fiscal year 2015.</w:t>
      </w:r>
    </w:p>
    <w:p>
      <w:pPr>
        <w:spacing w:after="0" w:line="166"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Cash flow from operations for the fourth quarter of fiscal 2016 was $53 million, compared to $67 million in the third quarter of fiscal 2016 and $155 million reported in the fourth quarter of fiscal 2015. Cash flow from operations for fiscal year 2016 was $205 million, compared to $729 million in fiscal year 2015. Free cash flow for the fourth quarter of fiscal 2016 was $47 million, compared to the $64 million in the third quarter of fiscal 2016 and the $135 million reported in the fourth quarter of fiscal 2015. Free cash flow for fiscal year 2016 was $147 million, compared to $636 million in fiscal year 2015. Free cash flow as presented above is defined as cash flow from operations, less capital expenditures and purchases of technology licenses reported under investing and financing activities in the consolidated statement of cash flows.</w:t>
      </w:r>
    </w:p>
    <w:p>
      <w:pPr>
        <w:sectPr>
          <w:pgSz w:w="11900" w:h="16838" w:orient="portrait"/>
          <w:cols w:equalWidth="0" w:num="1">
            <w:col w:w="11420"/>
          </w:cols>
          <w:pgMar w:left="240" w:top="274" w:right="239" w:bottom="1440" w:gutter="0" w:footer="0" w:header="0"/>
        </w:sectPr>
      </w:pPr>
    </w:p>
    <w:bookmarkStart w:id="10" w:name="page11"/>
    <w:bookmarkEnd w:id="10"/>
    <w:p>
      <w:pPr>
        <w:ind w:right="2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made no share repurchases in the fourth quarter of fiscal 2016. In fiscal year 2016, under the company’s authorized share repurchase program, Marvell repurchased approximately 19.7 million shares for about $261 million. The remaining authorized amount for share repurchases at the end of fiscal 2016 was approximately $183 million.</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paid a quarterly dividend of $0.06 per share on December 29, 2015 to all shareholders of record as of December 16, 2015. On March 16 and May 18, 2016, the Company declared cash dividends of $0.06 per share that were paid on April 22 and July 12, 2016, respectively.</w:t>
      </w:r>
    </w:p>
    <w:p>
      <w:pPr>
        <w:spacing w:after="0" w:line="170" w:lineRule="exact"/>
        <w:rPr>
          <w:sz w:val="20"/>
          <w:szCs w:val="20"/>
          <w:color w:val="auto"/>
        </w:rPr>
      </w:pPr>
    </w:p>
    <w:p>
      <w:pPr>
        <w:ind w:right="44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Third Quarter of Fiscal 2016 Financial Highlights (Updated)</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Q3 FY 2016, $675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Loss: Q3 FY 2016, ($58)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Loss Per Share: Q3 FY 2016, ($0.11)</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Q3 FY 2016, $29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Q3 FY 2016, $0.06</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Cash Flow from Operations: Q3 FY 2016, $67 Million</w:t>
      </w:r>
    </w:p>
    <w:p>
      <w:pPr>
        <w:spacing w:after="0" w:line="225"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On December 7, 2015, Marvell released preliminary financial results for the third quarter of fiscal 2016, ended October 31, 2015. Due to the Company’s delayed filing of its Form 10-Q, the Company is obligated to continue to adjust its financial results to account for subsequent activities (Type 1 subsequent events) occurring after December 7, 2015. For the third quarter of fiscal 2016, adjustments that have been recorded to the Company’s preliminary financial results after December 7, 2015 are detailed in the footnotes to the condensed consolidated statements of operations at the end of this press release. Accordingly, the Company’s GAAP net loss and GAAP diluted loss per share for the third quarter of fiscal 2016 are approximately ($4) million and ($0.01) less than previously reported, respectively. Due to the delayed filing and as a result of future subsequent events, there may be additional adjustments to these preliminary financial results through the date of the Company’s filing of its Form 10-Q for the third quarter of fiscal 2016.</w:t>
      </w:r>
    </w:p>
    <w:p>
      <w:pPr>
        <w:sectPr>
          <w:pgSz w:w="11900" w:h="16838" w:orient="portrait"/>
          <w:cols w:equalWidth="0" w:num="1">
            <w:col w:w="11360"/>
          </w:cols>
          <w:pgMar w:left="240" w:top="274" w:right="29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Key Second Quarter of Fiscal 2016 Financial Highlights (Updated)</w:t>
      </w:r>
    </w:p>
    <w:p>
      <w:pPr>
        <w:spacing w:after="0" w:line="135"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Q2 FY 2016, $710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Net Loss: Q2 FY 2016, ($772)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Diluted Loss Per Share: Q2 FY 2016, ($1.49)</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Non-GAAP Net Income: Q2 FY 2016, $39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Non-GAAP Diluted EPS: Q2 FY 2016, $0.07</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Cash Flow from Operations: Q2 FY 2016, $27 Million</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On December 7, 2015, Marvell released updated preliminary financial results for the second quarter of fiscal 2016, ended August 1, 2015. Due to the</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Company’s delayed filing of its Form 10-Q, the Company is obligated to continue to adjust its financial results to account for subsequent activities (Type 1</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subsequent events) occurring after September 11, 2015. For the second quarter of fiscal 2016, adjustments that that have been recorded to the Company’s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preliminary financial results after December 7, 2015 are detailed in the footnotes to the condensed consolidated statements of operations at the end of this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press release including an additional $350.5 million charge due to the subsequent settlement in February 2016 for the Carnegie Mellon litigation (of which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$78.9 million was recorded to COGS). Accordingly, the Company’s GAAP net loss and GAAP diluted loss per share for the second quarter of fiscal 2016 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($369) million and ($0.71) more than previously reported, respectively. Due to the delayed filing and as a result of future subsequent events,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there may be additional adjustments to these preliminary financial results through the date of the Company’s filing of its Form 10-Q for the second quarter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fiscal 2016.</w:t>
      </w:r>
    </w:p>
    <w:p>
      <w:pPr>
        <w:spacing w:after="0" w:line="21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From time to time, our customers agreed to take shipments in an earlier fiscal quarter than the fiscal quarter they originally requested delivery. When such agreement would not have occurred but for the request made by Marvell, we refer to such transactions internally as “pull-ins.” Pull-in sales increased compared to historical levels beginning in the fourth quarter of fiscal 2015 and returned to historical levels in the third quarter of fiscal 2016. Net revenue in fiscal 2016 related to pull-in sales for shipments taken early by our customers was approximately 9 percent and 11 percent of net revenue in the first and second quarters of fiscal 2016, respectively, and declined to less than 1 percent of net revenue in both the third and fourth quarters of fiscal 2016. This compares to net revenue in fiscal 2015 related to pull-in sales for shipments taken early by our customers, which was less than 1 percent in the first and second quarters of fiscal 2015, 1 percent in the third quarter of fiscal 2015, and increased to 3 percent in the fourth quarter of fiscal 2015. Beginning in fiscal 2017, our policy is not to engage in pull-in transactions and we therefore do not expect them to have any meaningful impact on net revenue in future periods.</w:t>
      </w:r>
    </w:p>
    <w:p>
      <w:pPr>
        <w:sectPr>
          <w:pgSz w:w="11900" w:h="16838" w:orient="portrait"/>
          <w:cols w:equalWidth="0" w:num="1">
            <w:col w:w="11360"/>
          </w:cols>
          <w:pgMar w:left="240" w:top="270" w:right="29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CMU Settlement</w:t>
      </w:r>
    </w:p>
    <w:p>
      <w:pPr>
        <w:spacing w:after="0" w:line="121"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On February 17, 2016, Marvell announced that, pursuant to a court-ordered mediation, the company and Carnegie Mellon University settled their patent infringement lawsuit. The parties resolved the case on mutually acceptable terms, including an aggregate payment by Marvell to CMU of $750 million, with no ongoing royalty payments. Marvell paid the $750 million in the first quarter of fiscal 2017.</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NASDAQ Compliance Plan</w:t>
      </w:r>
    </w:p>
    <w:p>
      <w:pPr>
        <w:spacing w:after="0" w:line="121" w:lineRule="exact"/>
        <w:rPr>
          <w:sz w:val="20"/>
          <w:szCs w:val="20"/>
          <w:color w:val="auto"/>
        </w:rPr>
      </w:pPr>
    </w:p>
    <w:p>
      <w:pPr>
        <w:ind w:right="540"/>
        <w:spacing w:after="0" w:line="264" w:lineRule="auto"/>
        <w:rPr>
          <w:sz w:val="20"/>
          <w:szCs w:val="20"/>
          <w:color w:val="auto"/>
        </w:rPr>
      </w:pPr>
      <w:r>
        <w:rPr>
          <w:rFonts w:ascii="Arial" w:cs="Arial" w:eastAsia="Arial" w:hAnsi="Arial"/>
          <w:sz w:val="18"/>
          <w:szCs w:val="18"/>
          <w:color w:val="auto"/>
        </w:rPr>
        <w:t>On May 3, 2016, Marvell announced that the company received written notification from Nasdaq that, following Marvell’s hearing before The Nasdaq Hearings Panel on April 14, 2016, it granted the Company an extension of time to September 6, 2016 to regain compliance with continued listing requirements. Until that time, shares of Marvell stock will remain listed on The Nasdaq Stock Market.</w:t>
      </w:r>
    </w:p>
    <w:p>
      <w:pPr>
        <w:spacing w:after="0" w:line="181"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On February 22, 2016, the Audit Committee approved the engagement of Deloitte &amp; Touche LLP as the Company’s new independent public accounting firm. On March 1, 2016, the Company reported the results of the Audit Committee’s independent investigation of certain accounting and internal control matters. The preparation and filing of the Company’s Annual Report on Form 10-K for fiscal 2016 and its Quarterly Reports on Form 10-Q for the second and third quarters of fiscal 2016 and for the first quarter of fiscal 2017 have yet to be completed. The Company is working diligently to complete these filings as soon as practicable, at which time Marvell believes it will regain full compliance with continued listing requirements.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Additions to Company Leadership</w:t>
      </w:r>
    </w:p>
    <w:p>
      <w:pPr>
        <w:spacing w:after="0" w:line="121" w:lineRule="exact"/>
        <w:rPr>
          <w:sz w:val="20"/>
          <w:szCs w:val="20"/>
          <w:color w:val="auto"/>
        </w:rPr>
      </w:pPr>
    </w:p>
    <w:p>
      <w:pPr>
        <w:jc w:val="both"/>
        <w:ind w:right="60"/>
        <w:spacing w:after="0" w:line="286" w:lineRule="auto"/>
        <w:rPr>
          <w:sz w:val="20"/>
          <w:szCs w:val="20"/>
          <w:color w:val="auto"/>
        </w:rPr>
      </w:pPr>
      <w:r>
        <w:rPr>
          <w:rFonts w:ascii="Arial" w:cs="Arial" w:eastAsia="Arial" w:hAnsi="Arial"/>
          <w:sz w:val="17"/>
          <w:szCs w:val="17"/>
          <w:color w:val="auto"/>
        </w:rPr>
        <w:t>On April 5, 2016, Marvell announced a senior leadership transition with the departure of Chief Executive Officer Dr. Sehat Sutardja and President Weili Dai from their management positions. On May 1, 2016, Richard S. Hill was appointed Chairman of the Board. Mr. Hill will also serve as the company’s principal executive officer through the filing of Marvell’s Quarterly Report on Form 10-Q for the quarter ended July 30, 2016.</w:t>
      </w:r>
    </w:p>
    <w:p>
      <w:pPr>
        <w:spacing w:after="0" w:line="166"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On July 11, 2016, Matthew J. Murphy joined Marvell as President and Chief Executive Officer and as a director. A veteran of Maxim Integrated, Mr. Murphy joins an executive team and Board of Directors that has seen a significant infusion of new talent over the past few months, and will be leading that team in the transformation of the Company with a focus on profitable growth.</w:t>
      </w:r>
    </w:p>
    <w:p>
      <w:pPr>
        <w:sectPr>
          <w:pgSz w:w="11900" w:h="16838" w:orient="portrait"/>
          <w:cols w:equalWidth="0" w:num="1">
            <w:col w:w="11400"/>
          </w:cols>
          <w:pgMar w:left="240" w:top="270" w:right="259" w:bottom="1440" w:gutter="0" w:footer="0" w:header="0"/>
        </w:sectPr>
      </w:pPr>
    </w:p>
    <w:bookmarkStart w:id="13" w:name="page14"/>
    <w:bookmarkEnd w:id="13"/>
    <w:p>
      <w:pPr>
        <w:ind w:right="8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addition to Mr. Murphy and Mr. Hill, joining the Board of Directors since April 1, 2016 are Peter A. Feld, Oleg Khaykin, Robert E. Switz and Michael Strachan. Recent additions to the executive team include Mitchell Gaynor, Executive Vice President and Chief Legal Officer, Chris Koopmans, Executive Vice President Marketing and Sales, and Andy Micallef, Chief Operations Officer. Maya Strelar-Migotti has returned to her role as Executive Vice President of the Smart Networked Devices and Solutions Business Group and Pantelis Alexopoulos has returned to his role as Executive Vice President of the Storage Business Group. While a search for a permanent Chief Financial Officer is on-going, the company also recently announced Willem Meintjes as Senior Vice President of Finance.</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Marvell will conduct a conference call on Tuesday, July 19, 2016 at 1:45 p.m. Pacific Time to discuss results for the fourth quarter and full year fiscal 2016. Interested parties may join the conference call by dialing 1-844-647-5488 or 1-615-247-0258, pass-code 45077084. The call will be webcast by Thomson Reuters and can be accessed at the Marvell Investor Relations website at http://investor.marvell.com/ with a replay available following the call until August 19, 2016.</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one-time expenses and benefits that are driven primarily by discrete events that management does not consider to be directly related to Marvell’s core operating performance. Non-GAAP diluted net income per share is calculated by dividing non-GAAP net income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ectPr>
          <w:pgSz w:w="11900" w:h="16838" w:orient="portrait"/>
          <w:cols w:equalWidth="0" w:num="1">
            <w:col w:w="11360"/>
          </w:cols>
          <w:pgMar w:left="240" w:top="274" w:right="299" w:bottom="1440" w:gutter="0" w:footer="0" w:header="0"/>
        </w:sectPr>
      </w:pPr>
    </w:p>
    <w:bookmarkStart w:id="14" w:name="page15"/>
    <w:bookmarkEnd w:id="14"/>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actions that may be taken by Marvell as a result of the Audit Committee’s investigation; adverse impacts of litigation or regulatory activities; Marvell’s ability to hire a permanent Chief Financial Officer and Chief Accounting Officer and Controller in a timely manner; Marvell’s ability to regain compliance with its SEC reporting obligations within the time of the exemption granted by NASDAQ;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latest Annual Report on Form 10-K for the year ended January 31, 2015 and its latest Quarterly Report on Form 10-Q for the quarter ended May 2, 2015 as filed with the SEC on June 4, 2015,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274" w:right="259" w:bottom="1440" w:gutter="0" w:footer="0" w:header="0"/>
        </w:sectPr>
      </w:pPr>
    </w:p>
    <w:bookmarkStart w:id="15" w:name="page16"/>
    <w:bookmarkEnd w:id="1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7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p>
      <w:pPr>
        <w:sectPr>
          <w:pgSz w:w="11900" w:h="16838" w:orient="portrait"/>
          <w:cols w:equalWidth="0" w:num="1">
            <w:col w:w="11400"/>
          </w:cols>
          <w:pgMar w:left="240" w:top="270" w:right="25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Fiscal 2016</w:t>
            </w: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4"/>
          </w:tcPr>
          <w:p>
            <w:pPr>
              <w:ind w:left="80"/>
              <w:spacing w:after="0"/>
              <w:rPr>
                <w:sz w:val="20"/>
                <w:szCs w:val="20"/>
                <w:color w:val="auto"/>
              </w:rPr>
            </w:pPr>
            <w:r>
              <w:rPr>
                <w:rFonts w:ascii="Arial" w:cs="Arial" w:eastAsia="Arial" w:hAnsi="Arial"/>
                <w:sz w:val="14"/>
                <w:szCs w:val="14"/>
                <w:b w:val="1"/>
                <w:bCs w:val="1"/>
                <w:color w:val="auto"/>
              </w:rPr>
              <w:t>Fiscal 2015</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80" w:type="dxa"/>
            <w:vAlign w:val="bottom"/>
            <w:gridSpan w:val="5"/>
            <w:vMerge w:val="restart"/>
          </w:tcPr>
          <w:p>
            <w:pPr>
              <w:jc w:val="right"/>
              <w:ind w:right="58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20" w:type="dxa"/>
            <w:vAlign w:val="bottom"/>
            <w:gridSpan w:val="8"/>
          </w:tcPr>
          <w:p>
            <w:pPr>
              <w:ind w:left="500"/>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800" w:type="dxa"/>
            <w:vAlign w:val="bottom"/>
            <w:gridSpan w:val="8"/>
          </w:tcPr>
          <w:p>
            <w:pPr>
              <w:ind w:left="420"/>
              <w:spacing w:after="0" w:line="142" w:lineRule="exact"/>
              <w:rPr>
                <w:sz w:val="20"/>
                <w:szCs w:val="20"/>
                <w:color w:val="auto"/>
              </w:rPr>
            </w:pPr>
            <w:r>
              <w:rPr>
                <w:rFonts w:ascii="Arial" w:cs="Arial" w:eastAsia="Arial" w:hAnsi="Arial"/>
                <w:sz w:val="14"/>
                <w:szCs w:val="14"/>
                <w:b w:val="1"/>
                <w:bCs w:val="1"/>
                <w:color w:val="auto"/>
                <w:w w:val="98"/>
              </w:rPr>
              <w:t>Three Months Ended</w:t>
            </w: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80" w:type="dxa"/>
            <w:vAlign w:val="bottom"/>
            <w:gridSpan w:val="5"/>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300" w:type="dxa"/>
            <w:vAlign w:val="bottom"/>
          </w:tcPr>
          <w:p>
            <w:pPr>
              <w:spacing w:after="0"/>
              <w:rPr>
                <w:sz w:val="10"/>
                <w:szCs w:val="10"/>
                <w:color w:val="auto"/>
              </w:rPr>
            </w:pPr>
          </w:p>
        </w:tc>
        <w:tc>
          <w:tcPr>
            <w:tcW w:w="82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January 30,</w:t>
            </w:r>
          </w:p>
        </w:tc>
        <w:tc>
          <w:tcPr>
            <w:tcW w:w="10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31,</w:t>
            </w:r>
          </w:p>
        </w:tc>
        <w:tc>
          <w:tcPr>
            <w:tcW w:w="6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gridSpan w:val="2"/>
          </w:tcPr>
          <w:p>
            <w:pPr>
              <w:ind w:left="60"/>
              <w:spacing w:after="0" w:line="119" w:lineRule="exact"/>
              <w:rPr>
                <w:sz w:val="20"/>
                <w:szCs w:val="20"/>
                <w:color w:val="auto"/>
              </w:rPr>
            </w:pPr>
            <w:r>
              <w:rPr>
                <w:rFonts w:ascii="Arial" w:cs="Arial" w:eastAsia="Arial" w:hAnsi="Arial"/>
                <w:sz w:val="13"/>
                <w:szCs w:val="13"/>
                <w:b w:val="1"/>
                <w:bCs w:val="1"/>
                <w:color w:val="auto"/>
              </w:rPr>
              <w:t>August 1,</w:t>
            </w:r>
          </w:p>
        </w:tc>
        <w:tc>
          <w:tcPr>
            <w:tcW w:w="180" w:type="dxa"/>
            <w:vAlign w:val="bottom"/>
          </w:tcPr>
          <w:p>
            <w:pPr>
              <w:spacing w:after="0"/>
              <w:rPr>
                <w:sz w:val="10"/>
                <w:szCs w:val="10"/>
                <w:color w:val="auto"/>
              </w:rPr>
            </w:pPr>
          </w:p>
        </w:tc>
        <w:tc>
          <w:tcPr>
            <w:tcW w:w="82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8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80" w:type="dxa"/>
            <w:vAlign w:val="bottom"/>
            <w:tcBorders>
              <w:top w:val="single" w:sz="8" w:color="auto"/>
            </w:tcBorders>
          </w:tcPr>
          <w:p>
            <w:pPr>
              <w:spacing w:after="0"/>
              <w:rPr>
                <w:sz w:val="10"/>
                <w:szCs w:val="10"/>
                <w:color w:val="auto"/>
              </w:rPr>
            </w:pPr>
          </w:p>
        </w:tc>
        <w:tc>
          <w:tcPr>
            <w:tcW w:w="60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4"/>
              </w:rPr>
              <w:t>August 2,</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60" w:type="dxa"/>
            <w:vAlign w:val="bottom"/>
            <w:tcBorders>
              <w:top w:val="single" w:sz="8" w:color="auto"/>
            </w:tcBorders>
            <w:gridSpan w:val="3"/>
          </w:tcPr>
          <w:p>
            <w:pPr>
              <w:jc w:val="right"/>
              <w:ind w:right="200"/>
              <w:spacing w:after="0" w:line="119" w:lineRule="exact"/>
              <w:rPr>
                <w:sz w:val="20"/>
                <w:szCs w:val="20"/>
                <w:color w:val="auto"/>
              </w:rPr>
            </w:pPr>
            <w:r>
              <w:rPr>
                <w:rFonts w:ascii="Arial" w:cs="Arial" w:eastAsia="Arial" w:hAnsi="Arial"/>
                <w:sz w:val="13"/>
                <w:szCs w:val="13"/>
                <w:b w:val="1"/>
                <w:bCs w:val="1"/>
                <w:color w:val="auto"/>
              </w:rPr>
              <w:t>January 30,</w:t>
            </w: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January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5"/>
              </w:rPr>
              <w:t xml:space="preserve">2016 </w:t>
            </w:r>
            <w:r>
              <w:rPr>
                <w:rFonts w:ascii="Arial" w:cs="Arial" w:eastAsia="Arial" w:hAnsi="Arial"/>
                <w:sz w:val="14"/>
                <w:szCs w:val="14"/>
                <w:b w:val="1"/>
                <w:bCs w:val="1"/>
                <w:i w:val="1"/>
                <w:iCs w:val="1"/>
                <w:color w:val="auto"/>
                <w:w w:val="95"/>
              </w:rPr>
              <w:t>(a)</w:t>
            </w:r>
          </w:p>
        </w:tc>
        <w:tc>
          <w:tcPr>
            <w:tcW w:w="100" w:type="dxa"/>
            <w:vAlign w:val="bottom"/>
          </w:tcPr>
          <w:p>
            <w:pPr>
              <w:spacing w:after="0"/>
              <w:rPr>
                <w:sz w:val="14"/>
                <w:szCs w:val="14"/>
                <w:color w:val="auto"/>
              </w:rPr>
            </w:pP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 xml:space="preserve">2015 </w:t>
            </w:r>
            <w:r>
              <w:rPr>
                <w:rFonts w:ascii="Arial" w:cs="Arial" w:eastAsia="Arial" w:hAnsi="Arial"/>
                <w:sz w:val="14"/>
                <w:szCs w:val="14"/>
                <w:b w:val="1"/>
                <w:bCs w:val="1"/>
                <w:i w:val="1"/>
                <w:iCs w:val="1"/>
                <w:color w:val="auto"/>
              </w:rPr>
              <w:t>(a) (b)</w:t>
            </w:r>
          </w:p>
        </w:tc>
        <w:tc>
          <w:tcPr>
            <w:tcW w:w="60" w:type="dxa"/>
            <w:vAlign w:val="bottom"/>
          </w:tcPr>
          <w:p>
            <w:pPr>
              <w:spacing w:after="0"/>
              <w:rPr>
                <w:sz w:val="14"/>
                <w:szCs w:val="14"/>
                <w:color w:val="auto"/>
              </w:rPr>
            </w:pPr>
          </w:p>
        </w:tc>
        <w:tc>
          <w:tcPr>
            <w:tcW w:w="860" w:type="dxa"/>
            <w:vAlign w:val="bottom"/>
            <w:gridSpan w:val="3"/>
          </w:tcPr>
          <w:p>
            <w:pPr>
              <w:spacing w:after="0"/>
              <w:rPr>
                <w:sz w:val="20"/>
                <w:szCs w:val="20"/>
                <w:color w:val="auto"/>
              </w:rPr>
            </w:pPr>
            <w:r>
              <w:rPr>
                <w:rFonts w:ascii="Arial" w:cs="Arial" w:eastAsia="Arial" w:hAnsi="Arial"/>
                <w:sz w:val="14"/>
                <w:szCs w:val="14"/>
                <w:b w:val="1"/>
                <w:bCs w:val="1"/>
                <w:color w:val="auto"/>
              </w:rPr>
              <w:t xml:space="preserve">2015 </w:t>
            </w:r>
            <w:r>
              <w:rPr>
                <w:rFonts w:ascii="Arial" w:cs="Arial" w:eastAsia="Arial" w:hAnsi="Arial"/>
                <w:sz w:val="14"/>
                <w:szCs w:val="14"/>
                <w:b w:val="1"/>
                <w:bCs w:val="1"/>
                <w:i w:val="1"/>
                <w:iCs w:val="1"/>
                <w:color w:val="auto"/>
              </w:rPr>
              <w:t>(a) (c)</w:t>
            </w:r>
          </w:p>
        </w:tc>
        <w:tc>
          <w:tcPr>
            <w:tcW w:w="160" w:type="dxa"/>
            <w:vAlign w:val="bottom"/>
          </w:tcPr>
          <w:p>
            <w:pPr>
              <w:spacing w:after="0"/>
              <w:rPr>
                <w:sz w:val="14"/>
                <w:szCs w:val="14"/>
                <w:color w:val="auto"/>
              </w:rPr>
            </w:pPr>
          </w:p>
        </w:tc>
        <w:tc>
          <w:tcPr>
            <w:tcW w:w="58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right"/>
              <w:ind w:right="188"/>
              <w:spacing w:after="0"/>
              <w:rPr>
                <w:sz w:val="20"/>
                <w:szCs w:val="20"/>
                <w:color w:val="auto"/>
              </w:rPr>
            </w:pPr>
            <w:r>
              <w:rPr>
                <w:rFonts w:ascii="Arial" w:cs="Arial" w:eastAsia="Arial" w:hAnsi="Arial"/>
                <w:sz w:val="14"/>
                <w:szCs w:val="14"/>
                <w:b w:val="1"/>
                <w:bCs w:val="1"/>
                <w:color w:val="auto"/>
              </w:rPr>
              <w:t>2014</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jc w:val="right"/>
              <w:ind w:right="88"/>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9"/>
              </w:rPr>
              <w:t xml:space="preserve">2016 </w:t>
            </w:r>
            <w:r>
              <w:rPr>
                <w:rFonts w:ascii="Arial" w:cs="Arial" w:eastAsia="Arial" w:hAnsi="Arial"/>
                <w:sz w:val="14"/>
                <w:szCs w:val="14"/>
                <w:b w:val="1"/>
                <w:bCs w:val="1"/>
                <w:i w:val="1"/>
                <w:iCs w:val="1"/>
                <w:color w:val="auto"/>
                <w:w w:val="99"/>
              </w:rPr>
              <w:t>(a)</w:t>
            </w:r>
          </w:p>
        </w:tc>
        <w:tc>
          <w:tcPr>
            <w:tcW w:w="100" w:type="dxa"/>
            <w:vAlign w:val="bottom"/>
          </w:tcPr>
          <w:p>
            <w:pPr>
              <w:spacing w:after="0"/>
              <w:rPr>
                <w:sz w:val="14"/>
                <w:szCs w:val="14"/>
                <w:color w:val="auto"/>
              </w:rPr>
            </w:pPr>
          </w:p>
        </w:tc>
        <w:tc>
          <w:tcPr>
            <w:tcW w:w="62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gridSpan w:val="4"/>
          </w:tcPr>
          <w:p>
            <w:pPr>
              <w:jc w:val="right"/>
              <w:ind w:right="120"/>
              <w:spacing w:after="0" w:line="142" w:lineRule="exact"/>
              <w:rPr>
                <w:sz w:val="20"/>
                <w:szCs w:val="20"/>
                <w:color w:val="auto"/>
              </w:rPr>
            </w:pPr>
            <w:r>
              <w:rPr>
                <w:rFonts w:ascii="Arial" w:cs="Arial" w:eastAsia="Arial" w:hAnsi="Arial"/>
                <w:sz w:val="14"/>
                <w:szCs w:val="14"/>
                <w:color w:val="auto"/>
              </w:rPr>
              <w:t>(Preliminary)</w:t>
            </w:r>
          </w:p>
        </w:tc>
        <w:tc>
          <w:tcPr>
            <w:tcW w:w="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color w:val="auto"/>
                <w:w w:val="95"/>
              </w:rPr>
              <w:t>(Preliminary)</w:t>
            </w:r>
          </w:p>
        </w:tc>
        <w:tc>
          <w:tcPr>
            <w:tcW w:w="1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revenue</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616,158</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674,890</w:t>
            </w:r>
          </w:p>
        </w:tc>
        <w:tc>
          <w:tcPr>
            <w:tcW w:w="1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710,492</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857,452</w:t>
            </w:r>
          </w:p>
        </w:tc>
        <w:tc>
          <w:tcPr>
            <w:tcW w:w="24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930,136</w:t>
            </w:r>
          </w:p>
        </w:tc>
        <w:tc>
          <w:tcPr>
            <w:tcW w:w="18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961,545</w:t>
            </w:r>
          </w:p>
        </w:tc>
        <w:tc>
          <w:tcPr>
            <w:tcW w:w="1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2,725,828</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3,706,963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302,610</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379,254</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461,719</w:t>
            </w:r>
          </w:p>
        </w:tc>
        <w:tc>
          <w:tcPr>
            <w:tcW w:w="160" w:type="dxa"/>
            <w:vAlign w:val="bottom"/>
          </w:tcPr>
          <w:p>
            <w:pPr>
              <w:spacing w:after="0"/>
              <w:rPr>
                <w:sz w:val="12"/>
                <w:szCs w:val="12"/>
                <w:color w:val="auto"/>
              </w:rPr>
            </w:pPr>
          </w:p>
        </w:tc>
        <w:tc>
          <w:tcPr>
            <w:tcW w:w="6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417,131</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454,974</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w w:val="94"/>
              </w:rPr>
              <w:t>477,741</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1,494,736</w:t>
            </w: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6"/>
              </w:rPr>
              <w:t>1,843,706</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313,548</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295,636</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248,773</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440,321</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475,162</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483,804</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1,231,092</w:t>
            </w: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1,863,257</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line="149" w:lineRule="exact"/>
              <w:rPr>
                <w:sz w:val="20"/>
                <w:szCs w:val="20"/>
                <w:color w:val="auto"/>
              </w:rPr>
            </w:pPr>
            <w:r>
              <w:rPr>
                <w:rFonts w:ascii="Arial" w:cs="Arial" w:eastAsia="Arial" w:hAnsi="Arial"/>
                <w:sz w:val="14"/>
                <w:szCs w:val="14"/>
                <w:color w:val="auto"/>
              </w:rPr>
              <w:t>Operating expenses:</w:t>
            </w: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239,703</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284,308</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297,321</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285,497</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288,435</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294,764</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1,101,446</w:t>
            </w: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1,164,059</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ind w:left="280"/>
              <w:spacing w:after="0" w:line="149" w:lineRule="exact"/>
              <w:rPr>
                <w:sz w:val="20"/>
                <w:szCs w:val="20"/>
                <w:color w:val="auto"/>
              </w:rPr>
            </w:pPr>
            <w:r>
              <w:rPr>
                <w:rFonts w:ascii="Arial" w:cs="Arial" w:eastAsia="Arial" w:hAnsi="Arial"/>
                <w:sz w:val="14"/>
                <w:szCs w:val="14"/>
                <w:color w:val="auto"/>
              </w:rPr>
              <w:t>Selling and marketing</w:t>
            </w:r>
          </w:p>
        </w:tc>
        <w:tc>
          <w:tcPr>
            <w:tcW w:w="10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31,301</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32,481</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30,841</w:t>
            </w:r>
          </w:p>
        </w:tc>
        <w:tc>
          <w:tcPr>
            <w:tcW w:w="160" w:type="dxa"/>
            <w:vAlign w:val="bottom"/>
          </w:tcPr>
          <w:p>
            <w:pPr>
              <w:spacing w:after="0"/>
              <w:rPr>
                <w:sz w:val="12"/>
                <w:szCs w:val="12"/>
                <w:color w:val="auto"/>
              </w:rPr>
            </w:pPr>
          </w:p>
        </w:tc>
        <w:tc>
          <w:tcPr>
            <w:tcW w:w="6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37,235</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34,410</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33,949</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130,797</w:t>
            </w:r>
          </w:p>
        </w:tc>
        <w:tc>
          <w:tcPr>
            <w:tcW w:w="100" w:type="dxa"/>
            <w:vAlign w:val="bottom"/>
          </w:tcPr>
          <w:p>
            <w:pPr>
              <w:spacing w:after="0"/>
              <w:rPr>
                <w:sz w:val="12"/>
                <w:szCs w:val="12"/>
                <w:color w:val="auto"/>
              </w:rPr>
            </w:pPr>
          </w:p>
        </w:tc>
        <w:tc>
          <w:tcPr>
            <w:tcW w:w="72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143,952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General and administrative</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37,812</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34,771</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36,563</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34,651</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33,473</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31,333</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150,173</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130,030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ind w:left="280"/>
              <w:spacing w:after="0" w:line="149" w:lineRule="exact"/>
              <w:rPr>
                <w:sz w:val="20"/>
                <w:szCs w:val="20"/>
                <w:color w:val="auto"/>
              </w:rPr>
            </w:pPr>
            <w:r>
              <w:rPr>
                <w:rFonts w:ascii="Arial" w:cs="Arial" w:eastAsia="Arial" w:hAnsi="Arial"/>
                <w:sz w:val="14"/>
                <w:szCs w:val="14"/>
                <w:color w:val="auto"/>
              </w:rPr>
              <w:t>Carnegie Mellon University litigation settlement</w:t>
            </w:r>
          </w:p>
        </w:tc>
        <w:tc>
          <w:tcPr>
            <w:tcW w:w="100" w:type="dxa"/>
            <w:vAlign w:val="bottom"/>
          </w:tcPr>
          <w:p>
            <w:pPr>
              <w:spacing w:after="0"/>
              <w:rPr>
                <w:sz w:val="12"/>
                <w:szCs w:val="12"/>
                <w:color w:val="auto"/>
              </w:rPr>
            </w:pP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654,667</w:t>
            </w:r>
          </w:p>
        </w:tc>
        <w:tc>
          <w:tcPr>
            <w:tcW w:w="160" w:type="dxa"/>
            <w:vAlign w:val="bottom"/>
          </w:tcPr>
          <w:p>
            <w:pPr>
              <w:spacing w:after="0"/>
              <w:rPr>
                <w:sz w:val="12"/>
                <w:szCs w:val="12"/>
                <w:color w:val="auto"/>
              </w:rPr>
            </w:pPr>
          </w:p>
        </w:tc>
        <w:tc>
          <w:tcPr>
            <w:tcW w:w="6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654,667</w:t>
            </w:r>
          </w:p>
        </w:tc>
        <w:tc>
          <w:tcPr>
            <w:tcW w:w="100" w:type="dxa"/>
            <w:vAlign w:val="bottom"/>
          </w:tcPr>
          <w:p>
            <w:pPr>
              <w:spacing w:after="0"/>
              <w:rPr>
                <w:sz w:val="12"/>
                <w:szCs w:val="12"/>
                <w:color w:val="auto"/>
              </w:rPr>
            </w:pP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Amortization and write-off of acquired intangible assets</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2,462</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3,150</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2,568</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3,100</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3,304</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3,304</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10,748</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16,397</w:t>
            </w: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430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10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311,278</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354,710</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89"/>
              </w:rPr>
              <w:t>1,021,960</w:t>
            </w:r>
          </w:p>
        </w:tc>
        <w:tc>
          <w:tcPr>
            <w:tcW w:w="18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360,483</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359,622</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4"/>
              </w:rPr>
              <w:t>363,350</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2,047,831</w:t>
            </w:r>
          </w:p>
        </w:tc>
        <w:tc>
          <w:tcPr>
            <w:tcW w:w="18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1,454,438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2,270</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(59,074)</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(773,187)</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79,838</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115,540</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120,454</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(816,739)</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408,819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1,084</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4,644</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6,790</w:t>
            </w:r>
          </w:p>
        </w:tc>
        <w:tc>
          <w:tcPr>
            <w:tcW w:w="160" w:type="dxa"/>
            <w:vAlign w:val="bottom"/>
          </w:tcPr>
          <w:p>
            <w:pPr>
              <w:spacing w:after="0"/>
              <w:rPr>
                <w:sz w:val="12"/>
                <w:szCs w:val="12"/>
                <w:color w:val="auto"/>
              </w:rPr>
            </w:pPr>
          </w:p>
        </w:tc>
        <w:tc>
          <w:tcPr>
            <w:tcW w:w="6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4,382</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4,764</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12,263</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17,685</w:t>
            </w:r>
          </w:p>
        </w:tc>
        <w:tc>
          <w:tcPr>
            <w:tcW w:w="100" w:type="dxa"/>
            <w:vAlign w:val="bottom"/>
          </w:tcPr>
          <w:p>
            <w:pPr>
              <w:spacing w:after="0"/>
              <w:rPr>
                <w:sz w:val="12"/>
                <w:szCs w:val="12"/>
                <w:color w:val="auto"/>
              </w:rPr>
            </w:pPr>
          </w:p>
        </w:tc>
        <w:tc>
          <w:tcPr>
            <w:tcW w:w="72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23,334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before income taxes</w:t>
            </w: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3,354</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(54,430)</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(766,397)</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84,220</w:t>
            </w: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120,304</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132,717</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(799,054)</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432,153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100" w:type="dxa"/>
            <w:vAlign w:val="bottom"/>
          </w:tcPr>
          <w:p>
            <w:pPr>
              <w:spacing w:after="0"/>
              <w:rPr>
                <w:sz w:val="12"/>
                <w:szCs w:val="12"/>
                <w:color w:val="auto"/>
              </w:rPr>
            </w:pPr>
          </w:p>
        </w:tc>
        <w:tc>
          <w:tcPr>
            <w:tcW w:w="7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(846)</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3,320</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5,543</w:t>
            </w:r>
          </w:p>
        </w:tc>
        <w:tc>
          <w:tcPr>
            <w:tcW w:w="160" w:type="dxa"/>
            <w:vAlign w:val="bottom"/>
          </w:tcPr>
          <w:p>
            <w:pPr>
              <w:spacing w:after="0"/>
              <w:rPr>
                <w:sz w:val="12"/>
                <w:szCs w:val="12"/>
                <w:color w:val="auto"/>
              </w:rPr>
            </w:pPr>
          </w:p>
        </w:tc>
        <w:tc>
          <w:tcPr>
            <w:tcW w:w="6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2,527</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5,000</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(6,153)</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12,346</w:t>
            </w:r>
          </w:p>
        </w:tc>
        <w:tc>
          <w:tcPr>
            <w:tcW w:w="100" w:type="dxa"/>
            <w:vAlign w:val="bottom"/>
          </w:tcPr>
          <w:p>
            <w:pPr>
              <w:spacing w:after="0"/>
              <w:rPr>
                <w:sz w:val="12"/>
                <w:szCs w:val="12"/>
                <w:color w:val="auto"/>
              </w:rPr>
            </w:pPr>
          </w:p>
        </w:tc>
        <w:tc>
          <w:tcPr>
            <w:tcW w:w="7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(3,193)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4,200</w:t>
            </w:r>
          </w:p>
        </w:tc>
        <w:tc>
          <w:tcPr>
            <w:tcW w:w="80" w:type="dxa"/>
            <w:vAlign w:val="bottom"/>
            <w:shd w:val="clear" w:color="auto" w:fill="CCEEFF"/>
          </w:tcPr>
          <w:p>
            <w:pPr>
              <w:spacing w:after="0"/>
              <w:rPr>
                <w:sz w:val="12"/>
                <w:szCs w:val="12"/>
                <w:color w:val="auto"/>
              </w:rPr>
            </w:pP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(57,750)</w:t>
            </w:r>
          </w:p>
        </w:tc>
        <w:tc>
          <w:tcPr>
            <w:tcW w:w="1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(771,940)</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81,693</w:t>
            </w:r>
          </w:p>
        </w:tc>
        <w:tc>
          <w:tcPr>
            <w:tcW w:w="24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115,304</w:t>
            </w:r>
          </w:p>
        </w:tc>
        <w:tc>
          <w:tcPr>
            <w:tcW w:w="18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138,870</w:t>
            </w:r>
          </w:p>
        </w:tc>
        <w:tc>
          <w:tcPr>
            <w:tcW w:w="1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(811,400)</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435,346</w:t>
            </w:r>
          </w:p>
        </w:tc>
        <w:tc>
          <w:tcPr>
            <w:tcW w:w="0" w:type="dxa"/>
            <w:vAlign w:val="bottom"/>
          </w:tcPr>
          <w:p>
            <w:pPr>
              <w:spacing w:after="0"/>
              <w:rPr>
                <w:sz w:val="1"/>
                <w:szCs w:val="1"/>
                <w:color w:val="auto"/>
              </w:rPr>
            </w:pPr>
          </w:p>
        </w:tc>
      </w:tr>
      <w:tr>
        <w:trPr>
          <w:trHeight w:val="20"/>
        </w:trPr>
        <w:tc>
          <w:tcPr>
            <w:tcW w:w="432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320" w:type="dxa"/>
            <w:vAlign w:val="bottom"/>
            <w:gridSpan w:val="2"/>
          </w:tcPr>
          <w:p>
            <w:pPr>
              <w:spacing w:after="0"/>
              <w:rPr>
                <w:sz w:val="20"/>
                <w:szCs w:val="20"/>
                <w:color w:val="auto"/>
              </w:rPr>
            </w:pPr>
            <w:r>
              <w:rPr>
                <w:rFonts w:ascii="Arial" w:cs="Arial" w:eastAsia="Arial" w:hAnsi="Arial"/>
                <w:sz w:val="14"/>
                <w:szCs w:val="14"/>
                <w:color w:val="auto"/>
              </w:rPr>
              <w:t>Basic net income (loss) per share</w:t>
            </w:r>
          </w:p>
        </w:tc>
        <w:tc>
          <w:tcPr>
            <w:tcW w:w="100" w:type="dxa"/>
            <w:vAlign w:val="bottom"/>
          </w:tcPr>
          <w:p>
            <w:pPr>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80"/>
              <w:spacing w:after="0"/>
              <w:rPr>
                <w:sz w:val="20"/>
                <w:szCs w:val="20"/>
                <w:color w:val="auto"/>
              </w:rPr>
            </w:pPr>
            <w:r>
              <w:rPr>
                <w:rFonts w:ascii="Arial" w:cs="Arial" w:eastAsia="Arial" w:hAnsi="Arial"/>
                <w:sz w:val="14"/>
                <w:szCs w:val="14"/>
                <w:color w:val="auto"/>
              </w:rPr>
              <w:t>0.01</w:t>
            </w:r>
          </w:p>
        </w:tc>
        <w:tc>
          <w:tcPr>
            <w:tcW w:w="260" w:type="dxa"/>
            <w:vAlign w:val="bottom"/>
            <w:gridSpan w:val="2"/>
          </w:tcPr>
          <w:p>
            <w:pPr>
              <w:ind w:left="100"/>
              <w:spacing w:after="0"/>
              <w:rPr>
                <w:sz w:val="20"/>
                <w:szCs w:val="20"/>
                <w:color w:val="auto"/>
              </w:rPr>
            </w:pPr>
            <w:r>
              <w:rPr>
                <w:rFonts w:ascii="Arial" w:cs="Arial" w:eastAsia="Arial" w:hAnsi="Arial"/>
                <w:sz w:val="14"/>
                <w:szCs w:val="14"/>
                <w:color w:val="auto"/>
              </w:rPr>
              <w:t>$</w:t>
            </w:r>
          </w:p>
        </w:tc>
        <w:tc>
          <w:tcPr>
            <w:tcW w:w="680" w:type="dxa"/>
            <w:vAlign w:val="bottom"/>
            <w:gridSpan w:val="2"/>
          </w:tcPr>
          <w:p>
            <w:pPr>
              <w:jc w:val="right"/>
              <w:ind w:right="60"/>
              <w:spacing w:after="0"/>
              <w:rPr>
                <w:sz w:val="20"/>
                <w:szCs w:val="20"/>
                <w:color w:val="auto"/>
              </w:rPr>
            </w:pPr>
            <w:r>
              <w:rPr>
                <w:rFonts w:ascii="Arial" w:cs="Arial" w:eastAsia="Arial" w:hAnsi="Arial"/>
                <w:sz w:val="14"/>
                <w:szCs w:val="14"/>
                <w:color w:val="auto"/>
              </w:rPr>
              <w:t>(0.11)</w:t>
            </w:r>
          </w:p>
        </w:tc>
        <w:tc>
          <w:tcPr>
            <w:tcW w:w="160" w:type="dxa"/>
            <w:vAlign w:val="bottom"/>
            <w:gridSpan w:val="2"/>
          </w:tcPr>
          <w:p>
            <w:pPr>
              <w:ind w:left="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(1.49)</w:t>
            </w:r>
          </w:p>
        </w:tc>
        <w:tc>
          <w:tcPr>
            <w:tcW w:w="160" w:type="dxa"/>
            <w:vAlign w:val="bottom"/>
          </w:tcPr>
          <w:p>
            <w:pPr>
              <w:spacing w:after="0"/>
              <w:rPr>
                <w:sz w:val="20"/>
                <w:szCs w:val="20"/>
                <w:color w:val="auto"/>
              </w:rPr>
            </w:pPr>
            <w:r>
              <w:rPr>
                <w:rFonts w:ascii="Arial" w:cs="Arial" w:eastAsia="Arial" w:hAnsi="Arial"/>
                <w:sz w:val="14"/>
                <w:szCs w:val="14"/>
                <w:color w:val="auto"/>
              </w:rPr>
              <w:t>$</w:t>
            </w:r>
          </w:p>
        </w:tc>
        <w:tc>
          <w:tcPr>
            <w:tcW w:w="660" w:type="dxa"/>
            <w:vAlign w:val="bottom"/>
            <w:gridSpan w:val="2"/>
          </w:tcPr>
          <w:p>
            <w:pPr>
              <w:jc w:val="right"/>
              <w:ind w:right="80"/>
              <w:spacing w:after="0"/>
              <w:rPr>
                <w:sz w:val="20"/>
                <w:szCs w:val="20"/>
                <w:color w:val="auto"/>
              </w:rPr>
            </w:pPr>
            <w:r>
              <w:rPr>
                <w:rFonts w:ascii="Arial" w:cs="Arial" w:eastAsia="Arial" w:hAnsi="Arial"/>
                <w:sz w:val="14"/>
                <w:szCs w:val="14"/>
                <w:color w:val="auto"/>
              </w:rPr>
              <w:t>0.16</w:t>
            </w:r>
          </w:p>
        </w:tc>
        <w:tc>
          <w:tcPr>
            <w:tcW w:w="240" w:type="dxa"/>
            <w:vAlign w:val="bottom"/>
            <w:gridSpan w:val="2"/>
          </w:tcPr>
          <w:p>
            <w:pPr>
              <w:ind w:left="80"/>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80"/>
              <w:spacing w:after="0"/>
              <w:rPr>
                <w:sz w:val="20"/>
                <w:szCs w:val="20"/>
                <w:color w:val="auto"/>
              </w:rPr>
            </w:pPr>
            <w:r>
              <w:rPr>
                <w:rFonts w:ascii="Arial" w:cs="Arial" w:eastAsia="Arial" w:hAnsi="Arial"/>
                <w:sz w:val="14"/>
                <w:szCs w:val="14"/>
                <w:color w:val="auto"/>
              </w:rPr>
              <w:t>0.22</w:t>
            </w:r>
          </w:p>
        </w:tc>
        <w:tc>
          <w:tcPr>
            <w:tcW w:w="180" w:type="dxa"/>
            <w:vAlign w:val="bottom"/>
            <w:gridSpan w:val="2"/>
          </w:tcPr>
          <w:p>
            <w:pPr>
              <w:ind w:left="80"/>
              <w:spacing w:after="0"/>
              <w:rPr>
                <w:sz w:val="20"/>
                <w:szCs w:val="20"/>
                <w:color w:val="auto"/>
              </w:rPr>
            </w:pPr>
            <w:r>
              <w:rPr>
                <w:rFonts w:ascii="Arial" w:cs="Arial" w:eastAsia="Arial" w:hAnsi="Arial"/>
                <w:sz w:val="14"/>
                <w:szCs w:val="14"/>
                <w:color w:val="auto"/>
              </w:rPr>
              <w:t>$</w:t>
            </w:r>
          </w:p>
        </w:tc>
        <w:tc>
          <w:tcPr>
            <w:tcW w:w="620" w:type="dxa"/>
            <w:vAlign w:val="bottom"/>
            <w:gridSpan w:val="2"/>
          </w:tcPr>
          <w:p>
            <w:pPr>
              <w:jc w:val="right"/>
              <w:ind w:right="120"/>
              <w:spacing w:after="0"/>
              <w:rPr>
                <w:sz w:val="20"/>
                <w:szCs w:val="20"/>
                <w:color w:val="auto"/>
              </w:rPr>
            </w:pPr>
            <w:r>
              <w:rPr>
                <w:rFonts w:ascii="Arial" w:cs="Arial" w:eastAsia="Arial" w:hAnsi="Arial"/>
                <w:sz w:val="14"/>
                <w:szCs w:val="14"/>
                <w:color w:val="auto"/>
              </w:rPr>
              <w:t>0.27</w:t>
            </w:r>
          </w:p>
        </w:tc>
        <w:tc>
          <w:tcPr>
            <w:tcW w:w="160" w:type="dxa"/>
            <w:vAlign w:val="bottom"/>
            <w:gridSpan w:val="2"/>
          </w:tcPr>
          <w:p>
            <w:pPr>
              <w:ind w:left="6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140"/>
              <w:spacing w:after="0"/>
              <w:rPr>
                <w:sz w:val="20"/>
                <w:szCs w:val="20"/>
                <w:color w:val="auto"/>
              </w:rPr>
            </w:pPr>
            <w:r>
              <w:rPr>
                <w:rFonts w:ascii="Arial" w:cs="Arial" w:eastAsia="Arial" w:hAnsi="Arial"/>
                <w:sz w:val="14"/>
                <w:szCs w:val="14"/>
                <w:color w:val="auto"/>
              </w:rPr>
              <w:t>(1.59)</w:t>
            </w:r>
          </w:p>
        </w:tc>
        <w:tc>
          <w:tcPr>
            <w:tcW w:w="100" w:type="dxa"/>
            <w:vAlign w:val="bottom"/>
          </w:tcPr>
          <w:p>
            <w:pPr>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4"/>
                <w:szCs w:val="14"/>
                <w:color w:val="auto"/>
              </w:rPr>
              <w:t>0.85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 w:type="dxa"/>
            <w:vAlign w:val="bottom"/>
          </w:tcPr>
          <w:p>
            <w:pPr>
              <w:spacing w:after="0"/>
              <w:rPr>
                <w:sz w:val="12"/>
                <w:szCs w:val="12"/>
                <w:color w:val="auto"/>
              </w:rPr>
            </w:pPr>
          </w:p>
        </w:tc>
        <w:tc>
          <w:tcPr>
            <w:tcW w:w="43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Diluted net income (loss) per share</w:t>
            </w:r>
          </w:p>
        </w:tc>
        <w:tc>
          <w:tcPr>
            <w:tcW w:w="1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0.01</w:t>
            </w:r>
          </w:p>
        </w:tc>
        <w:tc>
          <w:tcPr>
            <w:tcW w:w="80" w:type="dxa"/>
            <w:vAlign w:val="bottom"/>
            <w:shd w:val="clear" w:color="auto" w:fill="CCEEFF"/>
          </w:tcPr>
          <w:p>
            <w:pPr>
              <w:spacing w:after="0"/>
              <w:rPr>
                <w:sz w:val="12"/>
                <w:szCs w:val="12"/>
                <w:color w:val="auto"/>
              </w:rPr>
            </w:pPr>
          </w:p>
        </w:tc>
        <w:tc>
          <w:tcPr>
            <w:tcW w:w="260" w:type="dxa"/>
            <w:vAlign w:val="bottom"/>
            <w:gridSpan w:val="2"/>
            <w:shd w:val="clear" w:color="auto" w:fill="CCEEFF"/>
          </w:tcPr>
          <w:p>
            <w:pPr>
              <w:ind w:left="100"/>
              <w:spacing w:after="0" w:line="143"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60"/>
              <w:spacing w:after="0" w:line="143" w:lineRule="exact"/>
              <w:rPr>
                <w:sz w:val="20"/>
                <w:szCs w:val="20"/>
                <w:color w:val="auto"/>
              </w:rPr>
            </w:pPr>
            <w:r>
              <w:rPr>
                <w:rFonts w:ascii="Arial" w:cs="Arial" w:eastAsia="Arial" w:hAnsi="Arial"/>
                <w:sz w:val="14"/>
                <w:szCs w:val="14"/>
                <w:color w:val="auto"/>
              </w:rPr>
              <w:t>(0.11)</w:t>
            </w:r>
          </w:p>
        </w:tc>
        <w:tc>
          <w:tcPr>
            <w:tcW w:w="160" w:type="dxa"/>
            <w:vAlign w:val="bottom"/>
            <w:gridSpan w:val="2"/>
            <w:shd w:val="clear" w:color="auto" w:fill="CCEEFF"/>
          </w:tcPr>
          <w:p>
            <w:pPr>
              <w:ind w:left="60"/>
              <w:spacing w:after="0" w:line="143"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20"/>
              <w:spacing w:after="0" w:line="143" w:lineRule="exact"/>
              <w:rPr>
                <w:sz w:val="20"/>
                <w:szCs w:val="20"/>
                <w:color w:val="auto"/>
              </w:rPr>
            </w:pPr>
            <w:r>
              <w:rPr>
                <w:rFonts w:ascii="Arial" w:cs="Arial" w:eastAsia="Arial" w:hAnsi="Arial"/>
                <w:sz w:val="14"/>
                <w:szCs w:val="14"/>
                <w:color w:val="auto"/>
              </w:rPr>
              <w:t>(1.49)</w:t>
            </w:r>
          </w:p>
        </w:tc>
        <w:tc>
          <w:tcPr>
            <w:tcW w:w="16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80"/>
              <w:spacing w:after="0" w:line="143" w:lineRule="exact"/>
              <w:rPr>
                <w:sz w:val="20"/>
                <w:szCs w:val="20"/>
                <w:color w:val="auto"/>
              </w:rPr>
            </w:pPr>
            <w:r>
              <w:rPr>
                <w:rFonts w:ascii="Arial" w:cs="Arial" w:eastAsia="Arial" w:hAnsi="Arial"/>
                <w:sz w:val="14"/>
                <w:szCs w:val="14"/>
                <w:color w:val="auto"/>
              </w:rPr>
              <w:t>0.16</w:t>
            </w:r>
          </w:p>
        </w:tc>
        <w:tc>
          <w:tcPr>
            <w:tcW w:w="240" w:type="dxa"/>
            <w:vAlign w:val="bottom"/>
            <w:gridSpan w:val="2"/>
            <w:shd w:val="clear" w:color="auto" w:fill="CCEEFF"/>
          </w:tcPr>
          <w:p>
            <w:pPr>
              <w:ind w:left="80"/>
              <w:spacing w:after="0" w:line="143"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80"/>
              <w:spacing w:after="0" w:line="143" w:lineRule="exact"/>
              <w:rPr>
                <w:sz w:val="20"/>
                <w:szCs w:val="20"/>
                <w:color w:val="auto"/>
              </w:rPr>
            </w:pPr>
            <w:r>
              <w:rPr>
                <w:rFonts w:ascii="Arial" w:cs="Arial" w:eastAsia="Arial" w:hAnsi="Arial"/>
                <w:sz w:val="14"/>
                <w:szCs w:val="14"/>
                <w:color w:val="auto"/>
              </w:rPr>
              <w:t>0.22</w:t>
            </w:r>
          </w:p>
        </w:tc>
        <w:tc>
          <w:tcPr>
            <w:tcW w:w="180" w:type="dxa"/>
            <w:vAlign w:val="bottom"/>
            <w:gridSpan w:val="2"/>
            <w:shd w:val="clear" w:color="auto" w:fill="CCEEFF"/>
          </w:tcPr>
          <w:p>
            <w:pPr>
              <w:ind w:left="80"/>
              <w:spacing w:after="0" w:line="143"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ind w:right="120"/>
              <w:spacing w:after="0" w:line="143" w:lineRule="exact"/>
              <w:rPr>
                <w:sz w:val="20"/>
                <w:szCs w:val="20"/>
                <w:color w:val="auto"/>
              </w:rPr>
            </w:pPr>
            <w:r>
              <w:rPr>
                <w:rFonts w:ascii="Arial" w:cs="Arial" w:eastAsia="Arial" w:hAnsi="Arial"/>
                <w:sz w:val="14"/>
                <w:szCs w:val="14"/>
                <w:color w:val="auto"/>
              </w:rPr>
              <w:t>0.27</w:t>
            </w:r>
          </w:p>
        </w:tc>
        <w:tc>
          <w:tcPr>
            <w:tcW w:w="160" w:type="dxa"/>
            <w:vAlign w:val="bottom"/>
            <w:gridSpan w:val="2"/>
            <w:shd w:val="clear" w:color="auto" w:fill="CCEEFF"/>
          </w:tcPr>
          <w:p>
            <w:pPr>
              <w:ind w:left="60"/>
              <w:spacing w:after="0" w:line="143"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40"/>
              <w:spacing w:after="0" w:line="143" w:lineRule="exact"/>
              <w:rPr>
                <w:sz w:val="20"/>
                <w:szCs w:val="20"/>
                <w:color w:val="auto"/>
              </w:rPr>
            </w:pPr>
            <w:r>
              <w:rPr>
                <w:rFonts w:ascii="Arial" w:cs="Arial" w:eastAsia="Arial" w:hAnsi="Arial"/>
                <w:sz w:val="14"/>
                <w:szCs w:val="14"/>
                <w:color w:val="auto"/>
              </w:rPr>
              <w:t>(1.59)</w:t>
            </w:r>
          </w:p>
        </w:tc>
        <w:tc>
          <w:tcPr>
            <w:tcW w:w="1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00"/>
              <w:spacing w:after="0" w:line="143" w:lineRule="exact"/>
              <w:rPr>
                <w:sz w:val="20"/>
                <w:szCs w:val="20"/>
                <w:color w:val="auto"/>
              </w:rPr>
            </w:pPr>
            <w:r>
              <w:rPr>
                <w:rFonts w:ascii="Arial" w:cs="Arial" w:eastAsia="Arial" w:hAnsi="Arial"/>
                <w:sz w:val="14"/>
                <w:szCs w:val="14"/>
                <w:color w:val="auto"/>
              </w:rPr>
              <w:t>0.84</w:t>
            </w:r>
          </w:p>
        </w:tc>
        <w:tc>
          <w:tcPr>
            <w:tcW w:w="0" w:type="dxa"/>
            <w:vAlign w:val="bottom"/>
          </w:tcPr>
          <w:p>
            <w:pPr>
              <w:spacing w:after="0"/>
              <w:rPr>
                <w:sz w:val="1"/>
                <w:szCs w:val="1"/>
                <w:color w:val="auto"/>
              </w:rPr>
            </w:pPr>
          </w:p>
        </w:tc>
      </w:tr>
      <w:tr>
        <w:trPr>
          <w:trHeight w:val="20"/>
        </w:trPr>
        <w:tc>
          <w:tcPr>
            <w:tcW w:w="432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320" w:type="dxa"/>
            <w:vAlign w:val="bottom"/>
            <w:gridSpan w:val="2"/>
          </w:tcPr>
          <w:p>
            <w:pPr>
              <w:spacing w:after="0"/>
              <w:rPr>
                <w:sz w:val="20"/>
                <w:szCs w:val="20"/>
                <w:color w:val="auto"/>
              </w:rPr>
            </w:pPr>
            <w:r>
              <w:rPr>
                <w:rFonts w:ascii="Arial" w:cs="Arial" w:eastAsia="Arial" w:hAnsi="Arial"/>
                <w:sz w:val="14"/>
                <w:szCs w:val="14"/>
                <w:color w:val="auto"/>
              </w:rPr>
              <w:t>Shares used in computing basic earnings (loss) per share</w:t>
            </w:r>
          </w:p>
        </w:tc>
        <w:tc>
          <w:tcPr>
            <w:tcW w:w="100" w:type="dxa"/>
            <w:vAlign w:val="bottom"/>
          </w:tcPr>
          <w:p>
            <w:pPr>
              <w:spacing w:after="0"/>
              <w:rPr>
                <w:sz w:val="21"/>
                <w:szCs w:val="21"/>
                <w:color w:val="auto"/>
              </w:rPr>
            </w:pPr>
          </w:p>
        </w:tc>
        <w:tc>
          <w:tcPr>
            <w:tcW w:w="720" w:type="dxa"/>
            <w:vAlign w:val="bottom"/>
            <w:gridSpan w:val="2"/>
          </w:tcPr>
          <w:p>
            <w:pPr>
              <w:jc w:val="right"/>
              <w:ind w:right="80"/>
              <w:spacing w:after="0"/>
              <w:rPr>
                <w:sz w:val="20"/>
                <w:szCs w:val="20"/>
                <w:color w:val="auto"/>
              </w:rPr>
            </w:pPr>
            <w:r>
              <w:rPr>
                <w:rFonts w:ascii="Arial" w:cs="Arial" w:eastAsia="Arial" w:hAnsi="Arial"/>
                <w:sz w:val="14"/>
                <w:szCs w:val="14"/>
                <w:color w:val="auto"/>
              </w:rPr>
              <w:t>506,352</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4"/>
                <w:szCs w:val="14"/>
                <w:color w:val="auto"/>
              </w:rPr>
              <w:t>504,831</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4"/>
                <w:szCs w:val="14"/>
                <w:color w:val="auto"/>
              </w:rPr>
              <w:t>516,368</w:t>
            </w:r>
          </w:p>
        </w:tc>
        <w:tc>
          <w:tcPr>
            <w:tcW w:w="160" w:type="dxa"/>
            <w:vAlign w:val="bottom"/>
          </w:tcPr>
          <w:p>
            <w:pPr>
              <w:spacing w:after="0"/>
              <w:rPr>
                <w:sz w:val="21"/>
                <w:szCs w:val="21"/>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4"/>
                <w:szCs w:val="14"/>
                <w:color w:val="auto"/>
              </w:rPr>
              <w:t>513,574</w:t>
            </w:r>
          </w:p>
        </w:tc>
        <w:tc>
          <w:tcPr>
            <w:tcW w:w="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720" w:type="dxa"/>
            <w:vAlign w:val="bottom"/>
            <w:gridSpan w:val="2"/>
          </w:tcPr>
          <w:p>
            <w:pPr>
              <w:jc w:val="right"/>
              <w:ind w:right="80"/>
              <w:spacing w:after="0"/>
              <w:rPr>
                <w:sz w:val="20"/>
                <w:szCs w:val="20"/>
                <w:color w:val="auto"/>
              </w:rPr>
            </w:pPr>
            <w:r>
              <w:rPr>
                <w:rFonts w:ascii="Arial" w:cs="Arial" w:eastAsia="Arial" w:hAnsi="Arial"/>
                <w:sz w:val="14"/>
                <w:szCs w:val="14"/>
                <w:color w:val="auto"/>
              </w:rPr>
              <w:t>513,859</w:t>
            </w: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20" w:type="dxa"/>
            <w:vAlign w:val="bottom"/>
            <w:gridSpan w:val="2"/>
          </w:tcPr>
          <w:p>
            <w:pPr>
              <w:jc w:val="right"/>
              <w:ind w:right="120"/>
              <w:spacing w:after="0"/>
              <w:rPr>
                <w:sz w:val="20"/>
                <w:szCs w:val="20"/>
                <w:color w:val="auto"/>
              </w:rPr>
            </w:pPr>
            <w:r>
              <w:rPr>
                <w:rFonts w:ascii="Arial" w:cs="Arial" w:eastAsia="Arial" w:hAnsi="Arial"/>
                <w:sz w:val="14"/>
                <w:szCs w:val="14"/>
                <w:color w:val="auto"/>
                <w:w w:val="94"/>
              </w:rPr>
              <w:t>511,821</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4"/>
                <w:szCs w:val="14"/>
                <w:color w:val="auto"/>
              </w:rPr>
              <w:t>510,945</w:t>
            </w:r>
          </w:p>
        </w:tc>
        <w:tc>
          <w:tcPr>
            <w:tcW w:w="100" w:type="dxa"/>
            <w:vAlign w:val="bottom"/>
          </w:tcPr>
          <w:p>
            <w:pPr>
              <w:spacing w:after="0"/>
              <w:rPr>
                <w:sz w:val="21"/>
                <w:szCs w:val="21"/>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511,089</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Shares used in computing diluted earnings (loss) per share</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508,590</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504,831</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516,368</w:t>
            </w:r>
          </w:p>
        </w:tc>
        <w:tc>
          <w:tcPr>
            <w:tcW w:w="16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522,112</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519,907</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4"/>
              </w:rPr>
              <w:t>520,269</w:t>
            </w:r>
          </w:p>
        </w:tc>
        <w:tc>
          <w:tcPr>
            <w:tcW w:w="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510,945</w:t>
            </w: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520,760</w:t>
            </w:r>
          </w:p>
        </w:tc>
        <w:tc>
          <w:tcPr>
            <w:tcW w:w="0" w:type="dxa"/>
            <w:vAlign w:val="bottom"/>
          </w:tcPr>
          <w:p>
            <w:pPr>
              <w:spacing w:after="0"/>
              <w:rPr>
                <w:sz w:val="1"/>
                <w:szCs w:val="1"/>
                <w:color w:val="auto"/>
              </w:rPr>
            </w:pPr>
          </w:p>
        </w:tc>
      </w:tr>
    </w:tbl>
    <w:p>
      <w:pPr>
        <w:spacing w:after="0" w:line="224" w:lineRule="exact"/>
        <w:rPr>
          <w:sz w:val="20"/>
          <w:szCs w:val="20"/>
          <w:color w:val="auto"/>
        </w:rPr>
      </w:pPr>
    </w:p>
    <w:p>
      <w:pPr>
        <w:ind w:left="340" w:right="20" w:hanging="332"/>
        <w:spacing w:after="0" w:line="243" w:lineRule="auto"/>
        <w:tabs>
          <w:tab w:leader="none" w:pos="340" w:val="left"/>
        </w:tabs>
        <w:numPr>
          <w:ilvl w:val="0"/>
          <w:numId w:val="9"/>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each of the three months ended January 30, 2016, October 31, 2015 and August 1, 2015 are preliminary, as well as the twelve months ended January 30, 2016, and therefore, subject to adjustments in connection with subsequent events arising through the date of the Company’s filing of its Quarterly Reports on Form 10-Q and Annual Report on Form 10-K for the corresponding periods. The filing of each respective Form 10-Q and 10-K will be completed as soon as practicable after the completion of the audit of the Company’s fiscal 2016 financial statements by Deloitte &amp; Touche LLP, its newly appointed independent registered public accounting firm.</w:t>
      </w:r>
    </w:p>
    <w:p>
      <w:pPr>
        <w:ind w:left="340" w:right="60" w:hanging="332"/>
        <w:spacing w:after="0" w:line="238" w:lineRule="auto"/>
        <w:tabs>
          <w:tab w:leader="none" w:pos="340" w:val="left"/>
        </w:tabs>
        <w:numPr>
          <w:ilvl w:val="0"/>
          <w:numId w:val="9"/>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the three months ended October 31, 2015, for which the Company previously reported preliminary financial results on December 7, 2015 have been adjusted due to the delayed filing of its Form 10-Q for the third quarter. These adjustments were made to account for subsequent activities associated with conditions that existed as of October 31, 2015 (Type I Subsequent Events) and are not related to the Audit Committee’s investigation of certain accounting and internal control matters. Adjustments that have been recorded to the Company’s preliminary financial results after December 7, 2015 include a credit adjustment of $4.3 million to COGS due to the subsequent settlement in February 2016 for the Carnegie Mellon University litigation, a $1.5 million charge to write down equipment and intangible asset related to a development project the Company decided to discontinue, the recognition of an additional $0.8 million of revenue due to a subsequent rebate adjustment and corresponding reduction to the tax provision of $0.4 million. Due to the delayed filing and as a result of future subsequent events, there may be additional adjustments to these preliminary financial results through the date of the Company’s filing of its Form 10-Q.</w:t>
      </w:r>
    </w:p>
    <w:p>
      <w:pPr>
        <w:spacing w:after="0" w:line="2" w:lineRule="exact"/>
        <w:rPr>
          <w:rFonts w:ascii="Arial" w:cs="Arial" w:eastAsia="Arial" w:hAnsi="Arial"/>
          <w:sz w:val="13"/>
          <w:szCs w:val="13"/>
          <w:i w:val="1"/>
          <w:iCs w:val="1"/>
          <w:color w:val="auto"/>
        </w:rPr>
      </w:pPr>
    </w:p>
    <w:p>
      <w:pPr>
        <w:ind w:left="340" w:right="100" w:hanging="332"/>
        <w:spacing w:after="0" w:line="243" w:lineRule="auto"/>
        <w:tabs>
          <w:tab w:leader="none" w:pos="340" w:val="left"/>
        </w:tabs>
        <w:numPr>
          <w:ilvl w:val="0"/>
          <w:numId w:val="9"/>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the three months ended August 1, 2015, for which the Company previously reported preliminary financial results on September 11, 2015, have been adjusted due to the delayed filing of its Form 10-Q for the second quarter. These adjustments were made to account for subsequent activities associated with conditions that existed as of August 1, 2015 (Type I Subsequent Events) and are not related to the Audit Committee’s investigation of certain accounting and internal control matters. Adjustments that have been recorded to the Company’s preliminary financial results after September 11, 2015 include an additional $350.5 million charge due to the subsequent settlement in February 2016 for the Carnegie Mellon University litigation (of which $78.9 million was recorded to COGS), a $13.9 million write down of inventory primarily associated with certain products for the mobile platform business, $3.7 million related to other litigation charges, a $1.5 million charge related to a pension plan and an additional $3.0 million representing other net subsequent charges, as well as corresponding changes to the income tax benefit from $11.4 million to an income tax provision of $ 5.5 million. Due to the delayed filing and as a result of future subsequent events, there may be additional adjustments to these preliminary financial results through the date of the Company’s filing of its Form 10-Q.</w:t>
      </w:r>
    </w:p>
    <w:p>
      <w:pPr>
        <w:sectPr>
          <w:pgSz w:w="11900" w:h="16838" w:orient="portrait"/>
          <w:cols w:equalWidth="0" w:num="1">
            <w:col w:w="11420"/>
          </w:cols>
          <w:pgMar w:left="240" w:top="270" w:right="239" w:bottom="1440" w:gutter="0" w:footer="0" w:header="0"/>
        </w:sectPr>
      </w:pPr>
    </w:p>
    <w:bookmarkStart w:id="17" w:name="page18"/>
    <w:bookmarkEnd w:id="1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8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3"/>
              </w:rPr>
              <w:t>January 30,</w:t>
            </w:r>
          </w:p>
        </w:tc>
        <w:tc>
          <w:tcPr>
            <w:tcW w:w="14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 xml:space="preserve">2016 </w:t>
            </w:r>
            <w:r>
              <w:rPr>
                <w:rFonts w:ascii="Arial" w:cs="Arial" w:eastAsia="Arial" w:hAnsi="Arial"/>
                <w:sz w:val="14"/>
                <w:szCs w:val="14"/>
                <w:b w:val="1"/>
                <w:bCs w:val="1"/>
                <w:i w:val="1"/>
                <w:iCs w:val="1"/>
                <w:color w:val="auto"/>
              </w:rPr>
              <w:t>(a)</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color w:val="auto"/>
                <w:w w:val="98"/>
              </w:rPr>
              <w:t>(Preliminary)</w:t>
            </w: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2,282,749</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2,529,555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323,300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420,955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210,017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102,560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85,368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2,918,626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3,344,040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299,540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340,639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11,296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2,047,955</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2,060,643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164,710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2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5,442,127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93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180,372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282,899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253,691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286,357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Carnegie Mellon University accrued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736,000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55,722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68,120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liabilities</w:t>
            </w:r>
          </w:p>
        </w:tc>
        <w:tc>
          <w:tcPr>
            <w:tcW w:w="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1,225,785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637,376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76,219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100,922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w:t>
            </w:r>
          </w:p>
        </w:tc>
        <w:tc>
          <w:tcPr>
            <w:tcW w:w="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1,302,004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738,298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31"/>
        </w:trPr>
        <w:tc>
          <w:tcPr>
            <w:tcW w:w="93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Common stock</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3,028,921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3,099,548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Accumulated other comprehensive income (loss)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(795)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Retained earnings</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w w:val="87"/>
              </w:rPr>
              <w:t>1,110,982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2,045,203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shareholders’ equity</w:t>
            </w:r>
          </w:p>
        </w:tc>
        <w:tc>
          <w:tcPr>
            <w:tcW w:w="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4,140,123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5,146,089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5,442,127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60" w:hanging="452"/>
        <w:spacing w:after="0" w:line="259"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The condensed consolidated balance sheet at January 30, 2016 is preliminary and therefore, subject to adjustments in connection with subsequent events arising through the date of the Company’s filing of its Annual Report on Form 10-K for the corresponding period. The filing of the Form 10-K will be completed as soon as practicable after the completion of the audit of the Company’s fiscal 2016 financial statements by Deloitte &amp; Touche LLP, its newly appointed independent registered public accounting firm.</w:t>
      </w:r>
    </w:p>
    <w:p>
      <w:pPr>
        <w:sectPr>
          <w:pgSz w:w="11900" w:h="16838" w:orient="portrait"/>
          <w:cols w:equalWidth="0" w:num="1">
            <w:col w:w="11420"/>
          </w:cols>
          <w:pgMar w:left="240" w:top="270" w:right="239" w:bottom="1440" w:gutter="0" w:footer="0" w:header="0"/>
        </w:sectPr>
      </w:pPr>
    </w:p>
    <w:bookmarkStart w:id="18" w:name="page19"/>
    <w:bookmarkEnd w:id="1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Fiscal 2016</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Fiscal 2015</w:t>
            </w: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60" w:type="dxa"/>
            <w:vAlign w:val="bottom"/>
            <w:gridSpan w:val="5"/>
            <w:vMerge w:val="restart"/>
          </w:tcPr>
          <w:p>
            <w:pPr>
              <w:jc w:val="right"/>
              <w:ind w:right="6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80" w:type="dxa"/>
            <w:vAlign w:val="bottom"/>
            <w:gridSpan w:val="7"/>
          </w:tcPr>
          <w:p>
            <w:pPr>
              <w:jc w:val="right"/>
              <w:spacing w:after="0" w:line="142" w:lineRule="exact"/>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20" w:type="dxa"/>
            <w:vAlign w:val="bottom"/>
            <w:gridSpan w:val="6"/>
          </w:tcPr>
          <w:p>
            <w:pPr>
              <w:jc w:val="right"/>
              <w:ind w:right="40"/>
              <w:spacing w:after="0" w:line="142" w:lineRule="exact"/>
              <w:rPr>
                <w:sz w:val="20"/>
                <w:szCs w:val="20"/>
                <w:color w:val="auto"/>
              </w:rPr>
            </w:pPr>
            <w:r>
              <w:rPr>
                <w:rFonts w:ascii="Arial" w:cs="Arial" w:eastAsia="Arial" w:hAnsi="Arial"/>
                <w:sz w:val="14"/>
                <w:szCs w:val="14"/>
                <w:b w:val="1"/>
                <w:bCs w:val="1"/>
                <w:color w:val="auto"/>
              </w:rPr>
              <w:t>Three Months Ended</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gridSpan w:val="5"/>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20" w:type="dxa"/>
            <w:vAlign w:val="bottom"/>
            <w:tcBorders>
              <w:top w:val="single" w:sz="8" w:color="auto"/>
            </w:tcBorders>
            <w:gridSpan w:val="4"/>
          </w:tcPr>
          <w:p>
            <w:pPr>
              <w:spacing w:after="0" w:line="119" w:lineRule="exact"/>
              <w:rPr>
                <w:sz w:val="20"/>
                <w:szCs w:val="20"/>
                <w:color w:val="auto"/>
              </w:rPr>
            </w:pPr>
            <w:r>
              <w:rPr>
                <w:rFonts w:ascii="Arial" w:cs="Arial" w:eastAsia="Arial" w:hAnsi="Arial"/>
                <w:sz w:val="13"/>
                <w:szCs w:val="13"/>
                <w:b w:val="1"/>
                <w:bCs w:val="1"/>
                <w:color w:val="auto"/>
              </w:rPr>
              <w:t>January 30,</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31,</w:t>
            </w:r>
          </w:p>
        </w:tc>
        <w:tc>
          <w:tcPr>
            <w:tcW w:w="66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1,</w:t>
            </w: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8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12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2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2,</w:t>
            </w:r>
          </w:p>
        </w:tc>
        <w:tc>
          <w:tcPr>
            <w:tcW w:w="260" w:type="dxa"/>
            <w:vAlign w:val="bottom"/>
          </w:tcPr>
          <w:p>
            <w:pPr>
              <w:spacing w:after="0"/>
              <w:rPr>
                <w:sz w:val="10"/>
                <w:szCs w:val="10"/>
                <w:color w:val="auto"/>
              </w:rPr>
            </w:pPr>
          </w:p>
        </w:tc>
        <w:tc>
          <w:tcPr>
            <w:tcW w:w="1060" w:type="dxa"/>
            <w:vAlign w:val="bottom"/>
            <w:tcBorders>
              <w:top w:val="single" w:sz="8" w:color="auto"/>
            </w:tcBorders>
            <w:gridSpan w:val="3"/>
          </w:tcPr>
          <w:p>
            <w:pPr>
              <w:jc w:val="right"/>
              <w:ind w:right="300"/>
              <w:spacing w:after="0" w:line="119" w:lineRule="exact"/>
              <w:rPr>
                <w:sz w:val="20"/>
                <w:szCs w:val="20"/>
                <w:color w:val="auto"/>
              </w:rPr>
            </w:pPr>
            <w:r>
              <w:rPr>
                <w:rFonts w:ascii="Arial" w:cs="Arial" w:eastAsia="Arial" w:hAnsi="Arial"/>
                <w:sz w:val="13"/>
                <w:szCs w:val="13"/>
                <w:b w:val="1"/>
                <w:bCs w:val="1"/>
                <w:color w:val="auto"/>
              </w:rPr>
              <w:t>January 30,</w:t>
            </w: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January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5"/>
              </w:rPr>
              <w:t xml:space="preserve">2016 </w:t>
            </w:r>
            <w:r>
              <w:rPr>
                <w:rFonts w:ascii="Arial" w:cs="Arial" w:eastAsia="Arial" w:hAnsi="Arial"/>
                <w:sz w:val="14"/>
                <w:szCs w:val="14"/>
                <w:b w:val="1"/>
                <w:bCs w:val="1"/>
                <w:i w:val="1"/>
                <w:iCs w:val="1"/>
                <w:color w:val="auto"/>
                <w:w w:val="95"/>
              </w:rPr>
              <w:t>(a)</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5"/>
              </w:rPr>
              <w:t xml:space="preserve">2015 </w:t>
            </w:r>
            <w:r>
              <w:rPr>
                <w:rFonts w:ascii="Arial" w:cs="Arial" w:eastAsia="Arial" w:hAnsi="Arial"/>
                <w:sz w:val="14"/>
                <w:szCs w:val="14"/>
                <w:b w:val="1"/>
                <w:bCs w:val="1"/>
                <w:i w:val="1"/>
                <w:iCs w:val="1"/>
                <w:color w:val="auto"/>
                <w:w w:val="95"/>
              </w:rPr>
              <w:t>(a)</w:t>
            </w:r>
          </w:p>
        </w:tc>
        <w:tc>
          <w:tcPr>
            <w:tcW w:w="80" w:type="dxa"/>
            <w:vAlign w:val="bottom"/>
          </w:tcPr>
          <w:p>
            <w:pPr>
              <w:spacing w:after="0"/>
              <w:rPr>
                <w:sz w:val="14"/>
                <w:szCs w:val="14"/>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1"/>
              </w:rPr>
              <w:t xml:space="preserve">2015 </w:t>
            </w:r>
            <w:r>
              <w:rPr>
                <w:rFonts w:ascii="Arial" w:cs="Arial" w:eastAsia="Arial" w:hAnsi="Arial"/>
                <w:sz w:val="14"/>
                <w:szCs w:val="14"/>
                <w:b w:val="1"/>
                <w:bCs w:val="1"/>
                <w:i w:val="1"/>
                <w:iCs w:val="1"/>
                <w:color w:val="auto"/>
                <w:w w:val="91"/>
              </w:rPr>
              <w:t>(a)</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68"/>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0" w:type="dxa"/>
            <w:vAlign w:val="bottom"/>
          </w:tcPr>
          <w:p>
            <w:pPr>
              <w:jc w:val="right"/>
              <w:ind w:right="128"/>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95"/>
              </w:rPr>
              <w:t xml:space="preserve">2016 </w:t>
            </w:r>
            <w:r>
              <w:rPr>
                <w:rFonts w:ascii="Arial" w:cs="Arial" w:eastAsia="Arial" w:hAnsi="Arial"/>
                <w:sz w:val="14"/>
                <w:szCs w:val="14"/>
                <w:b w:val="1"/>
                <w:bCs w:val="1"/>
                <w:i w:val="1"/>
                <w:iCs w:val="1"/>
                <w:color w:val="auto"/>
                <w:w w:val="95"/>
              </w:rPr>
              <w:t>(a)</w:t>
            </w:r>
          </w:p>
        </w:tc>
        <w:tc>
          <w:tcPr>
            <w:tcW w:w="80" w:type="dxa"/>
            <w:vAlign w:val="bottom"/>
          </w:tcPr>
          <w:p>
            <w:pPr>
              <w:spacing w:after="0"/>
              <w:rPr>
                <w:sz w:val="14"/>
                <w:szCs w:val="14"/>
                <w:color w:val="auto"/>
              </w:rPr>
            </w:pPr>
          </w:p>
        </w:tc>
        <w:tc>
          <w:tcPr>
            <w:tcW w:w="64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gridSpan w:val="4"/>
          </w:tcPr>
          <w:p>
            <w:pPr>
              <w:jc w:val="right"/>
              <w:ind w:right="260"/>
              <w:spacing w:after="0" w:line="142" w:lineRule="exact"/>
              <w:rPr>
                <w:sz w:val="20"/>
                <w:szCs w:val="20"/>
                <w:color w:val="auto"/>
              </w:rPr>
            </w:pPr>
            <w:r>
              <w:rPr>
                <w:rFonts w:ascii="Arial" w:cs="Arial" w:eastAsia="Arial" w:hAnsi="Arial"/>
                <w:sz w:val="14"/>
                <w:szCs w:val="14"/>
                <w:color w:val="auto"/>
              </w:rPr>
              <w:t>(Preliminary)</w:t>
            </w: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color w:val="auto"/>
                <w:w w:val="95"/>
              </w:rPr>
              <w:t>(Preliminary)</w:t>
            </w:r>
          </w:p>
        </w:tc>
        <w:tc>
          <w:tcPr>
            <w:tcW w:w="28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flows from operating activities: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spacing w:after="0" w:line="149" w:lineRule="exact"/>
              <w:rPr>
                <w:sz w:val="20"/>
                <w:szCs w:val="20"/>
                <w:color w:val="auto"/>
              </w:rPr>
            </w:pPr>
            <w:r>
              <w:rPr>
                <w:rFonts w:ascii="Arial" w:cs="Arial" w:eastAsia="Arial" w:hAnsi="Arial"/>
                <w:sz w:val="14"/>
                <w:szCs w:val="14"/>
                <w:color w:val="auto"/>
              </w:rPr>
              <w:t>Net income (loss)</w:t>
            </w:r>
          </w:p>
        </w:tc>
        <w:tc>
          <w:tcPr>
            <w:tcW w:w="80" w:type="dxa"/>
            <w:vAlign w:val="bottom"/>
            <w:gridSpan w:val="2"/>
          </w:tcPr>
          <w:p>
            <w:pPr>
              <w:spacing w:after="0" w:line="149" w:lineRule="exact"/>
              <w:rPr>
                <w:sz w:val="20"/>
                <w:szCs w:val="20"/>
                <w:color w:val="auto"/>
              </w:rPr>
            </w:pPr>
            <w:r>
              <w:rPr>
                <w:rFonts w:ascii="Arial" w:cs="Arial" w:eastAsia="Arial" w:hAnsi="Arial"/>
                <w:sz w:val="14"/>
                <w:szCs w:val="14"/>
                <w:color w:val="auto"/>
                <w:w w:val="76"/>
              </w:rPr>
              <w:t>$</w:t>
            </w: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4,200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(57,750)</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(771,940)</w:t>
            </w:r>
          </w:p>
        </w:tc>
        <w:tc>
          <w:tcPr>
            <w:tcW w:w="240" w:type="dxa"/>
            <w:vAlign w:val="bottom"/>
            <w:gridSpan w:val="2"/>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81,693</w:t>
            </w:r>
          </w:p>
        </w:tc>
        <w:tc>
          <w:tcPr>
            <w:tcW w:w="260" w:type="dxa"/>
            <w:vAlign w:val="bottom"/>
            <w:gridSpan w:val="2"/>
          </w:tcPr>
          <w:p>
            <w:pPr>
              <w:ind w:lef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115,304</w:t>
            </w:r>
          </w:p>
        </w:tc>
        <w:tc>
          <w:tcPr>
            <w:tcW w:w="8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138,870</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(811,400)</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435,346</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Adjustments to reconcile net income (loss) to net cash</w:t>
            </w: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140"/>
              <w:spacing w:after="0"/>
              <w:rPr>
                <w:sz w:val="20"/>
                <w:szCs w:val="20"/>
                <w:color w:val="auto"/>
              </w:rPr>
            </w:pPr>
            <w:r>
              <w:rPr>
                <w:rFonts w:ascii="Arial" w:cs="Arial" w:eastAsia="Arial" w:hAnsi="Arial"/>
                <w:sz w:val="14"/>
                <w:szCs w:val="14"/>
                <w:color w:val="auto"/>
              </w:rPr>
              <w:t>provided by operating activities:</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0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6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Depreciation and amortization</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22,800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25,565</w:t>
            </w:r>
          </w:p>
        </w:tc>
        <w:tc>
          <w:tcPr>
            <w:tcW w:w="80" w:type="dxa"/>
            <w:vAlign w:val="bottom"/>
          </w:tcPr>
          <w:p>
            <w:pPr>
              <w:spacing w:after="0"/>
              <w:rPr>
                <w:sz w:val="12"/>
                <w:szCs w:val="12"/>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25,191</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26,464</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26,515</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26,263</w:t>
            </w:r>
          </w:p>
        </w:tc>
        <w:tc>
          <w:tcPr>
            <w:tcW w:w="12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100,176</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106,248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32,419</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31,465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36,674</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37,963</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34,294</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35,020</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133,779</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137,246</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tcPr>
          <w:p>
            <w:pPr>
              <w:ind w:left="280"/>
              <w:spacing w:after="0" w:line="130" w:lineRule="exact"/>
              <w:rPr>
                <w:sz w:val="20"/>
                <w:szCs w:val="20"/>
                <w:color w:val="auto"/>
              </w:rPr>
            </w:pPr>
            <w:r>
              <w:rPr>
                <w:rFonts w:ascii="Arial" w:cs="Arial" w:eastAsia="Arial" w:hAnsi="Arial"/>
                <w:sz w:val="14"/>
                <w:szCs w:val="14"/>
                <w:color w:val="auto"/>
              </w:rPr>
              <w:t>Amortization and write-off of acquired intangible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tcPr>
          <w:p>
            <w:pPr>
              <w:ind w:left="420"/>
              <w:spacing w:after="0"/>
              <w:rPr>
                <w:sz w:val="20"/>
                <w:szCs w:val="20"/>
                <w:color w:val="auto"/>
              </w:rPr>
            </w:pPr>
            <w:r>
              <w:rPr>
                <w:rFonts w:ascii="Arial" w:cs="Arial" w:eastAsia="Arial" w:hAnsi="Arial"/>
                <w:sz w:val="14"/>
                <w:szCs w:val="14"/>
                <w:color w:val="auto"/>
              </w:rPr>
              <w:t>assets</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4"/>
                <w:szCs w:val="14"/>
                <w:color w:val="auto"/>
              </w:rPr>
              <w:t>2,947</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3,635</w:t>
            </w:r>
          </w:p>
        </w:tc>
        <w:tc>
          <w:tcPr>
            <w:tcW w:w="80" w:type="dxa"/>
            <w:vAlign w:val="bottom"/>
          </w:tcPr>
          <w:p>
            <w:pPr>
              <w:spacing w:after="0"/>
              <w:rPr>
                <w:sz w:val="14"/>
                <w:szCs w:val="14"/>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4"/>
                <w:szCs w:val="14"/>
                <w:color w:val="auto"/>
              </w:rPr>
              <w:t>3,053</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4"/>
                <w:szCs w:val="14"/>
                <w:color w:val="auto"/>
              </w:rPr>
              <w:t>3,585</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4"/>
                <w:szCs w:val="14"/>
                <w:color w:val="auto"/>
              </w:rPr>
              <w:t>3,789</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3,789</w:t>
            </w:r>
          </w:p>
        </w:tc>
        <w:tc>
          <w:tcPr>
            <w:tcW w:w="120" w:type="dxa"/>
            <w:vAlign w:val="bottom"/>
          </w:tcPr>
          <w:p>
            <w:pPr>
              <w:spacing w:after="0"/>
              <w:rPr>
                <w:sz w:val="14"/>
                <w:szCs w:val="14"/>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4"/>
                <w:szCs w:val="14"/>
                <w:color w:val="auto"/>
              </w:rPr>
              <w:t>12,688</w:t>
            </w:r>
          </w:p>
        </w:tc>
        <w:tc>
          <w:tcPr>
            <w:tcW w:w="80" w:type="dxa"/>
            <w:vAlign w:val="bottom"/>
          </w:tcPr>
          <w:p>
            <w:pPr>
              <w:spacing w:after="0"/>
              <w:rPr>
                <w:sz w:val="14"/>
                <w:szCs w:val="14"/>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4"/>
                <w:szCs w:val="14"/>
                <w:color w:val="auto"/>
              </w:rPr>
              <w:t>18,337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Non-cash restructuring and other related charges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289</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14,270</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900</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3,230</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16,032</w:t>
            </w: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Other non-cash expense (income), net</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7,885</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4,205</w:t>
            </w:r>
          </w:p>
        </w:tc>
        <w:tc>
          <w:tcPr>
            <w:tcW w:w="80" w:type="dxa"/>
            <w:vAlign w:val="bottom"/>
          </w:tcPr>
          <w:p>
            <w:pPr>
              <w:spacing w:after="0"/>
              <w:rPr>
                <w:sz w:val="12"/>
                <w:szCs w:val="12"/>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2,283</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(1,699)</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(6,034)</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(7,596)</w:t>
            </w:r>
          </w:p>
        </w:tc>
        <w:tc>
          <w:tcPr>
            <w:tcW w:w="12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13,811</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(10,646)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Excess tax benefits from share-based compensation</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(7)</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(32)</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(26)</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Changes in assets and liabilities: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Accounts receivable</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57,628</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36,793</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(23,907)</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25,719</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40,214</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33,419</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97,655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34,165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560"/>
              <w:spacing w:after="0" w:line="149" w:lineRule="exact"/>
              <w:rPr>
                <w:sz w:val="20"/>
                <w:szCs w:val="20"/>
                <w:color w:val="auto"/>
              </w:rPr>
            </w:pPr>
            <w:r>
              <w:rPr>
                <w:rFonts w:ascii="Arial" w:cs="Arial" w:eastAsia="Arial" w:hAnsi="Arial"/>
                <w:sz w:val="14"/>
                <w:szCs w:val="14"/>
                <w:color w:val="auto"/>
              </w:rPr>
              <w:t>Inventories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69,544</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39,457</w:t>
            </w:r>
          </w:p>
        </w:tc>
        <w:tc>
          <w:tcPr>
            <w:tcW w:w="80" w:type="dxa"/>
            <w:vAlign w:val="bottom"/>
          </w:tcPr>
          <w:p>
            <w:pPr>
              <w:spacing w:after="0"/>
              <w:rPr>
                <w:sz w:val="12"/>
                <w:szCs w:val="12"/>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12,903</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48,247</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37,506</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(43,194)</w:t>
            </w:r>
          </w:p>
        </w:tc>
        <w:tc>
          <w:tcPr>
            <w:tcW w:w="12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90,586</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39,454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Prepaid expenses and other assets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(35,245)</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6,804</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9,358</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4,087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18,536</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(24,996)</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(17,113)</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(7,125)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560"/>
              <w:spacing w:after="0" w:line="149" w:lineRule="exact"/>
              <w:rPr>
                <w:sz w:val="20"/>
                <w:szCs w:val="20"/>
                <w:color w:val="auto"/>
              </w:rPr>
            </w:pPr>
            <w:r>
              <w:rPr>
                <w:rFonts w:ascii="Arial" w:cs="Arial" w:eastAsia="Arial" w:hAnsi="Arial"/>
                <w:sz w:val="14"/>
                <w:szCs w:val="14"/>
                <w:color w:val="auto"/>
              </w:rPr>
              <w:t>Accounts payable</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(62,163)</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(55,693)</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(5,167)</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(60,808)</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(70,749)</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2,558</w:t>
            </w:r>
          </w:p>
        </w:tc>
        <w:tc>
          <w:tcPr>
            <w:tcW w:w="120" w:type="dxa"/>
            <w:vAlign w:val="bottom"/>
          </w:tcPr>
          <w:p>
            <w:pPr>
              <w:spacing w:after="0"/>
              <w:rPr>
                <w:sz w:val="12"/>
                <w:szCs w:val="12"/>
                <w:color w:val="auto"/>
              </w:rPr>
            </w:pPr>
          </w:p>
        </w:tc>
        <w:tc>
          <w:tcPr>
            <w:tcW w:w="9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(105,898)</w:t>
            </w:r>
          </w:p>
        </w:tc>
        <w:tc>
          <w:tcPr>
            <w:tcW w:w="80" w:type="dxa"/>
            <w:vAlign w:val="bottom"/>
          </w:tcPr>
          <w:p>
            <w:pPr>
              <w:spacing w:after="0"/>
              <w:rPr>
                <w:sz w:val="12"/>
                <w:szCs w:val="12"/>
                <w:color w:val="auto"/>
              </w:rPr>
            </w:pP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(43,871)</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ind w:left="560"/>
              <w:spacing w:after="0" w:line="130" w:lineRule="exact"/>
              <w:rPr>
                <w:sz w:val="20"/>
                <w:szCs w:val="20"/>
                <w:color w:val="auto"/>
              </w:rPr>
            </w:pPr>
            <w:r>
              <w:rPr>
                <w:rFonts w:ascii="Arial" w:cs="Arial" w:eastAsia="Arial" w:hAnsi="Arial"/>
                <w:sz w:val="14"/>
                <w:szCs w:val="14"/>
                <w:color w:val="auto"/>
              </w:rPr>
              <w:t>Accrued liabilities and other non-current</w:t>
            </w: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700"/>
              <w:spacing w:after="0"/>
              <w:rPr>
                <w:sz w:val="20"/>
                <w:szCs w:val="20"/>
                <w:color w:val="auto"/>
              </w:rPr>
            </w:pPr>
            <w:r>
              <w:rPr>
                <w:rFonts w:ascii="Arial" w:cs="Arial" w:eastAsia="Arial" w:hAnsi="Arial"/>
                <w:sz w:val="14"/>
                <w:szCs w:val="14"/>
                <w:color w:val="auto"/>
              </w:rPr>
              <w:t>liabilities</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(27,218)</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3,958</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19,634</w:t>
            </w: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(12,189)</w:t>
            </w: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(24,997)</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10,096</w:t>
            </w:r>
          </w:p>
        </w:tc>
        <w:tc>
          <w:tcPr>
            <w:tcW w:w="120" w:type="dxa"/>
            <w:vAlign w:val="bottom"/>
            <w:shd w:val="clear" w:color="auto" w:fill="CCEEFF"/>
          </w:tcPr>
          <w:p>
            <w:pPr>
              <w:spacing w:after="0"/>
              <w:rPr>
                <w:sz w:val="14"/>
                <w:szCs w:val="14"/>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(15,202)</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(30,024)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tcPr>
          <w:p>
            <w:pPr>
              <w:ind w:left="560"/>
              <w:spacing w:after="0" w:line="130" w:lineRule="exact"/>
              <w:rPr>
                <w:sz w:val="20"/>
                <w:szCs w:val="20"/>
                <w:color w:val="auto"/>
              </w:rPr>
            </w:pPr>
            <w:r>
              <w:rPr>
                <w:rFonts w:ascii="Arial" w:cs="Arial" w:eastAsia="Arial" w:hAnsi="Arial"/>
                <w:sz w:val="14"/>
                <w:szCs w:val="14"/>
                <w:color w:val="auto"/>
              </w:rPr>
              <w:t>Carnegie Mellon University accrued litigation</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tcPr>
          <w:p>
            <w:pPr>
              <w:ind w:left="700"/>
              <w:spacing w:after="0"/>
              <w:rPr>
                <w:sz w:val="20"/>
                <w:szCs w:val="20"/>
                <w:color w:val="auto"/>
              </w:rPr>
            </w:pPr>
            <w:r>
              <w:rPr>
                <w:rFonts w:ascii="Arial" w:cs="Arial" w:eastAsia="Arial" w:hAnsi="Arial"/>
                <w:sz w:val="14"/>
                <w:szCs w:val="14"/>
                <w:color w:val="auto"/>
              </w:rPr>
              <w:t>settlement</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4"/>
                <w:szCs w:val="14"/>
                <w:color w:val="auto"/>
              </w:rPr>
              <w:t>1,285</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1,158</w:t>
            </w:r>
          </w:p>
        </w:tc>
        <w:tc>
          <w:tcPr>
            <w:tcW w:w="80" w:type="dxa"/>
            <w:vAlign w:val="bottom"/>
          </w:tcPr>
          <w:p>
            <w:pPr>
              <w:spacing w:after="0"/>
              <w:rPr>
                <w:sz w:val="14"/>
                <w:szCs w:val="14"/>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4"/>
                <w:szCs w:val="14"/>
                <w:color w:val="auto"/>
              </w:rPr>
              <w:t>733,557</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4"/>
                <w:szCs w:val="14"/>
                <w:color w:val="auto"/>
              </w:rPr>
              <w:t>736,000</w:t>
            </w:r>
          </w:p>
        </w:tc>
        <w:tc>
          <w:tcPr>
            <w:tcW w:w="80" w:type="dxa"/>
            <w:vAlign w:val="bottom"/>
          </w:tcPr>
          <w:p>
            <w:pPr>
              <w:spacing w:after="0"/>
              <w:rPr>
                <w:sz w:val="14"/>
                <w:szCs w:val="14"/>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Accrued employee compensation</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(18,702)</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14,295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(14,507)</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1,910</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19,101</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(7,451)</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(33,338)</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43,561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560"/>
              <w:spacing w:after="0" w:line="149" w:lineRule="exact"/>
              <w:rPr>
                <w:sz w:val="20"/>
                <w:szCs w:val="20"/>
                <w:color w:val="auto"/>
              </w:rPr>
            </w:pPr>
            <w:r>
              <w:rPr>
                <w:rFonts w:ascii="Arial" w:cs="Arial" w:eastAsia="Arial" w:hAnsi="Arial"/>
                <w:sz w:val="14"/>
                <w:szCs w:val="14"/>
                <w:color w:val="auto"/>
              </w:rPr>
              <w:t>Deferred income</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(2,364)</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(1,566)</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(1,441)</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(2,714)</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(12,053)</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(9,792)</w:t>
            </w:r>
          </w:p>
        </w:tc>
        <w:tc>
          <w:tcPr>
            <w:tcW w:w="120" w:type="dxa"/>
            <w:vAlign w:val="bottom"/>
          </w:tcPr>
          <w:p>
            <w:pPr>
              <w:spacing w:after="0"/>
              <w:rPr>
                <w:sz w:val="12"/>
                <w:szCs w:val="12"/>
                <w:color w:val="auto"/>
              </w:rPr>
            </w:pPr>
          </w:p>
        </w:tc>
        <w:tc>
          <w:tcPr>
            <w:tcW w:w="9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(12,398)</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6,373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64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Net cash provided by operating activities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53,306</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66,594</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26,584</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155,421</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181,424</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156,954</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205,352</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728,936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spacing w:after="0" w:line="149" w:lineRule="exact"/>
              <w:rPr>
                <w:sz w:val="20"/>
                <w:szCs w:val="20"/>
                <w:color w:val="auto"/>
              </w:rPr>
            </w:pPr>
            <w:r>
              <w:rPr>
                <w:rFonts w:ascii="Arial" w:cs="Arial" w:eastAsia="Arial" w:hAnsi="Arial"/>
                <w:sz w:val="14"/>
                <w:szCs w:val="14"/>
                <w:color w:val="auto"/>
              </w:rPr>
              <w:t>Cash flows from investing activities: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Purchases of available-for-sale securities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(133,215)</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(356,465)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(173,465)</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(344,023)</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(448,526)</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(153,881)</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7"/>
              </w:rPr>
              <w:t>(1,056,045)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4"/>
              </w:rPr>
              <w:t>(1,128,319)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Sales and maturities of available-for-sale securities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477,301</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356,409</w:t>
            </w:r>
          </w:p>
        </w:tc>
        <w:tc>
          <w:tcPr>
            <w:tcW w:w="80" w:type="dxa"/>
            <w:vAlign w:val="bottom"/>
          </w:tcPr>
          <w:p>
            <w:pPr>
              <w:spacing w:after="0"/>
              <w:rPr>
                <w:sz w:val="12"/>
                <w:szCs w:val="12"/>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222,295</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248,215</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205,685</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190,099</w:t>
            </w:r>
          </w:p>
        </w:tc>
        <w:tc>
          <w:tcPr>
            <w:tcW w:w="12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1,303,500</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826,310</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ind w:left="280"/>
              <w:spacing w:after="0" w:line="130" w:lineRule="exact"/>
              <w:rPr>
                <w:sz w:val="20"/>
                <w:szCs w:val="20"/>
                <w:color w:val="auto"/>
              </w:rPr>
            </w:pPr>
            <w:r>
              <w:rPr>
                <w:rFonts w:ascii="Arial" w:cs="Arial" w:eastAsia="Arial" w:hAnsi="Arial"/>
                <w:sz w:val="14"/>
                <w:szCs w:val="14"/>
                <w:color w:val="auto"/>
              </w:rPr>
              <w:t>Distribution from (investments in) privately-held</w:t>
            </w: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4"/>
                <w:szCs w:val="14"/>
                <w:color w:val="auto"/>
              </w:rPr>
              <w:t>companies</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(119)</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(130)</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208</w:t>
            </w: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(260)</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(41)</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(701)</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tcPr>
          <w:p>
            <w:pPr>
              <w:ind w:left="280"/>
              <w:spacing w:after="0" w:line="130" w:lineRule="exact"/>
              <w:rPr>
                <w:sz w:val="20"/>
                <w:szCs w:val="20"/>
                <w:color w:val="auto"/>
              </w:rPr>
            </w:pPr>
            <w:r>
              <w:rPr>
                <w:rFonts w:ascii="Arial" w:cs="Arial" w:eastAsia="Arial" w:hAnsi="Arial"/>
                <w:sz w:val="14"/>
                <w:szCs w:val="14"/>
                <w:color w:val="auto"/>
                <w:w w:val="97"/>
              </w:rPr>
              <w:t>Proceeds from sale of an investment in a privately-held</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tcPr>
          <w:p>
            <w:pPr>
              <w:ind w:left="420"/>
              <w:spacing w:after="0"/>
              <w:rPr>
                <w:sz w:val="20"/>
                <w:szCs w:val="20"/>
                <w:color w:val="auto"/>
              </w:rPr>
            </w:pPr>
            <w:r>
              <w:rPr>
                <w:rFonts w:ascii="Arial" w:cs="Arial" w:eastAsia="Arial" w:hAnsi="Arial"/>
                <w:sz w:val="14"/>
                <w:szCs w:val="14"/>
                <w:color w:val="auto"/>
              </w:rPr>
              <w:t>company</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gridSpan w:val="3"/>
          </w:tcPr>
          <w:p>
            <w:pPr>
              <w:jc w:val="right"/>
              <w:ind w:right="1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4"/>
                <w:szCs w:val="14"/>
                <w:color w:val="auto"/>
              </w:rPr>
              <w:t>13,220</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4"/>
                <w:szCs w:val="14"/>
                <w:color w:val="auto"/>
              </w:rPr>
              <w:t>13,220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Purchases of technology licenses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(1,579)</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(980)</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(2,071)</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(1,910)</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(5,105)</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(1,298)</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(8,236)</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(16,424)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Purchases of property and equipment</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(3,894)</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(9,041)</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(16,986)</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(14,415)</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(16,661)</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(15,823)</w:t>
            </w:r>
          </w:p>
        </w:tc>
        <w:tc>
          <w:tcPr>
            <w:tcW w:w="120" w:type="dxa"/>
            <w:vAlign w:val="bottom"/>
          </w:tcPr>
          <w:p>
            <w:pPr>
              <w:spacing w:after="0"/>
              <w:rPr>
                <w:sz w:val="12"/>
                <w:szCs w:val="12"/>
                <w:color w:val="auto"/>
              </w:rPr>
            </w:pPr>
          </w:p>
        </w:tc>
        <w:tc>
          <w:tcPr>
            <w:tcW w:w="9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(37,255)</w:t>
            </w:r>
          </w:p>
        </w:tc>
        <w:tc>
          <w:tcPr>
            <w:tcW w:w="80" w:type="dxa"/>
            <w:vAlign w:val="bottom"/>
          </w:tcPr>
          <w:p>
            <w:pPr>
              <w:spacing w:after="0"/>
              <w:rPr>
                <w:sz w:val="12"/>
                <w:szCs w:val="12"/>
                <w:color w:val="auto"/>
              </w:rPr>
            </w:pP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(63,030)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Purchase of equipment previously leased</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(10,240)</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Net proceeds from sale of equipment held for sale</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gridSpan w:val="3"/>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10,007</w:t>
            </w:r>
          </w:p>
        </w:tc>
        <w:tc>
          <w:tcPr>
            <w:tcW w:w="80" w:type="dxa"/>
            <w:vAlign w:val="bottom"/>
          </w:tcPr>
          <w:p>
            <w:pPr>
              <w:spacing w:after="0"/>
              <w:rPr>
                <w:sz w:val="13"/>
                <w:szCs w:val="13"/>
                <w:color w:val="auto"/>
              </w:rPr>
            </w:pPr>
          </w:p>
        </w:tc>
        <w:tc>
          <w:tcPr>
            <w:tcW w:w="7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0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10,007</w:t>
            </w:r>
          </w:p>
        </w:tc>
        <w:tc>
          <w:tcPr>
            <w:tcW w:w="80" w:type="dxa"/>
            <w:vAlign w:val="bottom"/>
          </w:tcPr>
          <w:p>
            <w:pPr>
              <w:spacing w:after="0"/>
              <w:rPr>
                <w:sz w:val="13"/>
                <w:szCs w:val="13"/>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ind w:left="860"/>
              <w:spacing w:after="0" w:line="130" w:lineRule="exact"/>
              <w:rPr>
                <w:sz w:val="20"/>
                <w:szCs w:val="20"/>
                <w:color w:val="auto"/>
              </w:rPr>
            </w:pPr>
            <w:r>
              <w:rPr>
                <w:rFonts w:ascii="Arial" w:cs="Arial" w:eastAsia="Arial" w:hAnsi="Arial"/>
                <w:sz w:val="14"/>
                <w:szCs w:val="14"/>
                <w:color w:val="auto"/>
              </w:rPr>
              <w:t>Net cash provided by (used in) investing</w:t>
            </w:r>
          </w:p>
        </w:tc>
        <w:tc>
          <w:tcPr>
            <w:tcW w:w="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0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60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1000"/>
              <w:spacing w:after="0"/>
              <w:rPr>
                <w:sz w:val="20"/>
                <w:szCs w:val="20"/>
                <w:color w:val="auto"/>
              </w:rPr>
            </w:pPr>
            <w:r>
              <w:rPr>
                <w:rFonts w:ascii="Arial" w:cs="Arial" w:eastAsia="Arial" w:hAnsi="Arial"/>
                <w:sz w:val="14"/>
                <w:szCs w:val="14"/>
                <w:color w:val="auto"/>
              </w:rPr>
              <w:t>activities</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338,494</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(200)</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29,981</w:t>
            </w: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(112,133)</w:t>
            </w: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(251,647)</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19,097</w:t>
            </w:r>
          </w:p>
        </w:tc>
        <w:tc>
          <w:tcPr>
            <w:tcW w:w="120" w:type="dxa"/>
            <w:vAlign w:val="bottom"/>
            <w:shd w:val="clear" w:color="auto" w:fill="CCEEFF"/>
          </w:tcPr>
          <w:p>
            <w:pPr>
              <w:spacing w:after="0"/>
              <w:rPr>
                <w:sz w:val="14"/>
                <w:szCs w:val="14"/>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201,690</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(368,944)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spacing w:after="0" w:line="149" w:lineRule="exact"/>
              <w:rPr>
                <w:sz w:val="20"/>
                <w:szCs w:val="20"/>
                <w:color w:val="auto"/>
              </w:rPr>
            </w:pPr>
            <w:r>
              <w:rPr>
                <w:rFonts w:ascii="Arial" w:cs="Arial" w:eastAsia="Arial" w:hAnsi="Arial"/>
                <w:sz w:val="14"/>
                <w:szCs w:val="14"/>
                <w:color w:val="auto"/>
              </w:rPr>
              <w:t>Cash flows from financing activities: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Repurchase of common stock </w:t>
            </w:r>
            <w:r>
              <w:rPr>
                <w:rFonts w:ascii="Arial" w:cs="Arial" w:eastAsia="Arial" w:hAnsi="Arial"/>
                <w:sz w:val="14"/>
                <w:szCs w:val="14"/>
                <w:i w:val="1"/>
                <w:iCs w:val="1"/>
                <w:color w:val="auto"/>
              </w:rPr>
              <w:t>(b)</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(65,291)</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(175,311)</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(21,188)</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(43,774)</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(260,875)</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(64,962)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Proceeds from employee stock plans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21,369</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2,174</w:t>
            </w:r>
          </w:p>
        </w:tc>
        <w:tc>
          <w:tcPr>
            <w:tcW w:w="80" w:type="dxa"/>
            <w:vAlign w:val="bottom"/>
          </w:tcPr>
          <w:p>
            <w:pPr>
              <w:spacing w:after="0"/>
              <w:rPr>
                <w:sz w:val="12"/>
                <w:szCs w:val="12"/>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44,161</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41,049</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2,934</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49,282</w:t>
            </w:r>
          </w:p>
        </w:tc>
        <w:tc>
          <w:tcPr>
            <w:tcW w:w="12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80,717</w:t>
            </w:r>
          </w:p>
        </w:tc>
        <w:tc>
          <w:tcPr>
            <w:tcW w:w="8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112,357</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ind w:left="280"/>
              <w:spacing w:after="0" w:line="130" w:lineRule="exact"/>
              <w:rPr>
                <w:sz w:val="20"/>
                <w:szCs w:val="20"/>
                <w:color w:val="auto"/>
              </w:rPr>
            </w:pPr>
            <w:r>
              <w:rPr>
                <w:rFonts w:ascii="Arial" w:cs="Arial" w:eastAsia="Arial" w:hAnsi="Arial"/>
                <w:sz w:val="14"/>
                <w:szCs w:val="14"/>
                <w:color w:val="auto"/>
              </w:rPr>
              <w:t>Minimum tax withholding paid on behalf of</w:t>
            </w: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4"/>
                <w:szCs w:val="14"/>
                <w:color w:val="auto"/>
              </w:rPr>
              <w:t>employees for net share settlement</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(482)</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(869)</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(697)</w:t>
            </w: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(908)</w:t>
            </w: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(663)</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(637)</w:t>
            </w:r>
          </w:p>
        </w:tc>
        <w:tc>
          <w:tcPr>
            <w:tcW w:w="120" w:type="dxa"/>
            <w:vAlign w:val="bottom"/>
            <w:shd w:val="clear" w:color="auto" w:fill="CCEEFF"/>
          </w:tcPr>
          <w:p>
            <w:pPr>
              <w:spacing w:after="0"/>
              <w:rPr>
                <w:sz w:val="14"/>
                <w:szCs w:val="14"/>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(24,358)</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(26,494)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Dividend payments to shareholders</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(30,447)</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(30,270)</w:t>
            </w:r>
          </w:p>
        </w:tc>
        <w:tc>
          <w:tcPr>
            <w:tcW w:w="8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(31,194)</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(30,942)</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(30,867)</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(30,820)</w:t>
            </w:r>
          </w:p>
        </w:tc>
        <w:tc>
          <w:tcPr>
            <w:tcW w:w="120" w:type="dxa"/>
            <w:vAlign w:val="bottom"/>
          </w:tcPr>
          <w:p>
            <w:pPr>
              <w:spacing w:after="0"/>
              <w:rPr>
                <w:sz w:val="12"/>
                <w:szCs w:val="12"/>
                <w:color w:val="auto"/>
              </w:rPr>
            </w:pPr>
          </w:p>
        </w:tc>
        <w:tc>
          <w:tcPr>
            <w:tcW w:w="9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(122,821)</w:t>
            </w:r>
          </w:p>
        </w:tc>
        <w:tc>
          <w:tcPr>
            <w:tcW w:w="80" w:type="dxa"/>
            <w:vAlign w:val="bottom"/>
          </w:tcPr>
          <w:p>
            <w:pPr>
              <w:spacing w:after="0"/>
              <w:rPr>
                <w:sz w:val="12"/>
                <w:szCs w:val="12"/>
                <w:color w:val="auto"/>
              </w:rPr>
            </w:pP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(122,801)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Payments on technology license obligations</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6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(1,112)</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(2,617)</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(4,732)</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(4,382)</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(5,951)</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(2,677)</w:t>
            </w:r>
          </w:p>
        </w:tc>
        <w:tc>
          <w:tcPr>
            <w:tcW w:w="1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(12,528)</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(13,010)</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40" w:type="dxa"/>
            <w:vAlign w:val="bottom"/>
          </w:tcPr>
          <w:p>
            <w:pPr>
              <w:ind w:left="280"/>
              <w:spacing w:after="0" w:line="149" w:lineRule="exact"/>
              <w:rPr>
                <w:sz w:val="20"/>
                <w:szCs w:val="20"/>
                <w:color w:val="auto"/>
              </w:rPr>
            </w:pPr>
            <w:r>
              <w:rPr>
                <w:rFonts w:ascii="Arial" w:cs="Arial" w:eastAsia="Arial" w:hAnsi="Arial"/>
                <w:sz w:val="14"/>
                <w:szCs w:val="14"/>
                <w:color w:val="auto"/>
              </w:rPr>
              <w:t>Excess tax benefits from share-based compensation</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w:t>
            </w: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2</w:t>
            </w:r>
          </w:p>
        </w:tc>
        <w:tc>
          <w:tcPr>
            <w:tcW w:w="2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67</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32</w:t>
            </w:r>
          </w:p>
        </w:tc>
        <w:tc>
          <w:tcPr>
            <w:tcW w:w="2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26</w:t>
            </w:r>
          </w:p>
        </w:tc>
        <w:tc>
          <w:tcPr>
            <w:tcW w:w="2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145</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40" w:type="dxa"/>
            <w:vAlign w:val="bottom"/>
            <w:shd w:val="clear" w:color="auto" w:fill="CCEEFF"/>
          </w:tcPr>
          <w:p>
            <w:pPr>
              <w:ind w:left="860"/>
              <w:spacing w:after="0" w:line="130" w:lineRule="exact"/>
              <w:rPr>
                <w:sz w:val="20"/>
                <w:szCs w:val="20"/>
                <w:color w:val="auto"/>
              </w:rPr>
            </w:pPr>
            <w:r>
              <w:rPr>
                <w:rFonts w:ascii="Arial" w:cs="Arial" w:eastAsia="Arial" w:hAnsi="Arial"/>
                <w:sz w:val="14"/>
                <w:szCs w:val="14"/>
                <w:color w:val="auto"/>
              </w:rPr>
              <w:t>Net cash provided by (used in) financing</w:t>
            </w:r>
          </w:p>
        </w:tc>
        <w:tc>
          <w:tcPr>
            <w:tcW w:w="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0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60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40" w:type="dxa"/>
            <w:vAlign w:val="bottom"/>
            <w:shd w:val="clear" w:color="auto" w:fill="CCEEFF"/>
          </w:tcPr>
          <w:p>
            <w:pPr>
              <w:ind w:left="1000"/>
              <w:spacing w:after="0"/>
              <w:rPr>
                <w:sz w:val="20"/>
                <w:szCs w:val="20"/>
                <w:color w:val="auto"/>
              </w:rPr>
            </w:pPr>
            <w:r>
              <w:rPr>
                <w:rFonts w:ascii="Arial" w:cs="Arial" w:eastAsia="Arial" w:hAnsi="Arial"/>
                <w:sz w:val="14"/>
                <w:szCs w:val="14"/>
                <w:color w:val="auto"/>
              </w:rPr>
              <w:t>activities</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(10,673)</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(96,871)</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(167,766)</w:t>
            </w: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(16,304)</w:t>
            </w: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(78,319)</w:t>
            </w:r>
          </w:p>
        </w:tc>
        <w:tc>
          <w:tcPr>
            <w:tcW w:w="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15,180</w:t>
            </w:r>
          </w:p>
        </w:tc>
        <w:tc>
          <w:tcPr>
            <w:tcW w:w="120" w:type="dxa"/>
            <w:vAlign w:val="bottom"/>
            <w:shd w:val="clear" w:color="auto" w:fill="CCEEFF"/>
          </w:tcPr>
          <w:p>
            <w:pPr>
              <w:spacing w:after="0"/>
              <w:rPr>
                <w:sz w:val="14"/>
                <w:szCs w:val="14"/>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(339,839)</w:t>
            </w: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(114,765)</w:t>
            </w:r>
          </w:p>
        </w:tc>
        <w:tc>
          <w:tcPr>
            <w:tcW w:w="0" w:type="dxa"/>
            <w:vAlign w:val="bottom"/>
          </w:tcPr>
          <w:p>
            <w:pPr>
              <w:spacing w:after="0"/>
              <w:rPr>
                <w:sz w:val="1"/>
                <w:szCs w:val="1"/>
                <w:color w:val="auto"/>
              </w:rPr>
            </w:pPr>
          </w:p>
        </w:tc>
      </w:tr>
      <w:tr>
        <w:trPr>
          <w:trHeight w:val="163"/>
        </w:trPr>
        <w:tc>
          <w:tcPr>
            <w:tcW w:w="3660" w:type="dxa"/>
            <w:vAlign w:val="bottom"/>
            <w:gridSpan w:val="2"/>
          </w:tcPr>
          <w:p>
            <w:pPr>
              <w:spacing w:after="0" w:line="155" w:lineRule="exact"/>
              <w:rPr>
                <w:sz w:val="20"/>
                <w:szCs w:val="20"/>
                <w:color w:val="auto"/>
              </w:rPr>
            </w:pPr>
            <w:r>
              <w:rPr>
                <w:rFonts w:ascii="Arial" w:cs="Arial" w:eastAsia="Arial" w:hAnsi="Arial"/>
                <w:sz w:val="14"/>
                <w:szCs w:val="14"/>
                <w:color w:val="auto"/>
              </w:rPr>
              <w:t>Net increase (decrease) in cash and cash equivalents</w:t>
            </w:r>
          </w:p>
        </w:tc>
        <w:tc>
          <w:tcPr>
            <w:tcW w:w="20" w:type="dxa"/>
            <w:vAlign w:val="bottom"/>
          </w:tcPr>
          <w:p>
            <w:pPr>
              <w:spacing w:after="0"/>
              <w:rPr>
                <w:sz w:val="14"/>
                <w:szCs w:val="14"/>
                <w:color w:val="auto"/>
              </w:rPr>
            </w:pPr>
          </w:p>
        </w:tc>
        <w:tc>
          <w:tcPr>
            <w:tcW w:w="6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381,127</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(30,477)</w:t>
            </w:r>
          </w:p>
        </w:tc>
        <w:tc>
          <w:tcPr>
            <w:tcW w:w="2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(111,201)</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26,984</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(148,542)</w:t>
            </w: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Borders>
              <w:top w:val="single" w:sz="8" w:color="auto"/>
              <w:bottom w:val="single" w:sz="8" w:color="auto"/>
            </w:tcBorders>
          </w:tcPr>
          <w:p>
            <w:pPr>
              <w:spacing w:after="0"/>
              <w:rPr>
                <w:sz w:val="14"/>
                <w:szCs w:val="14"/>
                <w:color w:val="auto"/>
              </w:rPr>
            </w:pPr>
          </w:p>
        </w:tc>
        <w:tc>
          <w:tcPr>
            <w:tcW w:w="6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191,231</w:t>
            </w:r>
          </w:p>
        </w:tc>
        <w:tc>
          <w:tcPr>
            <w:tcW w:w="26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67,203</w:t>
            </w:r>
          </w:p>
        </w:tc>
        <w:tc>
          <w:tcPr>
            <w:tcW w:w="2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245,227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and cash equivalents at beginning of period</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897,053</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927,530</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89"/>
              </w:rPr>
              <w:t>1,038,731</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3"/>
              </w:rPr>
              <w:t>1,183,993</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99"/>
              </w:rPr>
              <w:t>1,332,535</w:t>
            </w:r>
          </w:p>
        </w:tc>
        <w:tc>
          <w:tcPr>
            <w:tcW w:w="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1,141,304</w:t>
            </w:r>
          </w:p>
        </w:tc>
        <w:tc>
          <w:tcPr>
            <w:tcW w:w="2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1,210,977</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965,750</w:t>
            </w:r>
          </w:p>
        </w:tc>
        <w:tc>
          <w:tcPr>
            <w:tcW w:w="0" w:type="dxa"/>
            <w:vAlign w:val="bottom"/>
          </w:tcPr>
          <w:p>
            <w:pPr>
              <w:spacing w:after="0"/>
              <w:rPr>
                <w:sz w:val="1"/>
                <w:szCs w:val="1"/>
                <w:color w:val="auto"/>
              </w:rPr>
            </w:pPr>
          </w:p>
        </w:tc>
      </w:tr>
      <w:tr>
        <w:trPr>
          <w:trHeight w:val="156"/>
        </w:trPr>
        <w:tc>
          <w:tcPr>
            <w:tcW w:w="3660" w:type="dxa"/>
            <w:vAlign w:val="bottom"/>
            <w:gridSpan w:val="2"/>
          </w:tcPr>
          <w:p>
            <w:pPr>
              <w:spacing w:after="0" w:line="155" w:lineRule="exact"/>
              <w:rPr>
                <w:sz w:val="20"/>
                <w:szCs w:val="20"/>
                <w:color w:val="auto"/>
              </w:rPr>
            </w:pPr>
            <w:r>
              <w:rPr>
                <w:rFonts w:ascii="Arial" w:cs="Arial" w:eastAsia="Arial" w:hAnsi="Arial"/>
                <w:sz w:val="14"/>
                <w:szCs w:val="14"/>
                <w:color w:val="auto"/>
              </w:rPr>
              <w:t>Cash and cash equivalents at end of period</w:t>
            </w:r>
          </w:p>
        </w:tc>
        <w:tc>
          <w:tcPr>
            <w:tcW w:w="20" w:type="dxa"/>
            <w:vAlign w:val="bottom"/>
            <w:tcBorders>
              <w:bottom w:val="single" w:sz="8" w:color="auto"/>
            </w:tcBorders>
          </w:tcPr>
          <w:p>
            <w:pPr>
              <w:spacing w:after="0"/>
              <w:rPr>
                <w:sz w:val="13"/>
                <w:szCs w:val="13"/>
                <w:color w:val="auto"/>
              </w:rPr>
            </w:pPr>
          </w:p>
        </w:tc>
        <w:tc>
          <w:tcPr>
            <w:tcW w:w="60" w:type="dxa"/>
            <w:vAlign w:val="bottom"/>
            <w:tcBorders>
              <w:top w:val="single" w:sz="8" w:color="auto"/>
              <w:bottom w:val="single" w:sz="8" w:color="auto"/>
            </w:tcBorders>
          </w:tcPr>
          <w:p>
            <w:pPr>
              <w:spacing w:after="0"/>
              <w:rPr>
                <w:sz w:val="20"/>
                <w:szCs w:val="20"/>
                <w:color w:val="auto"/>
              </w:rPr>
            </w:pPr>
            <w:r>
              <w:rPr>
                <w:rFonts w:ascii="Arial" w:cs="Arial" w:eastAsia="Arial" w:hAnsi="Arial"/>
                <w:sz w:val="10"/>
                <w:szCs w:val="10"/>
                <w:color w:val="auto"/>
                <w:w w:val="71"/>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1,278,180</w:t>
            </w:r>
          </w:p>
        </w:tc>
        <w:tc>
          <w:tcPr>
            <w:tcW w:w="20" w:type="dxa"/>
            <w:vAlign w:val="bottom"/>
            <w:tcBorders>
              <w:bottom w:val="single" w:sz="8" w:color="auto"/>
            </w:tcBorders>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897,053</w:t>
            </w:r>
          </w:p>
        </w:tc>
        <w:tc>
          <w:tcPr>
            <w:tcW w:w="26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927,530</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1,210,977</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1,183,993</w:t>
            </w:r>
          </w:p>
        </w:tc>
        <w:tc>
          <w:tcPr>
            <w:tcW w:w="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6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1,332,535</w:t>
            </w:r>
          </w:p>
        </w:tc>
        <w:tc>
          <w:tcPr>
            <w:tcW w:w="26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1,278,180</w:t>
            </w:r>
          </w:p>
        </w:tc>
        <w:tc>
          <w:tcPr>
            <w:tcW w:w="28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1,210,977</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340" w:right="40" w:hanging="332"/>
        <w:spacing w:after="0" w:line="225" w:lineRule="auto"/>
        <w:tabs>
          <w:tab w:leader="none" w:pos="340" w:val="left"/>
        </w:tabs>
        <w:numPr>
          <w:ilvl w:val="0"/>
          <w:numId w:val="11"/>
        </w:numPr>
        <w:rPr>
          <w:rFonts w:ascii="Arial" w:cs="Arial" w:eastAsia="Arial" w:hAnsi="Arial"/>
          <w:sz w:val="14"/>
          <w:szCs w:val="14"/>
          <w:i w:val="1"/>
          <w:iCs w:val="1"/>
          <w:color w:val="auto"/>
        </w:rPr>
      </w:pPr>
      <w:r>
        <w:rPr>
          <w:rFonts w:ascii="Arial" w:cs="Arial" w:eastAsia="Arial" w:hAnsi="Arial"/>
          <w:sz w:val="14"/>
          <w:szCs w:val="14"/>
          <w:color w:val="auto"/>
        </w:rPr>
        <w:t>The condensed consolidated statement of cash flows for each of the three months ended January 30, 2016, October 31, 2015 and August 1, 2015 are preliminary, as well as the twelve months ended January 30, 2016, and therefore, subject to adjustments in connection with subsequent events arising through the date of the Company’s filing of its Annual Report on Form 10-K for the corresponding period. The filing of the Form 10-K will be completed as soon as practicable after the completion of the audit of the Company’s fiscal 2016 financial statements by Deloitte &amp; Touche LLP, its newly appointed independent registered public accounting firm.</w:t>
      </w:r>
    </w:p>
    <w:p>
      <w:pPr>
        <w:spacing w:after="0" w:line="2" w:lineRule="exact"/>
        <w:rPr>
          <w:rFonts w:ascii="Arial" w:cs="Arial" w:eastAsia="Arial" w:hAnsi="Arial"/>
          <w:sz w:val="14"/>
          <w:szCs w:val="14"/>
          <w:i w:val="1"/>
          <w:iCs w:val="1"/>
          <w:color w:val="auto"/>
        </w:rPr>
      </w:pPr>
    </w:p>
    <w:p>
      <w:pPr>
        <w:ind w:left="340" w:hanging="332"/>
        <w:spacing w:after="0"/>
        <w:tabs>
          <w:tab w:leader="none" w:pos="340" w:val="left"/>
        </w:tabs>
        <w:numPr>
          <w:ilvl w:val="0"/>
          <w:numId w:val="11"/>
        </w:numPr>
        <w:rPr>
          <w:rFonts w:ascii="Arial" w:cs="Arial" w:eastAsia="Arial" w:hAnsi="Arial"/>
          <w:sz w:val="14"/>
          <w:szCs w:val="14"/>
          <w:i w:val="1"/>
          <w:iCs w:val="1"/>
          <w:color w:val="auto"/>
        </w:rPr>
      </w:pPr>
      <w:r>
        <w:rPr>
          <w:rFonts w:ascii="Arial" w:cs="Arial" w:eastAsia="Arial" w:hAnsi="Arial"/>
          <w:sz w:val="14"/>
          <w:szCs w:val="14"/>
          <w:color w:val="auto"/>
        </w:rPr>
        <w:t>Marvell records all repurchases as well as investment purchases and sales, based on trade date in accordance with U.S. GAAP.</w:t>
      </w:r>
    </w:p>
    <w:p>
      <w:pPr>
        <w:sectPr>
          <w:pgSz w:w="11900" w:h="16838" w:orient="portrait"/>
          <w:cols w:equalWidth="0" w:num="1">
            <w:col w:w="11420"/>
          </w:cols>
          <w:pgMar w:left="240" w:top="270" w:right="239" w:bottom="1440" w:gutter="0" w:footer="0" w:header="0"/>
        </w:sectPr>
      </w:pPr>
    </w:p>
    <w:bookmarkStart w:id="19" w:name="page20"/>
    <w:bookmarkEnd w:id="1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Fiscal 2016</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4"/>
          </w:tcPr>
          <w:p>
            <w:pPr>
              <w:jc w:val="right"/>
              <w:ind w:right="380"/>
              <w:spacing w:after="0"/>
              <w:rPr>
                <w:sz w:val="20"/>
                <w:szCs w:val="20"/>
                <w:color w:val="auto"/>
              </w:rPr>
            </w:pPr>
            <w:r>
              <w:rPr>
                <w:rFonts w:ascii="Arial" w:cs="Arial" w:eastAsia="Arial" w:hAnsi="Arial"/>
                <w:sz w:val="14"/>
                <w:szCs w:val="14"/>
                <w:b w:val="1"/>
                <w:bCs w:val="1"/>
                <w:color w:val="auto"/>
                <w:w w:val="98"/>
              </w:rPr>
              <w:t>Fiscal 2015</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6"/>
            <w:vMerge w:val="restart"/>
          </w:tcPr>
          <w:p>
            <w:pPr>
              <w:jc w:val="right"/>
              <w:ind w:right="7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5"/>
          </w:tcPr>
          <w:p>
            <w:pPr>
              <w:jc w:val="right"/>
              <w:ind w:right="20"/>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940" w:type="dxa"/>
            <w:vAlign w:val="bottom"/>
            <w:gridSpan w:val="6"/>
          </w:tcPr>
          <w:p>
            <w:pPr>
              <w:jc w:val="right"/>
              <w:ind w:right="60"/>
              <w:spacing w:after="0" w:line="142" w:lineRule="exact"/>
              <w:rPr>
                <w:sz w:val="20"/>
                <w:szCs w:val="20"/>
                <w:color w:val="auto"/>
              </w:rPr>
            </w:pPr>
            <w:r>
              <w:rPr>
                <w:rFonts w:ascii="Arial" w:cs="Arial" w:eastAsia="Arial" w:hAnsi="Arial"/>
                <w:sz w:val="14"/>
                <w:szCs w:val="14"/>
                <w:b w:val="1"/>
                <w:bCs w:val="1"/>
                <w:color w:val="auto"/>
              </w:rPr>
              <w:t>Three Months Ended</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80" w:type="dxa"/>
            <w:vAlign w:val="bottom"/>
            <w:gridSpan w:val="6"/>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3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30,</w:t>
            </w:r>
          </w:p>
        </w:tc>
        <w:tc>
          <w:tcPr>
            <w:tcW w:w="12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31,</w:t>
            </w:r>
          </w:p>
        </w:tc>
        <w:tc>
          <w:tcPr>
            <w:tcW w:w="2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1,</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10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40" w:type="dxa"/>
            <w:vAlign w:val="bottom"/>
            <w:tcBorders>
              <w:top w:val="single" w:sz="8" w:color="auto"/>
            </w:tcBorders>
          </w:tcPr>
          <w:p>
            <w:pPr>
              <w:spacing w:after="0"/>
              <w:rPr>
                <w:sz w:val="10"/>
                <w:szCs w:val="10"/>
                <w:color w:val="auto"/>
              </w:rPr>
            </w:pPr>
          </w:p>
        </w:tc>
        <w:tc>
          <w:tcPr>
            <w:tcW w:w="60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4"/>
              </w:rPr>
              <w:t>August 2,</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0" w:type="dxa"/>
            <w:vAlign w:val="bottom"/>
            <w:tcBorders>
              <w:top w:val="single" w:sz="8" w:color="auto"/>
            </w:tcBorders>
            <w:gridSpan w:val="3"/>
          </w:tcPr>
          <w:p>
            <w:pPr>
              <w:jc w:val="right"/>
              <w:ind w:right="240"/>
              <w:spacing w:after="0" w:line="119" w:lineRule="exact"/>
              <w:rPr>
                <w:sz w:val="20"/>
                <w:szCs w:val="20"/>
                <w:color w:val="auto"/>
              </w:rPr>
            </w:pPr>
            <w:r>
              <w:rPr>
                <w:rFonts w:ascii="Arial" w:cs="Arial" w:eastAsia="Arial" w:hAnsi="Arial"/>
                <w:sz w:val="13"/>
                <w:szCs w:val="13"/>
                <w:b w:val="1"/>
                <w:bCs w:val="1"/>
                <w:color w:val="auto"/>
              </w:rPr>
              <w:t>January 30,</w:t>
            </w:r>
          </w:p>
        </w:tc>
        <w:tc>
          <w:tcPr>
            <w:tcW w:w="8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248"/>
              <w:spacing w:after="0"/>
              <w:rPr>
                <w:sz w:val="20"/>
                <w:szCs w:val="20"/>
                <w:color w:val="auto"/>
              </w:rPr>
            </w:pPr>
            <w:r>
              <w:rPr>
                <w:rFonts w:ascii="Arial" w:cs="Arial" w:eastAsia="Arial" w:hAnsi="Arial"/>
                <w:sz w:val="14"/>
                <w:szCs w:val="14"/>
                <w:b w:val="1"/>
                <w:bCs w:val="1"/>
                <w:color w:val="auto"/>
                <w:w w:val="91"/>
              </w:rPr>
              <w:t xml:space="preserve">2016 </w:t>
            </w:r>
            <w:r>
              <w:rPr>
                <w:rFonts w:ascii="Arial" w:cs="Arial" w:eastAsia="Arial" w:hAnsi="Arial"/>
                <w:sz w:val="14"/>
                <w:szCs w:val="14"/>
                <w:b w:val="1"/>
                <w:bCs w:val="1"/>
                <w:i w:val="1"/>
                <w:iCs w:val="1"/>
                <w:color w:val="auto"/>
                <w:w w:val="91"/>
              </w:rPr>
              <w:t>(e)</w:t>
            </w:r>
          </w:p>
        </w:tc>
        <w:tc>
          <w:tcPr>
            <w:tcW w:w="120" w:type="dxa"/>
            <w:vAlign w:val="bottom"/>
          </w:tcPr>
          <w:p>
            <w:pPr>
              <w:spacing w:after="0"/>
              <w:rPr>
                <w:sz w:val="14"/>
                <w:szCs w:val="14"/>
                <w:color w:val="auto"/>
              </w:rPr>
            </w:pPr>
          </w:p>
        </w:tc>
        <w:tc>
          <w:tcPr>
            <w:tcW w:w="102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97"/>
              </w:rPr>
              <w:t xml:space="preserve">2015 </w:t>
            </w:r>
            <w:r>
              <w:rPr>
                <w:rFonts w:ascii="Arial" w:cs="Arial" w:eastAsia="Arial" w:hAnsi="Arial"/>
                <w:sz w:val="14"/>
                <w:szCs w:val="14"/>
                <w:b w:val="1"/>
                <w:bCs w:val="1"/>
                <w:i w:val="1"/>
                <w:iCs w:val="1"/>
                <w:color w:val="auto"/>
                <w:w w:val="97"/>
              </w:rPr>
              <w:t>(e) (f)</w:t>
            </w:r>
          </w:p>
        </w:tc>
        <w:tc>
          <w:tcPr>
            <w:tcW w:w="20" w:type="dxa"/>
            <w:vAlign w:val="bottom"/>
          </w:tcPr>
          <w:p>
            <w:pPr>
              <w:spacing w:after="0"/>
              <w:rPr>
                <w:sz w:val="14"/>
                <w:szCs w:val="14"/>
                <w:color w:val="auto"/>
              </w:rPr>
            </w:pPr>
          </w:p>
        </w:tc>
        <w:tc>
          <w:tcPr>
            <w:tcW w:w="900" w:type="dxa"/>
            <w:vAlign w:val="bottom"/>
            <w:gridSpan w:val="3"/>
          </w:tcPr>
          <w:p>
            <w:pPr>
              <w:spacing w:after="0"/>
              <w:rPr>
                <w:sz w:val="20"/>
                <w:szCs w:val="20"/>
                <w:color w:val="auto"/>
              </w:rPr>
            </w:pPr>
            <w:r>
              <w:rPr>
                <w:rFonts w:ascii="Arial" w:cs="Arial" w:eastAsia="Arial" w:hAnsi="Arial"/>
                <w:sz w:val="14"/>
                <w:szCs w:val="14"/>
                <w:b w:val="1"/>
                <w:bCs w:val="1"/>
                <w:color w:val="auto"/>
              </w:rPr>
              <w:t xml:space="preserve">2015 </w:t>
            </w:r>
            <w:r>
              <w:rPr>
                <w:rFonts w:ascii="Arial" w:cs="Arial" w:eastAsia="Arial" w:hAnsi="Arial"/>
                <w:sz w:val="14"/>
                <w:szCs w:val="14"/>
                <w:b w:val="1"/>
                <w:bCs w:val="1"/>
                <w:i w:val="1"/>
                <w:iCs w:val="1"/>
                <w:color w:val="auto"/>
              </w:rPr>
              <w:t>(e) (g)</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68"/>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jc w:val="right"/>
              <w:ind w:right="68"/>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5"/>
              </w:rPr>
              <w:t xml:space="preserve">2016 </w:t>
            </w:r>
            <w:r>
              <w:rPr>
                <w:rFonts w:ascii="Arial" w:cs="Arial" w:eastAsia="Arial" w:hAnsi="Arial"/>
                <w:sz w:val="14"/>
                <w:szCs w:val="14"/>
                <w:b w:val="1"/>
                <w:bCs w:val="1"/>
                <w:i w:val="1"/>
                <w:iCs w:val="1"/>
                <w:color w:val="auto"/>
                <w:w w:val="95"/>
              </w:rPr>
              <w:t>(e)</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48"/>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gridSpan w:val="4"/>
          </w:tcPr>
          <w:p>
            <w:pPr>
              <w:jc w:val="right"/>
              <w:ind w:right="300"/>
              <w:spacing w:after="0" w:line="142" w:lineRule="exact"/>
              <w:rPr>
                <w:sz w:val="20"/>
                <w:szCs w:val="20"/>
                <w:color w:val="auto"/>
              </w:rPr>
            </w:pPr>
            <w:r>
              <w:rPr>
                <w:rFonts w:ascii="Arial" w:cs="Arial" w:eastAsia="Arial" w:hAnsi="Arial"/>
                <w:sz w:val="14"/>
                <w:szCs w:val="14"/>
                <w:color w:val="auto"/>
              </w:rPr>
              <w:t>(Preliminary)</w:t>
            </w:r>
          </w:p>
        </w:tc>
        <w:tc>
          <w:tcPr>
            <w:tcW w:w="2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color w:val="auto"/>
                <w:w w:val="95"/>
              </w:rPr>
              <w:t>(Preliminary)</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net income (loss)</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4,200</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(57,750)</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(771,940)</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81,693</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115,304</w:t>
            </w:r>
          </w:p>
        </w:tc>
        <w:tc>
          <w:tcPr>
            <w:tcW w:w="26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w w:val="94"/>
              </w:rPr>
              <w:t>138,870</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(811,400)</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435,346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28"/>
              <w:spacing w:after="0" w:line="149" w:lineRule="exact"/>
              <w:rPr>
                <w:sz w:val="20"/>
                <w:szCs w:val="20"/>
                <w:color w:val="auto"/>
              </w:rPr>
            </w:pPr>
            <w:r>
              <w:rPr>
                <w:rFonts w:ascii="Arial" w:cs="Arial" w:eastAsia="Arial" w:hAnsi="Arial"/>
                <w:sz w:val="14"/>
                <w:szCs w:val="14"/>
                <w:color w:val="auto"/>
              </w:rPr>
              <w:t>32,419</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31,465</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36,674</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37,963</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34,294</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35,020</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133,779</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137,246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4,396</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45,555</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13,000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3,412</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1,203</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735</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63,543</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10,438</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300" w:type="dxa"/>
            <w:vAlign w:val="bottom"/>
          </w:tcPr>
          <w:p>
            <w:pPr>
              <w:spacing w:after="0" w:line="130" w:lineRule="exact"/>
              <w:rPr>
                <w:sz w:val="20"/>
                <w:szCs w:val="20"/>
                <w:color w:val="auto"/>
              </w:rPr>
            </w:pPr>
            <w:r>
              <w:rPr>
                <w:rFonts w:ascii="Arial" w:cs="Arial" w:eastAsia="Arial" w:hAnsi="Arial"/>
                <w:sz w:val="14"/>
                <w:szCs w:val="14"/>
                <w:color w:val="auto"/>
              </w:rPr>
              <w:t>Amortization and write-off of acquired intangible</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300" w:type="dxa"/>
            <w:vAlign w:val="bottom"/>
          </w:tcPr>
          <w:p>
            <w:pPr>
              <w:ind w:left="140"/>
              <w:spacing w:after="0"/>
              <w:rPr>
                <w:sz w:val="20"/>
                <w:szCs w:val="20"/>
                <w:color w:val="auto"/>
              </w:rPr>
            </w:pPr>
            <w:r>
              <w:rPr>
                <w:rFonts w:ascii="Arial" w:cs="Arial" w:eastAsia="Arial" w:hAnsi="Arial"/>
                <w:sz w:val="14"/>
                <w:szCs w:val="14"/>
                <w:color w:val="auto"/>
              </w:rPr>
              <w:t>assets</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128"/>
              <w:spacing w:after="0"/>
              <w:rPr>
                <w:sz w:val="20"/>
                <w:szCs w:val="20"/>
                <w:color w:val="auto"/>
              </w:rPr>
            </w:pPr>
            <w:r>
              <w:rPr>
                <w:rFonts w:ascii="Arial" w:cs="Arial" w:eastAsia="Arial" w:hAnsi="Arial"/>
                <w:sz w:val="14"/>
                <w:szCs w:val="14"/>
                <w:color w:val="auto"/>
              </w:rPr>
              <w:t>2,947</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4"/>
                <w:szCs w:val="14"/>
                <w:color w:val="auto"/>
              </w:rPr>
              <w:t>3,635</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148"/>
              <w:spacing w:after="0"/>
              <w:rPr>
                <w:sz w:val="20"/>
                <w:szCs w:val="20"/>
                <w:color w:val="auto"/>
              </w:rPr>
            </w:pPr>
            <w:r>
              <w:rPr>
                <w:rFonts w:ascii="Arial" w:cs="Arial" w:eastAsia="Arial" w:hAnsi="Arial"/>
                <w:sz w:val="14"/>
                <w:szCs w:val="14"/>
                <w:color w:val="auto"/>
              </w:rPr>
              <w:t>3,346</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4,025</w:t>
            </w: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4,229</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48"/>
              <w:spacing w:after="0"/>
              <w:rPr>
                <w:sz w:val="20"/>
                <w:szCs w:val="20"/>
                <w:color w:val="auto"/>
              </w:rPr>
            </w:pPr>
            <w:r>
              <w:rPr>
                <w:rFonts w:ascii="Arial" w:cs="Arial" w:eastAsia="Arial" w:hAnsi="Arial"/>
                <w:sz w:val="14"/>
                <w:szCs w:val="14"/>
                <w:color w:val="auto"/>
              </w:rPr>
              <w:t>4,229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13,421</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4"/>
                <w:szCs w:val="14"/>
                <w:color w:val="auto"/>
              </w:rPr>
              <w:t>20,097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3,791</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1,158</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748,117</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(2,398)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475</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751,366</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77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28"/>
              <w:spacing w:after="0" w:line="149" w:lineRule="exact"/>
              <w:rPr>
                <w:sz w:val="20"/>
                <w:szCs w:val="20"/>
                <w:color w:val="auto"/>
              </w:rPr>
            </w:pPr>
            <w:r>
              <w:rPr>
                <w:rFonts w:ascii="Arial" w:cs="Arial" w:eastAsia="Arial" w:hAnsi="Arial"/>
                <w:sz w:val="14"/>
                <w:szCs w:val="14"/>
                <w:color w:val="auto"/>
              </w:rPr>
              <w:t>6,754</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4,942</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10,205</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3,764</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2,318</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2,155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43,283</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8,237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3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Non-GAAP net income</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54,507</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29,005</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39,402</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130,857</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154,950</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w w:val="94"/>
              </w:rPr>
              <w:t>181,484</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193,992</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611,441</w:t>
            </w:r>
          </w:p>
        </w:tc>
        <w:tc>
          <w:tcPr>
            <w:tcW w:w="0" w:type="dxa"/>
            <w:vAlign w:val="bottom"/>
          </w:tcPr>
          <w:p>
            <w:pPr>
              <w:spacing w:after="0"/>
              <w:rPr>
                <w:sz w:val="1"/>
                <w:szCs w:val="1"/>
                <w:color w:val="auto"/>
              </w:rPr>
            </w:pPr>
          </w:p>
        </w:tc>
      </w:tr>
      <w:tr>
        <w:trPr>
          <w:trHeight w:val="20"/>
        </w:trPr>
        <w:tc>
          <w:tcPr>
            <w:tcW w:w="3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3320" w:type="dxa"/>
            <w:vAlign w:val="bottom"/>
            <w:gridSpan w:val="2"/>
          </w:tcPr>
          <w:p>
            <w:pPr>
              <w:spacing w:after="0"/>
              <w:rPr>
                <w:sz w:val="20"/>
                <w:szCs w:val="20"/>
                <w:color w:val="auto"/>
              </w:rPr>
            </w:pPr>
            <w:r>
              <w:rPr>
                <w:rFonts w:ascii="Arial" w:cs="Arial" w:eastAsia="Arial" w:hAnsi="Arial"/>
                <w:sz w:val="14"/>
                <w:szCs w:val="14"/>
                <w:color w:val="auto"/>
              </w:rPr>
              <w:t>GAAP weighted average shares - diluted</w:t>
            </w: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gridSpan w:val="2"/>
          </w:tcPr>
          <w:p>
            <w:pPr>
              <w:jc w:val="right"/>
              <w:ind w:right="128"/>
              <w:spacing w:after="0"/>
              <w:rPr>
                <w:sz w:val="20"/>
                <w:szCs w:val="20"/>
                <w:color w:val="auto"/>
              </w:rPr>
            </w:pPr>
            <w:r>
              <w:rPr>
                <w:rFonts w:ascii="Arial" w:cs="Arial" w:eastAsia="Arial" w:hAnsi="Arial"/>
                <w:sz w:val="14"/>
                <w:szCs w:val="14"/>
                <w:color w:val="auto"/>
              </w:rPr>
              <w:t>508,590</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4"/>
                <w:szCs w:val="14"/>
                <w:color w:val="auto"/>
              </w:rPr>
              <w:t>504,831</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80" w:type="dxa"/>
            <w:vAlign w:val="bottom"/>
            <w:gridSpan w:val="2"/>
          </w:tcPr>
          <w:p>
            <w:pPr>
              <w:jc w:val="right"/>
              <w:ind w:right="148"/>
              <w:spacing w:after="0"/>
              <w:rPr>
                <w:sz w:val="20"/>
                <w:szCs w:val="20"/>
                <w:color w:val="auto"/>
              </w:rPr>
            </w:pPr>
            <w:r>
              <w:rPr>
                <w:rFonts w:ascii="Arial" w:cs="Arial" w:eastAsia="Arial" w:hAnsi="Arial"/>
                <w:sz w:val="14"/>
                <w:szCs w:val="14"/>
                <w:color w:val="auto"/>
              </w:rPr>
              <w:t>516,368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522,112</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519,907</w:t>
            </w: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gridSpan w:val="2"/>
          </w:tcPr>
          <w:p>
            <w:pPr>
              <w:jc w:val="right"/>
              <w:ind w:right="148"/>
              <w:spacing w:after="0"/>
              <w:rPr>
                <w:sz w:val="20"/>
                <w:szCs w:val="20"/>
                <w:color w:val="auto"/>
              </w:rPr>
            </w:pPr>
            <w:r>
              <w:rPr>
                <w:rFonts w:ascii="Arial" w:cs="Arial" w:eastAsia="Arial" w:hAnsi="Arial"/>
                <w:sz w:val="14"/>
                <w:szCs w:val="14"/>
                <w:color w:val="auto"/>
                <w:w w:val="94"/>
              </w:rPr>
              <w:t>520,269</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510,945</w:t>
            </w:r>
          </w:p>
        </w:tc>
        <w:tc>
          <w:tcPr>
            <w:tcW w:w="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4"/>
                <w:szCs w:val="14"/>
                <w:color w:val="auto"/>
              </w:rPr>
              <w:t>520,760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Non-GAAP adjustment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9,978</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13,674</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16,574</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10,688</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12,905</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13,201</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15,349</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11,604</w:t>
            </w:r>
          </w:p>
        </w:tc>
        <w:tc>
          <w:tcPr>
            <w:tcW w:w="0" w:type="dxa"/>
            <w:vAlign w:val="bottom"/>
          </w:tcPr>
          <w:p>
            <w:pPr>
              <w:spacing w:after="0"/>
              <w:rPr>
                <w:sz w:val="1"/>
                <w:szCs w:val="1"/>
                <w:color w:val="auto"/>
              </w:rPr>
            </w:pPr>
          </w:p>
        </w:tc>
      </w:tr>
      <w:tr>
        <w:trPr>
          <w:trHeight w:val="156"/>
        </w:trPr>
        <w:tc>
          <w:tcPr>
            <w:tcW w:w="3320" w:type="dxa"/>
            <w:vAlign w:val="bottom"/>
            <w:gridSpan w:val="2"/>
          </w:tcPr>
          <w:p>
            <w:pPr>
              <w:spacing w:after="0" w:line="155" w:lineRule="exact"/>
              <w:rPr>
                <w:sz w:val="20"/>
                <w:szCs w:val="20"/>
                <w:color w:val="auto"/>
              </w:rPr>
            </w:pPr>
            <w:r>
              <w:rPr>
                <w:rFonts w:ascii="Arial" w:cs="Arial" w:eastAsia="Arial" w:hAnsi="Arial"/>
                <w:sz w:val="14"/>
                <w:szCs w:val="14"/>
                <w:color w:val="auto"/>
              </w:rPr>
              <w:t xml:space="preserve">Non-GAAP weighted average shares diluted </w:t>
            </w:r>
            <w:r>
              <w:rPr>
                <w:rFonts w:ascii="Arial" w:cs="Arial" w:eastAsia="Arial" w:hAnsi="Arial"/>
                <w:sz w:val="14"/>
                <w:szCs w:val="14"/>
                <w:i w:val="1"/>
                <w:iCs w:val="1"/>
                <w:color w:val="auto"/>
              </w:rPr>
              <w:t>(d)</w:t>
            </w:r>
          </w:p>
        </w:tc>
        <w:tc>
          <w:tcPr>
            <w:tcW w:w="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rPr>
                <w:sz w:val="13"/>
                <w:szCs w:val="13"/>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518,568</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518,505</w:t>
            </w:r>
          </w:p>
        </w:tc>
        <w:tc>
          <w:tcPr>
            <w:tcW w:w="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532,942</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rPr>
                <w:sz w:val="13"/>
                <w:szCs w:val="13"/>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532,800</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rPr>
                <w:sz w:val="13"/>
                <w:szCs w:val="13"/>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532,812</w:t>
            </w: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4"/>
              </w:rPr>
              <w:t>533,470</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526,294</w:t>
            </w: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rPr>
                <w:sz w:val="13"/>
                <w:szCs w:val="13"/>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532,364</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diluted net income (loss) per share</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0.01</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(0.11)</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(1.49)</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0.16</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0.22</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0.27</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(1.59)</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0.84</w:t>
            </w:r>
          </w:p>
        </w:tc>
        <w:tc>
          <w:tcPr>
            <w:tcW w:w="0" w:type="dxa"/>
            <w:vAlign w:val="bottom"/>
          </w:tcPr>
          <w:p>
            <w:pPr>
              <w:spacing w:after="0"/>
              <w:rPr>
                <w:sz w:val="1"/>
                <w:szCs w:val="1"/>
                <w:color w:val="auto"/>
              </w:rPr>
            </w:pPr>
          </w:p>
        </w:tc>
      </w:tr>
      <w:tr>
        <w:trPr>
          <w:trHeight w:val="20"/>
        </w:trPr>
        <w:tc>
          <w:tcPr>
            <w:tcW w:w="3320" w:type="dxa"/>
            <w:vAlign w:val="bottom"/>
            <w:gridSpan w:val="2"/>
            <w:vMerge w:val="restart"/>
          </w:tcPr>
          <w:p>
            <w:pPr>
              <w:spacing w:after="0"/>
              <w:rPr>
                <w:sz w:val="20"/>
                <w:szCs w:val="20"/>
                <w:color w:val="auto"/>
              </w:rPr>
            </w:pPr>
            <w:r>
              <w:rPr>
                <w:rFonts w:ascii="Arial" w:cs="Arial" w:eastAsia="Arial" w:hAnsi="Arial"/>
                <w:sz w:val="14"/>
                <w:szCs w:val="14"/>
                <w:color w:val="auto"/>
              </w:rPr>
              <w:t>Non-GAAP diluted 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32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w w:val="76"/>
              </w:rPr>
              <w:t>$</w:t>
            </w:r>
          </w:p>
        </w:tc>
        <w:tc>
          <w:tcPr>
            <w:tcW w:w="62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0.11</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0.06</w:t>
            </w: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0.07</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58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0.25</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62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0.29</w:t>
            </w: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5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0.34</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68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0.37</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Borders>
              <w:bottom w:val="single" w:sz="8" w:color="auto"/>
            </w:tcBorders>
          </w:tcPr>
          <w:p>
            <w:pPr>
              <w:spacing w:after="0" w:line="143" w:lineRule="exact"/>
              <w:rPr>
                <w:sz w:val="20"/>
                <w:szCs w:val="20"/>
                <w:color w:val="auto"/>
              </w:rPr>
            </w:pPr>
            <w:r>
              <w:rPr>
                <w:rFonts w:ascii="Arial" w:cs="Arial" w:eastAsia="Arial" w:hAnsi="Arial"/>
                <w:sz w:val="14"/>
                <w:szCs w:val="14"/>
                <w:color w:val="auto"/>
              </w:rPr>
              <w:t>$</w:t>
            </w:r>
          </w:p>
        </w:tc>
        <w:tc>
          <w:tcPr>
            <w:tcW w:w="62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1.15</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gross profit:</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313,548</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295,636</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248,773</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440,321</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475,162</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w w:val="94"/>
              </w:rPr>
              <w:t>483,804</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1,231,092</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6"/>
              </w:rPr>
              <w:t>1,863,257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28"/>
              <w:spacing w:after="0" w:line="149" w:lineRule="exact"/>
              <w:rPr>
                <w:sz w:val="20"/>
                <w:szCs w:val="20"/>
                <w:color w:val="auto"/>
              </w:rPr>
            </w:pPr>
            <w:r>
              <w:rPr>
                <w:rFonts w:ascii="Arial" w:cs="Arial" w:eastAsia="Arial" w:hAnsi="Arial"/>
                <w:sz w:val="14"/>
                <w:szCs w:val="14"/>
                <w:color w:val="auto"/>
              </w:rPr>
              <w:t>1,861</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2,495</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2,012</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2,006</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1,934</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1,733</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7,915</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7,972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7</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10,285</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10,292</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Amortization of acquired intangible assets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28"/>
              <w:spacing w:after="0" w:line="149" w:lineRule="exact"/>
              <w:rPr>
                <w:sz w:val="20"/>
                <w:szCs w:val="20"/>
                <w:color w:val="auto"/>
              </w:rPr>
            </w:pPr>
            <w:r>
              <w:rPr>
                <w:rFonts w:ascii="Arial" w:cs="Arial" w:eastAsia="Arial" w:hAnsi="Arial"/>
                <w:sz w:val="14"/>
                <w:szCs w:val="14"/>
                <w:color w:val="auto"/>
              </w:rPr>
              <w:t>485</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jc w:val="right"/>
              <w:spacing w:after="0" w:line="149" w:lineRule="exact"/>
              <w:rPr>
                <w:sz w:val="20"/>
                <w:szCs w:val="20"/>
                <w:color w:val="auto"/>
              </w:rPr>
            </w:pPr>
            <w:r>
              <w:rPr>
                <w:rFonts w:ascii="Arial" w:cs="Arial" w:eastAsia="Arial" w:hAnsi="Arial"/>
                <w:sz w:val="14"/>
                <w:szCs w:val="14"/>
                <w:color w:val="auto"/>
              </w:rPr>
              <w:t>485</w:t>
            </w: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778</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925</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925</w:t>
            </w: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925</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2,673</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3,700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3,711</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1,158</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81,390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(3,998)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84,559</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(3,998)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1,000</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1,000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3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Non-GAAP gross profit</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319,612</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310,059</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332,953</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444,252</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474,023</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w w:val="94"/>
              </w:rPr>
              <w:t>486,462</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1,336,531</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6"/>
              </w:rPr>
              <w:t>1,871,931</w:t>
            </w:r>
          </w:p>
        </w:tc>
        <w:tc>
          <w:tcPr>
            <w:tcW w:w="0" w:type="dxa"/>
            <w:vAlign w:val="bottom"/>
          </w:tcPr>
          <w:p>
            <w:pPr>
              <w:spacing w:after="0"/>
              <w:rPr>
                <w:sz w:val="1"/>
                <w:szCs w:val="1"/>
                <w:color w:val="auto"/>
              </w:rPr>
            </w:pPr>
          </w:p>
        </w:tc>
      </w:tr>
      <w:tr>
        <w:trPr>
          <w:trHeight w:val="20"/>
        </w:trPr>
        <w:tc>
          <w:tcPr>
            <w:tcW w:w="3320" w:type="dxa"/>
            <w:vAlign w:val="bottom"/>
            <w:gridSpan w:val="2"/>
            <w:vMerge w:val="restart"/>
          </w:tcPr>
          <w:p>
            <w:pPr>
              <w:spacing w:after="0"/>
              <w:rPr>
                <w:sz w:val="20"/>
                <w:szCs w:val="20"/>
                <w:color w:val="auto"/>
              </w:rPr>
            </w:pPr>
            <w:r>
              <w:rPr>
                <w:rFonts w:ascii="Arial" w:cs="Arial" w:eastAsia="Arial" w:hAnsi="Arial"/>
                <w:sz w:val="14"/>
                <w:szCs w:val="14"/>
                <w:color w:val="auto"/>
              </w:rPr>
              <w:t>GAAP gross margin</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32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8"/>
              <w:spacing w:after="0" w:line="143" w:lineRule="exact"/>
              <w:rPr>
                <w:sz w:val="20"/>
                <w:szCs w:val="20"/>
                <w:color w:val="auto"/>
              </w:rPr>
            </w:pPr>
            <w:r>
              <w:rPr>
                <w:rFonts w:ascii="Arial" w:cs="Arial" w:eastAsia="Arial" w:hAnsi="Arial"/>
                <w:sz w:val="14"/>
                <w:szCs w:val="14"/>
                <w:color w:val="auto"/>
              </w:rPr>
              <w:t>50.9%</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180"/>
              <w:spacing w:after="0" w:line="143" w:lineRule="exact"/>
              <w:rPr>
                <w:sz w:val="20"/>
                <w:szCs w:val="20"/>
                <w:color w:val="auto"/>
              </w:rPr>
            </w:pPr>
            <w:r>
              <w:rPr>
                <w:rFonts w:ascii="Arial" w:cs="Arial" w:eastAsia="Arial" w:hAnsi="Arial"/>
                <w:sz w:val="14"/>
                <w:szCs w:val="14"/>
                <w:color w:val="auto"/>
              </w:rPr>
              <w:t>43.8%</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28"/>
              <w:spacing w:after="0" w:line="143" w:lineRule="exact"/>
              <w:rPr>
                <w:sz w:val="20"/>
                <w:szCs w:val="20"/>
                <w:color w:val="auto"/>
              </w:rPr>
            </w:pPr>
            <w:r>
              <w:rPr>
                <w:rFonts w:ascii="Arial" w:cs="Arial" w:eastAsia="Arial" w:hAnsi="Arial"/>
                <w:sz w:val="14"/>
                <w:szCs w:val="14"/>
                <w:color w:val="auto"/>
              </w:rPr>
              <w:t>35.0%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00"/>
              <w:spacing w:after="0" w:line="143" w:lineRule="exact"/>
              <w:rPr>
                <w:sz w:val="20"/>
                <w:szCs w:val="20"/>
                <w:color w:val="auto"/>
              </w:rPr>
            </w:pPr>
            <w:r>
              <w:rPr>
                <w:rFonts w:ascii="Arial" w:cs="Arial" w:eastAsia="Arial" w:hAnsi="Arial"/>
                <w:sz w:val="14"/>
                <w:szCs w:val="14"/>
                <w:color w:val="auto"/>
              </w:rPr>
              <w:t>51.4%</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140"/>
              <w:spacing w:after="0" w:line="143" w:lineRule="exact"/>
              <w:rPr>
                <w:sz w:val="20"/>
                <w:szCs w:val="20"/>
                <w:color w:val="auto"/>
              </w:rPr>
            </w:pPr>
            <w:r>
              <w:rPr>
                <w:rFonts w:ascii="Arial" w:cs="Arial" w:eastAsia="Arial" w:hAnsi="Arial"/>
                <w:sz w:val="14"/>
                <w:szCs w:val="14"/>
                <w:color w:val="auto"/>
              </w:rPr>
              <w:t>51.1%</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8"/>
              <w:spacing w:after="0" w:line="143" w:lineRule="exact"/>
              <w:rPr>
                <w:sz w:val="20"/>
                <w:szCs w:val="20"/>
                <w:color w:val="auto"/>
              </w:rPr>
            </w:pPr>
            <w:r>
              <w:rPr>
                <w:rFonts w:ascii="Arial" w:cs="Arial" w:eastAsia="Arial" w:hAnsi="Arial"/>
                <w:sz w:val="14"/>
                <w:szCs w:val="14"/>
                <w:color w:val="auto"/>
              </w:rPr>
              <w:t>50.3%</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00"/>
              <w:spacing w:after="0" w:line="143" w:lineRule="exact"/>
              <w:rPr>
                <w:sz w:val="20"/>
                <w:szCs w:val="20"/>
                <w:color w:val="auto"/>
              </w:rPr>
            </w:pPr>
            <w:r>
              <w:rPr>
                <w:rFonts w:ascii="Arial" w:cs="Arial" w:eastAsia="Arial" w:hAnsi="Arial"/>
                <w:sz w:val="14"/>
                <w:szCs w:val="14"/>
                <w:color w:val="auto"/>
              </w:rPr>
              <w:t>45.2%</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40"/>
              <w:spacing w:after="0" w:line="143" w:lineRule="exact"/>
              <w:rPr>
                <w:sz w:val="20"/>
                <w:szCs w:val="20"/>
                <w:color w:val="auto"/>
              </w:rPr>
            </w:pPr>
            <w:r>
              <w:rPr>
                <w:rFonts w:ascii="Arial" w:cs="Arial" w:eastAsia="Arial" w:hAnsi="Arial"/>
                <w:sz w:val="14"/>
                <w:szCs w:val="14"/>
                <w:color w:val="auto"/>
              </w:rPr>
              <w:t>50.3%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8"/>
              <w:spacing w:after="0" w:line="149" w:lineRule="exact"/>
              <w:rPr>
                <w:sz w:val="20"/>
                <w:szCs w:val="20"/>
                <w:color w:val="auto"/>
              </w:rPr>
            </w:pPr>
            <w:r>
              <w:rPr>
                <w:rFonts w:ascii="Arial" w:cs="Arial" w:eastAsia="Arial" w:hAnsi="Arial"/>
                <w:sz w:val="14"/>
                <w:szCs w:val="14"/>
                <w:color w:val="auto"/>
              </w:rPr>
              <w:t>0.3%</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0.4%</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0.3%</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0.2%</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0.2%</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0.2%</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0.3%</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8"/>
              <w:spacing w:after="0" w:line="149" w:lineRule="exact"/>
              <w:rPr>
                <w:sz w:val="20"/>
                <w:szCs w:val="20"/>
                <w:color w:val="auto"/>
              </w:rPr>
            </w:pPr>
            <w:r>
              <w:rPr>
                <w:rFonts w:ascii="Arial" w:cs="Arial" w:eastAsia="Arial" w:hAnsi="Arial"/>
                <w:sz w:val="14"/>
                <w:szCs w:val="14"/>
                <w:color w:val="auto"/>
              </w:rPr>
              <w:t>0.0%</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28"/>
              <w:spacing w:after="0" w:line="149" w:lineRule="exact"/>
              <w:rPr>
                <w:sz w:val="20"/>
                <w:szCs w:val="20"/>
                <w:color w:val="auto"/>
              </w:rPr>
            </w:pPr>
            <w:r>
              <w:rPr>
                <w:rFonts w:ascii="Arial" w:cs="Arial" w:eastAsia="Arial" w:hAnsi="Arial"/>
                <w:sz w:val="14"/>
                <w:szCs w:val="14"/>
                <w:color w:val="auto"/>
              </w:rPr>
              <w:t>0.0%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0.0%</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0.0%</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8"/>
              <w:spacing w:after="0" w:line="149" w:lineRule="exact"/>
              <w:rPr>
                <w:sz w:val="20"/>
                <w:szCs w:val="20"/>
                <w:color w:val="auto"/>
              </w:rPr>
            </w:pPr>
            <w:r>
              <w:rPr>
                <w:rFonts w:ascii="Arial" w:cs="Arial" w:eastAsia="Arial" w:hAnsi="Arial"/>
                <w:sz w:val="14"/>
                <w:szCs w:val="14"/>
                <w:color w:val="auto"/>
              </w:rPr>
              <w:t>0.0%</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0.4%</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Amortization of acquired intangible assets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8"/>
              <w:spacing w:after="0" w:line="149" w:lineRule="exact"/>
              <w:rPr>
                <w:sz w:val="20"/>
                <w:szCs w:val="20"/>
                <w:color w:val="auto"/>
              </w:rPr>
            </w:pPr>
            <w:r>
              <w:rPr>
                <w:rFonts w:ascii="Arial" w:cs="Arial" w:eastAsia="Arial" w:hAnsi="Arial"/>
                <w:sz w:val="14"/>
                <w:szCs w:val="14"/>
                <w:color w:val="auto"/>
              </w:rPr>
              <w:t>0.1%</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0.1%</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0.1%</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0.1%</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0.1%</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0.1%</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0.1%</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8"/>
              <w:spacing w:after="0" w:line="149" w:lineRule="exact"/>
              <w:rPr>
                <w:sz w:val="20"/>
                <w:szCs w:val="20"/>
                <w:color w:val="auto"/>
              </w:rPr>
            </w:pPr>
            <w:r>
              <w:rPr>
                <w:rFonts w:ascii="Arial" w:cs="Arial" w:eastAsia="Arial" w:hAnsi="Arial"/>
                <w:sz w:val="14"/>
                <w:szCs w:val="14"/>
                <w:color w:val="auto"/>
              </w:rPr>
              <w:t>0.6%</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0.1%</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28"/>
              <w:spacing w:after="0" w:line="149" w:lineRule="exact"/>
              <w:rPr>
                <w:sz w:val="20"/>
                <w:szCs w:val="20"/>
                <w:color w:val="auto"/>
              </w:rPr>
            </w:pPr>
            <w:r>
              <w:rPr>
                <w:rFonts w:ascii="Arial" w:cs="Arial" w:eastAsia="Arial" w:hAnsi="Arial"/>
                <w:sz w:val="14"/>
                <w:szCs w:val="14"/>
                <w:color w:val="auto"/>
              </w:rPr>
              <w:t>11.5%</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0.0%</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-0.4%</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8"/>
              <w:spacing w:after="0" w:line="149" w:lineRule="exact"/>
              <w:rPr>
                <w:sz w:val="20"/>
                <w:szCs w:val="20"/>
                <w:color w:val="auto"/>
              </w:rPr>
            </w:pPr>
            <w:r>
              <w:rPr>
                <w:rFonts w:ascii="Arial" w:cs="Arial" w:eastAsia="Arial" w:hAnsi="Arial"/>
                <w:sz w:val="14"/>
                <w:szCs w:val="14"/>
                <w:color w:val="auto"/>
              </w:rPr>
              <w:t>0.0%</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3.0%</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8"/>
              <w:spacing w:after="0" w:line="149" w:lineRule="exact"/>
              <w:rPr>
                <w:sz w:val="20"/>
                <w:szCs w:val="20"/>
                <w:color w:val="auto"/>
              </w:rPr>
            </w:pPr>
            <w:r>
              <w:rPr>
                <w:rFonts w:ascii="Arial" w:cs="Arial" w:eastAsia="Arial" w:hAnsi="Arial"/>
                <w:sz w:val="14"/>
                <w:szCs w:val="14"/>
                <w:color w:val="auto"/>
              </w:rPr>
              <w:t>0.0%</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0.0%</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0.1%</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0.0%</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0.0%</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0.0%</w:t>
            </w:r>
          </w:p>
        </w:tc>
        <w:tc>
          <w:tcPr>
            <w:tcW w:w="0" w:type="dxa"/>
            <w:vAlign w:val="bottom"/>
          </w:tcPr>
          <w:p>
            <w:pPr>
              <w:spacing w:after="0"/>
              <w:rPr>
                <w:sz w:val="1"/>
                <w:szCs w:val="1"/>
                <w:color w:val="auto"/>
              </w:rPr>
            </w:pPr>
          </w:p>
        </w:tc>
      </w:tr>
      <w:tr>
        <w:trPr>
          <w:trHeight w:val="20"/>
        </w:trPr>
        <w:tc>
          <w:tcPr>
            <w:tcW w:w="3320" w:type="dxa"/>
            <w:vAlign w:val="bottom"/>
            <w:gridSpan w:val="2"/>
            <w:vMerge w:val="restart"/>
          </w:tcPr>
          <w:p>
            <w:pPr>
              <w:spacing w:after="0"/>
              <w:rPr>
                <w:sz w:val="20"/>
                <w:szCs w:val="20"/>
                <w:color w:val="auto"/>
              </w:rPr>
            </w:pPr>
            <w:r>
              <w:rPr>
                <w:rFonts w:ascii="Arial" w:cs="Arial" w:eastAsia="Arial" w:hAnsi="Arial"/>
                <w:sz w:val="14"/>
                <w:szCs w:val="14"/>
                <w:color w:val="auto"/>
              </w:rPr>
              <w:t>Non-GAAP gross margin</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3320" w:type="dxa"/>
            <w:vAlign w:val="bottom"/>
            <w:gridSpan w:val="2"/>
            <w:vMerge w:val="continue"/>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20" w:type="dxa"/>
            <w:vAlign w:val="bottom"/>
            <w:gridSpan w:val="2"/>
          </w:tcPr>
          <w:p>
            <w:pPr>
              <w:jc w:val="right"/>
              <w:ind w:right="8"/>
              <w:spacing w:after="0" w:line="155" w:lineRule="exact"/>
              <w:rPr>
                <w:sz w:val="20"/>
                <w:szCs w:val="20"/>
                <w:color w:val="auto"/>
              </w:rPr>
            </w:pPr>
            <w:r>
              <w:rPr>
                <w:rFonts w:ascii="Arial" w:cs="Arial" w:eastAsia="Arial" w:hAnsi="Arial"/>
                <w:sz w:val="14"/>
                <w:szCs w:val="14"/>
                <w:color w:val="auto"/>
              </w:rPr>
              <w:t>51.9%</w:t>
            </w:r>
          </w:p>
        </w:tc>
        <w:tc>
          <w:tcPr>
            <w:tcW w:w="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60" w:type="dxa"/>
            <w:vAlign w:val="bottom"/>
            <w:gridSpan w:val="2"/>
          </w:tcPr>
          <w:p>
            <w:pPr>
              <w:jc w:val="right"/>
              <w:ind w:right="180"/>
              <w:spacing w:after="0" w:line="155" w:lineRule="exact"/>
              <w:rPr>
                <w:sz w:val="20"/>
                <w:szCs w:val="20"/>
                <w:color w:val="auto"/>
              </w:rPr>
            </w:pPr>
            <w:r>
              <w:rPr>
                <w:rFonts w:ascii="Arial" w:cs="Arial" w:eastAsia="Arial" w:hAnsi="Arial"/>
                <w:sz w:val="14"/>
                <w:szCs w:val="14"/>
                <w:color w:val="auto"/>
              </w:rPr>
              <w:t>45.9%</w:t>
            </w: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gridSpan w:val="2"/>
          </w:tcPr>
          <w:p>
            <w:pPr>
              <w:jc w:val="right"/>
              <w:ind w:right="28"/>
              <w:spacing w:after="0" w:line="155" w:lineRule="exact"/>
              <w:rPr>
                <w:sz w:val="20"/>
                <w:szCs w:val="20"/>
                <w:color w:val="auto"/>
              </w:rPr>
            </w:pPr>
            <w:r>
              <w:rPr>
                <w:rFonts w:ascii="Arial" w:cs="Arial" w:eastAsia="Arial" w:hAnsi="Arial"/>
                <w:sz w:val="14"/>
                <w:szCs w:val="14"/>
                <w:color w:val="auto"/>
              </w:rPr>
              <w:t>46.9%</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0" w:type="dxa"/>
            <w:vAlign w:val="bottom"/>
            <w:gridSpan w:val="2"/>
          </w:tcPr>
          <w:p>
            <w:pPr>
              <w:jc w:val="right"/>
              <w:ind w:right="100"/>
              <w:spacing w:after="0" w:line="155" w:lineRule="exact"/>
              <w:rPr>
                <w:sz w:val="20"/>
                <w:szCs w:val="20"/>
                <w:color w:val="auto"/>
              </w:rPr>
            </w:pPr>
            <w:r>
              <w:rPr>
                <w:rFonts w:ascii="Arial" w:cs="Arial" w:eastAsia="Arial" w:hAnsi="Arial"/>
                <w:sz w:val="14"/>
                <w:szCs w:val="14"/>
                <w:color w:val="auto"/>
              </w:rPr>
              <w:t>51.8%</w:t>
            </w:r>
          </w:p>
        </w:tc>
        <w:tc>
          <w:tcPr>
            <w:tcW w:w="1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80" w:type="dxa"/>
            <w:vAlign w:val="bottom"/>
            <w:gridSpan w:val="2"/>
          </w:tcPr>
          <w:p>
            <w:pPr>
              <w:jc w:val="right"/>
              <w:ind w:right="140"/>
              <w:spacing w:after="0" w:line="155" w:lineRule="exact"/>
              <w:rPr>
                <w:sz w:val="20"/>
                <w:szCs w:val="20"/>
                <w:color w:val="auto"/>
              </w:rPr>
            </w:pPr>
            <w:r>
              <w:rPr>
                <w:rFonts w:ascii="Arial" w:cs="Arial" w:eastAsia="Arial" w:hAnsi="Arial"/>
                <w:sz w:val="14"/>
                <w:szCs w:val="14"/>
                <w:color w:val="auto"/>
              </w:rPr>
              <w:t>51.0%</w:t>
            </w: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gridSpan w:val="2"/>
          </w:tcPr>
          <w:p>
            <w:pPr>
              <w:jc w:val="right"/>
              <w:ind w:right="28"/>
              <w:spacing w:after="0" w:line="155" w:lineRule="exact"/>
              <w:rPr>
                <w:sz w:val="20"/>
                <w:szCs w:val="20"/>
                <w:color w:val="auto"/>
              </w:rPr>
            </w:pPr>
            <w:r>
              <w:rPr>
                <w:rFonts w:ascii="Arial" w:cs="Arial" w:eastAsia="Arial" w:hAnsi="Arial"/>
                <w:sz w:val="14"/>
                <w:szCs w:val="14"/>
                <w:color w:val="auto"/>
              </w:rPr>
              <w:t>50.6%</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gridSpan w:val="2"/>
          </w:tcPr>
          <w:p>
            <w:pPr>
              <w:jc w:val="right"/>
              <w:ind w:right="100"/>
              <w:spacing w:after="0" w:line="155" w:lineRule="exact"/>
              <w:rPr>
                <w:sz w:val="20"/>
                <w:szCs w:val="20"/>
                <w:color w:val="auto"/>
              </w:rPr>
            </w:pPr>
            <w:r>
              <w:rPr>
                <w:rFonts w:ascii="Arial" w:cs="Arial" w:eastAsia="Arial" w:hAnsi="Arial"/>
                <w:sz w:val="14"/>
                <w:szCs w:val="14"/>
                <w:color w:val="auto"/>
              </w:rPr>
              <w:t>49.0%</w:t>
            </w:r>
          </w:p>
        </w:tc>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gridSpan w:val="2"/>
          </w:tcPr>
          <w:p>
            <w:pPr>
              <w:jc w:val="right"/>
              <w:ind w:right="40"/>
              <w:spacing w:after="0" w:line="155" w:lineRule="exact"/>
              <w:rPr>
                <w:sz w:val="20"/>
                <w:szCs w:val="20"/>
                <w:color w:val="auto"/>
              </w:rPr>
            </w:pPr>
            <w:r>
              <w:rPr>
                <w:rFonts w:ascii="Arial" w:cs="Arial" w:eastAsia="Arial" w:hAnsi="Arial"/>
                <w:sz w:val="14"/>
                <w:szCs w:val="14"/>
                <w:color w:val="auto"/>
              </w:rPr>
              <w:t>50.5%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research and development:</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239,703</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284,308</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297,321</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285,497</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288,435</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w w:val="94"/>
              </w:rPr>
              <w:t>294,764</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1,101,446</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6"/>
              </w:rPr>
              <w:t>1,164,059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68"/>
              <w:spacing w:after="0" w:line="149" w:lineRule="exact"/>
              <w:rPr>
                <w:sz w:val="20"/>
                <w:szCs w:val="20"/>
                <w:color w:val="auto"/>
              </w:rPr>
            </w:pPr>
            <w:r>
              <w:rPr>
                <w:rFonts w:ascii="Arial" w:cs="Arial" w:eastAsia="Arial" w:hAnsi="Arial"/>
                <w:sz w:val="14"/>
                <w:szCs w:val="14"/>
                <w:color w:val="auto"/>
              </w:rPr>
              <w:t>(23,631)</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(22,573)</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(27,807)</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(25,590)</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(24,198)</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(24,276)</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(98,792)</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(94,432)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(3,703)</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(31,806)</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(11,680)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(67)</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(412)</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(47,189)</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(5,249)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88"/>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(5,000)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(5,000)</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(3,485)</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(894)</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(134)</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(4,513)</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3320" w:type="dxa"/>
            <w:vAlign w:val="bottom"/>
            <w:gridSpan w:val="2"/>
          </w:tcPr>
          <w:p>
            <w:pPr>
              <w:spacing w:after="0" w:line="155" w:lineRule="exact"/>
              <w:rPr>
                <w:sz w:val="20"/>
                <w:szCs w:val="20"/>
                <w:color w:val="auto"/>
              </w:rPr>
            </w:pPr>
            <w:r>
              <w:rPr>
                <w:rFonts w:ascii="Arial" w:cs="Arial" w:eastAsia="Arial" w:hAnsi="Arial"/>
                <w:sz w:val="14"/>
                <w:szCs w:val="14"/>
                <w:color w:val="auto"/>
              </w:rPr>
              <w:t>Non-GAAP research and development</w:t>
            </w:r>
          </w:p>
        </w:tc>
        <w:tc>
          <w:tcPr>
            <w:tcW w:w="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208,884</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229,035</w:t>
            </w:r>
          </w:p>
        </w:tc>
        <w:tc>
          <w:tcPr>
            <w:tcW w:w="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252,700</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259,840</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264,149</w:t>
            </w: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4"/>
              </w:rPr>
              <w:t>270,076</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945,952</w:t>
            </w: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1,064,378</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selling and marketing:</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31,301</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32,481</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30,841</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37,235</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34,410</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33,949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130,797</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143,952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68"/>
              <w:spacing w:after="0" w:line="149" w:lineRule="exact"/>
              <w:rPr>
                <w:sz w:val="20"/>
                <w:szCs w:val="20"/>
                <w:color w:val="auto"/>
              </w:rPr>
            </w:pPr>
            <w:r>
              <w:rPr>
                <w:rFonts w:ascii="Arial" w:cs="Arial" w:eastAsia="Arial" w:hAnsi="Arial"/>
                <w:sz w:val="14"/>
                <w:szCs w:val="14"/>
                <w:color w:val="auto"/>
              </w:rPr>
              <w:t>(3,214)</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(2,608)</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(2,707)</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(3,069)</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(2,855)</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(2,617)</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(11,106)</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(11,469)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(118)</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(1,899)</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48</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(2,017)</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188"/>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(1,600)</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(1,600)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(393)</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(39)</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(432)</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3320" w:type="dxa"/>
            <w:vAlign w:val="bottom"/>
            <w:gridSpan w:val="2"/>
          </w:tcPr>
          <w:p>
            <w:pPr>
              <w:spacing w:after="0" w:line="155" w:lineRule="exact"/>
              <w:rPr>
                <w:sz w:val="20"/>
                <w:szCs w:val="20"/>
                <w:color w:val="auto"/>
              </w:rPr>
            </w:pPr>
            <w:r>
              <w:rPr>
                <w:rFonts w:ascii="Arial" w:cs="Arial" w:eastAsia="Arial" w:hAnsi="Arial"/>
                <w:sz w:val="14"/>
                <w:szCs w:val="14"/>
                <w:color w:val="auto"/>
              </w:rPr>
              <w:t>Non-GAAP selling and marketing</w:t>
            </w:r>
          </w:p>
        </w:tc>
        <w:tc>
          <w:tcPr>
            <w:tcW w:w="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27,576</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27,935</w:t>
            </w:r>
          </w:p>
        </w:tc>
        <w:tc>
          <w:tcPr>
            <w:tcW w:w="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28,134</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34,166</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29,955</w:t>
            </w: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31,380</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117,242</w:t>
            </w: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130,883</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general and administrative:</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37,812</w:t>
            </w:r>
          </w:p>
        </w:tc>
        <w:tc>
          <w:tcPr>
            <w:tcW w:w="28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34,771</w:t>
            </w:r>
          </w:p>
        </w:tc>
        <w:tc>
          <w:tcPr>
            <w:tcW w:w="14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36,563</w:t>
            </w:r>
          </w:p>
        </w:tc>
        <w:tc>
          <w:tcPr>
            <w:tcW w:w="24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34,651</w:t>
            </w:r>
          </w:p>
        </w:tc>
        <w:tc>
          <w:tcPr>
            <w:tcW w:w="26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33,473</w:t>
            </w:r>
          </w:p>
        </w:tc>
        <w:tc>
          <w:tcPr>
            <w:tcW w:w="14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31,333</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150,173</w:t>
            </w:r>
          </w:p>
        </w:tc>
        <w:tc>
          <w:tcPr>
            <w:tcW w:w="20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130,030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Share-based compensation</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68"/>
              <w:spacing w:after="0" w:line="149" w:lineRule="exact"/>
              <w:rPr>
                <w:sz w:val="20"/>
                <w:szCs w:val="20"/>
                <w:color w:val="auto"/>
              </w:rPr>
            </w:pPr>
            <w:r>
              <w:rPr>
                <w:rFonts w:ascii="Arial" w:cs="Arial" w:eastAsia="Arial" w:hAnsi="Arial"/>
                <w:sz w:val="14"/>
                <w:szCs w:val="14"/>
                <w:color w:val="auto"/>
              </w:rPr>
              <w:t>(3,713)</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(3,789)</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(4,148)</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(7,298)</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(5,307)</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(6,394)</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(15,966)</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(23,373)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Restructuring and other related charges </w:t>
            </w:r>
            <w:r>
              <w:rPr>
                <w:rFonts w:ascii="Arial" w:cs="Arial" w:eastAsia="Arial" w:hAnsi="Arial"/>
                <w:sz w:val="14"/>
                <w:szCs w:val="14"/>
                <w:i w:val="1"/>
                <w:iCs w:val="1"/>
                <w:color w:val="auto"/>
              </w:rPr>
              <w:t>(a)</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(568)</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(1,565)</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(1,320)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(3,345)</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(1,115)</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(371)</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(4,045)</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(5,189)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68"/>
              <w:spacing w:after="0" w:line="149" w:lineRule="exact"/>
              <w:rPr>
                <w:sz w:val="20"/>
                <w:szCs w:val="20"/>
                <w:color w:val="auto"/>
              </w:rPr>
            </w:pPr>
            <w:r>
              <w:rPr>
                <w:rFonts w:ascii="Arial" w:cs="Arial" w:eastAsia="Arial" w:hAnsi="Arial"/>
                <w:sz w:val="14"/>
                <w:szCs w:val="14"/>
                <w:color w:val="auto"/>
              </w:rPr>
              <w:t>(80)</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(7,060)</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(475)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(7,140)</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(2,475)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(2,876)</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(2,901)</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(2,748)</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(2,764)</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(2,318)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(2,155)</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(26,827)</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(7,237)</w:t>
            </w:r>
          </w:p>
        </w:tc>
        <w:tc>
          <w:tcPr>
            <w:tcW w:w="0" w:type="dxa"/>
            <w:vAlign w:val="bottom"/>
          </w:tcPr>
          <w:p>
            <w:pPr>
              <w:spacing w:after="0"/>
              <w:rPr>
                <w:sz w:val="1"/>
                <w:szCs w:val="1"/>
                <w:color w:val="auto"/>
              </w:rPr>
            </w:pPr>
          </w:p>
        </w:tc>
      </w:tr>
      <w:tr>
        <w:trPr>
          <w:trHeight w:val="156"/>
        </w:trPr>
        <w:tc>
          <w:tcPr>
            <w:tcW w:w="3320" w:type="dxa"/>
            <w:vAlign w:val="bottom"/>
            <w:gridSpan w:val="2"/>
          </w:tcPr>
          <w:p>
            <w:pPr>
              <w:spacing w:after="0" w:line="155" w:lineRule="exact"/>
              <w:rPr>
                <w:sz w:val="20"/>
                <w:szCs w:val="20"/>
                <w:color w:val="auto"/>
              </w:rPr>
            </w:pPr>
            <w:r>
              <w:rPr>
                <w:rFonts w:ascii="Arial" w:cs="Arial" w:eastAsia="Arial" w:hAnsi="Arial"/>
                <w:sz w:val="14"/>
                <w:szCs w:val="14"/>
                <w:color w:val="auto"/>
              </w:rPr>
              <w:t>Non-GAAP general and administrative</w:t>
            </w:r>
          </w:p>
        </w:tc>
        <w:tc>
          <w:tcPr>
            <w:tcW w:w="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30,575</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26,516</w:t>
            </w:r>
          </w:p>
        </w:tc>
        <w:tc>
          <w:tcPr>
            <w:tcW w:w="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21,287</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21,244</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24,733</w:t>
            </w: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21,938</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96,195</w:t>
            </w: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91,756</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3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0"/>
        </w:trPr>
        <w:tc>
          <w:tcPr>
            <w:tcW w:w="20" w:type="dxa"/>
            <w:vAlign w:val="bottom"/>
            <w:vMerge w:val="continue"/>
          </w:tcPr>
          <w:p>
            <w:pPr>
              <w:spacing w:after="0"/>
              <w:rPr>
                <w:sz w:val="11"/>
                <w:szCs w:val="11"/>
                <w:color w:val="auto"/>
              </w:rPr>
            </w:pPr>
          </w:p>
        </w:tc>
        <w:tc>
          <w:tcPr>
            <w:tcW w:w="330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GAAP Carnegie Mellon University litigation</w:t>
            </w: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300" w:type="dxa"/>
            <w:vAlign w:val="bottom"/>
            <w:shd w:val="clear" w:color="auto" w:fill="CCEEFF"/>
          </w:tcPr>
          <w:p>
            <w:pPr>
              <w:ind w:left="140"/>
              <w:spacing w:after="0"/>
              <w:rPr>
                <w:sz w:val="20"/>
                <w:szCs w:val="20"/>
                <w:color w:val="auto"/>
              </w:rPr>
            </w:pPr>
            <w:r>
              <w:rPr>
                <w:rFonts w:ascii="Arial" w:cs="Arial" w:eastAsia="Arial" w:hAnsi="Arial"/>
                <w:sz w:val="14"/>
                <w:szCs w:val="14"/>
                <w:color w:val="auto"/>
              </w:rPr>
              <w:t>settlement</w:t>
            </w:r>
          </w:p>
        </w:tc>
        <w:tc>
          <w:tcPr>
            <w:tcW w:w="10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88"/>
              <w:spacing w:after="0"/>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140" w:type="dxa"/>
            <w:vAlign w:val="bottom"/>
            <w:gridSpan w:val="2"/>
            <w:shd w:val="clear" w:color="auto" w:fill="CCEEFF"/>
          </w:tcPr>
          <w:p>
            <w:pPr>
              <w:ind w:left="20"/>
              <w:spacing w:after="0"/>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654,667</w:t>
            </w: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26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gridSpan w:val="2"/>
            <w:shd w:val="clear" w:color="auto" w:fill="CCEEFF"/>
          </w:tcPr>
          <w:p>
            <w:pPr>
              <w:ind w:left="40"/>
              <w:spacing w:after="0"/>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208"/>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654,667</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00" w:type="dxa"/>
            <w:vAlign w:val="bottom"/>
          </w:tcPr>
          <w:p>
            <w:pPr>
              <w:ind w:left="280"/>
              <w:spacing w:after="0" w:line="149" w:lineRule="exact"/>
              <w:rPr>
                <w:sz w:val="20"/>
                <w:szCs w:val="20"/>
                <w:color w:val="auto"/>
              </w:rPr>
            </w:pPr>
            <w:r>
              <w:rPr>
                <w:rFonts w:ascii="Arial" w:cs="Arial" w:eastAsia="Arial" w:hAnsi="Arial"/>
                <w:sz w:val="14"/>
                <w:szCs w:val="14"/>
                <w:color w:val="auto"/>
              </w:rPr>
              <w:t xml:space="preserve">Litigation matters </w:t>
            </w:r>
            <w:r>
              <w:rPr>
                <w:rFonts w:ascii="Arial" w:cs="Arial" w:eastAsia="Arial" w:hAnsi="Arial"/>
                <w:sz w:val="14"/>
                <w:szCs w:val="14"/>
                <w:i w:val="1"/>
                <w:iCs w:val="1"/>
                <w:color w:val="auto"/>
              </w:rPr>
              <w:t>(b)</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20" w:type="dxa"/>
            <w:vAlign w:val="bottom"/>
            <w:gridSpan w:val="2"/>
          </w:tcPr>
          <w:p>
            <w:pPr>
              <w:jc w:val="right"/>
              <w:ind w:right="188"/>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(654,667)</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8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(654,667)</w:t>
            </w:r>
          </w:p>
        </w:tc>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30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Non-GAAP Carnegie Mellon University litigation</w:t>
            </w:r>
          </w:p>
        </w:tc>
        <w:tc>
          <w:tcPr>
            <w:tcW w:w="2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560" w:type="dxa"/>
            <w:vAlign w:val="bottom"/>
            <w:tcBorders>
              <w:top w:val="single" w:sz="8" w:color="auto"/>
            </w:tcBorders>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560" w:type="dxa"/>
            <w:vAlign w:val="bottom"/>
            <w:tcBorders>
              <w:top w:val="single" w:sz="8" w:color="auto"/>
            </w:tcBorders>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0" w:type="dxa"/>
            <w:vAlign w:val="bottom"/>
            <w:tcBorders>
              <w:top w:val="single" w:sz="8" w:color="auto"/>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300" w:type="dxa"/>
            <w:vAlign w:val="bottom"/>
            <w:shd w:val="clear" w:color="auto" w:fill="CCEEFF"/>
          </w:tcPr>
          <w:p>
            <w:pPr>
              <w:ind w:left="140"/>
              <w:spacing w:after="0"/>
              <w:rPr>
                <w:sz w:val="20"/>
                <w:szCs w:val="20"/>
                <w:color w:val="auto"/>
              </w:rPr>
            </w:pPr>
            <w:r>
              <w:rPr>
                <w:rFonts w:ascii="Arial" w:cs="Arial" w:eastAsia="Arial" w:hAnsi="Arial"/>
                <w:sz w:val="14"/>
                <w:szCs w:val="14"/>
                <w:color w:val="auto"/>
              </w:rPr>
              <w:t>settlement</w:t>
            </w:r>
          </w:p>
        </w:tc>
        <w:tc>
          <w:tcPr>
            <w:tcW w:w="10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88"/>
              <w:spacing w:after="0"/>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140" w:type="dxa"/>
            <w:vAlign w:val="bottom"/>
            <w:gridSpan w:val="2"/>
            <w:shd w:val="clear" w:color="auto" w:fill="CCEEFF"/>
          </w:tcPr>
          <w:p>
            <w:pPr>
              <w:ind w:left="20"/>
              <w:spacing w:after="0"/>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208"/>
              <w:spacing w:after="0"/>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26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gridSpan w:val="2"/>
            <w:shd w:val="clear" w:color="auto" w:fill="CCEEFF"/>
          </w:tcPr>
          <w:p>
            <w:pPr>
              <w:ind w:left="40"/>
              <w:spacing w:after="0"/>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208"/>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0"/>
        </w:trPr>
        <w:tc>
          <w:tcPr>
            <w:tcW w:w="3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3320" w:type="dxa"/>
            <w:vAlign w:val="bottom"/>
            <w:gridSpan w:val="2"/>
          </w:tcPr>
          <w:p>
            <w:pPr>
              <w:spacing w:after="0"/>
              <w:rPr>
                <w:sz w:val="20"/>
                <w:szCs w:val="20"/>
                <w:color w:val="auto"/>
              </w:rPr>
            </w:pPr>
            <w:r>
              <w:rPr>
                <w:rFonts w:ascii="Arial" w:cs="Arial" w:eastAsia="Arial" w:hAnsi="Arial"/>
                <w:sz w:val="14"/>
                <w:szCs w:val="14"/>
                <w:color w:val="auto"/>
              </w:rPr>
              <w:t>GAAP provision (benefit) for income taxes</w:t>
            </w:r>
          </w:p>
        </w:tc>
        <w:tc>
          <w:tcPr>
            <w:tcW w:w="100" w:type="dxa"/>
            <w:vAlign w:val="bottom"/>
            <w:gridSpan w:val="2"/>
          </w:tcPr>
          <w:p>
            <w:pPr>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68"/>
              <w:spacing w:after="0"/>
              <w:rPr>
                <w:sz w:val="20"/>
                <w:szCs w:val="20"/>
                <w:color w:val="auto"/>
              </w:rPr>
            </w:pPr>
            <w:r>
              <w:rPr>
                <w:rFonts w:ascii="Arial" w:cs="Arial" w:eastAsia="Arial" w:hAnsi="Arial"/>
                <w:sz w:val="14"/>
                <w:szCs w:val="14"/>
                <w:color w:val="auto"/>
              </w:rPr>
              <w:t>(846)</w:t>
            </w:r>
          </w:p>
        </w:tc>
        <w:tc>
          <w:tcPr>
            <w:tcW w:w="280" w:type="dxa"/>
            <w:vAlign w:val="bottom"/>
            <w:gridSpan w:val="2"/>
          </w:tcPr>
          <w:p>
            <w:pPr>
              <w:ind w:left="12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300"/>
              <w:spacing w:after="0"/>
              <w:rPr>
                <w:sz w:val="20"/>
                <w:szCs w:val="20"/>
                <w:color w:val="auto"/>
              </w:rPr>
            </w:pPr>
            <w:r>
              <w:rPr>
                <w:rFonts w:ascii="Arial" w:cs="Arial" w:eastAsia="Arial" w:hAnsi="Arial"/>
                <w:sz w:val="14"/>
                <w:szCs w:val="14"/>
                <w:color w:val="auto"/>
              </w:rPr>
              <w:t>3,320</w:t>
            </w:r>
          </w:p>
        </w:tc>
        <w:tc>
          <w:tcPr>
            <w:tcW w:w="140" w:type="dxa"/>
            <w:vAlign w:val="bottom"/>
            <w:gridSpan w:val="2"/>
          </w:tcPr>
          <w:p>
            <w:pPr>
              <w:ind w:left="20"/>
              <w:spacing w:after="0"/>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148"/>
              <w:spacing w:after="0"/>
              <w:rPr>
                <w:sz w:val="20"/>
                <w:szCs w:val="20"/>
                <w:color w:val="auto"/>
              </w:rPr>
            </w:pPr>
            <w:r>
              <w:rPr>
                <w:rFonts w:ascii="Arial" w:cs="Arial" w:eastAsia="Arial" w:hAnsi="Arial"/>
                <w:sz w:val="14"/>
                <w:szCs w:val="14"/>
                <w:color w:val="auto"/>
              </w:rPr>
              <w:t>5,543</w:t>
            </w:r>
          </w:p>
        </w:tc>
        <w:tc>
          <w:tcPr>
            <w:tcW w:w="240" w:type="dxa"/>
            <w:vAlign w:val="bottom"/>
            <w:gridSpan w:val="2"/>
          </w:tcPr>
          <w:p>
            <w:pPr>
              <w:ind w:left="10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2,527</w:t>
            </w:r>
          </w:p>
        </w:tc>
        <w:tc>
          <w:tcPr>
            <w:tcW w:w="260" w:type="dxa"/>
            <w:vAlign w:val="bottom"/>
            <w:gridSpan w:val="2"/>
          </w:tcPr>
          <w:p>
            <w:pPr>
              <w:ind w:left="10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5,000</w:t>
            </w:r>
          </w:p>
        </w:tc>
        <w:tc>
          <w:tcPr>
            <w:tcW w:w="140" w:type="dxa"/>
            <w:vAlign w:val="bottom"/>
            <w:gridSpan w:val="2"/>
          </w:tcPr>
          <w:p>
            <w:pPr>
              <w:ind w:left="40"/>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88"/>
              <w:spacing w:after="0"/>
              <w:rPr>
                <w:sz w:val="20"/>
                <w:szCs w:val="20"/>
                <w:color w:val="auto"/>
              </w:rPr>
            </w:pPr>
            <w:r>
              <w:rPr>
                <w:rFonts w:ascii="Arial" w:cs="Arial" w:eastAsia="Arial" w:hAnsi="Arial"/>
                <w:sz w:val="14"/>
                <w:szCs w:val="14"/>
                <w:color w:val="auto"/>
              </w:rPr>
              <w:t>(6,153)</w:t>
            </w:r>
          </w:p>
        </w:tc>
        <w:tc>
          <w:tcPr>
            <w:tcW w:w="200" w:type="dxa"/>
            <w:vAlign w:val="bottom"/>
            <w:gridSpan w:val="2"/>
          </w:tcPr>
          <w:p>
            <w:pPr>
              <w:ind w:left="10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12,346</w:t>
            </w:r>
          </w:p>
        </w:tc>
        <w:tc>
          <w:tcPr>
            <w:tcW w:w="200" w:type="dxa"/>
            <w:vAlign w:val="bottom"/>
            <w:gridSpan w:val="2"/>
          </w:tcPr>
          <w:p>
            <w:pPr>
              <w:ind w:left="80"/>
              <w:spacing w:after="0"/>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120"/>
              <w:spacing w:after="0"/>
              <w:rPr>
                <w:sz w:val="20"/>
                <w:szCs w:val="20"/>
                <w:color w:val="auto"/>
              </w:rPr>
            </w:pPr>
            <w:r>
              <w:rPr>
                <w:rFonts w:ascii="Arial" w:cs="Arial" w:eastAsia="Arial" w:hAnsi="Arial"/>
                <w:sz w:val="14"/>
                <w:szCs w:val="14"/>
                <w:color w:val="auto"/>
              </w:rPr>
              <w:t>(3,193)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 xml:space="preserve">Other </w:t>
            </w:r>
            <w:r>
              <w:rPr>
                <w:rFonts w:ascii="Arial" w:cs="Arial" w:eastAsia="Arial" w:hAnsi="Arial"/>
                <w:sz w:val="14"/>
                <w:szCs w:val="14"/>
                <w:i w:val="1"/>
                <w:iCs w:val="1"/>
                <w:color w:val="auto"/>
              </w:rPr>
              <w:t>(c)</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88"/>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(1,108)</w:t>
            </w:r>
          </w:p>
        </w:tc>
        <w:tc>
          <w:tcPr>
            <w:tcW w:w="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(7,323)</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8"/>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(11,511)</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3320" w:type="dxa"/>
            <w:vAlign w:val="bottom"/>
            <w:gridSpan w:val="2"/>
          </w:tcPr>
          <w:p>
            <w:pPr>
              <w:spacing w:after="0" w:line="155" w:lineRule="exact"/>
              <w:rPr>
                <w:sz w:val="20"/>
                <w:szCs w:val="20"/>
                <w:color w:val="auto"/>
              </w:rPr>
            </w:pPr>
            <w:r>
              <w:rPr>
                <w:rFonts w:ascii="Arial" w:cs="Arial" w:eastAsia="Arial" w:hAnsi="Arial"/>
                <w:sz w:val="14"/>
                <w:szCs w:val="14"/>
                <w:color w:val="auto"/>
              </w:rPr>
              <w:t>Non-GAAP provision (benefit) for income taxes</w:t>
            </w:r>
          </w:p>
        </w:tc>
        <w:tc>
          <w:tcPr>
            <w:tcW w:w="20" w:type="dxa"/>
            <w:vAlign w:val="bottom"/>
            <w:tcBorders>
              <w:bottom w:val="single" w:sz="8" w:color="auto"/>
            </w:tcBorders>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(846)</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2,212</w:t>
            </w:r>
          </w:p>
        </w:tc>
        <w:tc>
          <w:tcPr>
            <w:tcW w:w="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(1,780</w:t>
            </w:r>
          </w:p>
        </w:tc>
        <w:tc>
          <w:tcPr>
            <w:tcW w:w="220" w:type="dxa"/>
            <w:vAlign w:val="bottom"/>
          </w:tcPr>
          <w:p>
            <w:pPr>
              <w:jc w:val="right"/>
              <w:ind w:right="88"/>
              <w:spacing w:after="0" w:line="155" w:lineRule="exact"/>
              <w:rPr>
                <w:sz w:val="20"/>
                <w:szCs w:val="20"/>
                <w:color w:val="auto"/>
              </w:rPr>
            </w:pPr>
            <w:r>
              <w:rPr>
                <w:rFonts w:ascii="Arial" w:cs="Arial" w:eastAsia="Arial" w:hAnsi="Arial"/>
                <w:sz w:val="14"/>
                <w:szCs w:val="14"/>
                <w:color w:val="auto"/>
                <w:w w:val="84"/>
              </w:rPr>
              <w:t>)</w:t>
            </w:r>
          </w:p>
        </w:tc>
        <w:tc>
          <w:tcPr>
            <w:tcW w:w="10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2,527</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5,000</w:t>
            </w: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(6,153</w:t>
            </w:r>
          </w:p>
        </w:tc>
        <w:tc>
          <w:tcPr>
            <w:tcW w:w="220" w:type="dxa"/>
            <w:vAlign w:val="bottom"/>
          </w:tcPr>
          <w:p>
            <w:pPr>
              <w:jc w:val="right"/>
              <w:ind w:right="88"/>
              <w:spacing w:after="0" w:line="155" w:lineRule="exact"/>
              <w:rPr>
                <w:sz w:val="20"/>
                <w:szCs w:val="20"/>
                <w:color w:val="auto"/>
              </w:rPr>
            </w:pPr>
            <w:r>
              <w:rPr>
                <w:rFonts w:ascii="Arial" w:cs="Arial" w:eastAsia="Arial" w:hAnsi="Arial"/>
                <w:sz w:val="14"/>
                <w:szCs w:val="14"/>
                <w:color w:val="auto"/>
                <w:w w:val="84"/>
              </w:rPr>
              <w:t>)</w:t>
            </w: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835</w:t>
            </w: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(3,193)</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20" w:name="page21"/>
    <w:bookmarkEnd w:id="20"/>
    <w:p>
      <w:pPr>
        <w:ind w:left="332" w:right="20" w:hanging="332"/>
        <w:spacing w:after="0" w:line="241" w:lineRule="auto"/>
        <w:tabs>
          <w:tab w:leader="none" w:pos="332" w:val="left"/>
        </w:tabs>
        <w:numPr>
          <w:ilvl w:val="0"/>
          <w:numId w:val="12"/>
        </w:numPr>
        <w:rPr>
          <w:rFonts w:ascii="Arial" w:cs="Arial" w:eastAsia="Arial" w:hAnsi="Arial"/>
          <w:sz w:val="13"/>
          <w:szCs w:val="13"/>
          <w:i w:val="1"/>
          <w:iCs w:val="1"/>
          <w:color w:val="auto"/>
        </w:rPr>
      </w:pPr>
      <w:r>
        <w:rPr>
          <w:rFonts w:ascii="Arial" w:cs="Arial" w:eastAsia="Arial" w:hAnsi="Arial"/>
          <w:sz w:val="13"/>
          <w:szCs w:val="13"/>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 and other related charges include costs that qualify under U.S. GAAP as restructuring costs and other incremental charges that are a direct result of restructuring. For the three months ended January 30, 2016, such other related charges include $0.3 million for the impairment of certain leasehold improvements due to the restructuring of the mobile platform business, in addition to $4.1 million of restructuring charges, primarily for severance and facility-related costs. For the three months ended October 31, 2015, such other related charges include $6.2 million for the impairment of certain equipment (of which $2.2 million is in cost of goods sold) and an $8.1 million write down of inventory (in cost of goods sold) due to the restructuring of the mobile platform business, in addition to $31.3 million of restructuring charges, primarily for severance and other-exit related costs. For the three months ended August 1, 2015, such other related charges included a $0.9 million impairment of equipment held for sale (in general and administrative), in addition to $12.1 million of restructuring charges, primarily for severance. In addition, other related charges for all periods reported include operating expenses incurred for the maintenance of equipment held for sale.</w:t>
      </w:r>
    </w:p>
    <w:p>
      <w:pPr>
        <w:spacing w:after="0" w:line="1" w:lineRule="exact"/>
        <w:rPr>
          <w:rFonts w:ascii="Arial" w:cs="Arial" w:eastAsia="Arial" w:hAnsi="Arial"/>
          <w:sz w:val="13"/>
          <w:szCs w:val="13"/>
          <w:i w:val="1"/>
          <w:iCs w:val="1"/>
          <w:color w:val="auto"/>
        </w:rPr>
      </w:pPr>
    </w:p>
    <w:p>
      <w:pPr>
        <w:ind w:left="332" w:right="440" w:hanging="332"/>
        <w:spacing w:after="0" w:line="221" w:lineRule="auto"/>
        <w:tabs>
          <w:tab w:leader="none" w:pos="332" w:val="left"/>
        </w:tabs>
        <w:numPr>
          <w:ilvl w:val="0"/>
          <w:numId w:val="12"/>
        </w:numPr>
        <w:rPr>
          <w:rFonts w:ascii="Arial" w:cs="Arial" w:eastAsia="Arial" w:hAnsi="Arial"/>
          <w:sz w:val="14"/>
          <w:szCs w:val="14"/>
          <w:i w:val="1"/>
          <w:iCs w:val="1"/>
          <w:color w:val="auto"/>
        </w:rPr>
      </w:pPr>
      <w:r>
        <w:rPr>
          <w:rFonts w:ascii="Arial" w:cs="Arial" w:eastAsia="Arial" w:hAnsi="Arial"/>
          <w:sz w:val="14"/>
          <w:szCs w:val="14"/>
          <w:color w:val="auto"/>
        </w:rPr>
        <w:t>Litigation matters represent accruals recognized by the Company under ASC Topic 450, “Contingencies,” in connection with the Carnegie Mellon University and certain other pending litigation.</w:t>
      </w:r>
    </w:p>
    <w:p>
      <w:pPr>
        <w:ind w:left="332" w:right="20" w:hanging="332"/>
        <w:spacing w:after="0" w:line="221" w:lineRule="auto"/>
        <w:tabs>
          <w:tab w:leader="none" w:pos="332" w:val="left"/>
        </w:tabs>
        <w:numPr>
          <w:ilvl w:val="0"/>
          <w:numId w:val="12"/>
        </w:numPr>
        <w:rPr>
          <w:rFonts w:ascii="Arial" w:cs="Arial" w:eastAsia="Arial" w:hAnsi="Arial"/>
          <w:sz w:val="14"/>
          <w:szCs w:val="14"/>
          <w:i w:val="1"/>
          <w:iCs w:val="1"/>
          <w:color w:val="auto"/>
        </w:rPr>
      </w:pPr>
      <w:r>
        <w:rPr>
          <w:rFonts w:ascii="Arial" w:cs="Arial" w:eastAsia="Arial" w:hAnsi="Arial"/>
          <w:sz w:val="14"/>
          <w:szCs w:val="14"/>
          <w:color w:val="auto"/>
        </w:rPr>
        <w:t>Other costs included in general and administrative expenses for the year ended January 30, 2016 include a cash payment authorized by the Board of Directors of $15.4 million to Dr. Sehat Sutardja, the Company’s former Chief Executive Officer (“CEO”) (see “Note 15 - Subsequent Events” in the Notes to the Consolidated Financial Statements set forth in Part II, Item 8 of the Company’s Annual Report on Form 10-K for fiscal 2015). Other costs for all periods presented includes costs primarily associated with the surety bond to appeal the Carnegie Mellon University judgment. Other costs included in the provision for income taxes also reflects the tax effect of restructuring costs in each of the three months ended August 1, 2015 and October 31, 2015, as well as the year ended January 30, 2015. Other costs included in the provision for income taxes for the year ended January 30, 2016 include the corporate income tax effect of the $15.4 million cash payment to the Company’s CEO.</w:t>
      </w:r>
    </w:p>
    <w:p>
      <w:pPr>
        <w:spacing w:after="0" w:line="1" w:lineRule="exact"/>
        <w:rPr>
          <w:rFonts w:ascii="Arial" w:cs="Arial" w:eastAsia="Arial" w:hAnsi="Arial"/>
          <w:sz w:val="14"/>
          <w:szCs w:val="14"/>
          <w:i w:val="1"/>
          <w:iCs w:val="1"/>
          <w:color w:val="auto"/>
        </w:rPr>
      </w:pPr>
    </w:p>
    <w:p>
      <w:pPr>
        <w:ind w:left="332" w:right="160" w:hanging="332"/>
        <w:spacing w:after="0" w:line="238" w:lineRule="auto"/>
        <w:tabs>
          <w:tab w:leader="none" w:pos="332" w:val="left"/>
        </w:tabs>
        <w:numPr>
          <w:ilvl w:val="0"/>
          <w:numId w:val="12"/>
        </w:numPr>
        <w:rPr>
          <w:rFonts w:ascii="Arial" w:cs="Arial" w:eastAsia="Arial" w:hAnsi="Arial"/>
          <w:sz w:val="13"/>
          <w:szCs w:val="13"/>
          <w:i w:val="1"/>
          <w:iCs w:val="1"/>
          <w:color w:val="auto"/>
        </w:rPr>
      </w:pPr>
      <w:r>
        <w:rPr>
          <w:rFonts w:ascii="Arial" w:cs="Arial" w:eastAsia="Arial" w:hAnsi="Arial"/>
          <w:sz w:val="13"/>
          <w:szCs w:val="13"/>
          <w:color w:val="auto"/>
        </w:rPr>
        <w:t>For purposes of calculating non-GAAP diluted net income per share in all periods presented, the GAAP diluted weighted average shares outstanding is adjusted to exclude the potential benefits of share-based compensation costs expected to be incurred in future periods but not yet recognized in the financial statements. The non-GAAP diluted weighted average shares outstanding for the three months ended August 1, 2015 and October 31, 2015, and for the twelve months ended January 30, 2016 also include the effects from dilutive securities which were excluded from the GAAP diluted weighted average shares outstanding since their effect was antidilutive due to the GAAP net loss reported in each of the corresponding periods.</w:t>
      </w:r>
    </w:p>
    <w:p>
      <w:pPr>
        <w:spacing w:after="0" w:line="1" w:lineRule="exact"/>
        <w:rPr>
          <w:rFonts w:ascii="Arial" w:cs="Arial" w:eastAsia="Arial" w:hAnsi="Arial"/>
          <w:sz w:val="13"/>
          <w:szCs w:val="13"/>
          <w:i w:val="1"/>
          <w:iCs w:val="1"/>
          <w:color w:val="auto"/>
        </w:rPr>
      </w:pPr>
    </w:p>
    <w:p>
      <w:pPr>
        <w:ind w:left="332" w:hanging="332"/>
        <w:spacing w:after="0" w:line="238" w:lineRule="auto"/>
        <w:tabs>
          <w:tab w:leader="none" w:pos="332" w:val="left"/>
        </w:tabs>
        <w:numPr>
          <w:ilvl w:val="0"/>
          <w:numId w:val="12"/>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each of the three months ended August 1, 2015, October 31, 2015 and January 30, 2016, as well as the twelve months ended January 30, 2016 are preliminary and therefore, subject to adjustments in connection with subsequent events arising through the date of the Company’s filing of its Quarterly Reports on Form 10-Q and Annual Report on Form 10-K for the corresponding periods. The filing of each respective Form 10-Q and Form 10-K will be completed as soon as practicable after the completion of the audit of the Company’s fiscal 2016 financial statements by Deloitte &amp; Touche LLP, its newly appointed independent registered public accounting firm.</w:t>
      </w:r>
    </w:p>
    <w:p>
      <w:pPr>
        <w:spacing w:after="0" w:line="1" w:lineRule="exact"/>
        <w:rPr>
          <w:rFonts w:ascii="Arial" w:cs="Arial" w:eastAsia="Arial" w:hAnsi="Arial"/>
          <w:sz w:val="13"/>
          <w:szCs w:val="13"/>
          <w:i w:val="1"/>
          <w:iCs w:val="1"/>
          <w:color w:val="auto"/>
        </w:rPr>
      </w:pPr>
    </w:p>
    <w:p>
      <w:pPr>
        <w:ind w:left="332" w:hanging="332"/>
        <w:spacing w:after="0" w:line="238" w:lineRule="auto"/>
        <w:tabs>
          <w:tab w:leader="none" w:pos="332" w:val="left"/>
        </w:tabs>
        <w:numPr>
          <w:ilvl w:val="0"/>
          <w:numId w:val="12"/>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the three months ended October 31, 2015, for which the Company previously reported preliminary financial results on December 7, 2015 have been adjusted due to the delayed filing of its Form 10-Q for the third quarter. These adjustments were made to account for subsequent activities associated with conditions that existed as of October 31, 2015 (Type I Subsequent Events) and are not related to the Audit Committee’s investigation of certain accounting and internal control matters. Adjustments that have been recorded to the Company’s preliminary financial results after December 7, 2015 include a credit adjustment of $4.3 million to COGS due to the subsequent settlement in February 2016 for the Carnegie Mellon University litigation, a $1.5 million charge to write down equipment and intangible asset related to a development project the Company decided to discontinue, the recognition of an additional $0.8 million of revenue due to a subsequent rebate adjustment and corresponding reduction to the tax provision of $0.4 million. Due to the delayed filing and as a result of future subsequent events, there may be additional adjustments to these preliminary financial results through the date of the Company’s filing of its Form 10-Q.</w:t>
      </w:r>
    </w:p>
    <w:p>
      <w:pPr>
        <w:spacing w:after="0" w:line="2" w:lineRule="exact"/>
        <w:rPr>
          <w:rFonts w:ascii="Arial" w:cs="Arial" w:eastAsia="Arial" w:hAnsi="Arial"/>
          <w:sz w:val="13"/>
          <w:szCs w:val="13"/>
          <w:i w:val="1"/>
          <w:iCs w:val="1"/>
          <w:color w:val="auto"/>
        </w:rPr>
      </w:pPr>
    </w:p>
    <w:p>
      <w:pPr>
        <w:ind w:left="332" w:right="40" w:hanging="332"/>
        <w:spacing w:after="0" w:line="243" w:lineRule="auto"/>
        <w:tabs>
          <w:tab w:leader="none" w:pos="332" w:val="left"/>
        </w:tabs>
        <w:numPr>
          <w:ilvl w:val="0"/>
          <w:numId w:val="12"/>
        </w:numPr>
        <w:rPr>
          <w:rFonts w:ascii="Arial" w:cs="Arial" w:eastAsia="Arial" w:hAnsi="Arial"/>
          <w:sz w:val="13"/>
          <w:szCs w:val="13"/>
          <w:i w:val="1"/>
          <w:iCs w:val="1"/>
          <w:color w:val="auto"/>
        </w:rPr>
      </w:pPr>
      <w:r>
        <w:rPr>
          <w:rFonts w:ascii="Arial" w:cs="Arial" w:eastAsia="Arial" w:hAnsi="Arial"/>
          <w:sz w:val="13"/>
          <w:szCs w:val="13"/>
          <w:color w:val="auto"/>
        </w:rPr>
        <w:t>The condensed consolidated financial statements for the three months ended August 1, 2015, for which the Company previously reported preliminary financial results on September 11, 2015, have been adjusted due to the delayed filing of its Form 10-Q for the second quarter. These adjustments were made to account for subsequent activities associated with conditions that existed as of August 1, 2015 (Type I Subsequent Events) and are not related to the Audit Committee’s investigation of certain accounting and internal control matters. Adjustments that have been recorded to the Company’s preliminary financial results after September 11, 2015 include an additional $350.5 million charge due to the subsequent settlement in February 2016 for the Carnegie Mellon University litigation (of which $78.9 million was recorded to COGS), a $13.9 million write down of inventory primarily associated with certain products for the mobile platform business, $3.7 million related to other litigation charges, a $1.5 million charge related to a pension plan and an additional $3.0 million representing other net subsequent charges, as well as corresponding changes to the income tax benefit from $11.4 million to an income tax provision of $ 5.5 million. Due to the delayed filing and as a result of future subsequent events, there may be additional adjustments to these preliminary financial results through the date of the Company’s filing of its Form 10-Q.</w:t>
      </w:r>
    </w:p>
    <w:sectPr>
      <w:pgSz w:w="11900" w:h="16838" w:orient="portrait"/>
      <w:cols w:equalWidth="0" w:num="1">
        <w:col w:w="11352"/>
      </w:cols>
      <w:pgMar w:left="248" w:top="26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EB141F2"/>
    <w:multiLevelType w:val="hybridMultilevel"/>
    <w:lvl w:ilvl="0">
      <w:lvlJc w:val="left"/>
      <w:lvlText w:val="☐"/>
      <w:numFmt w:val="bullet"/>
      <w:start w:val="1"/>
    </w:lvl>
  </w:abstractNum>
  <w:abstractNum w:abstractNumId="1">
    <w:nsid w:val="41B71EFB"/>
    <w:multiLevelType w:val="hybridMultilevel"/>
    <w:lvl w:ilvl="0">
      <w:lvlJc w:val="left"/>
      <w:lvlText w:val="•"/>
      <w:numFmt w:val="bullet"/>
      <w:start w:val="1"/>
    </w:lvl>
  </w:abstractNum>
  <w:abstractNum w:abstractNumId="2">
    <w:nsid w:val="79E2A9E3"/>
    <w:multiLevelType w:val="hybridMultilevel"/>
    <w:lvl w:ilvl="0">
      <w:lvlJc w:val="left"/>
      <w:lvlText w:val="•"/>
      <w:numFmt w:val="bullet"/>
      <w:start w:val="1"/>
    </w:lvl>
  </w:abstractNum>
  <w:abstractNum w:abstractNumId="3">
    <w:nsid w:val="7545E146"/>
    <w:multiLevelType w:val="hybridMultilevel"/>
    <w:lvl w:ilvl="0">
      <w:lvlJc w:val="left"/>
      <w:lvlText w:val="•"/>
      <w:numFmt w:val="bullet"/>
      <w:start w:val="1"/>
    </w:lvl>
  </w:abstractNum>
  <w:abstractNum w:abstractNumId="4">
    <w:nsid w:val="515F007C"/>
    <w:multiLevelType w:val="hybridMultilevel"/>
    <w:lvl w:ilvl="0">
      <w:lvlJc w:val="left"/>
      <w:lvlText w:val="(%1)"/>
      <w:numFmt w:val="lowerLetter"/>
      <w:start w:val="4"/>
    </w:lvl>
  </w:abstractNum>
  <w:abstractNum w:abstractNumId="5">
    <w:nsid w:val="5BD062C2"/>
    <w:multiLevelType w:val="hybridMultilevel"/>
    <w:lvl w:ilvl="0">
      <w:lvlJc w:val="left"/>
      <w:lvlText w:val="•"/>
      <w:numFmt w:val="bullet"/>
      <w:start w:val="1"/>
    </w:lvl>
  </w:abstractNum>
  <w:abstractNum w:abstractNumId="6">
    <w:nsid w:val="12200854"/>
    <w:multiLevelType w:val="hybridMultilevel"/>
    <w:lvl w:ilvl="0">
      <w:lvlJc w:val="left"/>
      <w:lvlText w:val="•"/>
      <w:numFmt w:val="bullet"/>
      <w:start w:val="1"/>
    </w:lvl>
  </w:abstractNum>
  <w:abstractNum w:abstractNumId="7">
    <w:nsid w:val="4DB127F8"/>
    <w:multiLevelType w:val="hybridMultilevel"/>
    <w:lvl w:ilvl="0">
      <w:lvlJc w:val="left"/>
      <w:lvlText w:val="•"/>
      <w:numFmt w:val="bullet"/>
      <w:start w:val="1"/>
    </w:lvl>
  </w:abstractNum>
  <w:abstractNum w:abstractNumId="8">
    <w:nsid w:val="216231B"/>
    <w:multiLevelType w:val="hybridMultilevel"/>
    <w:lvl w:ilvl="0">
      <w:lvlJc w:val="left"/>
      <w:lvlText w:val="(%1)"/>
      <w:numFmt w:val="lowerLetter"/>
      <w:start w:val="1"/>
    </w:lvl>
  </w:abstractNum>
  <w:abstractNum w:abstractNumId="9">
    <w:nsid w:val="1F16E9E8"/>
    <w:multiLevelType w:val="hybridMultilevel"/>
    <w:lvl w:ilvl="0">
      <w:lvlJc w:val="left"/>
      <w:lvlText w:val="(%1)"/>
      <w:numFmt w:val="lowerLetter"/>
      <w:start w:val="1"/>
    </w:lvl>
  </w:abstractNum>
  <w:abstractNum w:abstractNumId="10">
    <w:nsid w:val="1190CDE7"/>
    <w:multiLevelType w:val="hybridMultilevel"/>
    <w:lvl w:ilvl="0">
      <w:lvlJc w:val="left"/>
      <w:lvlText w:val="(%1)"/>
      <w:numFmt w:val="lowerLetter"/>
      <w:start w:val="1"/>
    </w:lvl>
  </w:abstractNum>
  <w:abstractNum w:abstractNumId="11">
    <w:nsid w:val="66EF438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2019-12-06T21:19:26Z</dcterms:created>
  <dcterms:modified xsi:type="dcterms:W3CDTF">2019-12-06T21:19:26Z</dcterms:modified>
</cp:coreProperties>
</file>