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255270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9" w:lineRule="exact"/>
        <w:rPr>
          <w:sz w:val="24"/>
          <w:szCs w:val="24"/>
          <w:color w:val="auto"/>
        </w:rPr>
      </w:pPr>
    </w:p>
    <w:p>
      <w:pPr>
        <w:jc w:val="center"/>
        <w:ind w:right="-39"/>
        <w:spacing w:after="0"/>
        <w:rPr>
          <w:sz w:val="20"/>
          <w:szCs w:val="20"/>
          <w:color w:val="auto"/>
        </w:rPr>
      </w:pPr>
      <w:r>
        <w:rPr>
          <w:rFonts w:ascii="Arial" w:cs="Arial" w:eastAsia="Arial" w:hAnsi="Arial"/>
          <w:sz w:val="25"/>
          <w:szCs w:val="25"/>
          <w:b w:val="1"/>
          <w:bCs w:val="1"/>
          <w:color w:val="auto"/>
        </w:rPr>
        <w:t>CURRENT REPORT</w:t>
      </w:r>
    </w:p>
    <w:p>
      <w:pPr>
        <w:spacing w:after="0" w:line="113"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21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Report (Date of earliest event reported): September 14,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238125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6" w:lineRule="exact"/>
        <w:rPr>
          <w:sz w:val="24"/>
          <w:szCs w:val="24"/>
          <w:color w:val="auto"/>
        </w:rPr>
      </w:pPr>
    </w:p>
    <w:p>
      <w:pPr>
        <w:jc w:val="center"/>
        <w:ind w:right="-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6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840" w:space="720"/>
            <w:col w:w="2940" w:space="720"/>
            <w:col w:w="2160"/>
          </w:cols>
          <w:pgMar w:left="240" w:top="409" w:right="279" w:bottom="1440" w:gutter="0" w:footer="0" w:header="0"/>
          <w:type w:val="continuous"/>
        </w:sectPr>
      </w:pPr>
    </w:p>
    <w:p>
      <w:pPr>
        <w:ind w:left="640"/>
        <w:spacing w:after="0"/>
        <w:rPr>
          <w:sz w:val="20"/>
          <w:szCs w:val="20"/>
          <w:color w:val="auto"/>
        </w:rPr>
      </w:pPr>
      <w:r>
        <w:rPr>
          <w:rFonts w:ascii="Arial" w:cs="Arial" w:eastAsia="Arial" w:hAnsi="Arial"/>
          <w:sz w:val="13"/>
          <w:szCs w:val="13"/>
          <w:b w:val="1"/>
          <w:bCs w:val="1"/>
          <w:color w:val="auto"/>
        </w:rPr>
        <w:t>(State or other jurisdiction of incorporation)</w:t>
      </w:r>
    </w:p>
    <w:p>
      <w:pPr>
        <w:spacing w:after="0" w:line="20" w:lineRule="exact"/>
        <w:rPr>
          <w:sz w:val="24"/>
          <w:szCs w:val="24"/>
          <w:color w:val="auto"/>
        </w:rPr>
      </w:pPr>
      <w:r>
        <w:rPr>
          <w:sz w:val="24"/>
          <w:szCs w:val="24"/>
          <w:color w:val="auto"/>
        </w:rPr>
        <w:br w:type="column"/>
      </w:r>
    </w:p>
    <w:p>
      <w:pPr>
        <w:jc w:val="center"/>
        <w:ind w:right="104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00" w:lineRule="exact"/>
        <w:rPr>
          <w:sz w:val="24"/>
          <w:szCs w:val="24"/>
          <w:color w:val="auto"/>
        </w:rPr>
      </w:pPr>
    </w:p>
    <w:p>
      <w:pPr>
        <w:sectPr>
          <w:pgSz w:w="11900" w:h="16838" w:orient="portrait"/>
          <w:cols w:equalWidth="0" w:num="3">
            <w:col w:w="4400" w:space="720"/>
            <w:col w:w="2720" w:space="720"/>
            <w:col w:w="2820"/>
          </w:cols>
          <w:pgMar w:left="240" w:top="409" w:right="279" w:bottom="1440" w:gutter="0" w:footer="0" w:header="0"/>
          <w:type w:val="continuous"/>
        </w:sectPr>
      </w:pPr>
    </w:p>
    <w:p>
      <w:pPr>
        <w:spacing w:after="0" w:line="1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Marvell Technology Group Ltd. (“Marvell” or the “Company”) in a press release dated September 14, 2016, announced that it had declared the payment of a quarterly dividend of $0.06 per share to be paid on October 19, 2016 to all shareholders of record as of September 28, 2016. The payment of future quarterly cash dividends on the Company’s common shares is subject to, among other things, the best interests of Marvell and its shareholders, the Company’s results of operations, cash balances and future cash requirements, financial condition, statutory requirements of Bermuda law, and other factors that the board of directors may deem relevant. In addition, developments in ongoing litigation could affect the Company’s ability to make a dividend payment on a declared payment date until such time as the Company can meet statutory requirements under Bermuda law.</w:t>
      </w:r>
    </w:p>
    <w:p>
      <w:pPr>
        <w:spacing w:after="0" w:line="30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1" w:lineRule="exact"/>
        <w:rPr>
          <w:sz w:val="20"/>
          <w:szCs w:val="20"/>
          <w:color w:val="auto"/>
        </w:rPr>
      </w:pPr>
    </w:p>
    <w:p>
      <w:pPr>
        <w:ind w:left="460" w:hanging="452"/>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56"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14, 2016</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00"/>
          </w:cols>
          <w:pgMar w:left="240" w:top="270" w:right="3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color w:val="auto"/>
        </w:rPr>
        <w:t>Dated: September 15,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18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Executive Vice President, Chief Legal Officer and</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Secretary</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20"/>
                <w:szCs w:val="20"/>
                <w:color w:val="auto"/>
              </w:rPr>
            </w:pPr>
            <w:r>
              <w:rPr>
                <w:rFonts w:ascii="Arial" w:cs="Arial" w:eastAsia="Arial" w:hAnsi="Arial"/>
                <w:sz w:val="14"/>
                <w:szCs w:val="14"/>
                <w:b w:val="1"/>
                <w:bCs w:val="1"/>
                <w:color w:val="auto"/>
                <w:w w:val="95"/>
              </w:rPr>
              <w:t>Exhibit No.</w:t>
            </w:r>
          </w:p>
        </w:tc>
        <w:tc>
          <w:tcPr>
            <w:tcW w:w="380" w:type="dxa"/>
            <w:vAlign w:val="bottom"/>
          </w:tcPr>
          <w:p>
            <w:pPr>
              <w:spacing w:after="0"/>
              <w:rPr>
                <w:sz w:val="14"/>
                <w:szCs w:val="14"/>
                <w:color w:val="auto"/>
              </w:rPr>
            </w:pPr>
          </w:p>
        </w:tc>
        <w:tc>
          <w:tcPr>
            <w:tcW w:w="10320" w:type="dxa"/>
            <w:vAlign w:val="bottom"/>
            <w:gridSpan w:val="2"/>
          </w:tcPr>
          <w:p>
            <w:pPr>
              <w:ind w:left="400"/>
              <w:spacing w:after="0"/>
              <w:rPr>
                <w:sz w:val="20"/>
                <w:szCs w:val="20"/>
                <w:color w:val="auto"/>
              </w:rPr>
            </w:pPr>
            <w:r>
              <w:rPr>
                <w:rFonts w:ascii="Arial" w:cs="Arial" w:eastAsia="Arial" w:hAnsi="Arial"/>
                <w:sz w:val="14"/>
                <w:szCs w:val="14"/>
                <w:b w:val="1"/>
                <w:bCs w:val="1"/>
                <w:color w:val="auto"/>
              </w:rPr>
              <w:t>Description</w:t>
            </w:r>
          </w:p>
        </w:tc>
      </w:tr>
      <w:tr>
        <w:trPr>
          <w:trHeight w:val="27"/>
        </w:trPr>
        <w:tc>
          <w:tcPr>
            <w:tcW w:w="7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400" w:type="dxa"/>
            <w:vAlign w:val="bottom"/>
          </w:tcPr>
          <w:p>
            <w:pPr>
              <w:spacing w:after="0"/>
              <w:rPr>
                <w:sz w:val="2"/>
                <w:szCs w:val="2"/>
                <w:color w:val="auto"/>
              </w:rPr>
            </w:pPr>
          </w:p>
        </w:tc>
        <w:tc>
          <w:tcPr>
            <w:tcW w:w="9920" w:type="dxa"/>
            <w:vAlign w:val="bottom"/>
            <w:shd w:val="clear" w:color="auto" w:fill="000000"/>
          </w:tcPr>
          <w:p>
            <w:pPr>
              <w:spacing w:after="0"/>
              <w:rPr>
                <w:sz w:val="2"/>
                <w:szCs w:val="2"/>
                <w:color w:val="auto"/>
              </w:rPr>
            </w:pPr>
          </w:p>
        </w:tc>
      </w:tr>
      <w:tr>
        <w:trPr>
          <w:trHeight w:val="311"/>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4"/>
                <w:szCs w:val="24"/>
                <w:color w:val="auto"/>
              </w:rPr>
            </w:pPr>
          </w:p>
        </w:tc>
        <w:tc>
          <w:tcPr>
            <w:tcW w:w="10320" w:type="dxa"/>
            <w:vAlign w:val="bottom"/>
            <w:gridSpan w:val="2"/>
          </w:tcPr>
          <w:p>
            <w:pPr>
              <w:ind w:left="400"/>
              <w:spacing w:after="0"/>
              <w:rPr>
                <w:sz w:val="20"/>
                <w:szCs w:val="20"/>
                <w:color w:val="auto"/>
              </w:rPr>
            </w:pPr>
            <w:r>
              <w:rPr>
                <w:rFonts w:ascii="Arial" w:cs="Arial" w:eastAsia="Arial" w:hAnsi="Arial"/>
                <w:sz w:val="18"/>
                <w:szCs w:val="18"/>
                <w:color w:val="auto"/>
              </w:rPr>
              <w:t>Press Release dated September 14, 2016</w:t>
            </w:r>
          </w:p>
        </w:tc>
      </w:tr>
    </w:tbl>
    <w:p>
      <w:pPr>
        <w:sectPr>
          <w:pgSz w:w="11900" w:h="16838" w:orient="portrait"/>
          <w:cols w:equalWidth="0" w:num="1">
            <w:col w:w="11420"/>
          </w:cols>
          <w:pgMar w:left="240" w:top="270" w:right="2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69440" cy="1460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6944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29"/>
          <w:szCs w:val="29"/>
          <w:b w:val="1"/>
          <w:bCs w:val="1"/>
          <w:color w:val="auto"/>
        </w:rPr>
        <w:t>Marvell Technology Group Ltd. Declares Quarterly Dividend Payment</w:t>
      </w:r>
    </w:p>
    <w:p>
      <w:pPr>
        <w:spacing w:after="0" w:line="234" w:lineRule="exact"/>
        <w:rPr>
          <w:sz w:val="20"/>
          <w:szCs w:val="20"/>
          <w:color w:val="auto"/>
        </w:rPr>
      </w:pPr>
    </w:p>
    <w:p>
      <w:pPr>
        <w:ind w:right="180"/>
        <w:spacing w:after="0" w:line="314" w:lineRule="auto"/>
        <w:rPr>
          <w:sz w:val="20"/>
          <w:szCs w:val="20"/>
          <w:color w:val="auto"/>
        </w:rPr>
      </w:pPr>
      <w:r>
        <w:rPr>
          <w:rFonts w:ascii="Arial" w:cs="Arial" w:eastAsia="Arial" w:hAnsi="Arial"/>
          <w:sz w:val="16"/>
          <w:szCs w:val="16"/>
          <w:b w:val="1"/>
          <w:bCs w:val="1"/>
          <w:color w:val="auto"/>
        </w:rPr>
        <w:t xml:space="preserve">Santa Clara, Calif. (September 14, 2016) </w:t>
      </w:r>
      <w:r>
        <w:rPr>
          <w:rFonts w:ascii="Arial" w:cs="Arial" w:eastAsia="Arial" w:hAnsi="Arial"/>
          <w:sz w:val="16"/>
          <w:szCs w:val="16"/>
          <w:color w:val="auto"/>
        </w:rPr>
        <w:t>— Marvell Technology Group Ltd. (NASDAQ: MRVL), a world leader in storage, cloud infrastructure, Internet</w:t>
      </w:r>
      <w:r>
        <w:rPr>
          <w:rFonts w:ascii="Arial" w:cs="Arial" w:eastAsia="Arial" w:hAnsi="Arial"/>
          <w:sz w:val="16"/>
          <w:szCs w:val="16"/>
          <w:b w:val="1"/>
          <w:bCs w:val="1"/>
          <w:color w:val="auto"/>
        </w:rPr>
        <w:t xml:space="preserve"> </w:t>
      </w:r>
      <w:r>
        <w:rPr>
          <w:rFonts w:ascii="Arial" w:cs="Arial" w:eastAsia="Arial" w:hAnsi="Arial"/>
          <w:sz w:val="16"/>
          <w:szCs w:val="16"/>
          <w:color w:val="auto"/>
        </w:rPr>
        <w:t>of Things (IoT), connectivity and multimedia semiconductor solutions, today announced that the Board of Directors has approved a quarterly dividend payment of $0.06 per share to all shareholders of record as of September 28, 2016. Marvell intends to pay the dividend on October 19, 2016.</w:t>
      </w: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Marvell’s expectations regarding its third quarter of fiscal 2017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actions that may be taken by Marvell as a result of the Audit Committee’s investigation; adverse impacts of litigation or regulatory activities; Marvell’s ability to hire a Chief Accounting Officer and Controller in a timely manner;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w:t>
      </w:r>
    </w:p>
    <w:p>
      <w:pPr>
        <w:sectPr>
          <w:pgSz w:w="11900" w:h="16838" w:orient="portrait"/>
          <w:cols w:equalWidth="0" w:num="1">
            <w:col w:w="11420"/>
          </w:cols>
          <w:pgMar w:left="240" w:top="121" w:right="239" w:bottom="1440" w:gutter="0" w:footer="0" w:header="0"/>
        </w:sectPr>
      </w:pPr>
    </w:p>
    <w:bookmarkStart w:id="5" w:name="page6"/>
    <w:bookmarkEnd w:id="5"/>
    <w:p>
      <w:pPr>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Quarterly Report on Form 10-Q for the fiscal quarter ended July 30, 2016 as filed with the SEC on September 8, 2016, and other factors detailed from time to time in Marvell’s filings with the SEC. Marvell undertakes no obligation to revise or update publicly any forward-looking statements.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6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2019-12-06T21:46:24Z</dcterms:created>
  <dcterms:modified xsi:type="dcterms:W3CDTF">2019-12-06T21:46:24Z</dcterms:modified>
</cp:coreProperties>
</file>