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255270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9" w:lineRule="exact"/>
        <w:rPr>
          <w:sz w:val="24"/>
          <w:szCs w:val="24"/>
          <w:color w:val="auto"/>
        </w:rPr>
      </w:pPr>
    </w:p>
    <w:p>
      <w:pPr>
        <w:jc w:val="center"/>
        <w:ind w:right="-39"/>
        <w:spacing w:after="0"/>
        <w:rPr>
          <w:sz w:val="20"/>
          <w:szCs w:val="20"/>
          <w:color w:val="auto"/>
        </w:rPr>
      </w:pPr>
      <w:r>
        <w:rPr>
          <w:rFonts w:ascii="Arial" w:cs="Arial" w:eastAsia="Arial" w:hAnsi="Arial"/>
          <w:sz w:val="25"/>
          <w:szCs w:val="25"/>
          <w:b w:val="1"/>
          <w:bCs w:val="1"/>
          <w:color w:val="auto"/>
        </w:rPr>
        <w:t>CURRENT REPORT</w:t>
      </w:r>
    </w:p>
    <w:p>
      <w:pPr>
        <w:spacing w:after="0" w:line="113"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21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Date of Report (Date of earliest event reported): August 15,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238125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6" w:lineRule="exact"/>
        <w:rPr>
          <w:sz w:val="24"/>
          <w:szCs w:val="24"/>
          <w:color w:val="auto"/>
        </w:rPr>
      </w:pPr>
    </w:p>
    <w:p>
      <w:pPr>
        <w:jc w:val="center"/>
        <w:ind w:right="-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6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3">
            <w:col w:w="4680" w:space="720"/>
            <w:col w:w="3040" w:space="720"/>
            <w:col w:w="2220"/>
          </w:cols>
          <w:pgMar w:left="240" w:top="409" w:right="279" w:bottom="1440" w:gutter="0" w:footer="0" w:header="0"/>
          <w:type w:val="continuous"/>
        </w:sectPr>
      </w:pPr>
    </w:p>
    <w:p>
      <w:pPr>
        <w:ind w:left="520"/>
        <w:spacing w:after="0"/>
        <w:rPr>
          <w:sz w:val="20"/>
          <w:szCs w:val="20"/>
          <w:color w:val="auto"/>
        </w:rPr>
      </w:pPr>
      <w:r>
        <w:rPr>
          <w:rFonts w:ascii="Arial" w:cs="Arial" w:eastAsia="Arial" w:hAnsi="Arial"/>
          <w:sz w:val="13"/>
          <w:szCs w:val="13"/>
          <w:b w:val="1"/>
          <w:bCs w:val="1"/>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No.)</w:t>
      </w:r>
    </w:p>
    <w:p>
      <w:pPr>
        <w:spacing w:after="0" w:line="200" w:lineRule="exact"/>
        <w:rPr>
          <w:sz w:val="24"/>
          <w:szCs w:val="24"/>
          <w:color w:val="auto"/>
        </w:rPr>
      </w:pPr>
    </w:p>
    <w:p>
      <w:pPr>
        <w:sectPr>
          <w:pgSz w:w="11900" w:h="16838" w:orient="portrait"/>
          <w:cols w:equalWidth="0" w:num="3">
            <w:col w:w="4220" w:space="720"/>
            <w:col w:w="2840" w:space="720"/>
            <w:col w:w="2880"/>
          </w:cols>
          <w:pgMar w:left="240" w:top="409" w:right="279" w:bottom="1440" w:gutter="0" w:footer="0" w:header="0"/>
          <w:type w:val="continuous"/>
        </w:sectPr>
      </w:pPr>
    </w:p>
    <w:p>
      <w:pPr>
        <w:spacing w:after="0" w:line="1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233680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p>
      <w:pPr>
        <w:spacing w:after="0" w:line="200" w:lineRule="exact"/>
        <w:rPr>
          <w:sz w:val="24"/>
          <w:szCs w:val="24"/>
          <w:color w:val="auto"/>
        </w:rPr>
      </w:pPr>
    </w:p>
    <w:p>
      <w:pPr>
        <w:spacing w:after="0" w:line="38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5.08</w:t>
      </w:r>
      <w:r>
        <w:rPr>
          <w:sz w:val="20"/>
          <w:szCs w:val="20"/>
          <w:color w:val="auto"/>
        </w:rPr>
        <w:tab/>
      </w:r>
      <w:r>
        <w:rPr>
          <w:rFonts w:ascii="Arial" w:cs="Arial" w:eastAsia="Arial" w:hAnsi="Arial"/>
          <w:sz w:val="16"/>
          <w:szCs w:val="16"/>
          <w:b w:val="1"/>
          <w:bCs w:val="1"/>
          <w:color w:val="auto"/>
        </w:rPr>
        <w:t>Shareholder Director Nominations</w:t>
      </w:r>
    </w:p>
    <w:p>
      <w:pPr>
        <w:spacing w:after="0" w:line="121" w:lineRule="exact"/>
        <w:rPr>
          <w:sz w:val="20"/>
          <w:szCs w:val="20"/>
          <w:color w:val="auto"/>
        </w:rPr>
      </w:pPr>
    </w:p>
    <w:p>
      <w:pPr>
        <w:ind w:right="500"/>
        <w:spacing w:after="0" w:line="259" w:lineRule="auto"/>
        <w:rPr>
          <w:sz w:val="20"/>
          <w:szCs w:val="20"/>
          <w:color w:val="auto"/>
        </w:rPr>
      </w:pPr>
      <w:r>
        <w:rPr>
          <w:rFonts w:ascii="Arial" w:cs="Arial" w:eastAsia="Arial" w:hAnsi="Arial"/>
          <w:sz w:val="18"/>
          <w:szCs w:val="18"/>
          <w:color w:val="auto"/>
        </w:rPr>
        <w:t>In a press release dated August 15, 2016, Marvell Technology Group Ltd. (the “Company”) announced that it will hold its annual general meeting of shareholders on November 8, 2016 at 4 p.m. Pacific time at Marvell’s Santa Clara campus, 5488 Marvell Lane, Santa Clara, California 95054. Only shareholders of record at the close of business on September 12, 2016 are entitled to vote at the meeting. All shareholders are requested to be present in person or by proxy.</w:t>
      </w:r>
    </w:p>
    <w:p>
      <w:pPr>
        <w:spacing w:after="0" w:line="187" w:lineRule="exact"/>
        <w:rPr>
          <w:sz w:val="20"/>
          <w:szCs w:val="20"/>
          <w:color w:val="auto"/>
        </w:rPr>
      </w:pPr>
    </w:p>
    <w:p>
      <w:pPr>
        <w:ind w:right="220"/>
        <w:spacing w:after="0" w:line="297" w:lineRule="auto"/>
        <w:rPr>
          <w:sz w:val="20"/>
          <w:szCs w:val="20"/>
          <w:color w:val="auto"/>
        </w:rPr>
      </w:pPr>
      <w:r>
        <w:rPr>
          <w:rFonts w:ascii="Arial" w:cs="Arial" w:eastAsia="Arial" w:hAnsi="Arial"/>
          <w:sz w:val="16"/>
          <w:szCs w:val="16"/>
          <w:color w:val="auto"/>
        </w:rPr>
        <w:t>In accordance with Marvell’s bye-laws, the deadline for director nominations for the annual general meeting is September 8, 2016. Any such nominations must be made in accordance with the bye-laws of the Company. Pursuant to the bye-laws of the Company, based on the date of the Company’s prior annual general meeting, notice of any shareholder proposals for this annual general meeting had to be given no later than April 30</w:t>
      </w:r>
      <w:r>
        <w:rPr>
          <w:rFonts w:ascii="Arial" w:cs="Arial" w:eastAsia="Arial" w:hAnsi="Arial"/>
          <w:sz w:val="13"/>
          <w:szCs w:val="13"/>
          <w:color w:val="auto"/>
        </w:rPr>
        <w:t>,</w:t>
      </w:r>
      <w:r>
        <w:rPr>
          <w:rFonts w:ascii="Arial" w:cs="Arial" w:eastAsia="Arial" w:hAnsi="Arial"/>
          <w:sz w:val="16"/>
          <w:szCs w:val="16"/>
          <w:color w:val="auto"/>
        </w:rPr>
        <w:t xml:space="preserve"> 2016. However, in light of the date of this annual general meeting, Marvell will accept for review for this annual general meeting, shareholder proposals that are submitted no later than September 1, 2016. Any such proposals must be made in accordance with the bye-laws of the Company and applicable regulations.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A copy of the press release is furnished herewith as Exhibit 99.1 and is incorporated by reference herein.</w:t>
      </w:r>
    </w:p>
    <w:p>
      <w:pPr>
        <w:spacing w:after="0" w:line="37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jc w:val="both"/>
        <w:ind w:right="100"/>
        <w:spacing w:after="0" w:line="264" w:lineRule="auto"/>
        <w:rPr>
          <w:sz w:val="20"/>
          <w:szCs w:val="20"/>
          <w:color w:val="auto"/>
        </w:rPr>
      </w:pPr>
      <w:r>
        <w:rPr>
          <w:rFonts w:ascii="Arial" w:cs="Arial" w:eastAsia="Arial" w:hAnsi="Arial"/>
          <w:sz w:val="18"/>
          <w:szCs w:val="18"/>
          <w:color w:val="auto"/>
        </w:rPr>
        <w:t>In a press release dated August 15, 2016, the Company announced that it will hold its annual general meeting of shareholders on November 8, 2016 at 4 p.m. Pacific time at Marvell’s Santa Clara campus, 5488 Marvell Lane, Santa Clara, California 95054. The contents of Item 5.08 above are incorporated herein by reference.</w:t>
      </w:r>
    </w:p>
    <w:p>
      <w:pPr>
        <w:spacing w:after="0" w:line="326"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1" w:lineRule="exact"/>
        <w:rPr>
          <w:sz w:val="20"/>
          <w:szCs w:val="20"/>
          <w:color w:val="auto"/>
        </w:rPr>
      </w:pPr>
    </w:p>
    <w:p>
      <w:pPr>
        <w:ind w:left="460" w:hanging="452"/>
        <w:spacing w:after="0"/>
        <w:tabs>
          <w:tab w:leader="none" w:pos="4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8"/>
        </w:trPr>
        <w:tc>
          <w:tcPr>
            <w:tcW w:w="146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960" w:type="dxa"/>
            <w:vAlign w:val="bottom"/>
          </w:tcPr>
          <w:p>
            <w:pPr>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6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99.1</w:t>
            </w:r>
          </w:p>
        </w:tc>
        <w:tc>
          <w:tcPr>
            <w:tcW w:w="800" w:type="dxa"/>
            <w:vAlign w:val="bottom"/>
          </w:tcPr>
          <w:p>
            <w:pPr>
              <w:spacing w:after="0"/>
              <w:rPr>
                <w:sz w:val="24"/>
                <w:szCs w:val="24"/>
                <w:color w:val="auto"/>
              </w:rPr>
            </w:pPr>
          </w:p>
        </w:tc>
        <w:tc>
          <w:tcPr>
            <w:tcW w:w="99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August 15, 2016</w:t>
            </w:r>
          </w:p>
        </w:tc>
      </w:tr>
    </w:tbl>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color w:val="auto"/>
        </w:rPr>
        <w:t>Dated: August 16,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18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Gaynor, EVP</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Chief Legal Officer and Secretary</w:t>
      </w:r>
    </w:p>
    <w:p>
      <w:pPr>
        <w:spacing w:after="0" w:line="1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8"/>
        </w:trPr>
        <w:tc>
          <w:tcPr>
            <w:tcW w:w="146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960" w:type="dxa"/>
            <w:vAlign w:val="bottom"/>
          </w:tcPr>
          <w:p>
            <w:pPr>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6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99.1</w:t>
            </w:r>
          </w:p>
        </w:tc>
        <w:tc>
          <w:tcPr>
            <w:tcW w:w="800" w:type="dxa"/>
            <w:vAlign w:val="bottom"/>
          </w:tcPr>
          <w:p>
            <w:pPr>
              <w:spacing w:after="0"/>
              <w:rPr>
                <w:sz w:val="24"/>
                <w:szCs w:val="24"/>
                <w:color w:val="auto"/>
              </w:rPr>
            </w:pPr>
          </w:p>
        </w:tc>
        <w:tc>
          <w:tcPr>
            <w:tcW w:w="99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August 15, 2016</w:t>
            </w:r>
          </w:p>
        </w:tc>
      </w:tr>
    </w:tbl>
    <w:p>
      <w:pPr>
        <w:sectPr>
          <w:pgSz w:w="11900" w:h="16838" w:orient="portrait"/>
          <w:cols w:equalWidth="0" w:num="1">
            <w:col w:w="11420"/>
          </w:cols>
          <w:pgMar w:left="240" w:top="270" w:right="2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861185" cy="1974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61185" cy="1974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29"/>
          <w:szCs w:val="29"/>
          <w:b w:val="1"/>
          <w:bCs w:val="1"/>
          <w:color w:val="auto"/>
        </w:rPr>
        <w:t>Marvell Technology Group Ltd. Announces Annual Meeting of Shareholders</w:t>
      </w:r>
    </w:p>
    <w:p>
      <w:pPr>
        <w:spacing w:after="0" w:line="234"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 xml:space="preserve">Santa Clara, Calif. (August 15, 2016) </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Marvell</w:t>
      </w:r>
      <w:r>
        <w:rPr>
          <w:rFonts w:ascii="Arial" w:cs="Arial" w:eastAsia="Arial" w:hAnsi="Arial"/>
          <w:sz w:val="18"/>
          <w:szCs w:val="18"/>
          <w:b w:val="1"/>
          <w:bCs w:val="1"/>
          <w:color w:val="auto"/>
        </w:rPr>
        <w:t xml:space="preserve"> </w:t>
      </w:r>
      <w:r>
        <w:rPr>
          <w:rFonts w:ascii="Arial" w:cs="Arial" w:eastAsia="Arial" w:hAnsi="Arial"/>
          <w:sz w:val="18"/>
          <w:szCs w:val="18"/>
          <w:color w:val="auto"/>
        </w:rPr>
        <w:t>(NASDAQ:MRVL), a world leader in storage, cloud infrastructure, Internet of Things (IoT), connectivity</w:t>
      </w:r>
      <w:r>
        <w:rPr>
          <w:rFonts w:ascii="Arial" w:cs="Arial" w:eastAsia="Arial" w:hAnsi="Arial"/>
          <w:sz w:val="18"/>
          <w:szCs w:val="18"/>
          <w:b w:val="1"/>
          <w:bCs w:val="1"/>
          <w:color w:val="auto"/>
        </w:rPr>
        <w:t xml:space="preserve"> </w:t>
      </w:r>
      <w:r>
        <w:rPr>
          <w:rFonts w:ascii="Arial" w:cs="Arial" w:eastAsia="Arial" w:hAnsi="Arial"/>
          <w:sz w:val="18"/>
          <w:szCs w:val="18"/>
          <w:color w:val="auto"/>
        </w:rPr>
        <w:t>and multimedia semiconductor solutions, today announced that the Company will hold its annual general meeting of shareholders at Marvell’s Santa Clara campus, 5488 Marvell Lane, Santa Clara, California 95054, on Tuesday, November 8, 2016 at 4:00pm Pacific Time.</w:t>
      </w:r>
    </w:p>
    <w:p>
      <w:pPr>
        <w:spacing w:after="0" w:line="18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Only shareholders of record at the close of business on September 12, 2016 are entitled to vote at the meeting. All shareholders are requested to be present in person or by proxy.</w:t>
      </w:r>
    </w:p>
    <w:p>
      <w:pPr>
        <w:spacing w:after="0" w:line="170" w:lineRule="exact"/>
        <w:rPr>
          <w:sz w:val="20"/>
          <w:szCs w:val="20"/>
          <w:color w:val="auto"/>
        </w:rPr>
      </w:pPr>
    </w:p>
    <w:p>
      <w:pPr>
        <w:ind w:right="220"/>
        <w:spacing w:after="0" w:line="297" w:lineRule="auto"/>
        <w:rPr>
          <w:sz w:val="20"/>
          <w:szCs w:val="20"/>
          <w:color w:val="auto"/>
        </w:rPr>
      </w:pPr>
      <w:r>
        <w:rPr>
          <w:rFonts w:ascii="Arial" w:cs="Arial" w:eastAsia="Arial" w:hAnsi="Arial"/>
          <w:sz w:val="16"/>
          <w:szCs w:val="16"/>
          <w:color w:val="auto"/>
        </w:rPr>
        <w:t>In accordance with Marvell’s bye-laws, the deadline for director nominations for the annual general meeting is September 8, 2016. Any such nominations must be made in accordance with the bye-laws of the Company. Pursuant to the bye-laws of the Company, based on the date of the Company’s prior annual general meeting, notice of any shareholder proposals for this annual general meeting had to be given no later than April 30</w:t>
      </w:r>
      <w:r>
        <w:rPr>
          <w:rFonts w:ascii="Arial" w:cs="Arial" w:eastAsia="Arial" w:hAnsi="Arial"/>
          <w:sz w:val="13"/>
          <w:szCs w:val="13"/>
          <w:color w:val="auto"/>
        </w:rPr>
        <w:t>,</w:t>
      </w:r>
      <w:r>
        <w:rPr>
          <w:rFonts w:ascii="Arial" w:cs="Arial" w:eastAsia="Arial" w:hAnsi="Arial"/>
          <w:sz w:val="16"/>
          <w:szCs w:val="16"/>
          <w:color w:val="auto"/>
        </w:rPr>
        <w:t xml:space="preserve"> 2016. However, in light of the date of this annual general meeting, Marvell will accept for review for this annual general meeting, shareholder proposals that are submitted no later than September 1, 2016. Any such proposals must be made in accordance with the bye-laws of the Company and applicable regulations.</w:t>
      </w: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w:t>
      </w:r>
    </w:p>
    <w:p>
      <w:pPr>
        <w:sectPr>
          <w:pgSz w:w="11900" w:h="16838" w:orient="portrait"/>
          <w:cols w:equalWidth="0" w:num="1">
            <w:col w:w="11420"/>
          </w:cols>
          <w:pgMar w:left="240" w:top="121" w:right="239" w:bottom="1440" w:gutter="0" w:footer="0" w:header="0"/>
        </w:sectPr>
      </w:pPr>
    </w:p>
    <w:bookmarkStart w:id="5" w:name="page6"/>
    <w:bookmarkEnd w:id="5"/>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around the world with mobility and ease of access to services, adding value to their social, personal and work lives, Marvell is committed to enhancing the human experience.</w:t>
      </w:r>
    </w:p>
    <w:p>
      <w:pPr>
        <w:spacing w:after="0" w:line="170" w:lineRule="exact"/>
        <w:rPr>
          <w:sz w:val="20"/>
          <w:szCs w:val="20"/>
          <w:color w:val="auto"/>
        </w:rPr>
      </w:pPr>
    </w:p>
    <w:p>
      <w:pPr>
        <w:ind w:right="1120"/>
        <w:spacing w:after="0" w:line="277" w:lineRule="auto"/>
        <w:rPr>
          <w:sz w:val="20"/>
          <w:szCs w:val="20"/>
          <w:color w:val="auto"/>
        </w:rPr>
      </w:pPr>
      <w:r>
        <w:rPr>
          <w:rFonts w:ascii="Arial" w:cs="Arial" w:eastAsia="Arial" w:hAnsi="Arial"/>
          <w:sz w:val="18"/>
          <w:szCs w:val="18"/>
          <w:color w:val="auto"/>
        </w:rPr>
        <w:t xml:space="preserve">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70"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jc w:val="center"/>
        <w:ind w:right="-279"/>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w:t>
      </w:r>
    </w:p>
    <w:sectPr>
      <w:pgSz w:w="11900" w:h="16838" w:orient="portrait"/>
      <w:cols w:equalWidth="0" w:num="1">
        <w:col w:w="11140"/>
      </w:cols>
      <w:pgMar w:left="240" w:top="274"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2019-12-06T21:10:03Z</dcterms:created>
  <dcterms:modified xsi:type="dcterms:W3CDTF">2019-12-06T21:10:03Z</dcterms:modified>
</cp:coreProperties>
</file>