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August 17,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ind w:right="48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27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Appointment of Chief Financial Officer</w:t>
      </w:r>
    </w:p>
    <w:p>
      <w:pPr>
        <w:spacing w:after="0" w:line="117" w:lineRule="exact"/>
        <w:rPr>
          <w:sz w:val="20"/>
          <w:szCs w:val="20"/>
          <w:color w:val="auto"/>
        </w:rPr>
      </w:pPr>
    </w:p>
    <w:p>
      <w:pPr>
        <w:ind w:right="320" w:firstLine="456"/>
        <w:spacing w:after="0" w:line="277" w:lineRule="auto"/>
        <w:rPr>
          <w:sz w:val="20"/>
          <w:szCs w:val="20"/>
          <w:color w:val="auto"/>
        </w:rPr>
      </w:pPr>
      <w:r>
        <w:rPr>
          <w:rFonts w:ascii="Arial" w:cs="Arial" w:eastAsia="Arial" w:hAnsi="Arial"/>
          <w:sz w:val="18"/>
          <w:szCs w:val="18"/>
          <w:color w:val="auto"/>
        </w:rPr>
        <w:t>On August 18, 2016, Marvell Technology Group Ltd. (the “Company”) announced that Jean Hu has been appointed the Company’s Chief Financial Officer effective August 22, 2016.</w:t>
      </w:r>
    </w:p>
    <w:p>
      <w:pPr>
        <w:spacing w:after="0" w:line="170" w:lineRule="exact"/>
        <w:rPr>
          <w:sz w:val="20"/>
          <w:szCs w:val="20"/>
          <w:color w:val="auto"/>
        </w:rPr>
      </w:pPr>
    </w:p>
    <w:p>
      <w:pPr>
        <w:ind w:right="200" w:firstLine="456"/>
        <w:spacing w:after="0" w:line="302" w:lineRule="auto"/>
        <w:rPr>
          <w:sz w:val="20"/>
          <w:szCs w:val="20"/>
          <w:color w:val="auto"/>
        </w:rPr>
      </w:pPr>
      <w:r>
        <w:rPr>
          <w:rFonts w:ascii="Arial" w:cs="Arial" w:eastAsia="Arial" w:hAnsi="Arial"/>
          <w:sz w:val="16"/>
          <w:szCs w:val="16"/>
          <w:color w:val="auto"/>
        </w:rPr>
        <w:t>Ms. Hu, age 53, joins Marvell from QLogic Corporation, where she was Senior Vice President and Chief Financial Officer since April 2011. She also held the Acting Chief Executive Officer role at QLogic since August 2015. Previously, Ms. Hu held several senior positions at Conexant Systems, Inc. including Chief Financial Officer, Treasurer and Senior Vice President of Business Development from 2004 to 2011. Prior to 2004, Ms. Hu held various positions in financial planning, strategy and corporate development at Conexant and its predecessor company, Rockwell International Corporation.</w:t>
      </w:r>
    </w:p>
    <w:p>
      <w:pPr>
        <w:spacing w:after="0" w:line="154" w:lineRule="exact"/>
        <w:rPr>
          <w:sz w:val="20"/>
          <w:szCs w:val="20"/>
          <w:color w:val="auto"/>
        </w:rPr>
      </w:pPr>
    </w:p>
    <w:p>
      <w:pPr>
        <w:ind w:right="160" w:firstLine="456"/>
        <w:spacing w:after="0" w:line="277" w:lineRule="auto"/>
        <w:rPr>
          <w:sz w:val="20"/>
          <w:szCs w:val="20"/>
          <w:color w:val="auto"/>
        </w:rPr>
      </w:pPr>
      <w:r>
        <w:rPr>
          <w:rFonts w:ascii="Arial" w:cs="Arial" w:eastAsia="Arial" w:hAnsi="Arial"/>
          <w:sz w:val="18"/>
          <w:szCs w:val="18"/>
          <w:color w:val="auto"/>
        </w:rPr>
        <w:t>The Company’s press release announcing Ms. Hu’s appointment is attached as Exhibit 99.1 to the Current Report on Form 8-K and is incorporated by reference herein.</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Ms. Hu has no direct or indirect material interest in any transaction required to be disclosed pursuant to Item 404(a) of Regulation S-K.</w:t>
      </w:r>
    </w:p>
    <w:p>
      <w:pPr>
        <w:spacing w:after="0" w:line="225" w:lineRule="exact"/>
        <w:rPr>
          <w:sz w:val="20"/>
          <w:szCs w:val="20"/>
          <w:color w:val="auto"/>
        </w:rPr>
      </w:pPr>
    </w:p>
    <w:p>
      <w:pPr>
        <w:ind w:right="40" w:firstLine="456"/>
        <w:spacing w:after="0" w:line="277" w:lineRule="auto"/>
        <w:rPr>
          <w:sz w:val="20"/>
          <w:szCs w:val="20"/>
          <w:color w:val="auto"/>
        </w:rPr>
      </w:pPr>
      <w:r>
        <w:rPr>
          <w:rFonts w:ascii="Arial" w:cs="Arial" w:eastAsia="Arial" w:hAnsi="Arial"/>
          <w:sz w:val="18"/>
          <w:szCs w:val="18"/>
          <w:color w:val="auto"/>
        </w:rPr>
        <w:t>In connection with Ms. Hu’s appointment, the Company entered into a letter agreement effective August 17, 2016 with Ms. Hu (the “Offer Letter”) that established her compensation, as summarized below.</w:t>
      </w:r>
    </w:p>
    <w:p>
      <w:pPr>
        <w:spacing w:after="0" w:line="170" w:lineRule="exact"/>
        <w:rPr>
          <w:sz w:val="20"/>
          <w:szCs w:val="20"/>
          <w:color w:val="auto"/>
        </w:rPr>
      </w:pPr>
    </w:p>
    <w:p>
      <w:pPr>
        <w:ind w:right="240" w:firstLine="456"/>
        <w:spacing w:after="0" w:line="277" w:lineRule="auto"/>
        <w:rPr>
          <w:sz w:val="20"/>
          <w:szCs w:val="20"/>
          <w:color w:val="auto"/>
        </w:rPr>
      </w:pPr>
      <w:r>
        <w:rPr>
          <w:rFonts w:ascii="Arial" w:cs="Arial" w:eastAsia="Arial" w:hAnsi="Arial"/>
          <w:sz w:val="18"/>
          <w:szCs w:val="18"/>
          <w:i w:val="1"/>
          <w:iCs w:val="1"/>
          <w:color w:val="auto"/>
        </w:rPr>
        <w:t>Salary; Annual Incentive Bonus</w:t>
      </w:r>
      <w:r>
        <w:rPr>
          <w:rFonts w:ascii="Arial" w:cs="Arial" w:eastAsia="Arial" w:hAnsi="Arial"/>
          <w:sz w:val="18"/>
          <w:szCs w:val="18"/>
          <w:color w:val="auto"/>
        </w:rPr>
        <w:t>. Ms. Hu’s annual base salary will be $450,000 USD. Ms. Hu will be eligible to participate in the Company’s Annual</w:t>
      </w:r>
      <w:r>
        <w:rPr>
          <w:rFonts w:ascii="Arial" w:cs="Arial" w:eastAsia="Arial" w:hAnsi="Arial"/>
          <w:sz w:val="18"/>
          <w:szCs w:val="18"/>
          <w:i w:val="1"/>
          <w:iCs w:val="1"/>
          <w:color w:val="auto"/>
        </w:rPr>
        <w:t xml:space="preserve"> </w:t>
      </w:r>
      <w:r>
        <w:rPr>
          <w:rFonts w:ascii="Arial" w:cs="Arial" w:eastAsia="Arial" w:hAnsi="Arial"/>
          <w:sz w:val="18"/>
          <w:szCs w:val="18"/>
          <w:color w:val="auto"/>
        </w:rPr>
        <w:t>Incentive Plan with a target annual incentive bonus of 100% of her annual base salary.</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Equity Awards</w:t>
      </w:r>
      <w:r>
        <w:rPr>
          <w:rFonts w:ascii="Arial" w:cs="Arial" w:eastAsia="Arial" w:hAnsi="Arial"/>
          <w:sz w:val="18"/>
          <w:szCs w:val="18"/>
          <w:color w:val="auto"/>
        </w:rPr>
        <w:t>. Ms. Hu will receive grants of restricted stock units (“RSUs”) for the number of shares of Marvell common stock, as follows:</w:t>
      </w:r>
    </w:p>
    <w:p>
      <w:pPr>
        <w:spacing w:after="0" w:line="131" w:lineRule="exact"/>
        <w:rPr>
          <w:sz w:val="20"/>
          <w:szCs w:val="20"/>
          <w:color w:val="auto"/>
        </w:rPr>
      </w:pPr>
    </w:p>
    <w:p>
      <w:pPr>
        <w:ind w:left="900" w:right="60" w:hanging="446"/>
        <w:spacing w:after="0" w:line="264"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RSUs for the number of shares of common stock equal to $660,000 divided by the Share Price (as defined in the Offer Letter) shall vest over three (3) years at the rate of 33% after the first anniversary of the vesting start date, 33% after the second anniversary of the vesting start date and 34% after the third anniversary of the vesting start date.</w:t>
      </w:r>
    </w:p>
    <w:p>
      <w:pPr>
        <w:spacing w:after="0" w:line="86" w:lineRule="exact"/>
        <w:rPr>
          <w:rFonts w:ascii="Arial" w:cs="Arial" w:eastAsia="Arial" w:hAnsi="Arial"/>
          <w:sz w:val="18"/>
          <w:szCs w:val="18"/>
          <w:color w:val="auto"/>
        </w:rPr>
      </w:pPr>
    </w:p>
    <w:p>
      <w:pPr>
        <w:ind w:left="900" w:right="20" w:hanging="446"/>
        <w:spacing w:after="0" w:line="255"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RSUs for the number of shares of common stock (at the target achievement level) equal to $495,000 divided by the Share Price (as defined in the Offer Letter) shall vest based on the relative total shareholder return of Marvell’s stock as compared to the total shareholder return of comparable companies of the Philadelphia Semiconductor Sector Index over a three-year performance period, provided that you continue to serve as a service provider through the applicable vesting date. The performance period, metrics and payout formula (as well as the maximum number of shares that could vest under the TSRRSU if performance exceeds the target achievement level) for the TSRRSU will be established by the ECC at the time of grant.</w:t>
      </w:r>
    </w:p>
    <w:p>
      <w:pPr>
        <w:spacing w:after="0" w:line="98" w:lineRule="exact"/>
        <w:rPr>
          <w:rFonts w:ascii="Arial" w:cs="Arial" w:eastAsia="Arial" w:hAnsi="Arial"/>
          <w:sz w:val="18"/>
          <w:szCs w:val="18"/>
          <w:color w:val="auto"/>
        </w:rPr>
      </w:pPr>
    </w:p>
    <w:p>
      <w:pPr>
        <w:ind w:left="900" w:hanging="446"/>
        <w:spacing w:after="0" w:line="276" w:lineRule="auto"/>
        <w:tabs>
          <w:tab w:leader="none" w:pos="900" w:val="left"/>
        </w:tabs>
        <w:numPr>
          <w:ilvl w:val="0"/>
          <w:numId w:val="2"/>
        </w:numPr>
        <w:rPr>
          <w:rFonts w:ascii="Arial" w:cs="Arial" w:eastAsia="Arial" w:hAnsi="Arial"/>
          <w:sz w:val="17"/>
          <w:szCs w:val="17"/>
          <w:color w:val="auto"/>
        </w:rPr>
      </w:pPr>
      <w:r>
        <w:rPr>
          <w:rFonts w:ascii="Arial" w:cs="Arial" w:eastAsia="Arial" w:hAnsi="Arial"/>
          <w:sz w:val="17"/>
          <w:szCs w:val="17"/>
          <w:color w:val="auto"/>
        </w:rPr>
        <w:t>RSUs for the number of shares of common stock equal to $495,000 divided by the Share Price (as defined in the Offer Letter) shall vest based on the achievement of operating performance metrics over a two (2) year period. The performance period, metrics and relative weightings (as well as the maximum number of shares that could vest under the OPMRSU if performance exceeds the target achievement level) will be established by the ECC at the time of grant and will be measured at the end of the second year. Any shares deemed to have been earned upon the successful achievement of such metrics will vest 100% on the 3</w:t>
      </w:r>
      <w:r>
        <w:rPr>
          <w:rFonts w:ascii="Arial" w:cs="Arial" w:eastAsia="Arial" w:hAnsi="Arial"/>
          <w:sz w:val="14"/>
          <w:szCs w:val="14"/>
          <w:color w:val="auto"/>
        </w:rPr>
        <w:t>rd</w:t>
      </w:r>
      <w:r>
        <w:rPr>
          <w:rFonts w:ascii="Arial" w:cs="Arial" w:eastAsia="Arial" w:hAnsi="Arial"/>
          <w:sz w:val="17"/>
          <w:szCs w:val="17"/>
          <w:color w:val="auto"/>
        </w:rPr>
        <w:t xml:space="preserve"> anniversary of the vesting start date.</w:t>
      </w:r>
    </w:p>
    <w:p>
      <w:pPr>
        <w:sectPr>
          <w:pgSz w:w="11900" w:h="16838" w:orient="portrait"/>
          <w:cols w:equalWidth="0" w:num="1">
            <w:col w:w="11420"/>
          </w:cols>
          <w:pgMar w:left="240" w:top="270" w:right="239" w:bottom="1440" w:gutter="0" w:footer="0" w:header="0"/>
        </w:sectPr>
      </w:pPr>
    </w:p>
    <w:bookmarkStart w:id="2" w:name="page3"/>
    <w:bookmarkEnd w:id="2"/>
    <w:p>
      <w:pPr>
        <w:ind w:firstLine="456"/>
        <w:spacing w:after="0" w:line="277" w:lineRule="auto"/>
        <w:rPr>
          <w:sz w:val="20"/>
          <w:szCs w:val="20"/>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Change in Control</w:t>
      </w:r>
      <w:r>
        <w:rPr>
          <w:rFonts w:ascii="Arial" w:cs="Arial" w:eastAsia="Arial" w:hAnsi="Arial"/>
          <w:sz w:val="18"/>
          <w:szCs w:val="18"/>
          <w:color w:val="auto"/>
        </w:rPr>
        <w:t>. Ms. Hu will be designated a “Tier 2” participant in the Company’s Change in Control Severance Plan (“CIC Plan”) in the form</w:t>
      </w:r>
      <w:r>
        <w:rPr>
          <w:rFonts w:ascii="Arial" w:cs="Arial" w:eastAsia="Arial" w:hAnsi="Arial"/>
          <w:sz w:val="18"/>
          <w:szCs w:val="18"/>
          <w:i w:val="1"/>
          <w:iCs w:val="1"/>
          <w:color w:val="auto"/>
        </w:rPr>
        <w:t xml:space="preserve"> </w:t>
      </w:r>
      <w:r>
        <w:rPr>
          <w:rFonts w:ascii="Arial" w:cs="Arial" w:eastAsia="Arial" w:hAnsi="Arial"/>
          <w:sz w:val="18"/>
          <w:szCs w:val="18"/>
          <w:color w:val="auto"/>
        </w:rPr>
        <w:t>attached as Exhibit 10.2 to the Company’s Current Report on Form 8-K filed with the SEC on June 20, 2016.</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Relocation Benefits</w:t>
      </w:r>
      <w:r>
        <w:rPr>
          <w:rFonts w:ascii="Arial" w:cs="Arial" w:eastAsia="Arial" w:hAnsi="Arial"/>
          <w:sz w:val="18"/>
          <w:szCs w:val="18"/>
          <w:color w:val="auto"/>
        </w:rPr>
        <w:t>. Ms. Hu is also eligible to receive certain relocation benefits, as set forth in the Offer Letter.</w:t>
      </w:r>
    </w:p>
    <w:p>
      <w:pPr>
        <w:spacing w:after="0" w:line="225" w:lineRule="exact"/>
        <w:rPr>
          <w:sz w:val="20"/>
          <w:szCs w:val="20"/>
          <w:color w:val="auto"/>
        </w:rPr>
      </w:pPr>
    </w:p>
    <w:p>
      <w:pPr>
        <w:ind w:right="140" w:firstLine="456"/>
        <w:spacing w:after="0" w:line="277" w:lineRule="auto"/>
        <w:rPr>
          <w:sz w:val="20"/>
          <w:szCs w:val="20"/>
          <w:color w:val="auto"/>
        </w:rPr>
      </w:pPr>
      <w:r>
        <w:rPr>
          <w:rFonts w:ascii="Arial" w:cs="Arial" w:eastAsia="Arial" w:hAnsi="Arial"/>
          <w:sz w:val="18"/>
          <w:szCs w:val="18"/>
          <w:color w:val="auto"/>
        </w:rPr>
        <w:t>The foregoing description of the Offer Letter is qualified in its entirety by reference to the full text of the Offer Letter filed as Exhibit 10.1 to this Current Report on Form 8-K and incorporated herein by reference.</w:t>
      </w:r>
    </w:p>
    <w:p>
      <w:pPr>
        <w:spacing w:after="0" w:line="27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Departure of Interim Chief Financial Officer</w:t>
      </w:r>
    </w:p>
    <w:p>
      <w:pPr>
        <w:spacing w:after="0" w:line="117" w:lineRule="exact"/>
        <w:rPr>
          <w:sz w:val="20"/>
          <w:szCs w:val="20"/>
          <w:color w:val="auto"/>
        </w:rPr>
      </w:pPr>
    </w:p>
    <w:p>
      <w:pPr>
        <w:ind w:right="260" w:firstLine="456"/>
        <w:spacing w:after="0" w:line="277" w:lineRule="auto"/>
        <w:rPr>
          <w:sz w:val="20"/>
          <w:szCs w:val="20"/>
          <w:color w:val="auto"/>
        </w:rPr>
      </w:pPr>
      <w:r>
        <w:rPr>
          <w:rFonts w:ascii="Arial" w:cs="Arial" w:eastAsia="Arial" w:hAnsi="Arial"/>
          <w:sz w:val="18"/>
          <w:szCs w:val="18"/>
          <w:color w:val="auto"/>
        </w:rPr>
        <w:t>David P. Eichler, the Company’s Interim Chief Financial Officer and principal financial officer, will no longer serve in the capacity of principal financial officer effective August 22, 2016.</w:t>
      </w:r>
    </w:p>
    <w:p>
      <w:pPr>
        <w:spacing w:after="0" w:line="31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ind w:left="980"/>
        <w:spacing w:after="0"/>
        <w:tabs>
          <w:tab w:leader="none" w:pos="156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Offer Letter between the Company and Jean Hu effective August 17, 2016</w:t>
      </w:r>
    </w:p>
    <w:p>
      <w:pPr>
        <w:spacing w:after="0" w:line="23" w:lineRule="exact"/>
        <w:rPr>
          <w:sz w:val="20"/>
          <w:szCs w:val="20"/>
          <w:color w:val="auto"/>
        </w:rPr>
      </w:pPr>
    </w:p>
    <w:p>
      <w:pPr>
        <w:ind w:left="980"/>
        <w:spacing w:after="0"/>
        <w:tabs>
          <w:tab w:leader="none" w:pos="15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August 18, 2016</w:t>
      </w:r>
    </w:p>
    <w:p>
      <w:pPr>
        <w:sectPr>
          <w:pgSz w:w="11900" w:h="16838" w:orient="portrait"/>
          <w:cols w:equalWidth="0" w:num="1">
            <w:col w:w="11040"/>
          </w:cols>
          <w:pgMar w:left="240" w:top="274" w:right="619" w:bottom="1440" w:gutter="0" w:footer="0" w:header="0"/>
        </w:sectPr>
      </w:pPr>
    </w:p>
    <w:bookmarkStart w:id="3" w:name="page4"/>
    <w:bookmarkEnd w:id="3"/>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the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August 23,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Mitchell Gaynor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Executive Vice President, Chief Legal Officer and</w:t>
      </w:r>
    </w:p>
    <w:p>
      <w:pPr>
        <w:spacing w:after="0" w:line="9"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Secretary</w:t>
      </w:r>
    </w:p>
    <w:p>
      <w:pPr>
        <w:sectPr>
          <w:pgSz w:w="11900" w:h="16838" w:orient="portrait"/>
          <w:cols w:equalWidth="0" w:num="1">
            <w:col w:w="11380"/>
          </w:cols>
          <w:pgMar w:left="240" w:top="270" w:right="279"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34"/>
        </w:trPr>
        <w:tc>
          <w:tcPr>
            <w:tcW w:w="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4660" w:type="dxa"/>
            <w:vAlign w:val="bottom"/>
          </w:tcPr>
          <w:p>
            <w:pPr>
              <w:ind w:left="294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392"/>
        </w:trPr>
        <w:tc>
          <w:tcPr>
            <w:tcW w:w="1040" w:type="dxa"/>
            <w:vAlign w:val="bottom"/>
            <w:gridSpan w:val="3"/>
          </w:tcPr>
          <w:p>
            <w:pPr>
              <w:jc w:val="center"/>
              <w:ind w:right="320"/>
              <w:spacing w:after="0"/>
              <w:rPr>
                <w:sz w:val="20"/>
                <w:szCs w:val="20"/>
                <w:color w:val="auto"/>
              </w:rPr>
            </w:pPr>
            <w:r>
              <w:rPr>
                <w:rFonts w:ascii="Arial" w:cs="Arial" w:eastAsia="Arial" w:hAnsi="Arial"/>
                <w:sz w:val="14"/>
                <w:szCs w:val="14"/>
                <w:b w:val="1"/>
                <w:bCs w:val="1"/>
                <w:color w:val="auto"/>
                <w:w w:val="98"/>
              </w:rPr>
              <w:t>Exhibit No.</w:t>
            </w:r>
          </w:p>
        </w:tc>
        <w:tc>
          <w:tcPr>
            <w:tcW w:w="5700" w:type="dxa"/>
            <w:vAlign w:val="bottom"/>
            <w:gridSpan w:val="3"/>
          </w:tcPr>
          <w:p>
            <w:pPr>
              <w:ind w:left="34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40" w:type="dxa"/>
            <w:vAlign w:val="bottom"/>
            <w:vMerge w:val="restart"/>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5"/>
        </w:trPr>
        <w:tc>
          <w:tcPr>
            <w:tcW w:w="20" w:type="dxa"/>
            <w:vAlign w:val="bottom"/>
            <w:vMerge w:val="continue"/>
          </w:tcPr>
          <w:p>
            <w:pPr>
              <w:spacing w:after="0"/>
              <w:rPr>
                <w:sz w:val="16"/>
                <w:szCs w:val="16"/>
                <w:color w:val="auto"/>
              </w:rPr>
            </w:pPr>
          </w:p>
        </w:tc>
        <w:tc>
          <w:tcPr>
            <w:tcW w:w="700" w:type="dxa"/>
            <w:vAlign w:val="bottom"/>
          </w:tcPr>
          <w:p>
            <w:pPr>
              <w:jc w:val="center"/>
              <w:spacing w:after="0" w:line="195" w:lineRule="exact"/>
              <w:rPr>
                <w:sz w:val="20"/>
                <w:szCs w:val="20"/>
                <w:color w:val="auto"/>
              </w:rPr>
            </w:pPr>
            <w:r>
              <w:rPr>
                <w:rFonts w:ascii="Arial" w:cs="Arial" w:eastAsia="Arial" w:hAnsi="Arial"/>
                <w:sz w:val="18"/>
                <w:szCs w:val="18"/>
                <w:color w:val="auto"/>
                <w:w w:val="91"/>
              </w:rPr>
              <w:t>10.1</w:t>
            </w:r>
          </w:p>
        </w:tc>
        <w:tc>
          <w:tcPr>
            <w:tcW w:w="320" w:type="dxa"/>
            <w:vAlign w:val="bottom"/>
          </w:tcPr>
          <w:p>
            <w:pPr>
              <w:spacing w:after="0"/>
              <w:rPr>
                <w:sz w:val="16"/>
                <w:szCs w:val="16"/>
                <w:color w:val="auto"/>
              </w:rPr>
            </w:pPr>
          </w:p>
        </w:tc>
        <w:tc>
          <w:tcPr>
            <w:tcW w:w="340" w:type="dxa"/>
            <w:vAlign w:val="bottom"/>
            <w:vMerge w:val="continue"/>
          </w:tcPr>
          <w:p>
            <w:pPr>
              <w:spacing w:after="0"/>
              <w:rPr>
                <w:sz w:val="16"/>
                <w:szCs w:val="16"/>
                <w:color w:val="auto"/>
              </w:rPr>
            </w:pPr>
          </w:p>
        </w:tc>
        <w:tc>
          <w:tcPr>
            <w:tcW w:w="5360" w:type="dxa"/>
            <w:vAlign w:val="bottom"/>
            <w:gridSpan w:val="2"/>
          </w:tcPr>
          <w:p>
            <w:pPr>
              <w:spacing w:after="0" w:line="195" w:lineRule="exact"/>
              <w:rPr>
                <w:sz w:val="20"/>
                <w:szCs w:val="20"/>
                <w:color w:val="auto"/>
              </w:rPr>
            </w:pPr>
            <w:r>
              <w:rPr>
                <w:rFonts w:ascii="Arial" w:cs="Arial" w:eastAsia="Arial" w:hAnsi="Arial"/>
                <w:sz w:val="18"/>
                <w:szCs w:val="18"/>
                <w:color w:val="auto"/>
                <w:w w:val="90"/>
              </w:rPr>
              <w:t>Offer Letter between the Company and Jean Hu effective August 17, 2016</w:t>
            </w:r>
          </w:p>
        </w:tc>
        <w:tc>
          <w:tcPr>
            <w:tcW w:w="0" w:type="dxa"/>
            <w:vAlign w:val="bottom"/>
          </w:tcPr>
          <w:p>
            <w:pPr>
              <w:spacing w:after="0"/>
              <w:rPr>
                <w:sz w:val="1"/>
                <w:szCs w:val="1"/>
                <w:color w:val="auto"/>
              </w:rPr>
            </w:pPr>
          </w:p>
        </w:tc>
      </w:tr>
      <w:tr>
        <w:trPr>
          <w:trHeight w:val="230"/>
        </w:trPr>
        <w:tc>
          <w:tcPr>
            <w:tcW w:w="720" w:type="dxa"/>
            <w:vAlign w:val="bottom"/>
            <w:gridSpan w:val="2"/>
          </w:tcPr>
          <w:p>
            <w:pPr>
              <w:jc w:val="center"/>
              <w:spacing w:after="0"/>
              <w:rPr>
                <w:sz w:val="20"/>
                <w:szCs w:val="20"/>
                <w:color w:val="auto"/>
              </w:rPr>
            </w:pPr>
            <w:r>
              <w:rPr>
                <w:rFonts w:ascii="Arial" w:cs="Arial" w:eastAsia="Arial" w:hAnsi="Arial"/>
                <w:sz w:val="18"/>
                <w:szCs w:val="18"/>
                <w:color w:val="auto"/>
                <w:w w:val="91"/>
              </w:rPr>
              <w:t>99.1</w:t>
            </w:r>
          </w:p>
        </w:tc>
        <w:tc>
          <w:tcPr>
            <w:tcW w:w="320" w:type="dxa"/>
            <w:vAlign w:val="bottom"/>
          </w:tcPr>
          <w:p>
            <w:pPr>
              <w:spacing w:after="0"/>
              <w:rPr>
                <w:sz w:val="20"/>
                <w:szCs w:val="20"/>
                <w:color w:val="auto"/>
              </w:rPr>
            </w:pPr>
          </w:p>
        </w:tc>
        <w:tc>
          <w:tcPr>
            <w:tcW w:w="5700" w:type="dxa"/>
            <w:vAlign w:val="bottom"/>
            <w:gridSpan w:val="3"/>
          </w:tcPr>
          <w:p>
            <w:pPr>
              <w:ind w:left="340"/>
              <w:spacing w:after="0"/>
              <w:rPr>
                <w:sz w:val="20"/>
                <w:szCs w:val="20"/>
                <w:color w:val="auto"/>
              </w:rPr>
            </w:pPr>
            <w:r>
              <w:rPr>
                <w:rFonts w:ascii="Arial" w:cs="Arial" w:eastAsia="Arial" w:hAnsi="Arial"/>
                <w:sz w:val="18"/>
                <w:szCs w:val="18"/>
                <w:color w:val="auto"/>
              </w:rPr>
              <w:t>Press Release dated August 18, 2016</w:t>
            </w: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0219"/>
          </w:cols>
          <w:pgMar w:left="240" w:top="270" w:right="1440"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10.1</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August 16, 2016</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[address]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Dear Jean,</w:t>
      </w:r>
    </w:p>
    <w:p>
      <w:pPr>
        <w:spacing w:after="0" w:line="225"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It is our pleasure to offer you the position of Chief Financial Officer of Marvell Semiconductor, Inc. (the “Company”), a subsidiary of Marvell Technology Group Ltd. (“Marvell”), reporting to the Chief Executive Officer. You will be designated the Company’s “principal financial officer” and will be designated an “executive officer” for purposes of both Securities and Exchange Commission (“SEC”) reporting purposes and compliance with Section 16 under the Securities Exchange Act.</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Base Salary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Your salary will be 450,000.00 US Dollars (USD) per year.</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Annual Incentive Bonus</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You will be eligible to participate in the Company’s Annual Incentive Plan (“AIP”) with an annual target incentive bonus opportunity of 100% of your annual base salary. The Executive Compensation Committee (the “ECC”) in its sole discretion shall determine the performance objectives applicable to the bonus and the other terms of the AIP. The ECC shall determine the actual amount of bonus earned, if any, after the conclusion of each applicable fiscal year and may exercise negative discretion with respect thereto.</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Equity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You will be recommended to ECC for the following grants:</w:t>
      </w:r>
    </w:p>
    <w:p>
      <w:pPr>
        <w:spacing w:after="0" w:line="127" w:lineRule="exact"/>
        <w:rPr>
          <w:sz w:val="20"/>
          <w:szCs w:val="20"/>
          <w:color w:val="auto"/>
        </w:rPr>
      </w:pPr>
    </w:p>
    <w:p>
      <w:pPr>
        <w:ind w:left="660" w:right="540" w:hanging="206"/>
        <w:spacing w:after="0" w:line="282" w:lineRule="auto"/>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b w:val="1"/>
          <w:bCs w:val="1"/>
          <w:u w:val="single" w:color="auto"/>
          <w:color w:val="auto"/>
        </w:rPr>
        <w:t>Time Based RSU Award (TBRSU)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 Marvell equal to: $660,000 / Share Price (as defined</w:t>
      </w:r>
      <w:r>
        <w:rPr>
          <w:rFonts w:ascii="Arial" w:cs="Arial" w:eastAsia="Arial" w:hAnsi="Arial"/>
          <w:sz w:val="18"/>
          <w:szCs w:val="18"/>
          <w:b w:val="1"/>
          <w:bCs w:val="1"/>
          <w:color w:val="auto"/>
        </w:rPr>
        <w:t xml:space="preserve"> </w:t>
      </w:r>
      <w:r>
        <w:rPr>
          <w:rFonts w:ascii="Arial" w:cs="Arial" w:eastAsia="Arial" w:hAnsi="Arial"/>
          <w:sz w:val="18"/>
          <w:szCs w:val="18"/>
          <w:color w:val="auto"/>
        </w:rPr>
        <w:t>below)</w:t>
      </w:r>
    </w:p>
    <w:p>
      <w:pPr>
        <w:spacing w:after="0" w:line="58" w:lineRule="exact"/>
        <w:rPr>
          <w:sz w:val="20"/>
          <w:szCs w:val="20"/>
          <w:color w:val="auto"/>
        </w:rPr>
      </w:pPr>
    </w:p>
    <w:p>
      <w:pPr>
        <w:ind w:left="700" w:right="100"/>
        <w:spacing w:after="0" w:line="264" w:lineRule="auto"/>
        <w:rPr>
          <w:sz w:val="20"/>
          <w:szCs w:val="20"/>
          <w:color w:val="auto"/>
        </w:rPr>
      </w:pPr>
      <w:r>
        <w:rPr>
          <w:rFonts w:ascii="Arial" w:cs="Arial" w:eastAsia="Arial" w:hAnsi="Arial"/>
          <w:sz w:val="18"/>
          <w:szCs w:val="18"/>
          <w:color w:val="auto"/>
        </w:rPr>
        <w:t>The TBRSU shall vest over three (3) years at the rate of 33% on the first anniversary of the vesting start date, 33% on the second anniversary of the vesting start date and 34% on the third anniversary of the vesting start date; provided that you continue to serve as a service provider through each applicable vesting date.</w:t>
      </w:r>
    </w:p>
    <w:p>
      <w:pPr>
        <w:spacing w:after="0" w:line="83" w:lineRule="exact"/>
        <w:rPr>
          <w:sz w:val="20"/>
          <w:szCs w:val="20"/>
          <w:color w:val="auto"/>
        </w:rPr>
      </w:pPr>
    </w:p>
    <w:p>
      <w:pPr>
        <w:ind w:left="660" w:right="280" w:hanging="206"/>
        <w:spacing w:after="0" w:line="282" w:lineRule="auto"/>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b w:val="1"/>
          <w:bCs w:val="1"/>
          <w:u w:val="single" w:color="auto"/>
          <w:color w:val="auto"/>
        </w:rPr>
        <w:t>Performance Based RSU Award based on Total Shareholder Return (TSRRSU)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 Marvell</w:t>
      </w:r>
      <w:r>
        <w:rPr>
          <w:rFonts w:ascii="Arial" w:cs="Arial" w:eastAsia="Arial" w:hAnsi="Arial"/>
          <w:sz w:val="18"/>
          <w:szCs w:val="18"/>
          <w:b w:val="1"/>
          <w:bCs w:val="1"/>
          <w:color w:val="auto"/>
        </w:rPr>
        <w:t xml:space="preserve"> </w:t>
      </w:r>
      <w:r>
        <w:rPr>
          <w:rFonts w:ascii="Arial" w:cs="Arial" w:eastAsia="Arial" w:hAnsi="Arial"/>
          <w:sz w:val="18"/>
          <w:szCs w:val="18"/>
          <w:color w:val="auto"/>
        </w:rPr>
        <w:t>equal to: $495,000 / Share Price (as defined below)</w:t>
      </w:r>
    </w:p>
    <w:p>
      <w:pPr>
        <w:spacing w:after="0" w:line="58" w:lineRule="exact"/>
        <w:rPr>
          <w:sz w:val="20"/>
          <w:szCs w:val="20"/>
          <w:color w:val="auto"/>
        </w:rPr>
      </w:pPr>
    </w:p>
    <w:p>
      <w:pPr>
        <w:ind w:left="700" w:right="140"/>
        <w:spacing w:after="0" w:line="312" w:lineRule="auto"/>
        <w:rPr>
          <w:sz w:val="20"/>
          <w:szCs w:val="20"/>
          <w:color w:val="auto"/>
        </w:rPr>
      </w:pPr>
      <w:r>
        <w:rPr>
          <w:rFonts w:ascii="Arial" w:cs="Arial" w:eastAsia="Arial" w:hAnsi="Arial"/>
          <w:sz w:val="16"/>
          <w:szCs w:val="16"/>
          <w:color w:val="auto"/>
        </w:rPr>
        <w:t>The TSRRSU shall vest on the third anniversary of the vesting start date based on achievement of performance objectives relating to the relative total shareholder return of Marvell’s stock as compared to the total shareholder return of comparable companies of the Philadelphia Semiconductor Sector Index over the performance period measured from the First Current Date (as defined below) through the end of fiscal year 2019, provided</w:t>
      </w:r>
    </w:p>
    <w:p>
      <w:pPr>
        <w:sectPr>
          <w:pgSz w:w="11900" w:h="16838" w:orient="portrait"/>
          <w:cols w:equalWidth="0" w:num="1">
            <w:col w:w="11420"/>
          </w:cols>
          <w:pgMar w:left="240" w:top="121" w:right="239" w:bottom="1440" w:gutter="0" w:footer="0" w:header="0"/>
        </w:sectPr>
      </w:pPr>
    </w:p>
    <w:bookmarkStart w:id="6" w:name="page7"/>
    <w:bookmarkEnd w:id="6"/>
    <w:p>
      <w:pPr>
        <w:ind w:left="700" w:right="20"/>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that you continue to serve as a service provider through the third anniversary of the vesting start date. The specific performance objectives, comparable companies, payout formula (under which the number of shares that could vest under the TSRRSU can range from zero to 150% of the target number, with zero payout if Marvell’s TSR is below the 25</w:t>
      </w:r>
      <w:r>
        <w:rPr>
          <w:rFonts w:ascii="Arial" w:cs="Arial" w:eastAsia="Arial" w:hAnsi="Arial"/>
          <w:sz w:val="13"/>
          <w:szCs w:val="13"/>
          <w:color w:val="auto"/>
        </w:rPr>
        <w:t>th</w:t>
      </w:r>
      <w:r>
        <w:rPr>
          <w:rFonts w:ascii="Arial" w:cs="Arial" w:eastAsia="Arial" w:hAnsi="Arial"/>
          <w:sz w:val="16"/>
          <w:szCs w:val="16"/>
          <w:color w:val="auto"/>
        </w:rPr>
        <w:t xml:space="preserve"> percentile of comparable companies, 50% payout if TSR is at the 25</w:t>
      </w:r>
      <w:r>
        <w:rPr>
          <w:rFonts w:ascii="Arial" w:cs="Arial" w:eastAsia="Arial" w:hAnsi="Arial"/>
          <w:sz w:val="13"/>
          <w:szCs w:val="13"/>
          <w:color w:val="auto"/>
        </w:rPr>
        <w:t>th</w:t>
      </w:r>
      <w:r>
        <w:rPr>
          <w:rFonts w:ascii="Arial" w:cs="Arial" w:eastAsia="Arial" w:hAnsi="Arial"/>
          <w:sz w:val="16"/>
          <w:szCs w:val="16"/>
          <w:color w:val="auto"/>
        </w:rPr>
        <w:t xml:space="preserve"> percentile, 100% payout if TSR is at the 50</w:t>
      </w:r>
      <w:r>
        <w:rPr>
          <w:rFonts w:ascii="Arial" w:cs="Arial" w:eastAsia="Arial" w:hAnsi="Arial"/>
          <w:sz w:val="13"/>
          <w:szCs w:val="13"/>
          <w:color w:val="auto"/>
        </w:rPr>
        <w:t>th</w:t>
      </w:r>
      <w:r>
        <w:rPr>
          <w:rFonts w:ascii="Arial" w:cs="Arial" w:eastAsia="Arial" w:hAnsi="Arial"/>
          <w:sz w:val="16"/>
          <w:szCs w:val="16"/>
          <w:color w:val="auto"/>
        </w:rPr>
        <w:t xml:space="preserve"> percentile, and 150% payout if TSR is at or above the 75</w:t>
      </w:r>
      <w:r>
        <w:rPr>
          <w:rFonts w:ascii="Arial" w:cs="Arial" w:eastAsia="Arial" w:hAnsi="Arial"/>
          <w:sz w:val="13"/>
          <w:szCs w:val="13"/>
          <w:color w:val="auto"/>
        </w:rPr>
        <w:t>th</w:t>
      </w:r>
      <w:r>
        <w:rPr>
          <w:rFonts w:ascii="Arial" w:cs="Arial" w:eastAsia="Arial" w:hAnsi="Arial"/>
          <w:sz w:val="16"/>
          <w:szCs w:val="16"/>
          <w:color w:val="auto"/>
        </w:rPr>
        <w:t xml:space="preserve"> percentile, with straight line interpolation of the payout percentages for TSR between the 25</w:t>
      </w:r>
      <w:r>
        <w:rPr>
          <w:rFonts w:ascii="Arial" w:cs="Arial" w:eastAsia="Arial" w:hAnsi="Arial"/>
          <w:sz w:val="13"/>
          <w:szCs w:val="13"/>
          <w:color w:val="auto"/>
        </w:rPr>
        <w:t>th</w:t>
      </w:r>
      <w:r>
        <w:rPr>
          <w:rFonts w:ascii="Arial" w:cs="Arial" w:eastAsia="Arial" w:hAnsi="Arial"/>
          <w:sz w:val="16"/>
          <w:szCs w:val="16"/>
          <w:color w:val="auto"/>
        </w:rPr>
        <w:t xml:space="preserve"> and 75</w:t>
      </w:r>
      <w:r>
        <w:rPr>
          <w:rFonts w:ascii="Arial" w:cs="Arial" w:eastAsia="Arial" w:hAnsi="Arial"/>
          <w:sz w:val="13"/>
          <w:szCs w:val="13"/>
          <w:color w:val="auto"/>
        </w:rPr>
        <w:t>th</w:t>
      </w:r>
      <w:r>
        <w:rPr>
          <w:rFonts w:ascii="Arial" w:cs="Arial" w:eastAsia="Arial" w:hAnsi="Arial"/>
          <w:sz w:val="16"/>
          <w:szCs w:val="16"/>
          <w:color w:val="auto"/>
        </w:rPr>
        <w:t xml:space="preserve"> percentiles) and other terms for the TSRRSU will be established by the ECC at the time of grant.</w:t>
      </w:r>
    </w:p>
    <w:p>
      <w:pPr>
        <w:spacing w:after="0" w:line="60" w:lineRule="exact"/>
        <w:rPr>
          <w:sz w:val="20"/>
          <w:szCs w:val="20"/>
          <w:color w:val="auto"/>
        </w:rPr>
      </w:pPr>
    </w:p>
    <w:p>
      <w:pPr>
        <w:ind w:left="660" w:right="340" w:hanging="206"/>
        <w:spacing w:after="0" w:line="282" w:lineRule="auto"/>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b w:val="1"/>
          <w:bCs w:val="1"/>
          <w:u w:val="single" w:color="auto"/>
          <w:color w:val="auto"/>
        </w:rPr>
        <w:t>Performance Based RSU Award based on Operating Performance Metrics (OPMRSU)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w:t>
      </w:r>
      <w:r>
        <w:rPr>
          <w:rFonts w:ascii="Arial" w:cs="Arial" w:eastAsia="Arial" w:hAnsi="Arial"/>
          <w:sz w:val="18"/>
          <w:szCs w:val="18"/>
          <w:b w:val="1"/>
          <w:bCs w:val="1"/>
          <w:color w:val="auto"/>
        </w:rPr>
        <w:t xml:space="preserve"> </w:t>
      </w:r>
      <w:r>
        <w:rPr>
          <w:rFonts w:ascii="Arial" w:cs="Arial" w:eastAsia="Arial" w:hAnsi="Arial"/>
          <w:sz w:val="18"/>
          <w:szCs w:val="18"/>
          <w:color w:val="auto"/>
        </w:rPr>
        <w:t>Marvell equal to: $495,000 / Share Price (as defined below)</w:t>
      </w:r>
    </w:p>
    <w:p>
      <w:pPr>
        <w:spacing w:after="0" w:line="58" w:lineRule="exact"/>
        <w:rPr>
          <w:sz w:val="20"/>
          <w:szCs w:val="20"/>
          <w:color w:val="auto"/>
        </w:rPr>
      </w:pPr>
    </w:p>
    <w:p>
      <w:pPr>
        <w:ind w:left="700" w:right="20"/>
        <w:spacing w:after="0" w:line="273" w:lineRule="auto"/>
        <w:rPr>
          <w:sz w:val="20"/>
          <w:szCs w:val="20"/>
          <w:color w:val="auto"/>
        </w:rPr>
      </w:pPr>
      <w:r>
        <w:rPr>
          <w:rFonts w:ascii="Arial" w:cs="Arial" w:eastAsia="Arial" w:hAnsi="Arial"/>
          <w:sz w:val="17"/>
          <w:szCs w:val="17"/>
          <w:color w:val="auto"/>
        </w:rPr>
        <w:t>The OPMRSU shall vest based on the achievement of operating performance metrics for fiscal years 2017 and 2018. The performance period, metrics and relative weightings (as well as the maximum number of shares that could vest under the OPMRSU if performance exceeds the target achievement level) will be established by the ECC at the time of grant and will be measured as of the end of fiscal year 2018. As the incoming CFO, it is expected that you will participate in the process of setting the operating performance objectives. Any shares, if any, deemed to have been earned upon the successful achievement of such metrics will vest 100% on the third anniversary of the vesting start date, provided that you continue to serve as a service provider through such vesting date.</w:t>
      </w:r>
    </w:p>
    <w:p>
      <w:pPr>
        <w:spacing w:after="0" w:line="178"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For purposes of the equity awards described above, “Share Price” shall mean the closing price of the common shares of Marvell (NASDAQ: MRVL) on the NASDAQ Stock Market on (x) the date that is one (1) full trading day after the first date following the date of this offer letter on which Marvell has filed all required periodic reports with the Securities and Exchange Commission, such that Marvell is “current” with its financial reporting, or (y) the date that the awards are approved by the ECC (but no later than 30 days after the “First Current Date” as defined below), whichever is later. The date that Marvell becomes “current” with its financial reporting is referred to as the “First Current Date”.</w:t>
      </w:r>
    </w:p>
    <w:p>
      <w:pPr>
        <w:spacing w:after="0" w:line="188" w:lineRule="exact"/>
        <w:rPr>
          <w:sz w:val="20"/>
          <w:szCs w:val="20"/>
          <w:color w:val="auto"/>
        </w:rPr>
      </w:pPr>
    </w:p>
    <w:p>
      <w:pPr>
        <w:ind w:right="680"/>
        <w:spacing w:after="0" w:line="342" w:lineRule="auto"/>
        <w:rPr>
          <w:sz w:val="20"/>
          <w:szCs w:val="20"/>
          <w:color w:val="auto"/>
        </w:rPr>
      </w:pPr>
      <w:r>
        <w:rPr>
          <w:rFonts w:ascii="Arial" w:cs="Arial" w:eastAsia="Arial" w:hAnsi="Arial"/>
          <w:sz w:val="16"/>
          <w:szCs w:val="16"/>
          <w:color w:val="auto"/>
        </w:rPr>
        <w:t>For purposes of the above awards, the vesting start date shall be the 15th of the month coincident with or next following the date on which you begin employment with the Company (i.e., individuals hired after the 15th of the month will have a vesting start date of the 15th of the following month).</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Marvell’s Current Ability to Grant Equity</w:t>
      </w:r>
    </w:p>
    <w:p>
      <w:pPr>
        <w:spacing w:after="0" w:line="121"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All Marvell equity awards are subject to final review and approval by the ECC and all applicable securities law restrictions. Please note that, as of the time of this offer, Marvell has not timely filed certain required periodic reports with the SEC. Therefore, Marvell cannot grant any of the equity awards set forth in this offer letter until such time as it has completed all necessary filings. In addition, all of the proposed equity awards set forth herein will be subject to your return to us of completed, signed Stock Unit Agreements.</w:t>
      </w:r>
    </w:p>
    <w:p>
      <w:pPr>
        <w:sectPr>
          <w:pgSz w:w="11900" w:h="16838" w:orient="portrait"/>
          <w:cols w:equalWidth="0" w:num="1">
            <w:col w:w="11420"/>
          </w:cols>
          <w:pgMar w:left="240" w:top="274" w:right="2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Change-in-Control</w:t>
      </w:r>
    </w:p>
    <w:p>
      <w:pPr>
        <w:spacing w:after="0" w:line="121"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You will be eligible to participate in the Marvell Change in Control and Severance Plan (“CIC Plan”) at the “Tier 2” level, subject to the terms and conditions of the CIC Plan and the form of Tier 2 agreement attached hereto as Appendix A.</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Relocation Benefits</w:t>
      </w:r>
    </w:p>
    <w:p>
      <w:pPr>
        <w:spacing w:after="0" w:line="121"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In the event you close the sale of your current residence within 12 months of your start date, the Company will reimburse you the amount of your broker’s commission at 6% of the actual selling price of your home. The Company will also provide you with relocation assistance of up to 75,000.00 US Dollars (USD), subject to applicable withholding taxes. Relocation assistance, though paid in advance, is earned over the first twenty-four (24) months of your employment, and is paid in consideration of your provision of services over the twenty-four month period. If you voluntarily terminate your employment with the Company within twenty-four (24) months of your date of hire, you will be required to repay the Company the full amount of the relocation assistance.</w:t>
      </w:r>
    </w:p>
    <w:p>
      <w:pPr>
        <w:spacing w:after="0" w:line="26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Other Terms</w:t>
      </w:r>
    </w:p>
    <w:p>
      <w:pPr>
        <w:spacing w:after="0" w:line="121" w:lineRule="exact"/>
        <w:rPr>
          <w:sz w:val="20"/>
          <w:szCs w:val="20"/>
          <w:color w:val="auto"/>
        </w:rPr>
      </w:pPr>
    </w:p>
    <w:p>
      <w:pPr>
        <w:ind w:right="120"/>
        <w:spacing w:after="0" w:line="276" w:lineRule="auto"/>
        <w:rPr>
          <w:sz w:val="20"/>
          <w:szCs w:val="20"/>
          <w:color w:val="auto"/>
        </w:rPr>
      </w:pPr>
      <w:r>
        <w:rPr>
          <w:rFonts w:ascii="Arial" w:cs="Arial" w:eastAsia="Arial" w:hAnsi="Arial"/>
          <w:sz w:val="17"/>
          <w:szCs w:val="17"/>
          <w:color w:val="auto"/>
        </w:rPr>
        <w:t>Your employment with the Company is at the mutual consent of you, the employee, and the Company, the employer. Your employment with the Company is at will, meaning that either you or the Company may terminate the employment relationship at any time, with or without cause. The at-will nature of your employment may only be changed by a written agreement approved by the ECC. During your employment, you will be subject to and agree to abide by and acknowledge all employment policies the Company has or adopts from time to time including, but not limited to, the Company New Hire Employee Agreement, which contains Confidential Information and Invention Assignment and Arbitration Agreements.</w:t>
      </w:r>
    </w:p>
    <w:p>
      <w:pPr>
        <w:spacing w:after="0" w:line="173" w:lineRule="exact"/>
        <w:rPr>
          <w:sz w:val="20"/>
          <w:szCs w:val="20"/>
          <w:color w:val="auto"/>
        </w:rPr>
      </w:pPr>
    </w:p>
    <w:p>
      <w:pPr>
        <w:ind w:right="80"/>
        <w:spacing w:after="0" w:line="342" w:lineRule="auto"/>
        <w:rPr>
          <w:sz w:val="20"/>
          <w:szCs w:val="20"/>
          <w:color w:val="auto"/>
        </w:rPr>
      </w:pPr>
      <w:r>
        <w:rPr>
          <w:rFonts w:ascii="Arial" w:cs="Arial" w:eastAsia="Arial" w:hAnsi="Arial"/>
          <w:sz w:val="16"/>
          <w:szCs w:val="16"/>
          <w:color w:val="auto"/>
        </w:rPr>
        <w:t>In accordance with the Immigration Reform and Control Act of 1986, it will be necessary for you to submit documents to Human Resources evidencing both your employment authorization and identity within three (3) business days of your date of hire. Acceptable documents include, but are not limited to:</w:t>
      </w:r>
    </w:p>
    <w:p>
      <w:pPr>
        <w:spacing w:after="0" w:line="29" w:lineRule="exact"/>
        <w:rPr>
          <w:sz w:val="20"/>
          <w:szCs w:val="20"/>
          <w:color w:val="auto"/>
        </w:rPr>
      </w:pPr>
    </w:p>
    <w:p>
      <w:pPr>
        <w:ind w:left="660" w:hanging="206"/>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valid driver’s license and social security card, or</w:t>
      </w:r>
    </w:p>
    <w:p>
      <w:pPr>
        <w:spacing w:after="0" w:line="130" w:lineRule="exact"/>
        <w:rPr>
          <w:rFonts w:ascii="Arial" w:cs="Arial" w:eastAsia="Arial" w:hAnsi="Arial"/>
          <w:sz w:val="18"/>
          <w:szCs w:val="18"/>
          <w:color w:val="auto"/>
        </w:rPr>
      </w:pPr>
    </w:p>
    <w:p>
      <w:pPr>
        <w:ind w:left="660" w:hanging="206"/>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current passport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Please note your offer is contingent upon:</w:t>
      </w:r>
    </w:p>
    <w:p>
      <w:pPr>
        <w:spacing w:after="0" w:line="131" w:lineRule="exact"/>
        <w:rPr>
          <w:sz w:val="20"/>
          <w:szCs w:val="20"/>
          <w:color w:val="auto"/>
        </w:rPr>
      </w:pPr>
    </w:p>
    <w:p>
      <w:pPr>
        <w:ind w:left="660" w:hanging="206"/>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Successful completion of a routine background investigation and reference checks;</w:t>
      </w:r>
    </w:p>
    <w:p>
      <w:pPr>
        <w:spacing w:after="0" w:line="130" w:lineRule="exact"/>
        <w:rPr>
          <w:rFonts w:ascii="Arial" w:cs="Arial" w:eastAsia="Arial" w:hAnsi="Arial"/>
          <w:sz w:val="18"/>
          <w:szCs w:val="18"/>
          <w:color w:val="auto"/>
        </w:rPr>
      </w:pPr>
    </w:p>
    <w:p>
      <w:pPr>
        <w:ind w:left="660" w:right="680" w:hanging="206"/>
        <w:spacing w:after="0" w:line="277" w:lineRule="auto"/>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Company’s receipt from you of a signed New Hire Employee Agreement, which contains the Company’s Confidential Information and Invention Assignment Agreement and Arbitration Agreement; and</w:t>
      </w:r>
    </w:p>
    <w:p>
      <w:pPr>
        <w:sectPr>
          <w:pgSz w:w="11900" w:h="16838" w:orient="portrait"/>
          <w:cols w:equalWidth="0" w:num="1">
            <w:col w:w="11400"/>
          </w:cols>
          <w:pgMar w:left="240" w:top="270" w:right="259" w:bottom="1440" w:gutter="0" w:footer="0" w:header="0"/>
        </w:sectPr>
      </w:pPr>
    </w:p>
    <w:bookmarkStart w:id="8" w:name="page9"/>
    <w:bookmarkEnd w:id="8"/>
    <w:p>
      <w:pPr>
        <w:ind w:left="460"/>
        <w:spacing w:after="0"/>
        <w:tabs>
          <w:tab w:leader="none" w:pos="64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sz w:val="20"/>
          <w:szCs w:val="20"/>
          <w:color w:val="auto"/>
        </w:rPr>
        <w:tab/>
      </w:r>
      <w:r>
        <w:rPr>
          <w:rFonts w:ascii="Arial" w:cs="Arial" w:eastAsia="Arial" w:hAnsi="Arial"/>
          <w:sz w:val="16"/>
          <w:szCs w:val="16"/>
          <w:color w:val="auto"/>
        </w:rPr>
        <w:t>Completion of visa, license requirements, and government restricted party screening requirements, if applicable.</w:t>
      </w:r>
    </w:p>
    <w:p>
      <w:pPr>
        <w:spacing w:after="0" w:line="225" w:lineRule="exact"/>
        <w:rPr>
          <w:sz w:val="20"/>
          <w:szCs w:val="20"/>
          <w:color w:val="auto"/>
        </w:rPr>
      </w:pPr>
    </w:p>
    <w:p>
      <w:pPr>
        <w:jc w:val="both"/>
        <w:ind w:right="360"/>
        <w:spacing w:after="0" w:line="264" w:lineRule="auto"/>
        <w:rPr>
          <w:sz w:val="20"/>
          <w:szCs w:val="20"/>
          <w:color w:val="auto"/>
        </w:rPr>
      </w:pPr>
      <w:r>
        <w:rPr>
          <w:rFonts w:ascii="Arial" w:cs="Arial" w:eastAsia="Arial" w:hAnsi="Arial"/>
          <w:sz w:val="18"/>
          <w:szCs w:val="18"/>
          <w:color w:val="auto"/>
        </w:rPr>
        <w:t>Marvell Semiconductor, Inc. is an exciting company whose mission is to be the leading provider of high performance and high value-added mixed-signal integrated circuits for the computer, storage, communications and multimedia markets. We look forward to your acceptance as we believe you will be an important addition to our team in achieving our near and long term objectives.</w:t>
      </w:r>
    </w:p>
    <w:p>
      <w:pPr>
        <w:spacing w:after="0" w:line="181" w:lineRule="exact"/>
        <w:rPr>
          <w:sz w:val="20"/>
          <w:szCs w:val="20"/>
          <w:color w:val="auto"/>
        </w:rPr>
      </w:pPr>
    </w:p>
    <w:p>
      <w:pPr>
        <w:spacing w:after="0" w:line="302" w:lineRule="auto"/>
        <w:rPr>
          <w:sz w:val="20"/>
          <w:szCs w:val="20"/>
          <w:color w:val="auto"/>
        </w:rPr>
      </w:pPr>
      <w:r>
        <w:rPr>
          <w:rFonts w:ascii="Arial" w:cs="Arial" w:eastAsia="Arial" w:hAnsi="Arial"/>
          <w:sz w:val="16"/>
          <w:szCs w:val="16"/>
          <w:color w:val="auto"/>
        </w:rPr>
        <w:t>This letter (if accepted) and the New Hire Employee Agreement, which contains the Company’s Arbitration Agreement and Confidential Information and Invention Assignment Agreement, along with any documents referred to in this letter, including the Company’s employment policies, constitute the entire agreement between you and the Company regarding the terms of your employment, and supersede any prior representations or agreements, whether written or oral, concerning the terms of your employment. This letter may not be modified or amended except by a signed written agreement from the Company.</w:t>
      </w:r>
    </w:p>
    <w:p>
      <w:pPr>
        <w:spacing w:after="0" w:line="154"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To accept this offer, please sign below and return the letter to me. This offer expires on August 22, 2016. Before submitting your response please print a copy of this letter for your records.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Matt Murphy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Matt Murphy</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160" w:type="dxa"/>
            <w:vAlign w:val="bottom"/>
          </w:tcPr>
          <w:p>
            <w:pPr>
              <w:spacing w:after="0"/>
              <w:rPr>
                <w:sz w:val="20"/>
                <w:szCs w:val="20"/>
                <w:color w:val="auto"/>
              </w:rPr>
            </w:pPr>
            <w:r>
              <w:rPr>
                <w:rFonts w:ascii="Arial" w:cs="Arial" w:eastAsia="Arial" w:hAnsi="Arial"/>
                <w:sz w:val="18"/>
                <w:szCs w:val="18"/>
                <w:color w:val="auto"/>
              </w:rPr>
              <w:t>Accepted By:</w:t>
            </w:r>
          </w:p>
        </w:tc>
        <w:tc>
          <w:tcPr>
            <w:tcW w:w="108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1080" w:type="dxa"/>
            <w:vAlign w:val="bottom"/>
          </w:tcPr>
          <w:p>
            <w:pPr>
              <w:spacing w:after="0"/>
              <w:rPr>
                <w:sz w:val="20"/>
                <w:szCs w:val="20"/>
                <w:color w:val="auto"/>
              </w:rPr>
            </w:pPr>
          </w:p>
        </w:tc>
      </w:tr>
      <w:tr>
        <w:trPr>
          <w:trHeight w:val="459"/>
        </w:trPr>
        <w:tc>
          <w:tcPr>
            <w:tcW w:w="1160" w:type="dxa"/>
            <w:vAlign w:val="bottom"/>
          </w:tcPr>
          <w:p>
            <w:pPr>
              <w:spacing w:after="0"/>
              <w:rPr>
                <w:sz w:val="20"/>
                <w:szCs w:val="20"/>
                <w:color w:val="auto"/>
              </w:rPr>
            </w:pPr>
            <w:r>
              <w:rPr>
                <w:rFonts w:ascii="Arial" w:cs="Arial" w:eastAsia="Arial" w:hAnsi="Arial"/>
                <w:sz w:val="18"/>
                <w:szCs w:val="18"/>
                <w:color w:val="auto"/>
              </w:rPr>
              <w:t>/s/ Jean Hu</w:t>
            </w:r>
          </w:p>
        </w:tc>
        <w:tc>
          <w:tcPr>
            <w:tcW w:w="2180" w:type="dxa"/>
            <w:vAlign w:val="bottom"/>
            <w:gridSpan w:val="2"/>
          </w:tcPr>
          <w:p>
            <w:pPr>
              <w:jc w:val="right"/>
              <w:ind w:right="90"/>
              <w:spacing w:after="0"/>
              <w:rPr>
                <w:sz w:val="20"/>
                <w:szCs w:val="20"/>
                <w:color w:val="auto"/>
              </w:rPr>
            </w:pPr>
            <w:r>
              <w:rPr>
                <w:rFonts w:ascii="Arial" w:cs="Arial" w:eastAsia="Arial" w:hAnsi="Arial"/>
                <w:sz w:val="18"/>
                <w:szCs w:val="18"/>
                <w:color w:val="auto"/>
              </w:rPr>
              <w:t>8/17/2016</w:t>
            </w:r>
          </w:p>
        </w:tc>
        <w:tc>
          <w:tcPr>
            <w:tcW w:w="1740" w:type="dxa"/>
            <w:vAlign w:val="bottom"/>
            <w:gridSpan w:val="2"/>
          </w:tcPr>
          <w:p>
            <w:pPr>
              <w:ind w:left="840"/>
              <w:spacing w:after="0"/>
              <w:rPr>
                <w:sz w:val="20"/>
                <w:szCs w:val="20"/>
                <w:color w:val="auto"/>
              </w:rPr>
            </w:pPr>
            <w:r>
              <w:rPr>
                <w:rFonts w:ascii="Arial" w:cs="Arial" w:eastAsia="Arial" w:hAnsi="Arial"/>
                <w:sz w:val="18"/>
                <w:szCs w:val="18"/>
                <w:color w:val="auto"/>
              </w:rPr>
              <w:t>8/22/2016</w:t>
            </w:r>
          </w:p>
        </w:tc>
      </w:tr>
      <w:tr>
        <w:trPr>
          <w:trHeight w:val="224"/>
        </w:trPr>
        <w:tc>
          <w:tcPr>
            <w:tcW w:w="116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Jean Hu</w:t>
            </w:r>
          </w:p>
        </w:tc>
        <w:tc>
          <w:tcPr>
            <w:tcW w:w="1080" w:type="dxa"/>
            <w:vAlign w:val="bottom"/>
          </w:tcPr>
          <w:p>
            <w:pPr>
              <w:spacing w:after="0"/>
              <w:rPr>
                <w:sz w:val="19"/>
                <w:szCs w:val="19"/>
                <w:color w:val="auto"/>
              </w:rPr>
            </w:pPr>
          </w:p>
        </w:tc>
        <w:tc>
          <w:tcPr>
            <w:tcW w:w="110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Date Signed</w:t>
            </w:r>
          </w:p>
        </w:tc>
        <w:tc>
          <w:tcPr>
            <w:tcW w:w="660" w:type="dxa"/>
            <w:vAlign w:val="bottom"/>
          </w:tcPr>
          <w:p>
            <w:pPr>
              <w:spacing w:after="0"/>
              <w:rPr>
                <w:sz w:val="19"/>
                <w:szCs w:val="19"/>
                <w:color w:val="auto"/>
              </w:rPr>
            </w:pPr>
          </w:p>
        </w:tc>
        <w:tc>
          <w:tcPr>
            <w:tcW w:w="1080" w:type="dxa"/>
            <w:vAlign w:val="bottom"/>
            <w:tcBorders>
              <w:top w:val="single" w:sz="8" w:color="auto"/>
            </w:tcBorders>
          </w:tcPr>
          <w:p>
            <w:pPr>
              <w:ind w:left="180"/>
              <w:spacing w:after="0"/>
              <w:rPr>
                <w:sz w:val="20"/>
                <w:szCs w:val="20"/>
                <w:color w:val="auto"/>
              </w:rPr>
            </w:pPr>
            <w:r>
              <w:rPr>
                <w:rFonts w:ascii="Arial" w:cs="Arial" w:eastAsia="Arial" w:hAnsi="Arial"/>
                <w:sz w:val="18"/>
                <w:szCs w:val="18"/>
                <w:color w:val="auto"/>
              </w:rPr>
              <w:t>Start Date</w:t>
            </w:r>
          </w:p>
        </w:tc>
      </w:tr>
    </w:tbl>
    <w:p>
      <w:pPr>
        <w:sectPr>
          <w:pgSz w:w="11900" w:h="16838" w:orient="portrait"/>
          <w:cols w:equalWidth="0" w:num="1">
            <w:col w:w="11400"/>
          </w:cols>
          <w:pgMar w:left="240" w:top="274" w:right="259" w:bottom="1440" w:gutter="0" w:footer="0" w:header="0"/>
        </w:sectPr>
      </w:pPr>
    </w:p>
    <w:bookmarkStart w:id="9" w:name="page10"/>
    <w:bookmarkEnd w:id="9"/>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TIER 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Appendix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Change in Control and Severance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Participation Agreement</w:t>
      </w:r>
    </w:p>
    <w:p>
      <w:pPr>
        <w:spacing w:after="0" w:line="194"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980" w:type="dxa"/>
            <w:vAlign w:val="bottom"/>
          </w:tcPr>
          <w:p>
            <w:pPr>
              <w:ind w:left="460"/>
              <w:spacing w:after="0"/>
              <w:rPr>
                <w:sz w:val="20"/>
                <w:szCs w:val="20"/>
                <w:color w:val="auto"/>
              </w:rPr>
            </w:pPr>
            <w:r>
              <w:rPr>
                <w:rFonts w:ascii="Arial" w:cs="Arial" w:eastAsia="Arial" w:hAnsi="Arial"/>
                <w:sz w:val="18"/>
                <w:szCs w:val="18"/>
                <w:color w:val="auto"/>
                <w:w w:val="93"/>
              </w:rPr>
              <w:t>Marvell Technology Group Ltd. (the “</w:t>
            </w:r>
            <w:r>
              <w:rPr>
                <w:rFonts w:ascii="Arial" w:cs="Arial" w:eastAsia="Arial" w:hAnsi="Arial"/>
                <w:sz w:val="18"/>
                <w:szCs w:val="18"/>
                <w:b w:val="1"/>
                <w:bCs w:val="1"/>
                <w:color w:val="auto"/>
                <w:w w:val="93"/>
              </w:rPr>
              <w:t>Company</w:t>
            </w:r>
            <w:r>
              <w:rPr>
                <w:rFonts w:ascii="Arial" w:cs="Arial" w:eastAsia="Arial" w:hAnsi="Arial"/>
                <w:sz w:val="18"/>
                <w:szCs w:val="18"/>
                <w:color w:val="auto"/>
                <w:w w:val="93"/>
              </w:rPr>
              <w:t>”) is pleased to inform you,</w:t>
            </w:r>
          </w:p>
        </w:tc>
        <w:tc>
          <w:tcPr>
            <w:tcW w:w="900" w:type="dxa"/>
            <w:vAlign w:val="bottom"/>
            <w:tcBorders>
              <w:bottom w:val="single" w:sz="8" w:color="auto"/>
            </w:tcBorders>
          </w:tcPr>
          <w:p>
            <w:pPr>
              <w:spacing w:after="0"/>
              <w:rPr>
                <w:sz w:val="17"/>
                <w:szCs w:val="17"/>
                <w:color w:val="auto"/>
              </w:rPr>
            </w:pPr>
          </w:p>
        </w:tc>
        <w:tc>
          <w:tcPr>
            <w:tcW w:w="4380" w:type="dxa"/>
            <w:vAlign w:val="bottom"/>
          </w:tcPr>
          <w:p>
            <w:pPr>
              <w:spacing w:after="0"/>
              <w:rPr>
                <w:sz w:val="20"/>
                <w:szCs w:val="20"/>
                <w:color w:val="auto"/>
              </w:rPr>
            </w:pPr>
            <w:r>
              <w:rPr>
                <w:rFonts w:ascii="Arial" w:cs="Arial" w:eastAsia="Arial" w:hAnsi="Arial"/>
                <w:sz w:val="18"/>
                <w:szCs w:val="18"/>
                <w:color w:val="auto"/>
                <w:w w:val="89"/>
              </w:rPr>
              <w:t>, that you have been selected to participate in the Company’s</w:t>
            </w:r>
          </w:p>
        </w:tc>
      </w:tr>
      <w:tr>
        <w:trPr>
          <w:trHeight w:val="237"/>
        </w:trPr>
        <w:tc>
          <w:tcPr>
            <w:tcW w:w="5980" w:type="dxa"/>
            <w:vAlign w:val="bottom"/>
          </w:tcPr>
          <w:p>
            <w:pPr>
              <w:spacing w:after="0"/>
              <w:rPr>
                <w:sz w:val="20"/>
                <w:szCs w:val="20"/>
                <w:color w:val="auto"/>
              </w:rPr>
            </w:pPr>
            <w:r>
              <w:rPr>
                <w:rFonts w:ascii="Arial" w:cs="Arial" w:eastAsia="Arial" w:hAnsi="Arial"/>
                <w:sz w:val="18"/>
                <w:szCs w:val="18"/>
                <w:color w:val="auto"/>
              </w:rPr>
              <w:t>Change in Control and Severance Plan (the “</w:t>
            </w:r>
            <w:r>
              <w:rPr>
                <w:rFonts w:ascii="Arial" w:cs="Arial" w:eastAsia="Arial" w:hAnsi="Arial"/>
                <w:sz w:val="18"/>
                <w:szCs w:val="18"/>
                <w:b w:val="1"/>
                <w:bCs w:val="1"/>
                <w:color w:val="auto"/>
              </w:rPr>
              <w:t>Plan</w:t>
            </w:r>
            <w:r>
              <w:rPr>
                <w:rFonts w:ascii="Arial" w:cs="Arial" w:eastAsia="Arial" w:hAnsi="Arial"/>
                <w:sz w:val="18"/>
                <w:szCs w:val="18"/>
                <w:color w:val="auto"/>
              </w:rPr>
              <w:t>”) as a Participant.</w:t>
            </w:r>
          </w:p>
        </w:tc>
        <w:tc>
          <w:tcPr>
            <w:tcW w:w="900" w:type="dxa"/>
            <w:vAlign w:val="bottom"/>
          </w:tcPr>
          <w:p>
            <w:pPr>
              <w:spacing w:after="0"/>
              <w:rPr>
                <w:sz w:val="20"/>
                <w:szCs w:val="20"/>
                <w:color w:val="auto"/>
              </w:rPr>
            </w:pPr>
          </w:p>
        </w:tc>
        <w:tc>
          <w:tcPr>
            <w:tcW w:w="4380" w:type="dxa"/>
            <w:vAlign w:val="bottom"/>
          </w:tcPr>
          <w:p>
            <w:pPr>
              <w:spacing w:after="0"/>
              <w:rPr>
                <w:sz w:val="20"/>
                <w:szCs w:val="20"/>
                <w:color w:val="auto"/>
              </w:rPr>
            </w:pPr>
          </w:p>
        </w:tc>
      </w:tr>
    </w:tbl>
    <w:p>
      <w:pPr>
        <w:spacing w:after="0" w:line="202" w:lineRule="exact"/>
        <w:rPr>
          <w:sz w:val="20"/>
          <w:szCs w:val="20"/>
          <w:color w:val="auto"/>
        </w:rPr>
      </w:pPr>
    </w:p>
    <w:p>
      <w:pPr>
        <w:ind w:right="40" w:firstLine="456"/>
        <w:spacing w:after="0" w:line="277" w:lineRule="auto"/>
        <w:rPr>
          <w:sz w:val="20"/>
          <w:szCs w:val="20"/>
          <w:color w:val="auto"/>
        </w:rPr>
      </w:pPr>
      <w:r>
        <w:rPr>
          <w:rFonts w:ascii="Arial" w:cs="Arial" w:eastAsia="Arial" w:hAnsi="Arial"/>
          <w:sz w:val="18"/>
          <w:szCs w:val="18"/>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70" w:lineRule="exact"/>
        <w:rPr>
          <w:sz w:val="20"/>
          <w:szCs w:val="20"/>
          <w:color w:val="auto"/>
        </w:rPr>
      </w:pPr>
    </w:p>
    <w:p>
      <w:pPr>
        <w:ind w:right="240" w:firstLine="456"/>
        <w:spacing w:after="0" w:line="277" w:lineRule="auto"/>
        <w:rPr>
          <w:sz w:val="20"/>
          <w:szCs w:val="20"/>
          <w:color w:val="auto"/>
        </w:rPr>
      </w:pPr>
      <w:r>
        <w:rPr>
          <w:rFonts w:ascii="Arial" w:cs="Arial" w:eastAsia="Arial" w:hAnsi="Arial"/>
          <w:sz w:val="18"/>
          <w:szCs w:val="18"/>
          <w:color w:val="auto"/>
        </w:rPr>
        <w:t>In order to actually become a participant in the Plan, you must complete and sign this Participation Agreement and return it to [NAME] no later than [DATE].</w:t>
      </w:r>
    </w:p>
    <w:p>
      <w:pPr>
        <w:spacing w:after="0" w:line="170" w:lineRule="exact"/>
        <w:rPr>
          <w:sz w:val="20"/>
          <w:szCs w:val="20"/>
          <w:color w:val="auto"/>
        </w:rPr>
      </w:pPr>
    </w:p>
    <w:p>
      <w:pPr>
        <w:ind w:right="80" w:firstLine="456"/>
        <w:spacing w:after="0" w:line="264" w:lineRule="auto"/>
        <w:rPr>
          <w:sz w:val="20"/>
          <w:szCs w:val="20"/>
          <w:color w:val="auto"/>
        </w:rPr>
      </w:pPr>
      <w:r>
        <w:rPr>
          <w:rFonts w:ascii="Arial" w:cs="Arial" w:eastAsia="Arial" w:hAnsi="Arial"/>
          <w:sz w:val="18"/>
          <w:szCs w:val="18"/>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81" w:lineRule="exact"/>
        <w:rPr>
          <w:sz w:val="20"/>
          <w:szCs w:val="20"/>
          <w:color w:val="auto"/>
        </w:rPr>
      </w:pPr>
    </w:p>
    <w:p>
      <w:pPr>
        <w:ind w:right="240" w:firstLine="456"/>
        <w:spacing w:after="0" w:line="264" w:lineRule="auto"/>
        <w:rPr>
          <w:sz w:val="20"/>
          <w:szCs w:val="20"/>
          <w:color w:val="auto"/>
        </w:rPr>
      </w:pPr>
      <w:r>
        <w:rPr>
          <w:rFonts w:ascii="Arial" w:cs="Arial" w:eastAsia="Arial" w:hAnsi="Arial"/>
          <w:sz w:val="18"/>
          <w:szCs w:val="18"/>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285" w:lineRule="exact"/>
        <w:rPr>
          <w:sz w:val="20"/>
          <w:szCs w:val="20"/>
          <w:color w:val="auto"/>
        </w:rPr>
      </w:pPr>
    </w:p>
    <w:p>
      <w:pPr>
        <w:ind w:left="640" w:hanging="176"/>
        <w:spacing w:after="0"/>
        <w:tabs>
          <w:tab w:leader="none" w:pos="640" w:val="left"/>
        </w:tabs>
        <w:numPr>
          <w:ilvl w:val="0"/>
          <w:numId w:val="9"/>
        </w:numPr>
        <w:rPr>
          <w:rFonts w:ascii="Arial" w:cs="Arial" w:eastAsia="Arial" w:hAnsi="Arial"/>
          <w:sz w:val="18"/>
          <w:szCs w:val="18"/>
          <w:color w:val="auto"/>
        </w:rPr>
      </w:pPr>
      <w:r>
        <w:rPr>
          <w:rFonts w:ascii="Arial" w:cs="Arial" w:eastAsia="Arial" w:hAnsi="Arial"/>
          <w:sz w:val="18"/>
          <w:szCs w:val="18"/>
          <w:b w:val="1"/>
          <w:bCs w:val="1"/>
          <w:color w:val="auto"/>
        </w:rPr>
        <w:t>Cash Severance Benefits</w:t>
      </w:r>
      <w:r>
        <w:rPr>
          <w:rFonts w:ascii="Arial" w:cs="Arial" w:eastAsia="Arial" w:hAnsi="Arial"/>
          <w:sz w:val="18"/>
          <w:szCs w:val="18"/>
          <w:color w:val="auto"/>
        </w:rPr>
        <w:t>.</w:t>
      </w:r>
    </w:p>
    <w:p>
      <w:pPr>
        <w:spacing w:after="0" w:line="121" w:lineRule="exact"/>
        <w:rPr>
          <w:rFonts w:ascii="Arial" w:cs="Arial" w:eastAsia="Arial" w:hAnsi="Arial"/>
          <w:sz w:val="18"/>
          <w:szCs w:val="18"/>
          <w:color w:val="auto"/>
        </w:rPr>
      </w:pPr>
    </w:p>
    <w:p>
      <w:pPr>
        <w:ind w:right="20" w:firstLine="921"/>
        <w:spacing w:after="0" w:line="259" w:lineRule="auto"/>
        <w:tabs>
          <w:tab w:leader="none" w:pos="1083" w:val="left"/>
        </w:tabs>
        <w:numPr>
          <w:ilvl w:val="1"/>
          <w:numId w:val="9"/>
        </w:numPr>
        <w:rPr>
          <w:rFonts w:ascii="Arial" w:cs="Arial" w:eastAsia="Arial" w:hAnsi="Arial"/>
          <w:sz w:val="18"/>
          <w:szCs w:val="18"/>
          <w:color w:val="auto"/>
        </w:rPr>
      </w:pPr>
      <w:r>
        <w:rPr>
          <w:rFonts w:ascii="Arial" w:cs="Arial" w:eastAsia="Arial" w:hAnsi="Arial"/>
          <w:sz w:val="18"/>
          <w:szCs w:val="18"/>
          <w:i w:val="1"/>
          <w:iCs w:val="1"/>
          <w:color w:val="auto"/>
        </w:rPr>
        <w:t>Base Salary</w:t>
      </w:r>
      <w:r>
        <w:rPr>
          <w:rFonts w:ascii="Arial" w:cs="Arial" w:eastAsia="Arial" w:hAnsi="Arial"/>
          <w:sz w:val="18"/>
          <w:szCs w:val="18"/>
          <w:color w:val="auto"/>
        </w:rPr>
        <w:t>. A lump-sum payment (less applicable withholding taxes) equal to 18 months of your annual base salary as in effect immediately</w:t>
      </w:r>
      <w:r>
        <w:rPr>
          <w:rFonts w:ascii="Arial" w:cs="Arial" w:eastAsia="Arial" w:hAnsi="Arial"/>
          <w:sz w:val="18"/>
          <w:szCs w:val="18"/>
          <w:i w:val="1"/>
          <w:iCs w:val="1"/>
          <w:color w:val="auto"/>
        </w:rPr>
        <w:t xml:space="preserve"> </w:t>
      </w:r>
      <w:r>
        <w:rPr>
          <w:rFonts w:ascii="Arial" w:cs="Arial" w:eastAsia="Arial" w:hAnsi="Arial"/>
          <w:sz w:val="18"/>
          <w:szCs w:val="18"/>
          <w:color w:val="auto"/>
        </w:rPr>
        <w:t>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86" w:lineRule="exact"/>
        <w:rPr>
          <w:rFonts w:ascii="Arial" w:cs="Arial" w:eastAsia="Arial" w:hAnsi="Arial"/>
          <w:sz w:val="18"/>
          <w:szCs w:val="18"/>
          <w:color w:val="auto"/>
        </w:rPr>
      </w:pPr>
    </w:p>
    <w:p>
      <w:pPr>
        <w:ind w:right="40" w:firstLine="921"/>
        <w:spacing w:after="0" w:line="277" w:lineRule="auto"/>
        <w:tabs>
          <w:tab w:leader="none" w:pos="1093" w:val="left"/>
        </w:tabs>
        <w:numPr>
          <w:ilvl w:val="1"/>
          <w:numId w:val="9"/>
        </w:numPr>
        <w:rPr>
          <w:rFonts w:ascii="Arial" w:cs="Arial" w:eastAsia="Arial" w:hAnsi="Arial"/>
          <w:sz w:val="18"/>
          <w:szCs w:val="18"/>
          <w:color w:val="auto"/>
        </w:rPr>
      </w:pPr>
      <w:r>
        <w:rPr>
          <w:rFonts w:ascii="Arial" w:cs="Arial" w:eastAsia="Arial" w:hAnsi="Arial"/>
          <w:sz w:val="18"/>
          <w:szCs w:val="18"/>
          <w:i w:val="1"/>
          <w:iCs w:val="1"/>
          <w:color w:val="auto"/>
        </w:rPr>
        <w:t>Bonus</w:t>
      </w:r>
      <w:r>
        <w:rPr>
          <w:rFonts w:ascii="Arial" w:cs="Arial" w:eastAsia="Arial" w:hAnsi="Arial"/>
          <w:sz w:val="18"/>
          <w:szCs w:val="18"/>
          <w:color w:val="auto"/>
        </w:rPr>
        <w:t>. A lump-sum payment equal to 150% of your annual target bonus for the fiscal year in which your Involuntary Termination occurs or, if</w:t>
      </w:r>
      <w:r>
        <w:rPr>
          <w:rFonts w:ascii="Arial" w:cs="Arial" w:eastAsia="Arial" w:hAnsi="Arial"/>
          <w:sz w:val="18"/>
          <w:szCs w:val="18"/>
          <w:i w:val="1"/>
          <w:iCs w:val="1"/>
          <w:color w:val="auto"/>
        </w:rPr>
        <w:t xml:space="preserve"> </w:t>
      </w:r>
      <w:r>
        <w:rPr>
          <w:rFonts w:ascii="Arial" w:cs="Arial" w:eastAsia="Arial" w:hAnsi="Arial"/>
          <w:sz w:val="18"/>
          <w:szCs w:val="18"/>
          <w:color w:val="auto"/>
        </w:rPr>
        <w:t>greater, your annual target bonus in effect immediately prior to the Change in Control.</w:t>
      </w:r>
    </w:p>
    <w:p>
      <w:pPr>
        <w:spacing w:after="0" w:line="170" w:lineRule="exact"/>
        <w:rPr>
          <w:rFonts w:ascii="Arial" w:cs="Arial" w:eastAsia="Arial" w:hAnsi="Arial"/>
          <w:sz w:val="18"/>
          <w:szCs w:val="18"/>
          <w:color w:val="auto"/>
        </w:rPr>
      </w:pPr>
    </w:p>
    <w:p>
      <w:pPr>
        <w:ind w:left="1100" w:hanging="179"/>
        <w:spacing w:after="0"/>
        <w:tabs>
          <w:tab w:leader="none" w:pos="1100" w:val="left"/>
        </w:tabs>
        <w:numPr>
          <w:ilvl w:val="1"/>
          <w:numId w:val="9"/>
        </w:numPr>
        <w:rPr>
          <w:rFonts w:ascii="Arial" w:cs="Arial" w:eastAsia="Arial" w:hAnsi="Arial"/>
          <w:sz w:val="17"/>
          <w:szCs w:val="17"/>
          <w:color w:val="auto"/>
        </w:rPr>
      </w:pPr>
      <w:r>
        <w:rPr>
          <w:rFonts w:ascii="Arial" w:cs="Arial" w:eastAsia="Arial" w:hAnsi="Arial"/>
          <w:sz w:val="17"/>
          <w:szCs w:val="17"/>
          <w:i w:val="1"/>
          <w:iCs w:val="1"/>
          <w:color w:val="auto"/>
        </w:rPr>
        <w:t>Pro-Rata Bonus</w:t>
      </w:r>
      <w:r>
        <w:rPr>
          <w:rFonts w:ascii="Arial" w:cs="Arial" w:eastAsia="Arial" w:hAnsi="Arial"/>
          <w:sz w:val="17"/>
          <w:szCs w:val="17"/>
          <w:color w:val="auto"/>
        </w:rPr>
        <w:t>. A lump-sum payment equal to your annual target bonus for the fiscal year in which your Involuntary Termination occurs,</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pro-rated for the number of full months employed during the fiscal year.</w:t>
      </w:r>
    </w:p>
    <w:p>
      <w:pPr>
        <w:spacing w:after="0" w:line="207" w:lineRule="exact"/>
        <w:rPr>
          <w:sz w:val="20"/>
          <w:szCs w:val="20"/>
          <w:color w:val="auto"/>
        </w:rPr>
      </w:pPr>
    </w:p>
    <w:p>
      <w:pPr>
        <w:ind w:right="100" w:firstLine="464"/>
        <w:spacing w:after="0" w:line="289" w:lineRule="auto"/>
        <w:tabs>
          <w:tab w:leader="none" w:pos="636" w:val="left"/>
        </w:tabs>
        <w:numPr>
          <w:ilvl w:val="0"/>
          <w:numId w:val="10"/>
        </w:numPr>
        <w:rPr>
          <w:rFonts w:ascii="Arial" w:cs="Arial" w:eastAsia="Arial" w:hAnsi="Arial"/>
          <w:sz w:val="16"/>
          <w:szCs w:val="16"/>
          <w:color w:val="auto"/>
        </w:rPr>
      </w:pPr>
      <w:r>
        <w:rPr>
          <w:rFonts w:ascii="Arial" w:cs="Arial" w:eastAsia="Arial" w:hAnsi="Arial"/>
          <w:sz w:val="16"/>
          <w:szCs w:val="16"/>
          <w:b w:val="1"/>
          <w:bCs w:val="1"/>
          <w:color w:val="auto"/>
        </w:rPr>
        <w:t>Equity Award Vesting Acceleration</w:t>
      </w:r>
      <w:r>
        <w:rPr>
          <w:rFonts w:ascii="Arial" w:cs="Arial" w:eastAsia="Arial" w:hAnsi="Arial"/>
          <w:sz w:val="16"/>
          <w:szCs w:val="16"/>
          <w:color w:val="auto"/>
        </w:rPr>
        <w:t>. 100% of your then-outstanding and unvested Equity Awards will become vested in full. If, however, an</w:t>
      </w:r>
      <w:r>
        <w:rPr>
          <w:rFonts w:ascii="Arial" w:cs="Arial" w:eastAsia="Arial" w:hAnsi="Arial"/>
          <w:sz w:val="16"/>
          <w:szCs w:val="16"/>
          <w:b w:val="1"/>
          <w:bCs w:val="1"/>
          <w:color w:val="auto"/>
        </w:rPr>
        <w:t xml:space="preserve"> </w:t>
      </w:r>
      <w:r>
        <w:rPr>
          <w:rFonts w:ascii="Arial" w:cs="Arial" w:eastAsia="Arial" w:hAnsi="Arial"/>
          <w:sz w:val="16"/>
          <w:szCs w:val="16"/>
          <w:color w:val="auto"/>
        </w:rPr>
        <w:t>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ectPr>
          <w:pgSz w:w="11900" w:h="16838" w:orient="portrait"/>
          <w:cols w:equalWidth="0" w:num="1">
            <w:col w:w="11420"/>
          </w:cols>
          <w:pgMar w:left="240" w:top="270" w:right="239" w:bottom="1440" w:gutter="0" w:footer="0" w:header="0"/>
        </w:sectPr>
      </w:pPr>
    </w:p>
    <w:bookmarkStart w:id="10" w:name="page11"/>
    <w:bookmarkEnd w:id="10"/>
    <w:p>
      <w:pPr>
        <w:ind w:right="280" w:firstLine="464"/>
        <w:spacing w:after="0" w:line="261" w:lineRule="auto"/>
        <w:tabs>
          <w:tab w:leader="none" w:pos="636"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Continued Medical Benefits</w:t>
      </w:r>
      <w:r>
        <w:rPr>
          <w:rFonts w:ascii="Arial" w:cs="Arial" w:eastAsia="Arial" w:hAnsi="Arial"/>
          <w:sz w:val="18"/>
          <w:szCs w:val="18"/>
          <w:color w:val="auto"/>
        </w:rPr>
        <w:t>. Your reimbursement of continued health coverage under COBRA or taxable monthly payment in lieu of</w:t>
      </w:r>
      <w:r>
        <w:rPr>
          <w:rFonts w:ascii="Arial" w:cs="Arial" w:eastAsia="Arial" w:hAnsi="Arial"/>
          <w:sz w:val="18"/>
          <w:szCs w:val="18"/>
          <w:b w:val="1"/>
          <w:bCs w:val="1"/>
          <w:color w:val="auto"/>
        </w:rPr>
        <w:t xml:space="preserve"> </w:t>
      </w:r>
      <w:r>
        <w:rPr>
          <w:rFonts w:ascii="Arial" w:cs="Arial" w:eastAsia="Arial" w:hAnsi="Arial"/>
          <w:sz w:val="18"/>
          <w:szCs w:val="18"/>
          <w:color w:val="auto"/>
        </w:rPr>
        <w:t>reimbursement, as applicable, and as described in Section 5.3 of the Plan will be provided for a period of 18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84" w:lineRule="exact"/>
        <w:rPr>
          <w:sz w:val="20"/>
          <w:szCs w:val="20"/>
          <w:color w:val="auto"/>
        </w:rPr>
      </w:pPr>
    </w:p>
    <w:p>
      <w:pPr>
        <w:ind w:right="220" w:firstLine="913"/>
        <w:spacing w:after="0" w:line="277" w:lineRule="auto"/>
        <w:rPr>
          <w:sz w:val="20"/>
          <w:szCs w:val="20"/>
          <w:color w:val="auto"/>
        </w:rPr>
      </w:pPr>
      <w:r>
        <w:rPr>
          <w:rFonts w:ascii="Arial" w:cs="Arial" w:eastAsia="Arial" w:hAnsi="Arial"/>
          <w:sz w:val="18"/>
          <w:szCs w:val="18"/>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70" w:lineRule="exact"/>
        <w:rPr>
          <w:sz w:val="20"/>
          <w:szCs w:val="20"/>
          <w:color w:val="auto"/>
        </w:rPr>
      </w:pPr>
    </w:p>
    <w:p>
      <w:pPr>
        <w:jc w:val="both"/>
        <w:ind w:right="320" w:firstLine="913"/>
        <w:spacing w:after="0" w:line="279" w:lineRule="auto"/>
        <w:rPr>
          <w:sz w:val="20"/>
          <w:szCs w:val="20"/>
          <w:color w:val="auto"/>
        </w:rPr>
      </w:pPr>
      <w:r>
        <w:rPr>
          <w:rFonts w:ascii="Arial" w:cs="Arial" w:eastAsia="Arial" w:hAnsi="Arial"/>
          <w:sz w:val="17"/>
          <w:szCs w:val="17"/>
          <w:color w:val="auto"/>
        </w:rPr>
        <w:t>By your signature below, you and the Company agree that your participation in the Plan is governed by this Participation Agreement and the provisions of the Plan. Your signature below confirms that: (1) you have received a copy of the Change in Control and Severance Plan and Summary Plan Description; (2) you have carefully read this Participation Agreement and the Change in Control and Severance Plan and Summary Plan Description; and (3) decisions and determinations by the Administrator under the Plan will be final and binding on you and your successors.</w:t>
      </w:r>
    </w:p>
    <w:p>
      <w:pPr>
        <w:spacing w:after="0" w:line="194"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82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240" w:type="dxa"/>
            <w:vAlign w:val="bottom"/>
          </w:tcPr>
          <w:p>
            <w:pPr>
              <w:spacing w:after="0"/>
              <w:rPr>
                <w:sz w:val="20"/>
                <w:szCs w:val="20"/>
                <w:color w:val="auto"/>
              </w:rPr>
            </w:pPr>
          </w:p>
        </w:tc>
        <w:tc>
          <w:tcPr>
            <w:tcW w:w="5360" w:type="dxa"/>
            <w:vAlign w:val="bottom"/>
          </w:tcPr>
          <w:p>
            <w:pPr>
              <w:spacing w:after="0"/>
              <w:rPr>
                <w:sz w:val="20"/>
                <w:szCs w:val="20"/>
                <w:color w:val="auto"/>
              </w:rPr>
            </w:pPr>
            <w:r>
              <w:rPr>
                <w:rFonts w:ascii="Arial" w:cs="Arial" w:eastAsia="Arial" w:hAnsi="Arial"/>
                <w:sz w:val="18"/>
                <w:szCs w:val="18"/>
                <w:b w:val="1"/>
                <w:bCs w:val="1"/>
                <w:color w:val="auto"/>
              </w:rPr>
              <w:t>PARTICIPANT</w:t>
            </w:r>
          </w:p>
        </w:tc>
      </w:tr>
      <w:tr>
        <w:trPr>
          <w:trHeight w:val="432"/>
        </w:trPr>
        <w:tc>
          <w:tcPr>
            <w:tcW w:w="5820" w:type="dxa"/>
            <w:vAlign w:val="bottom"/>
            <w:tcBorders>
              <w:bottom w:val="single" w:sz="8" w:color="auto"/>
            </w:tcBorders>
          </w:tcPr>
          <w:p>
            <w:pPr>
              <w:spacing w:after="0"/>
              <w:rPr>
                <w:sz w:val="24"/>
                <w:szCs w:val="24"/>
                <w:color w:val="auto"/>
              </w:rPr>
            </w:pPr>
          </w:p>
        </w:tc>
        <w:tc>
          <w:tcPr>
            <w:tcW w:w="240" w:type="dxa"/>
            <w:vAlign w:val="bottom"/>
          </w:tcPr>
          <w:p>
            <w:pPr>
              <w:spacing w:after="0"/>
              <w:rPr>
                <w:sz w:val="24"/>
                <w:szCs w:val="24"/>
                <w:color w:val="auto"/>
              </w:rPr>
            </w:pPr>
          </w:p>
        </w:tc>
        <w:tc>
          <w:tcPr>
            <w:tcW w:w="5360" w:type="dxa"/>
            <w:vAlign w:val="bottom"/>
            <w:tcBorders>
              <w:bottom w:val="single" w:sz="8" w:color="auto"/>
            </w:tcBorders>
          </w:tcPr>
          <w:p>
            <w:pPr>
              <w:spacing w:after="0"/>
              <w:rPr>
                <w:sz w:val="24"/>
                <w:szCs w:val="24"/>
                <w:color w:val="auto"/>
              </w:rPr>
            </w:pPr>
          </w:p>
        </w:tc>
      </w:tr>
      <w:tr>
        <w:trPr>
          <w:trHeight w:val="224"/>
        </w:trPr>
        <w:tc>
          <w:tcPr>
            <w:tcW w:w="5820" w:type="dxa"/>
            <w:vAlign w:val="bottom"/>
          </w:tcPr>
          <w:p>
            <w:pPr>
              <w:spacing w:after="0"/>
              <w:rPr>
                <w:sz w:val="20"/>
                <w:szCs w:val="20"/>
                <w:color w:val="auto"/>
              </w:rPr>
            </w:pPr>
            <w:r>
              <w:rPr>
                <w:rFonts w:ascii="Arial" w:cs="Arial" w:eastAsia="Arial" w:hAnsi="Arial"/>
                <w:sz w:val="18"/>
                <w:szCs w:val="18"/>
                <w:color w:val="auto"/>
              </w:rPr>
              <w:t>Signature</w:t>
            </w:r>
          </w:p>
        </w:tc>
        <w:tc>
          <w:tcPr>
            <w:tcW w:w="240" w:type="dxa"/>
            <w:vAlign w:val="bottom"/>
          </w:tcPr>
          <w:p>
            <w:pPr>
              <w:spacing w:after="0"/>
              <w:rPr>
                <w:sz w:val="19"/>
                <w:szCs w:val="19"/>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Signature</w:t>
            </w:r>
          </w:p>
        </w:tc>
      </w:tr>
      <w:tr>
        <w:trPr>
          <w:trHeight w:val="431"/>
        </w:trPr>
        <w:tc>
          <w:tcPr>
            <w:tcW w:w="5820" w:type="dxa"/>
            <w:vAlign w:val="bottom"/>
            <w:tcBorders>
              <w:bottom w:val="single" w:sz="8" w:color="auto"/>
            </w:tcBorders>
          </w:tcPr>
          <w:p>
            <w:pPr>
              <w:spacing w:after="0"/>
              <w:rPr>
                <w:sz w:val="24"/>
                <w:szCs w:val="24"/>
                <w:color w:val="auto"/>
              </w:rPr>
            </w:pPr>
          </w:p>
        </w:tc>
        <w:tc>
          <w:tcPr>
            <w:tcW w:w="240" w:type="dxa"/>
            <w:vAlign w:val="bottom"/>
          </w:tcPr>
          <w:p>
            <w:pPr>
              <w:spacing w:after="0"/>
              <w:rPr>
                <w:sz w:val="24"/>
                <w:szCs w:val="24"/>
                <w:color w:val="auto"/>
              </w:rPr>
            </w:pPr>
          </w:p>
        </w:tc>
        <w:tc>
          <w:tcPr>
            <w:tcW w:w="5360" w:type="dxa"/>
            <w:vAlign w:val="bottom"/>
            <w:tcBorders>
              <w:bottom w:val="single" w:sz="8" w:color="auto"/>
            </w:tcBorders>
          </w:tcPr>
          <w:p>
            <w:pPr>
              <w:spacing w:after="0"/>
              <w:rPr>
                <w:sz w:val="24"/>
                <w:szCs w:val="24"/>
                <w:color w:val="auto"/>
              </w:rPr>
            </w:pPr>
          </w:p>
        </w:tc>
      </w:tr>
      <w:tr>
        <w:trPr>
          <w:trHeight w:val="224"/>
        </w:trPr>
        <w:tc>
          <w:tcPr>
            <w:tcW w:w="5820" w:type="dxa"/>
            <w:vAlign w:val="bottom"/>
          </w:tcPr>
          <w:p>
            <w:pPr>
              <w:spacing w:after="0"/>
              <w:rPr>
                <w:sz w:val="20"/>
                <w:szCs w:val="20"/>
                <w:color w:val="auto"/>
              </w:rPr>
            </w:pPr>
            <w:r>
              <w:rPr>
                <w:rFonts w:ascii="Arial" w:cs="Arial" w:eastAsia="Arial" w:hAnsi="Arial"/>
                <w:sz w:val="18"/>
                <w:szCs w:val="18"/>
                <w:color w:val="auto"/>
              </w:rPr>
              <w:t>Name</w:t>
            </w:r>
          </w:p>
        </w:tc>
        <w:tc>
          <w:tcPr>
            <w:tcW w:w="240" w:type="dxa"/>
            <w:vAlign w:val="bottom"/>
          </w:tcPr>
          <w:p>
            <w:pPr>
              <w:spacing w:after="0"/>
              <w:rPr>
                <w:sz w:val="19"/>
                <w:szCs w:val="19"/>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Date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273685</wp:posOffset>
            </wp:positionV>
            <wp:extent cx="369633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3696335" cy="8890"/>
                    </a:xfrm>
                    <a:prstGeom prst="rect">
                      <a:avLst/>
                    </a:prstGeom>
                    <a:noFill/>
                  </pic:spPr>
                </pic:pic>
              </a:graphicData>
            </a:graphic>
          </wp:anchor>
        </w:drawing>
      </w: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Title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Attachment: Marvell Technology Group Ltd. Change in Control and Severance Plan and Summary Plan Description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[Signature Page to the Participation Agreement]</w:t>
      </w:r>
    </w:p>
    <w:p>
      <w:pPr>
        <w:sectPr>
          <w:pgSz w:w="11900" w:h="16838" w:orient="portrait"/>
          <w:cols w:equalWidth="0" w:num="1">
            <w:col w:w="11420"/>
          </w:cols>
          <w:pgMar w:left="240" w:top="270" w:right="239" w:bottom="1440" w:gutter="0" w:footer="0" w:header="0"/>
        </w:sectPr>
      </w:pPr>
    </w:p>
    <w:bookmarkStart w:id="11" w:name="page12"/>
    <w:bookmarkEnd w:id="11"/>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248920</wp:posOffset>
            </wp:positionV>
            <wp:extent cx="1792605" cy="13716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2760" w:type="dxa"/>
            <w:vAlign w:val="bottom"/>
            <w:gridSpan w:val="2"/>
          </w:tcPr>
          <w:p>
            <w:pPr>
              <w:spacing w:after="0"/>
              <w:rPr>
                <w:sz w:val="20"/>
                <w:szCs w:val="20"/>
                <w:color w:val="auto"/>
              </w:rPr>
            </w:pPr>
            <w:r>
              <w:rPr>
                <w:rFonts w:ascii="Arial" w:cs="Arial" w:eastAsia="Arial" w:hAnsi="Arial"/>
                <w:sz w:val="18"/>
                <w:szCs w:val="18"/>
                <w:b w:val="1"/>
                <w:bCs w:val="1"/>
                <w:color w:val="auto"/>
                <w:w w:val="99"/>
              </w:rPr>
              <w:t>For further information, contact:</w:t>
            </w:r>
          </w:p>
        </w:tc>
        <w:tc>
          <w:tcPr>
            <w:tcW w:w="3300" w:type="dxa"/>
            <w:vAlign w:val="bottom"/>
          </w:tcPr>
          <w:p>
            <w:pPr>
              <w:spacing w:after="0"/>
              <w:rPr>
                <w:sz w:val="19"/>
                <w:szCs w:val="19"/>
                <w:color w:val="auto"/>
              </w:rPr>
            </w:pPr>
          </w:p>
        </w:tc>
        <w:tc>
          <w:tcPr>
            <w:tcW w:w="1580" w:type="dxa"/>
            <w:vAlign w:val="bottom"/>
          </w:tcPr>
          <w:p>
            <w:pPr>
              <w:spacing w:after="0"/>
              <w:rPr>
                <w:sz w:val="19"/>
                <w:szCs w:val="19"/>
                <w:color w:val="auto"/>
              </w:rPr>
            </w:pPr>
          </w:p>
        </w:tc>
        <w:tc>
          <w:tcPr>
            <w:tcW w:w="840" w:type="dxa"/>
            <w:vAlign w:val="bottom"/>
          </w:tcPr>
          <w:p>
            <w:pPr>
              <w:spacing w:after="0"/>
              <w:rPr>
                <w:sz w:val="19"/>
                <w:szCs w:val="19"/>
                <w:color w:val="auto"/>
              </w:rPr>
            </w:pPr>
          </w:p>
        </w:tc>
      </w:tr>
      <w:tr>
        <w:trPr>
          <w:trHeight w:val="216"/>
        </w:trPr>
        <w:tc>
          <w:tcPr>
            <w:tcW w:w="276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3300" w:type="dxa"/>
            <w:vAlign w:val="bottom"/>
          </w:tcPr>
          <w:p>
            <w:pPr>
              <w:spacing w:after="0"/>
              <w:rPr>
                <w:sz w:val="18"/>
                <w:szCs w:val="18"/>
                <w:color w:val="auto"/>
              </w:rPr>
            </w:pPr>
          </w:p>
        </w:tc>
        <w:tc>
          <w:tcPr>
            <w:tcW w:w="2420" w:type="dxa"/>
            <w:vAlign w:val="bottom"/>
            <w:gridSpan w:val="2"/>
          </w:tcPr>
          <w:p>
            <w:pPr>
              <w:spacing w:after="0"/>
              <w:rPr>
                <w:sz w:val="20"/>
                <w:szCs w:val="20"/>
                <w:color w:val="auto"/>
              </w:rPr>
            </w:pPr>
            <w:r>
              <w:rPr>
                <w:rFonts w:ascii="Arial" w:cs="Arial" w:eastAsia="Arial" w:hAnsi="Arial"/>
                <w:sz w:val="18"/>
                <w:szCs w:val="18"/>
                <w:color w:val="auto"/>
              </w:rPr>
              <w:t>Sue Kim</w:t>
            </w:r>
          </w:p>
        </w:tc>
      </w:tr>
      <w:tr>
        <w:trPr>
          <w:trHeight w:val="216"/>
        </w:trPr>
        <w:tc>
          <w:tcPr>
            <w:tcW w:w="27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3300" w:type="dxa"/>
            <w:vAlign w:val="bottom"/>
          </w:tcPr>
          <w:p>
            <w:pPr>
              <w:spacing w:after="0"/>
              <w:rPr>
                <w:sz w:val="18"/>
                <w:szCs w:val="18"/>
                <w:color w:val="auto"/>
              </w:rPr>
            </w:pPr>
          </w:p>
        </w:tc>
        <w:tc>
          <w:tcPr>
            <w:tcW w:w="2420" w:type="dxa"/>
            <w:vAlign w:val="bottom"/>
            <w:gridSpan w:val="2"/>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1100" w:type="dxa"/>
            <w:vAlign w:val="bottom"/>
          </w:tcPr>
          <w:p>
            <w:pPr>
              <w:spacing w:after="0"/>
              <w:rPr>
                <w:sz w:val="18"/>
                <w:szCs w:val="18"/>
                <w:color w:val="auto"/>
              </w:rPr>
            </w:pPr>
          </w:p>
        </w:tc>
        <w:tc>
          <w:tcPr>
            <w:tcW w:w="4880" w:type="dxa"/>
            <w:vAlign w:val="bottom"/>
            <w:gridSpan w:val="2"/>
          </w:tcPr>
          <w:p>
            <w:pPr>
              <w:ind w:left="3300"/>
              <w:spacing w:after="0"/>
              <w:rPr>
                <w:sz w:val="20"/>
                <w:szCs w:val="20"/>
                <w:color w:val="auto"/>
              </w:rPr>
            </w:pPr>
            <w:r>
              <w:rPr>
                <w:rFonts w:ascii="Arial" w:cs="Arial" w:eastAsia="Arial" w:hAnsi="Arial"/>
                <w:sz w:val="18"/>
                <w:szCs w:val="18"/>
                <w:color w:val="auto"/>
              </w:rPr>
              <w:t>408-222-1942</w:t>
            </w:r>
          </w:p>
        </w:tc>
        <w:tc>
          <w:tcPr>
            <w:tcW w:w="840" w:type="dxa"/>
            <w:vAlign w:val="bottom"/>
          </w:tcPr>
          <w:p>
            <w:pPr>
              <w:spacing w:after="0"/>
              <w:rPr>
                <w:sz w:val="18"/>
                <w:szCs w:val="18"/>
                <w:color w:val="auto"/>
              </w:rPr>
            </w:pP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color w:val="auto"/>
                <w:w w:val="91"/>
              </w:rPr>
              <w:t>johnahn@marvell.com</w:t>
            </w:r>
          </w:p>
        </w:tc>
        <w:tc>
          <w:tcPr>
            <w:tcW w:w="1100" w:type="dxa"/>
            <w:vAlign w:val="bottom"/>
          </w:tcPr>
          <w:p>
            <w:pPr>
              <w:spacing w:after="0"/>
              <w:rPr>
                <w:sz w:val="16"/>
                <w:szCs w:val="16"/>
                <w:color w:val="auto"/>
              </w:rPr>
            </w:pPr>
          </w:p>
        </w:tc>
        <w:tc>
          <w:tcPr>
            <w:tcW w:w="3300" w:type="dxa"/>
            <w:vAlign w:val="bottom"/>
          </w:tcPr>
          <w:p>
            <w:pPr>
              <w:spacing w:after="0"/>
              <w:rPr>
                <w:sz w:val="16"/>
                <w:szCs w:val="16"/>
                <w:color w:val="auto"/>
              </w:rPr>
            </w:pPr>
          </w:p>
        </w:tc>
        <w:tc>
          <w:tcPr>
            <w:tcW w:w="2420" w:type="dxa"/>
            <w:vAlign w:val="bottom"/>
            <w:gridSpan w:val="2"/>
          </w:tcPr>
          <w:p>
            <w:pPr>
              <w:spacing w:after="0" w:line="190" w:lineRule="exact"/>
              <w:rPr>
                <w:sz w:val="20"/>
                <w:szCs w:val="20"/>
                <w:color w:val="auto"/>
              </w:rPr>
            </w:pPr>
            <w:r>
              <w:rPr>
                <w:rFonts w:ascii="Arial" w:cs="Arial" w:eastAsia="Arial" w:hAnsi="Arial"/>
                <w:sz w:val="18"/>
                <w:szCs w:val="18"/>
                <w:color w:val="auto"/>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330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r>
      <w:tr>
        <w:trPr>
          <w:trHeight w:val="520"/>
        </w:trPr>
        <w:tc>
          <w:tcPr>
            <w:tcW w:w="16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720" w:type="dxa"/>
            <w:vAlign w:val="bottom"/>
            <w:gridSpan w:val="3"/>
          </w:tcPr>
          <w:p>
            <w:pPr>
              <w:jc w:val="center"/>
              <w:ind w:left="78"/>
              <w:spacing w:after="0"/>
              <w:rPr>
                <w:sz w:val="20"/>
                <w:szCs w:val="20"/>
                <w:color w:val="auto"/>
              </w:rPr>
            </w:pPr>
            <w:r>
              <w:rPr>
                <w:rFonts w:ascii="Arial" w:cs="Arial" w:eastAsia="Arial" w:hAnsi="Arial"/>
                <w:sz w:val="22"/>
                <w:szCs w:val="22"/>
                <w:b w:val="1"/>
                <w:bCs w:val="1"/>
                <w:color w:val="auto"/>
                <w:w w:val="89"/>
              </w:rPr>
              <w:t>Marvell Technology Group Ltd. Announces Appointment of</w:t>
            </w:r>
          </w:p>
        </w:tc>
      </w:tr>
      <w:tr>
        <w:trPr>
          <w:trHeight w:val="281"/>
        </w:trPr>
        <w:tc>
          <w:tcPr>
            <w:tcW w:w="16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720" w:type="dxa"/>
            <w:vAlign w:val="bottom"/>
            <w:gridSpan w:val="3"/>
          </w:tcPr>
          <w:p>
            <w:pPr>
              <w:jc w:val="center"/>
              <w:ind w:left="78"/>
              <w:spacing w:after="0"/>
              <w:rPr>
                <w:sz w:val="20"/>
                <w:szCs w:val="20"/>
                <w:color w:val="auto"/>
              </w:rPr>
            </w:pPr>
            <w:r>
              <w:rPr>
                <w:rFonts w:ascii="Arial" w:cs="Arial" w:eastAsia="Arial" w:hAnsi="Arial"/>
                <w:sz w:val="22"/>
                <w:szCs w:val="22"/>
                <w:b w:val="1"/>
                <w:bCs w:val="1"/>
                <w:color w:val="auto"/>
                <w:w w:val="90"/>
              </w:rPr>
              <w:t>Jean Hu as Chief Financial Officer</w:t>
            </w:r>
          </w:p>
        </w:tc>
      </w:tr>
    </w:tbl>
    <w:p>
      <w:pPr>
        <w:spacing w:after="0" w:line="188" w:lineRule="exact"/>
        <w:rPr>
          <w:sz w:val="20"/>
          <w:szCs w:val="20"/>
          <w:color w:val="auto"/>
        </w:rPr>
      </w:pPr>
    </w:p>
    <w:p>
      <w:pPr>
        <w:ind w:right="280"/>
        <w:spacing w:after="0" w:line="303" w:lineRule="auto"/>
        <w:rPr>
          <w:sz w:val="20"/>
          <w:szCs w:val="20"/>
          <w:color w:val="auto"/>
        </w:rPr>
      </w:pPr>
      <w:r>
        <w:rPr>
          <w:rFonts w:ascii="Arial" w:cs="Arial" w:eastAsia="Arial" w:hAnsi="Arial"/>
          <w:sz w:val="16"/>
          <w:szCs w:val="16"/>
          <w:b w:val="1"/>
          <w:bCs w:val="1"/>
          <w:color w:val="auto"/>
        </w:rPr>
        <w:t xml:space="preserve">Santa Clara, Calif. (Aug. 18, 2016) </w:t>
      </w:r>
      <w:r>
        <w:rPr>
          <w:rFonts w:ascii="Arial" w:cs="Arial" w:eastAsia="Arial" w:hAnsi="Arial"/>
          <w:sz w:val="16"/>
          <w:szCs w:val="16"/>
          <w:color w:val="auto"/>
        </w:rPr>
        <w:t>— Marvell (NASDAQ:MRVL), a world leader in storage, cloud infrastructure, Internet of Things (IoT), connectivity</w:t>
      </w:r>
      <w:r>
        <w:rPr>
          <w:rFonts w:ascii="Arial" w:cs="Arial" w:eastAsia="Arial" w:hAnsi="Arial"/>
          <w:sz w:val="16"/>
          <w:szCs w:val="16"/>
          <w:b w:val="1"/>
          <w:bCs w:val="1"/>
          <w:color w:val="auto"/>
        </w:rPr>
        <w:t xml:space="preserve"> </w:t>
      </w:r>
      <w:r>
        <w:rPr>
          <w:rFonts w:ascii="Arial" w:cs="Arial" w:eastAsia="Arial" w:hAnsi="Arial"/>
          <w:sz w:val="16"/>
          <w:szCs w:val="16"/>
          <w:color w:val="auto"/>
        </w:rPr>
        <w:t>and multimedia semiconductor solutions, today announced the appointment of Ms. Jean Hu as Chief Financial Officer (CFO), effective August 22, 2016. Ms. Hu is an accomplished executive with significant expertise in all aspects of finance and a proven track record of returning value to shareholders. At Marvell, she will lead the corporate finance, accounting, financial planning and analysis functions, and serve as a member of the executive team.</w:t>
      </w:r>
    </w:p>
    <w:p>
      <w:pPr>
        <w:spacing w:after="0" w:line="155"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“I’m excited to welcome Jean to Marvell. This is a transformational time in the company’s history and Jean is a proven financial executive with deep experience in the semiconductor industry. She will be a significant asset to the team as we return Marvell to profitable growth,” said Matt Murphy, President and CEO, Marvell Technology Group. “I’d also like to thank David Eichler, our interim CFO, for his leadership and continued dedication to Marvell during a period of significant change.”</w:t>
      </w:r>
    </w:p>
    <w:p>
      <w:pPr>
        <w:spacing w:after="0" w:line="187"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Ms. Hu joins Marvell from QLogic Corporation, where she was SVP and CFO; she also held the Acting CEO role at QLogic since August 2015. Previously, Ms. Hu held several senior positions at Conexant Systems, Inc. including CFO, Treasurer and SVP of Business Development from 2004 to 2011. Prior to 2004, Ms. Hu held various positions in financial planning, strategy and corporate development at Conexant and its predecessor company, Rockwell International Corporation.</w:t>
      </w:r>
    </w:p>
    <w:p>
      <w:pPr>
        <w:spacing w:after="0" w:line="187"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color w:val="auto"/>
        </w:rPr>
        <w:t>Ms. Hu earned a Bachelor of Science from the Beijing University of Chemical Engineering and a Ph.D. in Economics from The Claremont Graduate University.</w:t>
      </w:r>
    </w:p>
    <w:p>
      <w:pPr>
        <w:sectPr>
          <w:pgSz w:w="11900" w:h="16838" w:orient="portrait"/>
          <w:cols w:equalWidth="0" w:num="1">
            <w:col w:w="11420"/>
          </w:cols>
          <w:pgMar w:left="240" w:top="121" w:right="239" w:bottom="1440" w:gutter="0" w:footer="0" w:header="0"/>
        </w:sectPr>
      </w:pPr>
    </w:p>
    <w:bookmarkStart w:id="12" w:name="page13"/>
    <w:bookmarkEnd w:id="1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121"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Marvell (NASDAQ: MRVL) is a global leader in providing complete silicon solutions. From storage to cloud infrastructure, Internet of Things (IoT), connectivity and multimedia,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personal and work lives, Marvell is committed to enhancing the human experience.</w:t>
      </w:r>
    </w:p>
    <w:p>
      <w:pPr>
        <w:spacing w:after="0" w:line="17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 xml:space="preserve">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sectPr>
      <w:pgSz w:w="11900" w:h="16838" w:orient="portrait"/>
      <w:cols w:equalWidth="0" w:num="1">
        <w:col w:w="11400"/>
      </w:cols>
      <w:pgMar w:left="240" w:top="270"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07ED7AB"/>
    <w:multiLevelType w:val="hybridMultilevel"/>
    <w:lvl w:ilvl="0">
      <w:lvlJc w:val="left"/>
      <w:lvlText w:val="☐"/>
      <w:numFmt w:val="bullet"/>
      <w:start w:val="1"/>
    </w:lvl>
  </w:abstractNum>
  <w:abstractNum w:abstractNumId="1">
    <w:nsid w:val="2EB141F2"/>
    <w:multiLevelType w:val="hybridMultilevel"/>
    <w:lvl w:ilvl="0">
      <w:lvlJc w:val="left"/>
      <w:lvlText w:val="%1."/>
      <w:numFmt w:val="decimal"/>
      <w:start w:val="1"/>
    </w:lvl>
  </w:abstractNum>
  <w:abstractNum w:abstractNumId="2">
    <w:nsid w:val="41B71EFB"/>
    <w:multiLevelType w:val="hybridMultilevel"/>
    <w:lvl w:ilvl="0">
      <w:lvlJc w:val="left"/>
      <w:lvlText w:val="(%1)"/>
      <w:numFmt w:val="lowerLetter"/>
      <w:start w:val="4"/>
    </w:lvl>
  </w:abstractNum>
  <w:abstractNum w:abstractNumId="3">
    <w:nsid w:val="79E2A9E3"/>
    <w:multiLevelType w:val="hybridMultilevel"/>
    <w:lvl w:ilvl="0">
      <w:lvlJc w:val="left"/>
      <w:lvlText w:val="•"/>
      <w:numFmt w:val="bullet"/>
      <w:start w:val="1"/>
    </w:lvl>
  </w:abstractNum>
  <w:abstractNum w:abstractNumId="4">
    <w:nsid w:val="7545E146"/>
    <w:multiLevelType w:val="hybridMultilevel"/>
    <w:lvl w:ilvl="0">
      <w:lvlJc w:val="left"/>
      <w:lvlText w:val="•"/>
      <w:numFmt w:val="bullet"/>
      <w:start w:val="1"/>
    </w:lvl>
  </w:abstractNum>
  <w:abstractNum w:abstractNumId="5">
    <w:nsid w:val="515F007C"/>
    <w:multiLevelType w:val="hybridMultilevel"/>
    <w:lvl w:ilvl="0">
      <w:lvlJc w:val="left"/>
      <w:lvlText w:val="•"/>
      <w:numFmt w:val="bullet"/>
      <w:start w:val="1"/>
    </w:lvl>
  </w:abstractNum>
  <w:abstractNum w:abstractNumId="6">
    <w:nsid w:val="5BD062C2"/>
    <w:multiLevelType w:val="hybridMultilevel"/>
    <w:lvl w:ilvl="0">
      <w:lvlJc w:val="left"/>
      <w:lvlText w:val="•"/>
      <w:numFmt w:val="bullet"/>
      <w:start w:val="1"/>
    </w:lvl>
  </w:abstractNum>
  <w:abstractNum w:abstractNumId="7">
    <w:nsid w:val="12200854"/>
    <w:multiLevelType w:val="hybridMultilevel"/>
    <w:lvl w:ilvl="0">
      <w:lvlJc w:val="left"/>
      <w:lvlText w:val="•"/>
      <w:numFmt w:val="bullet"/>
      <w:start w:val="1"/>
    </w:lvl>
  </w:abstractNum>
  <w:abstractNum w:abstractNumId="8">
    <w:nsid w:val="4DB127F8"/>
    <w:multiLevelType w:val="hybridMultilevel"/>
    <w:lvl w:ilvl="0">
      <w:lvlJc w:val="left"/>
      <w:lvlText w:val="%1."/>
      <w:numFmt w:val="decimal"/>
      <w:start w:val="1"/>
    </w:lvl>
    <w:lvl w:ilvl="1">
      <w:lvlJc w:val="left"/>
      <w:lvlText w:val="%2."/>
      <w:numFmt w:val="lowerLetter"/>
      <w:start w:val="1"/>
    </w:lvl>
  </w:abstractNum>
  <w:abstractNum w:abstractNumId="9">
    <w:nsid w:val="216231B"/>
    <w:multiLevelType w:val="hybridMultilevel"/>
    <w:lvl w:ilvl="0">
      <w:lvlJc w:val="left"/>
      <w:lvlText w:val="%1."/>
      <w:numFmt w:val="decimal"/>
      <w:start w:val="2"/>
    </w:lvl>
  </w:abstractNum>
  <w:abstractNum w:abstractNumId="10">
    <w:nsid w:val="1F16E9E8"/>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jpe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2019-12-06T21:22:24Z</dcterms:created>
  <dcterms:modified xsi:type="dcterms:W3CDTF">2019-12-06T21:22:24Z</dcterms:modified>
</cp:coreProperties>
</file>