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201930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8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195580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0"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w:t>
      </w:r>
    </w:p>
    <w:p>
      <w:pPr>
        <w:jc w:val="center"/>
        <w:ind w:right="-3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Date of Report (Date of earliest event reported): July 27,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223520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8"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210820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409" w:right="279" w:bottom="1440" w:gutter="0" w:footer="0" w:header="0"/>
          <w:type w:val="continuous"/>
        </w:sectPr>
      </w:pPr>
    </w:p>
    <w:p>
      <w:pPr>
        <w:spacing w:after="0" w:line="12" w:lineRule="exact"/>
        <w:rPr>
          <w:sz w:val="24"/>
          <w:szCs w:val="24"/>
          <w:color w:val="auto"/>
        </w:rPr>
      </w:pPr>
    </w:p>
    <w:p>
      <w:pPr>
        <w:jc w:val="center"/>
        <w:ind w:right="400"/>
        <w:spacing w:after="0"/>
        <w:rPr>
          <w:sz w:val="20"/>
          <w:szCs w:val="20"/>
          <w:color w:val="auto"/>
        </w:rPr>
      </w:pPr>
      <w:r>
        <w:rPr>
          <w:rFonts w:ascii="Arial" w:cs="Arial" w:eastAsia="Arial" w:hAnsi="Arial"/>
          <w:sz w:val="13"/>
          <w:szCs w:val="13"/>
          <w:b w:val="1"/>
          <w:bCs w:val="1"/>
          <w:color w:val="auto"/>
        </w:rPr>
        <w:t>(State or other jurisdiction</w:t>
      </w:r>
    </w:p>
    <w:p>
      <w:pPr>
        <w:jc w:val="center"/>
        <w:ind w:right="40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280" w:space="720"/>
            <w:col w:w="3320" w:space="720"/>
            <w:col w:w="2340"/>
          </w:cols>
          <w:pgMar w:left="240" w:top="409"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216535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p>
      <w:pPr>
        <w:spacing w:after="0" w:line="200" w:lineRule="exact"/>
        <w:rPr>
          <w:sz w:val="24"/>
          <w:szCs w:val="24"/>
          <w:color w:val="auto"/>
        </w:rPr>
      </w:pPr>
    </w:p>
    <w:p>
      <w:pPr>
        <w:spacing w:after="0" w:line="35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118110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260" w:firstLine="456"/>
        <w:spacing w:after="0" w:line="277" w:lineRule="auto"/>
        <w:rPr>
          <w:sz w:val="20"/>
          <w:szCs w:val="20"/>
          <w:color w:val="auto"/>
        </w:rPr>
      </w:pPr>
      <w:r>
        <w:rPr>
          <w:rFonts w:ascii="Arial" w:cs="Arial" w:eastAsia="Arial" w:hAnsi="Arial"/>
          <w:sz w:val="18"/>
          <w:szCs w:val="18"/>
          <w:color w:val="auto"/>
        </w:rPr>
        <w:t>On July 27, 2016, Marvell Technology Group Ltd. (“Marvell”) issued a press release reporting its financial results for the first quarter of fiscal 2017 ended April 30, 2016. A copy of the press release is furnished herewith as Exhibit 99.1 and is incorporated by reference herein.</w:t>
      </w:r>
    </w:p>
    <w:p>
      <w:pPr>
        <w:spacing w:after="0" w:line="17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Marvell will conduct a conference call on Wednesday, July 27, 2016 at 1:45 p.m. Pacific Time to discuss results for the first quarter of fiscal 2017. Interested parties may join the conference call by dialing 1-844-647-5488 or 1-615-247-0258, pass-code 54569096. The call will be webcast by Thomson Reuters and can be accessed at the Marvell Investor Relations website at http://investor.marvell.com/ with a replay available following the call until August 27, 2016.</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360" w:lineRule="exact"/>
        <w:rPr>
          <w:sz w:val="20"/>
          <w:szCs w:val="20"/>
          <w:color w:val="auto"/>
        </w:rPr>
      </w:pPr>
    </w:p>
    <w:p>
      <w:pPr>
        <w:ind w:left="1440"/>
        <w:spacing w:after="0"/>
        <w:tabs>
          <w:tab w:leader="none" w:pos="1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27, 2016</w:t>
      </w:r>
    </w:p>
    <w:p>
      <w:pPr>
        <w:sectPr>
          <w:pgSz w:w="11900" w:h="16838" w:orient="portrait"/>
          <w:cols w:equalWidth="0" w:num="1">
            <w:col w:w="11380"/>
          </w:cols>
          <w:pgMar w:left="240" w:top="270"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27, 2016</w:t>
      </w:r>
    </w:p>
    <w:p>
      <w:pPr>
        <w:spacing w:after="0" w:line="200" w:lineRule="exact"/>
        <w:rPr>
          <w:sz w:val="20"/>
          <w:szCs w:val="20"/>
          <w:color w:val="auto"/>
        </w:rPr>
      </w:pPr>
    </w:p>
    <w:p>
      <w:pPr>
        <w:spacing w:after="0" w:line="30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20"/>
                <w:szCs w:val="20"/>
                <w:color w:val="auto"/>
              </w:rPr>
            </w:pPr>
            <w:r>
              <w:rPr>
                <w:rFonts w:ascii="Arial" w:cs="Arial" w:eastAsia="Arial" w:hAnsi="Arial"/>
                <w:sz w:val="14"/>
                <w:szCs w:val="14"/>
                <w:b w:val="1"/>
                <w:bCs w:val="1"/>
                <w:color w:val="auto"/>
                <w:w w:val="95"/>
              </w:rPr>
              <w:t>Exhibit No.</w:t>
            </w:r>
          </w:p>
        </w:tc>
        <w:tc>
          <w:tcPr>
            <w:tcW w:w="380" w:type="dxa"/>
            <w:vAlign w:val="bottom"/>
          </w:tcPr>
          <w:p>
            <w:pPr>
              <w:spacing w:after="0"/>
              <w:rPr>
                <w:sz w:val="14"/>
                <w:szCs w:val="14"/>
                <w:color w:val="auto"/>
              </w:rPr>
            </w:pPr>
          </w:p>
        </w:tc>
        <w:tc>
          <w:tcPr>
            <w:tcW w:w="2840" w:type="dxa"/>
            <w:vAlign w:val="bottom"/>
            <w:gridSpan w:val="3"/>
          </w:tcPr>
          <w:p>
            <w:pPr>
              <w:ind w:left="4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4"/>
                <w:szCs w:val="24"/>
                <w:color w:val="auto"/>
              </w:rPr>
            </w:pPr>
          </w:p>
        </w:tc>
        <w:tc>
          <w:tcPr>
            <w:tcW w:w="2840" w:type="dxa"/>
            <w:vAlign w:val="bottom"/>
            <w:gridSpan w:val="3"/>
          </w:tcPr>
          <w:p>
            <w:pPr>
              <w:ind w:left="400"/>
              <w:spacing w:after="0"/>
              <w:rPr>
                <w:sz w:val="20"/>
                <w:szCs w:val="20"/>
                <w:color w:val="auto"/>
              </w:rPr>
            </w:pPr>
            <w:r>
              <w:rPr>
                <w:rFonts w:ascii="Arial" w:cs="Arial" w:eastAsia="Arial" w:hAnsi="Arial"/>
                <w:sz w:val="18"/>
                <w:szCs w:val="18"/>
                <w:color w:val="auto"/>
                <w:w w:val="86"/>
              </w:rPr>
              <w:t>Press Release dated July 27, 2016</w:t>
            </w:r>
          </w:p>
        </w:tc>
      </w:tr>
    </w:tbl>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5424805</wp:posOffset>
            </wp:positionH>
            <wp:positionV relativeFrom="paragraph">
              <wp:posOffset>172085</wp:posOffset>
            </wp:positionV>
            <wp:extent cx="1826895"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First Quarter of Fiscal 2017 Financial Results</w:t>
      </w:r>
    </w:p>
    <w:p>
      <w:pPr>
        <w:spacing w:after="0" w:line="225" w:lineRule="exact"/>
        <w:rPr>
          <w:sz w:val="20"/>
          <w:szCs w:val="20"/>
          <w:color w:val="auto"/>
        </w:rPr>
      </w:pPr>
    </w:p>
    <w:p>
      <w:pPr>
        <w:ind w:right="20"/>
        <w:spacing w:after="0" w:line="313" w:lineRule="auto"/>
        <w:rPr>
          <w:sz w:val="20"/>
          <w:szCs w:val="20"/>
          <w:color w:val="auto"/>
        </w:rPr>
      </w:pPr>
      <w:r>
        <w:rPr>
          <w:rFonts w:ascii="Arial" w:cs="Arial" w:eastAsia="Arial" w:hAnsi="Arial"/>
          <w:sz w:val="17"/>
          <w:szCs w:val="17"/>
          <w:b w:val="1"/>
          <w:bCs w:val="1"/>
          <w:color w:val="auto"/>
        </w:rPr>
        <w:t xml:space="preserve">Santa Clara, Calif. (July 27, 2016) </w:t>
      </w:r>
      <w:r>
        <w:rPr>
          <w:rFonts w:ascii="Arial" w:cs="Arial" w:eastAsia="Arial" w:hAnsi="Arial"/>
          <w:sz w:val="17"/>
          <w:szCs w:val="17"/>
          <w:color w:val="auto"/>
        </w:rPr>
        <w:t>—</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(NASDAQ:MRVL), a world leader in storage, cloud infrastructure, Internet of Things (IoT), connectivity and</w:t>
      </w:r>
      <w:r>
        <w:rPr>
          <w:rFonts w:ascii="Arial" w:cs="Arial" w:eastAsia="Arial" w:hAnsi="Arial"/>
          <w:sz w:val="17"/>
          <w:szCs w:val="17"/>
          <w:b w:val="1"/>
          <w:bCs w:val="1"/>
          <w:color w:val="auto"/>
        </w:rPr>
        <w:t xml:space="preserve"> </w:t>
      </w:r>
      <w:r>
        <w:rPr>
          <w:rFonts w:ascii="Arial" w:cs="Arial" w:eastAsia="Arial" w:hAnsi="Arial"/>
          <w:sz w:val="17"/>
          <w:szCs w:val="17"/>
          <w:color w:val="auto"/>
        </w:rPr>
        <w:t>multimedia semiconductor solutions, today reported financial results for the first quarter of fiscal year 2017, ended April 30,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First Quarter of Fiscal 2017 Highlights</w:t>
      </w:r>
    </w:p>
    <w:p>
      <w:pPr>
        <w:spacing w:after="0" w:line="135"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Q1 FY 2017, $541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Net (Loss): Q1 FY 2017, ($23)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Q1 FY 2017, ($0.04)</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Net Income: Q1 FY 2017, $7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EPS: Q1 FY 2017, $0.01</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Flow from Operations: Q1 FY 2017, ($610)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ST Investments: $1.6 Billion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2017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July 26, 2016.</w:t>
      </w:r>
    </w:p>
    <w:p>
      <w:pPr>
        <w:spacing w:after="0" w:line="76"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in the range of $625 Million to $635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in the range of 52 percent to 54 percent.</w:t>
      </w:r>
    </w:p>
    <w:p>
      <w:pPr>
        <w:spacing w:after="0" w:line="130" w:lineRule="exact"/>
        <w:rPr>
          <w:rFonts w:ascii="Arial" w:cs="Arial" w:eastAsia="Arial" w:hAnsi="Arial"/>
          <w:sz w:val="18"/>
          <w:szCs w:val="18"/>
          <w:color w:val="auto"/>
        </w:rPr>
      </w:pPr>
    </w:p>
    <w:p>
      <w:pPr>
        <w:ind w:left="900" w:right="140" w:hanging="325"/>
        <w:spacing w:after="0" w:line="277"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$307 Million to $317 Million. Non-GAAP Operating Expenses are expected to be in the range of $270 Million to $280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GAAP Diluted EPS are expected to be in the range of $0.03 to $0.05. Non-GAAP Diluted EPS are expected to be in the range of $0.10 to $0.12.</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First Quarter of Fiscal 2017 Summary</w:t>
      </w:r>
    </w:p>
    <w:p>
      <w:pPr>
        <w:spacing w:after="0" w:line="12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Revenues for the first quarter of fiscal 2017 were $541 million, down approximately 12 percent from $616 million in the fourth quarter of fiscal 2016, ended January 30, 2016, and down approximately 25 percent from $724 million in the first quarter of fiscal 2016, ended May 2, 2015.</w:t>
      </w:r>
    </w:p>
    <w:p>
      <w:pPr>
        <w:spacing w:after="0" w:line="170"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first quarter of fiscal 2017, storage revenue declined 16 percent sequentially, reflecting lower HDD industry demand partially offset by growth in SSD. Networking revenue in the first quarter of fiscal 2017 grew 5 percent sequentially due to improved enterprise networking demand. Mobile and wireless revenue decreased 29 percent sequentially, mainly driven by the previously anticipated declines in revenue resulting from Marvell’s exit of the mobile handset business. Mobile handset revenues in the first quarter of 2017, fourth quarter, and first quarter of fiscal 2016 were $22 million, $69 million and $65 million, respectively. The Company anticipates mobile handset platform-related revenue to decline through fiscal year 2017 due to the restructuring actions announced on September 24, 2015.</w:t>
      </w:r>
    </w:p>
    <w:p>
      <w:pPr>
        <w:spacing w:after="0" w:line="193" w:lineRule="exact"/>
        <w:rPr>
          <w:sz w:val="20"/>
          <w:szCs w:val="20"/>
          <w:color w:val="auto"/>
        </w:rPr>
      </w:pPr>
    </w:p>
    <w:p>
      <w:pPr>
        <w:jc w:val="both"/>
        <w:ind w:right="60"/>
        <w:spacing w:after="0" w:line="342" w:lineRule="auto"/>
        <w:rPr>
          <w:sz w:val="20"/>
          <w:szCs w:val="20"/>
          <w:color w:val="auto"/>
        </w:rPr>
      </w:pPr>
      <w:r>
        <w:rPr>
          <w:rFonts w:ascii="Arial" w:cs="Arial" w:eastAsia="Arial" w:hAnsi="Arial"/>
          <w:sz w:val="16"/>
          <w:szCs w:val="16"/>
          <w:color w:val="auto"/>
        </w:rPr>
        <w:t>GAAP net loss for the first quarter of fiscal 2017 was ($23) million, or ($0.04) per share (diluted) compared with a GAAP net income of $4 million, or $0.01 per share (diluted), for the fourth quarter of fiscal 2016, and GAAP net income of $14 million, or $0.03 per share (diluted), for the first quarter of fiscal 2016.</w:t>
      </w:r>
    </w:p>
    <w:p>
      <w:pPr>
        <w:spacing w:after="0" w:line="124" w:lineRule="exact"/>
        <w:rPr>
          <w:sz w:val="20"/>
          <w:szCs w:val="20"/>
          <w:color w:val="auto"/>
        </w:rPr>
      </w:pPr>
    </w:p>
    <w:p>
      <w:pPr>
        <w:ind w:right="80"/>
        <w:spacing w:after="0" w:line="272" w:lineRule="auto"/>
        <w:rPr>
          <w:sz w:val="20"/>
          <w:szCs w:val="20"/>
          <w:color w:val="auto"/>
        </w:rPr>
      </w:pPr>
      <w:r>
        <w:rPr>
          <w:rFonts w:ascii="Arial" w:cs="Arial" w:eastAsia="Arial" w:hAnsi="Arial"/>
          <w:sz w:val="17"/>
          <w:szCs w:val="17"/>
          <w:color w:val="auto"/>
        </w:rPr>
        <w:t>Non-GAAP net income for the first quarter of fiscal 2017 was $7 million, or $0.01 per share (diluted), which included adjustments of approximately $29 million including: $4 million for restructuring, of which $1 million was related to the mobile handset platform business, and $25 million for share-based compensation. By comparison, non-GAAP net income for the fourth quarter of fiscal 2016 was $55 million, or $0.11 per share (diluted), which included adjustments of $50 million including: $4 million for restructuring related to the mobile handset platform business, $32 million for share-based compensation, $4 million for litigation reserves and settlements, and $10 million for other items. Non-GAAP net income for the first quarter of fiscal 2016 was $71 million, or $0.13 per share (diluted), which included adjustments of $57 million including: $33 million for share-based compensation and $24 million for other items. Refer to the GAAP to Non-GAAP reconciliation table and related footnotes contained in this press release for more details.</w:t>
      </w:r>
    </w:p>
    <w:p>
      <w:pPr>
        <w:spacing w:after="0" w:line="178"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reports net income, basic and diluted net income per share, in accordance with generally accepted accounting principles (GAAP) and on a non-GAAP basis as outlined below. Reconciliations of GAAP net</w:t>
      </w:r>
    </w:p>
    <w:p>
      <w:pPr>
        <w:sectPr>
          <w:pgSz w:w="11900" w:h="16838" w:orient="portrait"/>
          <w:cols w:equalWidth="0" w:num="1">
            <w:col w:w="11420"/>
          </w:cols>
          <w:pgMar w:left="240" w:top="270" w:right="239" w:bottom="1440" w:gutter="0" w:footer="0" w:header="0"/>
        </w:sectPr>
      </w:pPr>
    </w:p>
    <w:bookmarkStart w:id="6" w:name="page7"/>
    <w:bookmarkEnd w:id="6"/>
    <w:p>
      <w:pPr>
        <w:ind w:right="24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income to non-GAAP net income for the three months ended April 30, 2016, January 30, 2016, and May 2, 2015, appear in the financial statements below. Non-GAAP net income, where applicable, excludes the effect of share-based compensation, amortization and write-off of acquired intangible assets, acquisition-related costs, restructuring and other related charges, estimated litigation reserves and settlements, and certain expenses and benefits that are driven by discrete events that management does not consider to be directly related to Marvell’s core operating performance.</w:t>
      </w:r>
    </w:p>
    <w:p>
      <w:pPr>
        <w:spacing w:after="0" w:line="17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GAAP gross margin percentage for the first quarter of fiscal 2017 was 52.1 percent, compared to 50.9 percent for the fourth quarter of fiscal 2016 and 51.5 percent for the first quarter of fiscal 2016.</w:t>
      </w:r>
    </w:p>
    <w:p>
      <w:pPr>
        <w:spacing w:after="0" w:line="170" w:lineRule="exact"/>
        <w:rPr>
          <w:sz w:val="20"/>
          <w:szCs w:val="20"/>
          <w:color w:val="auto"/>
        </w:rPr>
      </w:pPr>
    </w:p>
    <w:p>
      <w:pPr>
        <w:ind w:right="200"/>
        <w:spacing w:after="0" w:line="302" w:lineRule="auto"/>
        <w:rPr>
          <w:sz w:val="20"/>
          <w:szCs w:val="20"/>
          <w:color w:val="auto"/>
        </w:rPr>
      </w:pPr>
      <w:r>
        <w:rPr>
          <w:rFonts w:ascii="Arial" w:cs="Arial" w:eastAsia="Arial" w:hAnsi="Arial"/>
          <w:sz w:val="16"/>
          <w:szCs w:val="16"/>
          <w:color w:val="auto"/>
        </w:rPr>
        <w:t>Non-GAAP gross margin percentage for the first quarter of fiscal 2017 was 52.5 percent, compared to 51.9 percent for the fourth quarter of fiscal 2016 and 51.6 percent for the first quarter of fiscal 2016. The sequential improvement in fourth quarter GAAP and Non-GAAP gross margin percentages was mainly due to a larger mix of higher margin networking sales and a smaller mix of lower margin mobile handset platform-related revenues compared to the prior quarter. Refer to the GAAP to Non-GAAP reconciliation table and related footnotes at the end of this press release for more details.</w:t>
      </w:r>
    </w:p>
    <w:p>
      <w:pPr>
        <w:spacing w:after="0" w:line="154"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Operating expenses on a GAAP basis for the first quarter of fiscal 2017 were $311 million, unchanged from the fourth quarter of fiscal year 2016, and 14 percent lower compared to $360 million in the first quarter of fiscal 2016.</w:t>
      </w:r>
    </w:p>
    <w:p>
      <w:pPr>
        <w:spacing w:after="0" w:line="170"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Non-GAAP operating expenses were $280 million in the first quarter compared to $267 million in the fourth quarter, a 5 percent increase, and $307 million in the first quarter of fiscal 2016, a 9 percent decline. Refer to the GAAP to Non-GAAP reconciliation table and related footnotes contained in this press release for more details.</w:t>
      </w:r>
    </w:p>
    <w:p>
      <w:pPr>
        <w:spacing w:after="0" w:line="181"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GAAP and Non-GAAP operating expenses for the first quarter of fiscal 2017 and fourth quarter of fiscal year 2016 include $17 million and $11 million, respectively of legal and accounting fees related to the Audit Committee investigation, and the related shareholder litigation and investigations by the SEC and United States Attorney’s Office and other professional fees.</w:t>
      </w:r>
    </w:p>
    <w:p>
      <w:pPr>
        <w:sectPr>
          <w:pgSz w:w="11900" w:h="16838" w:orient="portrait"/>
          <w:cols w:equalWidth="0" w:num="1">
            <w:col w:w="11400"/>
          </w:cols>
          <w:pgMar w:left="240" w:top="274" w:right="259" w:bottom="1440" w:gutter="0" w:footer="0" w:header="0"/>
        </w:sectPr>
      </w:pPr>
    </w:p>
    <w:bookmarkStart w:id="7" w:name="page8"/>
    <w:bookmarkEnd w:id="7"/>
    <w:p>
      <w:pPr>
        <w:ind w:right="1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GAAP net income per diluted share for the first quarter of fiscal 2017 were 509 million shares, compared with 509 million shares in the fourth quarter of fiscal 2016 and 527 million shares in the first quarter of fiscal 2016.</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Shares used to compute non-GAAP net income per diluted share for the first quarter of fiscal 2017 were 522 million shares, compared with 519 million shares for the fourth quarter of fiscal 2016 and 535 million shares for the first quarter of fiscal 2016.</w:t>
      </w:r>
    </w:p>
    <w:p>
      <w:pPr>
        <w:spacing w:after="0" w:line="170"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Net cash provided from operations for the first quarter of fiscal 2017 was ($610) million, compared to $53 million in the fourth quarter of fiscal 2016 and $59 million reported in the first quarter of fiscal 2016. Net cash provided from operations for the first quarter of fiscal 2017 reflects the $750 million payment related to the previously announced Carnegie Mellon University litigation settlement. Free cash flow for the first quarter of fiscal 2017 was ($625) million, compared to the $47 million in the fourth quarter of fiscal 2016 and the $44 million reported in the first quarter of fiscal 2016. Free cash flow as presented above is defined as cash flow from operations, less capital expenditures and purchases of technology licenses reported under investing and financing activities in the consolidated statement of cash flows.</w:t>
      </w:r>
    </w:p>
    <w:p>
      <w:pPr>
        <w:spacing w:after="0" w:line="193" w:lineRule="exact"/>
        <w:rPr>
          <w:sz w:val="20"/>
          <w:szCs w:val="20"/>
          <w:color w:val="auto"/>
        </w:rPr>
      </w:pPr>
    </w:p>
    <w:p>
      <w:pPr>
        <w:ind w:right="900"/>
        <w:spacing w:after="0" w:line="277" w:lineRule="auto"/>
        <w:rPr>
          <w:sz w:val="20"/>
          <w:szCs w:val="20"/>
          <w:color w:val="auto"/>
        </w:rPr>
      </w:pPr>
      <w:r>
        <w:rPr>
          <w:rFonts w:ascii="Arial" w:cs="Arial" w:eastAsia="Arial" w:hAnsi="Arial"/>
          <w:sz w:val="18"/>
          <w:szCs w:val="18"/>
          <w:color w:val="auto"/>
        </w:rPr>
        <w:t>Marvell made no share repurchases in the first quarter of fiscal 2017. Marvell paid a quarterly dividend of $0.06 per share on April 22, 2016 to all shareholders of record as of March 29, 2016.</w:t>
      </w:r>
    </w:p>
    <w:p>
      <w:pPr>
        <w:spacing w:after="0" w:line="170" w:lineRule="exact"/>
        <w:rPr>
          <w:sz w:val="20"/>
          <w:szCs w:val="20"/>
          <w:color w:val="auto"/>
        </w:rPr>
      </w:pPr>
    </w:p>
    <w:p>
      <w:pPr>
        <w:ind w:right="50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Update Regarding NASDAQ Compliance Plan</w:t>
      </w:r>
    </w:p>
    <w:p>
      <w:pPr>
        <w:spacing w:after="0" w:line="121"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On May 3, 2016, Marvell announced that it had received written notification from Nasdaq that, following Marvell’s hearing before The Nasdaq Hearings Panel on April 14, 2016, it granted the Company an extension of time to September 6, 2016 to regain compliance with continued listing requirements. Until that time, shares of Marvell stock will remain listed on The Nasdaq Stock Market.</w:t>
      </w:r>
    </w:p>
    <w:p>
      <w:pPr>
        <w:sectPr>
          <w:pgSz w:w="11900" w:h="16838" w:orient="portrait"/>
          <w:cols w:equalWidth="0" w:num="1">
            <w:col w:w="11420"/>
          </w:cols>
          <w:pgMar w:left="240" w:top="274" w:right="239" w:bottom="1440" w:gutter="0" w:footer="0" w:header="0"/>
        </w:sectPr>
      </w:pPr>
    </w:p>
    <w:bookmarkStart w:id="8" w:name="page9"/>
    <w:bookmarkEnd w:id="8"/>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filings of the Company’s Annual Report on Form 10-K for fiscal year 2016, ended January 30, 2016, and its Quarterly Reports on Form 10-Q for the second and third quarters of fiscal 2016, were completed on July 21, 2016. The preparation and filing of the Company’s Quarterly Report on Form 10-Q for the first quarter of fiscal 2017 ended April 30, 2016 has not yet been completed. The Company is working diligently to complete the preparation and filing of the Form 10-Q for the first quarter of 2017 as soon as practicable, at which time Marvell believes it will regain full compliance with Nasdaq continued listing requirements.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320"/>
        <w:spacing w:after="0" w:line="259" w:lineRule="auto"/>
        <w:rPr>
          <w:sz w:val="20"/>
          <w:szCs w:val="20"/>
          <w:color w:val="auto"/>
        </w:rPr>
      </w:pPr>
      <w:r>
        <w:rPr>
          <w:rFonts w:ascii="Arial" w:cs="Arial" w:eastAsia="Arial" w:hAnsi="Arial"/>
          <w:sz w:val="18"/>
          <w:szCs w:val="18"/>
          <w:color w:val="auto"/>
        </w:rPr>
        <w:t>Marvell will conduct a conference call on Wednesday, July 27, 2016 at 1:45 p.m. Pacific Time to discuss results for the first quarter of fiscal year 2017. Interested parties may join the conference call by dialing 1-844-647-5488 or 1-615-247-0258, pass-code 54569096. The call will be webcast by Thomson Reuters and can be accessed at the Marvell Investor Relations website at http://investor.marvell.com/ with a replay available following the call until August 27, 2016.</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 Non-GAAP diluted net income per share is calculated by dividing non-GAAP net income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92"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w:t>
      </w:r>
    </w:p>
    <w:p>
      <w:pPr>
        <w:sectPr>
          <w:pgSz w:w="11900" w:h="16838" w:orient="portrait"/>
          <w:cols w:equalWidth="0" w:num="1">
            <w:col w:w="11400"/>
          </w:cols>
          <w:pgMar w:left="240" w:top="274" w:right="259" w:bottom="1440" w:gutter="0" w:footer="0" w:header="0"/>
        </w:sectPr>
      </w:pPr>
    </w:p>
    <w:bookmarkStart w:id="9" w:name="page10"/>
    <w:bookmarkEnd w:id="9"/>
    <w:p>
      <w:pPr>
        <w:ind w:right="1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87"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130" w:lineRule="exact"/>
        <w:rPr>
          <w:rFonts w:ascii="Arial" w:cs="Arial" w:eastAsia="Arial" w:hAnsi="Arial"/>
          <w:sz w:val="18"/>
          <w:szCs w:val="18"/>
          <w:color w:val="auto"/>
        </w:rPr>
      </w:pPr>
    </w:p>
    <w:p>
      <w:pPr>
        <w:ind w:left="460" w:right="160" w:hanging="452"/>
        <w:spacing w:after="0" w:line="277"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170"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Marvell’s expectations regarding its second quarter of fiscal 2017 financial outlook; Marvell’s belief regarding the timing of its compliance with Nasdaq listing standards; and</w:t>
      </w:r>
    </w:p>
    <w:p>
      <w:pPr>
        <w:sectPr>
          <w:pgSz w:w="11900" w:h="16838" w:orient="portrait"/>
          <w:cols w:equalWidth="0" w:num="1">
            <w:col w:w="11400"/>
          </w:cols>
          <w:pgMar w:left="240" w:top="274" w:right="259" w:bottom="1440" w:gutter="0" w:footer="0" w:header="0"/>
        </w:sectPr>
      </w:pPr>
    </w:p>
    <w:bookmarkStart w:id="10" w:name="page11"/>
    <w:bookmarkEnd w:id="10"/>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actions that may be taken by Marvell as a result of the Audit Committee’s investigation; adverse impacts of litigation or regulatory activities; Marvell’s ability to hire a permanent Chief Financial Officer and Chief Accounting Officer and Controller in a timely manner; Marvell’s ability to regain compliance with its SEC reporting obligations within the time of the exemption granted by NASDAQ;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latest Annual Report on Form 10-K for the fiscal year ended January 30, 2016 as filed with the SEC on July 21, 2016, and other factors detailed from time to time in Marvell’s filings with the SEC. Marvell undertakes no obligation to revise or update publicly any forward-looking statements.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ectPr>
          <w:pgSz w:w="11900" w:h="16838" w:orient="portrait"/>
          <w:cols w:equalWidth="0" w:num="1">
            <w:col w:w="11420"/>
          </w:cols>
          <w:pgMar w:left="240" w:top="274" w:right="239" w:bottom="1440" w:gutter="0" w:footer="0" w:header="0"/>
        </w:sectPr>
      </w:pPr>
    </w:p>
    <w:bookmarkStart w:id="11" w:name="page12"/>
    <w:bookmarkEnd w:id="11"/>
    <w:p>
      <w:pPr>
        <w:ind w:right="199"/>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w:t>
      </w:r>
      <w:r>
        <w:rPr>
          <w:rFonts w:ascii="Arial" w:cs="Arial" w:eastAsia="Arial" w:hAnsi="Arial"/>
          <w:sz w:val="15"/>
          <w:szCs w:val="15"/>
          <w:color w:val="auto"/>
        </w:rPr>
        <w:t>®</w:t>
      </w:r>
      <w:r>
        <w:rPr>
          <w:rFonts w:ascii="Arial" w:cs="Arial" w:eastAsia="Arial" w:hAnsi="Arial"/>
          <w:sz w:val="18"/>
          <w:szCs w:val="18"/>
          <w:color w:val="auto"/>
        </w:rPr>
        <w:t xml:space="preserve"> and the Marvell logo are registered trademarks of Marvell and/or its affiliates.</w:t>
      </w:r>
    </w:p>
    <w:p>
      <w:pPr>
        <w:sectPr>
          <w:pgSz w:w="11900" w:h="16838" w:orient="portrait"/>
          <w:cols w:equalWidth="0" w:num="1">
            <w:col w:w="10219"/>
          </w:cols>
          <w:pgMar w:left="240" w:top="274" w:right="1440"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6"/>
          </w:tcPr>
          <w:p>
            <w:pPr>
              <w:jc w:val="right"/>
              <w:ind w:right="40"/>
              <w:spacing w:after="0"/>
              <w:rPr>
                <w:sz w:val="20"/>
                <w:szCs w:val="20"/>
                <w:color w:val="auto"/>
              </w:rPr>
            </w:pPr>
            <w:r>
              <w:rPr>
                <w:rFonts w:ascii="Arial" w:cs="Arial" w:eastAsia="Arial" w:hAnsi="Arial"/>
                <w:sz w:val="14"/>
                <w:szCs w:val="14"/>
                <w:b w:val="1"/>
                <w:bCs w:val="1"/>
                <w:color w:val="auto"/>
              </w:rPr>
              <w:t>Three Months Ended</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420" w:type="dxa"/>
            <w:vAlign w:val="bottom"/>
          </w:tcPr>
          <w:p>
            <w:pPr>
              <w:spacing w:after="0"/>
              <w:rPr>
                <w:sz w:val="10"/>
                <w:szCs w:val="10"/>
                <w:color w:val="auto"/>
              </w:rPr>
            </w:pPr>
          </w:p>
        </w:tc>
        <w:tc>
          <w:tcPr>
            <w:tcW w:w="20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gridSpan w:val="2"/>
          </w:tcPr>
          <w:p>
            <w:pPr>
              <w:jc w:val="right"/>
              <w:ind w:right="240"/>
              <w:spacing w:after="0" w:line="119" w:lineRule="exact"/>
              <w:rPr>
                <w:sz w:val="20"/>
                <w:szCs w:val="20"/>
                <w:color w:val="auto"/>
              </w:rPr>
            </w:pPr>
            <w:r>
              <w:rPr>
                <w:rFonts w:ascii="Arial" w:cs="Arial" w:eastAsia="Arial" w:hAnsi="Arial"/>
                <w:sz w:val="13"/>
                <w:szCs w:val="13"/>
                <w:b w:val="1"/>
                <w:bCs w:val="1"/>
                <w:color w:val="auto"/>
              </w:rPr>
              <w:t>April 30,</w:t>
            </w:r>
          </w:p>
        </w:tc>
        <w:tc>
          <w:tcPr>
            <w:tcW w:w="120" w:type="dxa"/>
            <w:vAlign w:val="bottom"/>
          </w:tcPr>
          <w:p>
            <w:pPr>
              <w:spacing w:after="0"/>
              <w:rPr>
                <w:sz w:val="10"/>
                <w:szCs w:val="10"/>
                <w:color w:val="auto"/>
              </w:rPr>
            </w:pPr>
          </w:p>
        </w:tc>
        <w:tc>
          <w:tcPr>
            <w:tcW w:w="10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January 30,</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jc w:val="right"/>
              <w:ind w:right="32"/>
              <w:spacing w:after="0" w:line="119" w:lineRule="exact"/>
              <w:rPr>
                <w:sz w:val="20"/>
                <w:szCs w:val="20"/>
                <w:color w:val="auto"/>
              </w:rPr>
            </w:pPr>
            <w:r>
              <w:rPr>
                <w:rFonts w:ascii="Arial" w:cs="Arial" w:eastAsia="Arial" w:hAnsi="Arial"/>
                <w:sz w:val="13"/>
                <w:szCs w:val="13"/>
                <w:b w:val="1"/>
                <w:bCs w:val="1"/>
                <w:color w:val="auto"/>
              </w:rPr>
              <w:t>May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2016</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2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780" w:type="dxa"/>
            <w:vAlign w:val="bottom"/>
            <w:gridSpan w:val="2"/>
          </w:tcPr>
          <w:p>
            <w:pPr>
              <w:spacing w:after="0" w:line="142" w:lineRule="exact"/>
              <w:rPr>
                <w:sz w:val="20"/>
                <w:szCs w:val="20"/>
                <w:color w:val="auto"/>
              </w:rPr>
            </w:pPr>
            <w:r>
              <w:rPr>
                <w:rFonts w:ascii="Arial" w:cs="Arial" w:eastAsia="Arial" w:hAnsi="Arial"/>
                <w:sz w:val="14"/>
                <w:szCs w:val="14"/>
                <w:color w:val="auto"/>
                <w:w w:val="95"/>
              </w:rPr>
              <w:t>(Preliminary)</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140" w:type="dxa"/>
            <w:vAlign w:val="bottom"/>
            <w:gridSpan w:val="2"/>
            <w:shd w:val="clear" w:color="auto" w:fill="CCEEFF"/>
          </w:tcPr>
          <w:p>
            <w:pPr>
              <w:ind w:left="2040"/>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540,822</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616,158</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724,288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Cost of goods sold</w:t>
            </w:r>
          </w:p>
        </w:tc>
        <w:tc>
          <w:tcPr>
            <w:tcW w:w="20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259,210</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302,610</w:t>
            </w: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351,153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281,612</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313,548</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373,135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Operating expenses:</w:t>
            </w:r>
          </w:p>
        </w:tc>
        <w:tc>
          <w:tcPr>
            <w:tcW w:w="2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241,271</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239,703</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280,114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2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31,379</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31,301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36,174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35,623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37,812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41,027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4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20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2,461</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2,462</w:t>
            </w: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310,734</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311,278</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359,883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4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20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(29,122)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2,270</w:t>
            </w: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1,488</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1,084</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4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20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(27,634)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3,354</w:t>
            </w: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18,419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(4,955)</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(846)</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44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204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(22,679</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4,200</w:t>
            </w: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14,090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6420" w:type="dxa"/>
            <w:vAlign w:val="bottom"/>
          </w:tcPr>
          <w:p>
            <w:pPr>
              <w:spacing w:after="0"/>
              <w:rPr>
                <w:sz w:val="8"/>
                <w:szCs w:val="8"/>
                <w:color w:val="auto"/>
              </w:rPr>
            </w:pPr>
          </w:p>
        </w:tc>
        <w:tc>
          <w:tcPr>
            <w:tcW w:w="20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140" w:type="dxa"/>
            <w:vAlign w:val="bottom"/>
            <w:gridSpan w:val="2"/>
            <w:shd w:val="clear" w:color="auto" w:fill="CCEEFF"/>
          </w:tcPr>
          <w:p>
            <w:pPr>
              <w:ind w:left="2040"/>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0.01</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20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440" w:type="dxa"/>
            <w:vAlign w:val="bottom"/>
            <w:gridSpan w:val="2"/>
            <w:vMerge w:val="continue"/>
          </w:tcPr>
          <w:p>
            <w:pPr>
              <w:spacing w:after="0"/>
              <w:rPr>
                <w:sz w:val="18"/>
                <w:szCs w:val="18"/>
                <w:color w:val="auto"/>
              </w:rPr>
            </w:pPr>
          </w:p>
        </w:tc>
        <w:tc>
          <w:tcPr>
            <w:tcW w:w="204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6420" w:type="dxa"/>
            <w:vAlign w:val="bottom"/>
          </w:tcPr>
          <w:p>
            <w:pPr>
              <w:spacing w:after="0"/>
              <w:rPr>
                <w:sz w:val="8"/>
                <w:szCs w:val="8"/>
                <w:color w:val="auto"/>
              </w:rPr>
            </w:pPr>
          </w:p>
        </w:tc>
        <w:tc>
          <w:tcPr>
            <w:tcW w:w="20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2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508,794</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506,352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516,228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20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508,794</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508,590</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527,167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40"/>
              <w:spacing w:after="0"/>
              <w:rPr>
                <w:sz w:val="20"/>
                <w:szCs w:val="20"/>
                <w:color w:val="auto"/>
              </w:rPr>
            </w:pPr>
            <w:r>
              <w:rPr>
                <w:rFonts w:ascii="Arial" w:cs="Arial" w:eastAsia="Arial" w:hAnsi="Arial"/>
                <w:sz w:val="14"/>
                <w:szCs w:val="14"/>
                <w:b w:val="1"/>
                <w:bCs w:val="1"/>
                <w:color w:val="auto"/>
              </w:rPr>
              <w:t>April 30,</w:t>
            </w:r>
          </w:p>
        </w:tc>
        <w:tc>
          <w:tcPr>
            <w:tcW w:w="140" w:type="dxa"/>
            <w:vAlign w:val="bottom"/>
          </w:tcPr>
          <w:p>
            <w:pPr>
              <w:spacing w:after="0"/>
              <w:rPr>
                <w:sz w:val="14"/>
                <w:szCs w:val="14"/>
                <w:color w:val="auto"/>
              </w:rPr>
            </w:pPr>
          </w:p>
        </w:tc>
        <w:tc>
          <w:tcPr>
            <w:tcW w:w="9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0" w:type="dxa"/>
            <w:vAlign w:val="bottom"/>
            <w:gridSpan w:val="2"/>
          </w:tcPr>
          <w:p>
            <w:pPr>
              <w:spacing w:after="0" w:line="142" w:lineRule="exact"/>
              <w:rPr>
                <w:sz w:val="20"/>
                <w:szCs w:val="20"/>
                <w:color w:val="auto"/>
              </w:rPr>
            </w:pPr>
            <w:r>
              <w:rPr>
                <w:rFonts w:ascii="Arial" w:cs="Arial" w:eastAsia="Arial" w:hAnsi="Arial"/>
                <w:sz w:val="14"/>
                <w:szCs w:val="14"/>
                <w:color w:val="auto"/>
                <w:w w:val="98"/>
              </w:rPr>
              <w:t>(Preliminary)</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1,615,240</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2,282,749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280,658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323,300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196,739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210,017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57,139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102,560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2,149,776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2,918,626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283,584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299,540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8,974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11,296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2,045,009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2,047,955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169,778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164,710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2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4,657,121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93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193,697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180,372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236,514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253,691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Carnegie Mellon University accrued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736,000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54,488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55,722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484,699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1,225,785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72,604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76,219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557,303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1,302,004</w:t>
            </w:r>
          </w:p>
        </w:tc>
        <w:tc>
          <w:tcPr>
            <w:tcW w:w="0" w:type="dxa"/>
            <w:vAlign w:val="bottom"/>
          </w:tcPr>
          <w:p>
            <w:pPr>
              <w:spacing w:after="0"/>
              <w:rPr>
                <w:sz w:val="1"/>
                <w:szCs w:val="1"/>
                <w:color w:val="auto"/>
              </w:rPr>
            </w:pPr>
          </w:p>
        </w:tc>
      </w:tr>
      <w:tr>
        <w:trPr>
          <w:trHeight w:val="331"/>
        </w:trPr>
        <w:tc>
          <w:tcPr>
            <w:tcW w:w="93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Common stock</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1,022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3,038,732</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3,028,921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2,222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Retained earnings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1,057,842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1,110,982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4,099,818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4,140,123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4,657,121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7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20" w:type="dxa"/>
            <w:vAlign w:val="bottom"/>
          </w:tcPr>
          <w:p>
            <w:pPr>
              <w:spacing w:after="0"/>
              <w:rPr>
                <w:sz w:val="10"/>
                <w:szCs w:val="10"/>
                <w:color w:val="auto"/>
              </w:rPr>
            </w:pPr>
          </w:p>
        </w:tc>
        <w:tc>
          <w:tcPr>
            <w:tcW w:w="7740" w:type="dxa"/>
            <w:vAlign w:val="bottom"/>
          </w:tcPr>
          <w:p>
            <w:pPr>
              <w:spacing w:after="0"/>
              <w:rPr>
                <w:sz w:val="10"/>
                <w:szCs w:val="10"/>
                <w:color w:val="auto"/>
              </w:rPr>
            </w:pPr>
          </w:p>
        </w:tc>
        <w:tc>
          <w:tcPr>
            <w:tcW w:w="14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rPr>
              <w:t>April 30,</w:t>
            </w:r>
          </w:p>
        </w:tc>
        <w:tc>
          <w:tcPr>
            <w:tcW w:w="18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111"/>
              <w:spacing w:after="0" w:line="119" w:lineRule="exact"/>
              <w:rPr>
                <w:sz w:val="20"/>
                <w:szCs w:val="20"/>
                <w:color w:val="auto"/>
              </w:rPr>
            </w:pPr>
            <w:r>
              <w:rPr>
                <w:rFonts w:ascii="Arial" w:cs="Arial" w:eastAsia="Arial" w:hAnsi="Arial"/>
                <w:sz w:val="13"/>
                <w:szCs w:val="13"/>
                <w:b w:val="1"/>
                <w:bCs w:val="1"/>
                <w:color w:val="auto"/>
              </w:rPr>
              <w:t>May 2,</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7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774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20" w:type="dxa"/>
            <w:vAlign w:val="bottom"/>
            <w:gridSpan w:val="2"/>
          </w:tcPr>
          <w:p>
            <w:pPr>
              <w:jc w:val="center"/>
              <w:spacing w:after="0" w:line="142" w:lineRule="exact"/>
              <w:rPr>
                <w:sz w:val="20"/>
                <w:szCs w:val="20"/>
                <w:color w:val="auto"/>
              </w:rPr>
            </w:pPr>
            <w:r>
              <w:rPr>
                <w:rFonts w:ascii="Arial" w:cs="Arial" w:eastAsia="Arial" w:hAnsi="Arial"/>
                <w:sz w:val="14"/>
                <w:szCs w:val="14"/>
                <w:color w:val="auto"/>
                <w:w w:val="98"/>
              </w:rPr>
              <w:t>(Preliminary)</w:t>
            </w: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Net income (loss)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(22,679)</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14,090</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21,788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26,620</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24,453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33,221</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2,946</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3,053</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Non-cash restructuring and other related charges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896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573</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Other non-cash expense, net</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1,361</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(561)</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42,642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27,141</w:t>
            </w: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13,598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(31,318)</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Prepaid expenses and other assets </w:t>
            </w:r>
            <w:r>
              <w:rPr>
                <w:rFonts w:ascii="Arial" w:cs="Arial" w:eastAsia="Arial" w:hAnsi="Arial"/>
                <w:sz w:val="18"/>
                <w:szCs w:val="18"/>
                <w:i w:val="1"/>
                <w:iCs w:val="1"/>
                <w:color w:val="auto"/>
              </w:rPr>
              <w:t>(a)</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38,056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1,969</w:t>
            </w: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19,922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17,125</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Accrued liabilities and other non-current liabilities </w:t>
            </w:r>
            <w:r>
              <w:rPr>
                <w:rFonts w:ascii="Arial" w:cs="Arial" w:eastAsia="Arial" w:hAnsi="Arial"/>
                <w:sz w:val="18"/>
                <w:szCs w:val="18"/>
                <w:i w:val="1"/>
                <w:iCs w:val="1"/>
                <w:color w:val="auto"/>
              </w:rPr>
              <w:t>(a)</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(758,502)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(11,576)</w:t>
            </w: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7,152</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(14,424)</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(1,234)</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(7,027)</w:t>
            </w:r>
          </w:p>
        </w:tc>
      </w:tr>
      <w:tr>
        <w:trPr>
          <w:trHeight w:val="223"/>
        </w:trPr>
        <w:tc>
          <w:tcPr>
            <w:tcW w:w="20" w:type="dxa"/>
            <w:vAlign w:val="bottom"/>
          </w:tcPr>
          <w:p>
            <w:pPr>
              <w:spacing w:after="0"/>
              <w:rPr>
                <w:sz w:val="19"/>
                <w:szCs w:val="19"/>
                <w:color w:val="auto"/>
              </w:rPr>
            </w:pPr>
          </w:p>
        </w:tc>
        <w:tc>
          <w:tcPr>
            <w:tcW w:w="7740" w:type="dxa"/>
            <w:vAlign w:val="bottom"/>
          </w:tcPr>
          <w:p>
            <w:pPr>
              <w:ind w:left="1060"/>
              <w:spacing w:after="0"/>
              <w:rPr>
                <w:sz w:val="20"/>
                <w:szCs w:val="20"/>
                <w:color w:val="auto"/>
              </w:rPr>
            </w:pPr>
            <w:r>
              <w:rPr>
                <w:rFonts w:ascii="Arial" w:cs="Arial" w:eastAsia="Arial" w:hAnsi="Arial"/>
                <w:sz w:val="18"/>
                <w:szCs w:val="18"/>
                <w:color w:val="auto"/>
              </w:rPr>
              <w:t>Net cash provided by (used in) operating activities</w:t>
            </w:r>
          </w:p>
        </w:tc>
        <w:tc>
          <w:tcPr>
            <w:tcW w:w="1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(609,601)</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58,868</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(93,365)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(392,900)</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316,310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247,495</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Purchase of time deposits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(50,000)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(4,050)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(3,606)</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(6,542)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(7,334)</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(10,240)</w:t>
            </w:r>
          </w:p>
        </w:tc>
      </w:tr>
      <w:tr>
        <w:trPr>
          <w:trHeight w:val="223"/>
        </w:trPr>
        <w:tc>
          <w:tcPr>
            <w:tcW w:w="20" w:type="dxa"/>
            <w:vAlign w:val="bottom"/>
          </w:tcPr>
          <w:p>
            <w:pPr>
              <w:spacing w:after="0"/>
              <w:rPr>
                <w:sz w:val="19"/>
                <w:szCs w:val="19"/>
                <w:color w:val="auto"/>
              </w:rPr>
            </w:pPr>
          </w:p>
        </w:tc>
        <w:tc>
          <w:tcPr>
            <w:tcW w:w="7740" w:type="dxa"/>
            <w:vAlign w:val="bottom"/>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1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162,353</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(166,585)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(b)</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(20,273)</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13,013</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(15,270)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(22,310)</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(30,461)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(30,910)</w:t>
            </w: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(5,294)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(4,067)</w:t>
            </w: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w:t>
            </w:r>
          </w:p>
        </w:tc>
      </w:tr>
      <w:tr>
        <w:trPr>
          <w:trHeight w:val="230"/>
        </w:trPr>
        <w:tc>
          <w:tcPr>
            <w:tcW w:w="20" w:type="dxa"/>
            <w:vAlign w:val="bottom"/>
          </w:tcPr>
          <w:p>
            <w:pPr>
              <w:spacing w:after="0"/>
              <w:rPr>
                <w:sz w:val="20"/>
                <w:szCs w:val="20"/>
                <w:color w:val="auto"/>
              </w:rPr>
            </w:pPr>
          </w:p>
        </w:tc>
        <w:tc>
          <w:tcPr>
            <w:tcW w:w="7740" w:type="dxa"/>
            <w:vAlign w:val="bottom"/>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14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(50,710)</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(64,529)</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(497,958)</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(172,246)</w:t>
            </w:r>
          </w:p>
        </w:tc>
      </w:tr>
      <w:tr>
        <w:trPr>
          <w:trHeight w:val="230"/>
        </w:trPr>
        <w:tc>
          <w:tcPr>
            <w:tcW w:w="776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14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1,278,180</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1,210,977</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780,222</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1,038,731</w:t>
            </w:r>
          </w:p>
        </w:tc>
      </w:tr>
      <w:tr>
        <w:trPr>
          <w:trHeight w:val="20"/>
        </w:trPr>
        <w:tc>
          <w:tcPr>
            <w:tcW w:w="20" w:type="dxa"/>
            <w:vAlign w:val="bottom"/>
          </w:tcPr>
          <w:p>
            <w:pPr>
              <w:spacing w:after="0" w:line="20" w:lineRule="exact"/>
              <w:rPr>
                <w:sz w:val="1"/>
                <w:szCs w:val="1"/>
                <w:color w:val="auto"/>
              </w:rPr>
            </w:pPr>
          </w:p>
        </w:tc>
        <w:tc>
          <w:tcPr>
            <w:tcW w:w="774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60" w:hanging="452"/>
        <w:spacing w:after="0" w:line="276" w:lineRule="auto"/>
        <w:tabs>
          <w:tab w:leader="none" w:pos="46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In the three months ended April 30, 2016, the Company paid a total of $750.0 million to CMU in connection with the settlement agreement that was reached in February 2016. Of this settlement, the Company recognized a charge of $736.0 million in fiscal 2016. The remaining $14.0 million was recorded in prepaid expenses and other assets, to be recognized in cost of good sold over the remaining term of the license from February 2016 through April 2018. For further detail of the accounting for the settlement, see “Note 15 – Subsequent Events” in the Notes to the Consolidated Financial Statements included in the Company’s Annual Report on Form 10-K for fiscal 2016.</w:t>
      </w:r>
    </w:p>
    <w:p>
      <w:pPr>
        <w:spacing w:after="0" w:line="77" w:lineRule="exact"/>
        <w:rPr>
          <w:rFonts w:ascii="Arial" w:cs="Arial" w:eastAsia="Arial" w:hAnsi="Arial"/>
          <w:sz w:val="17"/>
          <w:szCs w:val="17"/>
          <w:i w:val="1"/>
          <w:iCs w:val="1"/>
          <w:color w:val="auto"/>
        </w:rPr>
      </w:pPr>
    </w:p>
    <w:p>
      <w:pPr>
        <w:ind w:left="460" w:right="20" w:hanging="452"/>
        <w:spacing w:after="0" w:line="259" w:lineRule="auto"/>
        <w:tabs>
          <w:tab w:leader="none" w:pos="46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1.4 million shares repurchased for $22.1 million in the first quarter of fiscal 2016, adjusted for repurchases of $1.8 million made within the final three days of the quarter that are accrued but not yet paid due to the standard settlement period that normally takes up to three days.</w:t>
      </w:r>
    </w:p>
    <w:p>
      <w:pPr>
        <w:sectPr>
          <w:pgSz w:w="11900" w:h="16838" w:orient="portrait"/>
          <w:cols w:equalWidth="0" w:num="1">
            <w:col w:w="11420"/>
          </w:cols>
          <w:pgMar w:left="240" w:top="270"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4"/>
          </w:tcPr>
          <w:p>
            <w:pPr>
              <w:jc w:val="right"/>
              <w:ind w:right="140"/>
              <w:spacing w:after="0"/>
              <w:rPr>
                <w:sz w:val="20"/>
                <w:szCs w:val="20"/>
                <w:color w:val="auto"/>
              </w:rPr>
            </w:pPr>
            <w:r>
              <w:rPr>
                <w:rFonts w:ascii="Arial" w:cs="Arial" w:eastAsia="Arial" w:hAnsi="Arial"/>
                <w:sz w:val="14"/>
                <w:szCs w:val="14"/>
                <w:b w:val="1"/>
                <w:bCs w:val="1"/>
                <w:color w:val="auto"/>
                <w:w w:val="93"/>
              </w:rPr>
              <w:t>Three Months Ended</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00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40" w:type="dxa"/>
            <w:vAlign w:val="bottom"/>
            <w:gridSpan w:val="2"/>
          </w:tcPr>
          <w:p>
            <w:pPr>
              <w:jc w:val="right"/>
              <w:ind w:right="280"/>
              <w:spacing w:after="0" w:line="119" w:lineRule="exact"/>
              <w:rPr>
                <w:sz w:val="20"/>
                <w:szCs w:val="20"/>
                <w:color w:val="auto"/>
              </w:rPr>
            </w:pPr>
            <w:r>
              <w:rPr>
                <w:rFonts w:ascii="Arial" w:cs="Arial" w:eastAsia="Arial" w:hAnsi="Arial"/>
                <w:sz w:val="13"/>
                <w:szCs w:val="13"/>
                <w:b w:val="1"/>
                <w:bCs w:val="1"/>
                <w:color w:val="auto"/>
              </w:rPr>
              <w:t>April 30,</w:t>
            </w:r>
          </w:p>
        </w:tc>
        <w:tc>
          <w:tcPr>
            <w:tcW w:w="340" w:type="dxa"/>
            <w:vAlign w:val="bottom"/>
          </w:tcPr>
          <w:p>
            <w:pPr>
              <w:spacing w:after="0"/>
              <w:rPr>
                <w:sz w:val="10"/>
                <w:szCs w:val="10"/>
                <w:color w:val="auto"/>
              </w:rPr>
            </w:pPr>
          </w:p>
        </w:tc>
        <w:tc>
          <w:tcPr>
            <w:tcW w:w="11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January 30,</w:t>
            </w: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tcPr>
          <w:p>
            <w:pPr>
              <w:jc w:val="right"/>
              <w:ind w:right="51"/>
              <w:spacing w:after="0" w:line="119" w:lineRule="exact"/>
              <w:rPr>
                <w:sz w:val="20"/>
                <w:szCs w:val="20"/>
                <w:color w:val="auto"/>
              </w:rPr>
            </w:pPr>
            <w:r>
              <w:rPr>
                <w:rFonts w:ascii="Arial" w:cs="Arial" w:eastAsia="Arial" w:hAnsi="Arial"/>
                <w:sz w:val="13"/>
                <w:szCs w:val="13"/>
                <w:b w:val="1"/>
                <w:bCs w:val="1"/>
                <w:color w:val="auto"/>
              </w:rPr>
              <w:t>May 2,</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2016</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2016</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00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800" w:type="dxa"/>
            <w:vAlign w:val="bottom"/>
            <w:gridSpan w:val="2"/>
          </w:tcPr>
          <w:p>
            <w:pPr>
              <w:ind w:left="20"/>
              <w:spacing w:after="0" w:line="142" w:lineRule="exact"/>
              <w:rPr>
                <w:sz w:val="20"/>
                <w:szCs w:val="20"/>
                <w:color w:val="auto"/>
              </w:rPr>
            </w:pPr>
            <w:r>
              <w:rPr>
                <w:rFonts w:ascii="Arial" w:cs="Arial" w:eastAsia="Arial" w:hAnsi="Arial"/>
                <w:sz w:val="14"/>
                <w:szCs w:val="14"/>
                <w:color w:val="auto"/>
                <w:w w:val="95"/>
              </w:rPr>
              <w:t>(Preliminary)</w:t>
            </w: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208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(22,679)</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4,200</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14,090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24,453</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32,419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33,221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4,441</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4,396</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2,946</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2,947</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3,493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100</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3,791</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(1,700)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00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(2,743)</w:t>
            </w: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6,754</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21,382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96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6,518</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54,507</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71,078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2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shares—diluted</w:t>
            </w:r>
          </w:p>
        </w:tc>
        <w:tc>
          <w:tcPr>
            <w:tcW w:w="19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20" w:type="dxa"/>
            <w:vAlign w:val="bottom"/>
            <w:gridSpan w:val="2"/>
            <w:vMerge w:val="continue"/>
          </w:tcPr>
          <w:p>
            <w:pPr>
              <w:spacing w:after="0"/>
              <w:rPr>
                <w:sz w:val="18"/>
                <w:szCs w:val="18"/>
                <w:color w:val="auto"/>
              </w:rPr>
            </w:pPr>
          </w:p>
        </w:tc>
        <w:tc>
          <w:tcPr>
            <w:tcW w:w="196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508,794</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508,590</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527,167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Non-GAAP adjustment</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13,569</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9,978</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7,993</w:t>
            </w:r>
          </w:p>
        </w:tc>
        <w:tc>
          <w:tcPr>
            <w:tcW w:w="0" w:type="dxa"/>
            <w:vAlign w:val="bottom"/>
          </w:tcPr>
          <w:p>
            <w:pPr>
              <w:spacing w:after="0"/>
              <w:rPr>
                <w:sz w:val="1"/>
                <w:szCs w:val="1"/>
                <w:color w:val="auto"/>
              </w:rPr>
            </w:pPr>
          </w:p>
        </w:tc>
      </w:tr>
      <w:tr>
        <w:trPr>
          <w:trHeight w:val="223"/>
        </w:trPr>
        <w:tc>
          <w:tcPr>
            <w:tcW w:w="60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96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522,363</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518,568</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535,160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(0.04)</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0.01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0"/>
        </w:trPr>
        <w:tc>
          <w:tcPr>
            <w:tcW w:w="60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9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20" w:type="dxa"/>
            <w:vAlign w:val="bottom"/>
            <w:gridSpan w:val="2"/>
            <w:vMerge w:val="continue"/>
          </w:tcPr>
          <w:p>
            <w:pPr>
              <w:spacing w:after="0"/>
              <w:rPr>
                <w:sz w:val="18"/>
                <w:szCs w:val="18"/>
                <w:color w:val="auto"/>
              </w:rPr>
            </w:pPr>
          </w:p>
        </w:tc>
        <w:tc>
          <w:tcPr>
            <w:tcW w:w="196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208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281,612</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313,548</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373,135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1,802</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1,862</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1,547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485</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485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925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3,711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(1,700)</w:t>
            </w:r>
          </w:p>
        </w:tc>
        <w:tc>
          <w:tcPr>
            <w:tcW w:w="0" w:type="dxa"/>
            <w:vAlign w:val="bottom"/>
          </w:tcPr>
          <w:p>
            <w:pPr>
              <w:spacing w:after="0"/>
              <w:rPr>
                <w:sz w:val="1"/>
                <w:szCs w:val="1"/>
                <w:color w:val="auto"/>
              </w:rPr>
            </w:pPr>
          </w:p>
        </w:tc>
      </w:tr>
      <w:tr>
        <w:trPr>
          <w:trHeight w:val="223"/>
        </w:trPr>
        <w:tc>
          <w:tcPr>
            <w:tcW w:w="60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96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283,899</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319,613</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373,907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52.1%</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0.3%</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0.1%</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0"/>
        </w:trPr>
        <w:tc>
          <w:tcPr>
            <w:tcW w:w="60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9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6020" w:type="dxa"/>
            <w:vAlign w:val="bottom"/>
            <w:gridSpan w:val="2"/>
            <w:vMerge w:val="continue"/>
          </w:tcPr>
          <w:p>
            <w:pPr>
              <w:spacing w:after="0"/>
              <w:rPr>
                <w:sz w:val="19"/>
                <w:szCs w:val="19"/>
                <w:color w:val="auto"/>
              </w:rPr>
            </w:pPr>
          </w:p>
        </w:tc>
        <w:tc>
          <w:tcPr>
            <w:tcW w:w="1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52.5%</w:t>
            </w: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51.9%</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51.6%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208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241,271</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239,703</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280,114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(24,396)</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w w:val="98"/>
              </w:rPr>
              <w:t>(23,630)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(24,781)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(813)</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(3,703)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49</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(3,485)</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96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216,111</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208,885</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255,333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2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2080" w:type="dxa"/>
            <w:vAlign w:val="bottom"/>
            <w:gridSpan w:val="2"/>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20" w:type="dxa"/>
            <w:vAlign w:val="bottom"/>
            <w:gridSpan w:val="2"/>
            <w:vMerge w:val="continue"/>
          </w:tcPr>
          <w:p>
            <w:pPr>
              <w:spacing w:after="0"/>
              <w:rPr>
                <w:sz w:val="18"/>
                <w:szCs w:val="18"/>
                <w:color w:val="auto"/>
              </w:rPr>
            </w:pPr>
          </w:p>
        </w:tc>
        <w:tc>
          <w:tcPr>
            <w:tcW w:w="1960" w:type="dxa"/>
            <w:vAlign w:val="bottom"/>
          </w:tcPr>
          <w:p>
            <w:pPr>
              <w:spacing w:after="0"/>
              <w:rPr>
                <w:sz w:val="18"/>
                <w:szCs w:val="18"/>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31,379</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31,301</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36,174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(2,942)</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(3,214)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(118)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(304)</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02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96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28,134</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27,576</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33,597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208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35,623</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37,812</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41,027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4,687</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(3,713)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(4,316)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(3,629)</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(568)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(100)</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(80)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(886)</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(18,302)</w:t>
            </w:r>
          </w:p>
        </w:tc>
        <w:tc>
          <w:tcPr>
            <w:tcW w:w="0" w:type="dxa"/>
            <w:vAlign w:val="bottom"/>
          </w:tcPr>
          <w:p>
            <w:pPr>
              <w:spacing w:after="0"/>
              <w:rPr>
                <w:sz w:val="1"/>
                <w:szCs w:val="1"/>
                <w:color w:val="auto"/>
              </w:rPr>
            </w:pPr>
          </w:p>
        </w:tc>
      </w:tr>
      <w:tr>
        <w:trPr>
          <w:trHeight w:val="223"/>
        </w:trPr>
        <w:tc>
          <w:tcPr>
            <w:tcW w:w="602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196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35,695</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30,575</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17,817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GAAP provision (benefit) for income taxes</w:t>
            </w:r>
          </w:p>
        </w:tc>
        <w:tc>
          <w:tcPr>
            <w:tcW w:w="208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(4,955)</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(846)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9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3,884</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(3,080)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Non-GAAP provision (benefit) for income taxes</w:t>
            </w:r>
          </w:p>
        </w:tc>
        <w:tc>
          <w:tcPr>
            <w:tcW w:w="1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(1,071)</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(846)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1,249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6" w:name="page17"/>
    <w:bookmarkEnd w:id="16"/>
    <w:p>
      <w:pPr>
        <w:ind w:left="452" w:hanging="452"/>
        <w:spacing w:after="0" w:line="255" w:lineRule="auto"/>
        <w:tabs>
          <w:tab w:leader="none" w:pos="452"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 and other related charges include costs that qualify under U.S. GAAP as restructuring costs and other incremental charges that are a direct result of restructuring. For the three months ended April 30, 2016, such charges include $3.5 million for a remaining lease obligation and $0.9 million for the impairment of certain mobile-related equipment. For the three months ended January 30, 2016, such other related charges include $0.4 million for the impairment of certain leasehold improvements due to the restructuring of the mobile platform business, in addition to $4.0 million of restructuring charges, primarily for severance and facility-related costs. For the three months ended May 2, 2015, such charges includes $0.6 million for the impairment of equipment held for sale.</w:t>
      </w:r>
    </w:p>
    <w:p>
      <w:pPr>
        <w:spacing w:after="0" w:line="98" w:lineRule="exact"/>
        <w:rPr>
          <w:rFonts w:ascii="Arial" w:cs="Arial" w:eastAsia="Arial" w:hAnsi="Arial"/>
          <w:sz w:val="18"/>
          <w:szCs w:val="18"/>
          <w:i w:val="1"/>
          <w:iCs w:val="1"/>
          <w:color w:val="auto"/>
        </w:rPr>
      </w:pPr>
    </w:p>
    <w:p>
      <w:pPr>
        <w:ind w:left="452" w:hanging="452"/>
        <w:spacing w:after="0"/>
        <w:tabs>
          <w:tab w:leader="none" w:pos="452"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amounts recorded represent charges recognized for pending litigation proceedings.</w:t>
      </w:r>
    </w:p>
    <w:p>
      <w:pPr>
        <w:spacing w:after="0" w:line="130" w:lineRule="exact"/>
        <w:rPr>
          <w:rFonts w:ascii="Arial" w:cs="Arial" w:eastAsia="Arial" w:hAnsi="Arial"/>
          <w:sz w:val="18"/>
          <w:szCs w:val="18"/>
          <w:i w:val="1"/>
          <w:iCs w:val="1"/>
          <w:color w:val="auto"/>
        </w:rPr>
      </w:pPr>
    </w:p>
    <w:p>
      <w:pPr>
        <w:ind w:left="452" w:right="120" w:hanging="452"/>
        <w:spacing w:after="0" w:line="302" w:lineRule="auto"/>
        <w:tabs>
          <w:tab w:leader="none" w:pos="452"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Other costs include a $3.9 million tax effect from restructuring charges within the income tax provision for the three months ended April 30, 2016. Other costs for each of the three months ended April 30, 2016 and January 30, 2016 include expenses related to retention bonuses offered to mobile employees expected to remain through the ramp down of certain operations. Other costs for the three months ended May 2, 2015 include a payment of $15.4 million to Dr. Sehat Surtardja, the Company’s former Chief Executive Officer, and its related tax effect on the income tax provision.</w:t>
      </w:r>
    </w:p>
    <w:p>
      <w:pPr>
        <w:spacing w:after="0" w:line="59" w:lineRule="exact"/>
        <w:rPr>
          <w:rFonts w:ascii="Arial" w:cs="Arial" w:eastAsia="Arial" w:hAnsi="Arial"/>
          <w:sz w:val="16"/>
          <w:szCs w:val="16"/>
          <w:i w:val="1"/>
          <w:iCs w:val="1"/>
          <w:color w:val="auto"/>
        </w:rPr>
      </w:pPr>
    </w:p>
    <w:p>
      <w:pPr>
        <w:ind w:left="452" w:right="100" w:hanging="452"/>
        <w:spacing w:after="0" w:line="342" w:lineRule="auto"/>
        <w:tabs>
          <w:tab w:leader="none" w:pos="452"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sectPr>
      <w:pgSz w:w="11900" w:h="16838" w:orient="portrait"/>
      <w:cols w:equalWidth="0" w:num="1">
        <w:col w:w="11412"/>
      </w:cols>
      <w:pgMar w:left="248"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lowerLetter"/>
      <w:start w:val="4"/>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2019-12-06T21:25:42Z</dcterms:created>
  <dcterms:modified xsi:type="dcterms:W3CDTF">2019-12-06T21:25:42Z</dcterms:modified>
</cp:coreProperties>
</file>