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25"/>
          <w:szCs w:val="25"/>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8" w:lineRule="exact"/>
        <w:rPr>
          <w:sz w:val="24"/>
          <w:szCs w:val="24"/>
          <w:color w:val="auto"/>
        </w:rPr>
      </w:pPr>
    </w:p>
    <w:p>
      <w:pPr>
        <w:jc w:val="center"/>
        <w:ind w:right="-339"/>
        <w:spacing w:after="0"/>
        <w:rPr>
          <w:sz w:val="20"/>
          <w:szCs w:val="20"/>
          <w:color w:val="auto"/>
        </w:rPr>
      </w:pPr>
      <w:r>
        <w:rPr>
          <w:rFonts w:ascii="Arial" w:cs="Arial" w:eastAsia="Arial" w:hAnsi="Arial"/>
          <w:sz w:val="25"/>
          <w:szCs w:val="25"/>
          <w:b w:val="1"/>
          <w:bCs w:val="1"/>
          <w:color w:val="auto"/>
        </w:rPr>
        <w:t>SECURITIES AND EXCHANGE COMMISSION</w:t>
      </w:r>
    </w:p>
    <w:p>
      <w:pPr>
        <w:spacing w:after="0" w:line="6"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w:t>
      </w:r>
    </w:p>
    <w:p>
      <w:pPr>
        <w:jc w:val="center"/>
        <w:ind w:right="-3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2620"/>
        <w:spacing w:after="0"/>
        <w:rPr>
          <w:sz w:val="20"/>
          <w:szCs w:val="20"/>
          <w:color w:val="auto"/>
        </w:rPr>
      </w:pPr>
      <w:r>
        <w:rPr>
          <w:rFonts w:ascii="Arial" w:cs="Arial" w:eastAsia="Arial" w:hAnsi="Arial"/>
          <w:sz w:val="22"/>
          <w:szCs w:val="22"/>
          <w:b w:val="1"/>
          <w:bCs w:val="1"/>
          <w:color w:val="auto"/>
        </w:rPr>
        <w:t>Date of Report (Date of earliest event reported): September 6,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8" w:lineRule="exact"/>
        <w:rPr>
          <w:sz w:val="24"/>
          <w:szCs w:val="24"/>
          <w:color w:val="auto"/>
        </w:rPr>
      </w:pPr>
    </w:p>
    <w:p>
      <w:pPr>
        <w:jc w:val="center"/>
        <w:ind w:right="-3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80"/>
          </w:cols>
          <w:pgMar w:left="240" w:top="360" w:right="5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1920"/>
          </w:cols>
          <w:pgMar w:left="240" w:top="360" w:right="5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040"/>
          </w:cols>
          <w:pgMar w:left="240" w:top="360" w:right="579" w:bottom="1440" w:gutter="0" w:footer="0" w:header="0"/>
          <w:type w:val="continuous"/>
        </w:sectPr>
      </w:pPr>
    </w:p>
    <w:p>
      <w:pPr>
        <w:spacing w:after="0" w:line="222" w:lineRule="exact"/>
        <w:rPr>
          <w:sz w:val="24"/>
          <w:szCs w:val="24"/>
          <w:color w:val="auto"/>
        </w:rPr>
      </w:pPr>
    </w:p>
    <w:p>
      <w:pPr>
        <w:jc w:val="center"/>
        <w:ind w:right="-359"/>
        <w:spacing w:after="0"/>
        <w:rPr>
          <w:sz w:val="20"/>
          <w:szCs w:val="20"/>
          <w:color w:val="auto"/>
        </w:rPr>
      </w:pPr>
      <w:r>
        <w:rPr>
          <w:rFonts w:ascii="Arial" w:cs="Arial" w:eastAsia="Arial" w:hAnsi="Arial"/>
          <w:sz w:val="18"/>
          <w:szCs w:val="18"/>
          <w:b w:val="1"/>
          <w:bCs w:val="1"/>
          <w:color w:val="auto"/>
        </w:rPr>
        <w:t>22 Victoria Street</w:t>
      </w:r>
    </w:p>
    <w:p>
      <w:pPr>
        <w:spacing w:after="0" w:line="27" w:lineRule="exact"/>
        <w:rPr>
          <w:sz w:val="24"/>
          <w:szCs w:val="24"/>
          <w:color w:val="auto"/>
        </w:rPr>
      </w:pPr>
    </w:p>
    <w:p>
      <w:pPr>
        <w:jc w:val="center"/>
        <w:ind w:right="-3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3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3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3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233680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80"/>
          </w:cols>
          <w:pgMar w:left="240" w:top="360" w:right="579" w:bottom="1440" w:gutter="0" w:footer="0" w:header="0"/>
          <w:type w:val="continuous"/>
        </w:sectPr>
      </w:pPr>
    </w:p>
    <w:p>
      <w:pPr>
        <w:spacing w:after="0" w:line="200" w:lineRule="exact"/>
        <w:rPr>
          <w:sz w:val="24"/>
          <w:szCs w:val="24"/>
          <w:color w:val="auto"/>
        </w:rPr>
      </w:pPr>
    </w:p>
    <w:p>
      <w:pPr>
        <w:spacing w:after="0" w:line="384" w:lineRule="exact"/>
        <w:rPr>
          <w:sz w:val="24"/>
          <w:szCs w:val="24"/>
          <w:color w:val="auto"/>
        </w:rPr>
      </w:pPr>
    </w:p>
    <w:p>
      <w:pPr>
        <w:ind w:firstLine="456"/>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80"/>
          </w:cols>
          <w:pgMar w:left="240" w:top="360" w:right="5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80" w:firstLine="456"/>
        <w:spacing w:after="0" w:line="308" w:lineRule="auto"/>
        <w:rPr>
          <w:sz w:val="20"/>
          <w:szCs w:val="20"/>
          <w:color w:val="auto"/>
        </w:rPr>
      </w:pPr>
      <w:r>
        <w:rPr>
          <w:rFonts w:ascii="Arial" w:cs="Arial" w:eastAsia="Arial" w:hAnsi="Arial"/>
          <w:sz w:val="17"/>
          <w:szCs w:val="17"/>
          <w:color w:val="auto"/>
        </w:rPr>
        <w:t>On September 6, 2016, Marvell Technology Group Ltd. (“Marvell”) issued a press release reporting its financial results for the second quarter of fiscal 2017 ended July 30, 2016. A copy of the press release is furnished herewith as Exhibit 99.1 and is incorporated by reference herein.</w:t>
      </w:r>
    </w:p>
    <w:p>
      <w:pPr>
        <w:spacing w:after="0" w:line="14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Marvell will conduct a conference call on Tuesday, September 6, 2016 at 5:15 a.m. Pacific Time/8:15 a.m. Eastern time to discuss results for the second quarter of fiscal 2017. Interested parties may join the conference call by dialing 1-844-647-5488 or 1-615-247-0258, pass-code 63627351. The call will be webcast by Thomson Reuters and can be accessed at the Marvell Investor Relations website at http://investor.marvell.com/ with a replay available following the call until October 6, 2016.</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rFonts w:ascii="Arial" w:cs="Arial" w:eastAsia="Arial" w:hAnsi="Arial"/>
          <w:sz w:val="18"/>
          <w:szCs w:val="18"/>
          <w:color w:val="auto"/>
        </w:rPr>
      </w:pPr>
    </w:p>
    <w:p>
      <w:pPr>
        <w:ind w:left="1480"/>
        <w:spacing w:after="0"/>
        <w:rPr>
          <w:rFonts w:ascii="Arial" w:cs="Arial" w:eastAsia="Arial" w:hAnsi="Arial"/>
          <w:sz w:val="18"/>
          <w:szCs w:val="18"/>
          <w:color w:val="auto"/>
        </w:rPr>
      </w:pPr>
      <w:r>
        <w:rPr>
          <w:rFonts w:ascii="Arial" w:cs="Arial" w:eastAsia="Arial" w:hAnsi="Arial"/>
          <w:sz w:val="18"/>
          <w:szCs w:val="18"/>
          <w:color w:val="auto"/>
        </w:rPr>
        <w:t>99.1  Press Release dated September 6, 2016</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September 6,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-130810</wp:posOffset>
            </wp:positionV>
            <wp:extent cx="289877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20"/>
                <w:szCs w:val="20"/>
                <w:color w:val="auto"/>
              </w:rPr>
            </w:pPr>
            <w:r>
              <w:rPr>
                <w:rFonts w:ascii="Arial" w:cs="Arial" w:eastAsia="Arial" w:hAnsi="Arial"/>
                <w:sz w:val="14"/>
                <w:szCs w:val="14"/>
                <w:b w:val="1"/>
                <w:bCs w:val="1"/>
                <w:color w:val="auto"/>
                <w:w w:val="95"/>
              </w:rPr>
              <w:t>Exhibit No.</w:t>
            </w:r>
          </w:p>
        </w:tc>
        <w:tc>
          <w:tcPr>
            <w:tcW w:w="380" w:type="dxa"/>
            <w:vAlign w:val="bottom"/>
          </w:tcPr>
          <w:p>
            <w:pPr>
              <w:spacing w:after="0"/>
              <w:rPr>
                <w:sz w:val="14"/>
                <w:szCs w:val="14"/>
                <w:color w:val="auto"/>
              </w:rPr>
            </w:pPr>
          </w:p>
        </w:tc>
        <w:tc>
          <w:tcPr>
            <w:tcW w:w="3220" w:type="dxa"/>
            <w:vAlign w:val="bottom"/>
            <w:gridSpan w:val="3"/>
          </w:tcPr>
          <w:p>
            <w:pPr>
              <w:ind w:left="4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7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318"/>
        </w:trPr>
        <w:tc>
          <w:tcPr>
            <w:tcW w:w="720" w:type="dxa"/>
            <w:vAlign w:val="bottom"/>
          </w:tcPr>
          <w:p>
            <w:pPr>
              <w:spacing w:after="0"/>
              <w:rPr>
                <w:sz w:val="20"/>
                <w:szCs w:val="20"/>
                <w:color w:val="auto"/>
              </w:rPr>
            </w:pPr>
            <w:r>
              <w:rPr>
                <w:rFonts w:ascii="Arial" w:cs="Arial" w:eastAsia="Arial" w:hAnsi="Arial"/>
                <w:sz w:val="18"/>
                <w:szCs w:val="18"/>
                <w:color w:val="auto"/>
              </w:rPr>
              <w:t>99.1</w:t>
            </w:r>
          </w:p>
        </w:tc>
        <w:tc>
          <w:tcPr>
            <w:tcW w:w="380" w:type="dxa"/>
            <w:vAlign w:val="bottom"/>
          </w:tcPr>
          <w:p>
            <w:pPr>
              <w:spacing w:after="0"/>
              <w:rPr>
                <w:sz w:val="24"/>
                <w:szCs w:val="24"/>
                <w:color w:val="auto"/>
              </w:rPr>
            </w:pPr>
          </w:p>
        </w:tc>
        <w:tc>
          <w:tcPr>
            <w:tcW w:w="3220" w:type="dxa"/>
            <w:vAlign w:val="bottom"/>
            <w:gridSpan w:val="3"/>
          </w:tcPr>
          <w:p>
            <w:pPr>
              <w:ind w:left="400"/>
              <w:spacing w:after="0"/>
              <w:rPr>
                <w:sz w:val="20"/>
                <w:szCs w:val="20"/>
                <w:color w:val="auto"/>
              </w:rPr>
            </w:pPr>
            <w:r>
              <w:rPr>
                <w:rFonts w:ascii="Arial" w:cs="Arial" w:eastAsia="Arial" w:hAnsi="Arial"/>
                <w:sz w:val="18"/>
                <w:szCs w:val="18"/>
                <w:color w:val="auto"/>
                <w:w w:val="86"/>
              </w:rPr>
              <w:t>Press Release dated September 6, 2016</w:t>
            </w:r>
          </w:p>
        </w:tc>
      </w:tr>
    </w:tbl>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5176520</wp:posOffset>
            </wp:positionH>
            <wp:positionV relativeFrom="paragraph">
              <wp:posOffset>172085</wp:posOffset>
            </wp:positionV>
            <wp:extent cx="1792605"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3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80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3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380" w:type="dxa"/>
            <w:vAlign w:val="bottom"/>
            <w:gridSpan w:val="2"/>
          </w:tcPr>
          <w:p>
            <w:pPr>
              <w:ind w:left="2800"/>
              <w:spacing w:after="0"/>
              <w:rPr>
                <w:sz w:val="20"/>
                <w:szCs w:val="20"/>
                <w:color w:val="auto"/>
              </w:rPr>
            </w:pPr>
            <w:r>
              <w:rPr>
                <w:rFonts w:ascii="Arial" w:cs="Arial" w:eastAsia="Arial" w:hAnsi="Arial"/>
                <w:sz w:val="18"/>
                <w:szCs w:val="18"/>
                <w:color w:val="auto"/>
              </w:rPr>
              <w:t>Sue Kim</w:t>
            </w:r>
          </w:p>
        </w:tc>
      </w:tr>
      <w:tr>
        <w:trPr>
          <w:trHeight w:val="216"/>
        </w:trPr>
        <w:tc>
          <w:tcPr>
            <w:tcW w:w="53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380" w:type="dxa"/>
            <w:vAlign w:val="bottom"/>
            <w:gridSpan w:val="2"/>
          </w:tcPr>
          <w:p>
            <w:pPr>
              <w:ind w:left="280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700" w:type="dxa"/>
            <w:vAlign w:val="bottom"/>
          </w:tcPr>
          <w:p>
            <w:pPr>
              <w:spacing w:after="0"/>
              <w:rPr>
                <w:sz w:val="18"/>
                <w:szCs w:val="18"/>
                <w:color w:val="auto"/>
              </w:rPr>
            </w:pPr>
          </w:p>
        </w:tc>
        <w:tc>
          <w:tcPr>
            <w:tcW w:w="4380" w:type="dxa"/>
            <w:vAlign w:val="bottom"/>
            <w:gridSpan w:val="2"/>
          </w:tcPr>
          <w:p>
            <w:pPr>
              <w:ind w:left="280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700" w:type="dxa"/>
            <w:vAlign w:val="bottom"/>
          </w:tcPr>
          <w:p>
            <w:pPr>
              <w:spacing w:after="0"/>
              <w:rPr>
                <w:sz w:val="16"/>
                <w:szCs w:val="16"/>
                <w:color w:val="auto"/>
              </w:rPr>
            </w:pPr>
          </w:p>
        </w:tc>
        <w:tc>
          <w:tcPr>
            <w:tcW w:w="4380" w:type="dxa"/>
            <w:vAlign w:val="bottom"/>
            <w:gridSpan w:val="2"/>
          </w:tcPr>
          <w:p>
            <w:pPr>
              <w:ind w:left="280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280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2017 Financial Results</w:t>
      </w:r>
    </w:p>
    <w:p>
      <w:pPr>
        <w:spacing w:after="0" w:line="256"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$626 Million</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54.1 percent; Non-GAAP Gross Margin 54.6 percent</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Net Income $51 Million; Non-GAAP Net Income: $92 Million</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EPS: $0.10; Non-GAAP Diluted EPS $0.18</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ST Investments: $1.6 Billion</w:t>
      </w:r>
    </w:p>
    <w:p>
      <w:pPr>
        <w:spacing w:after="0" w:line="221" w:lineRule="exact"/>
        <w:rPr>
          <w:sz w:val="20"/>
          <w:szCs w:val="20"/>
          <w:color w:val="auto"/>
        </w:rPr>
      </w:pPr>
    </w:p>
    <w:p>
      <w:pPr>
        <w:ind w:right="840"/>
        <w:spacing w:after="0" w:line="293" w:lineRule="auto"/>
        <w:rPr>
          <w:sz w:val="20"/>
          <w:szCs w:val="20"/>
          <w:color w:val="auto"/>
        </w:rPr>
      </w:pPr>
      <w:r>
        <w:rPr>
          <w:rFonts w:ascii="Arial" w:cs="Arial" w:eastAsia="Arial" w:hAnsi="Arial"/>
          <w:sz w:val="16"/>
          <w:szCs w:val="16"/>
          <w:b w:val="1"/>
          <w:bCs w:val="1"/>
          <w:color w:val="auto"/>
        </w:rPr>
        <w:t xml:space="preserve">Santa Clara, Calif. (September 6, 2016) </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Marvell</w:t>
      </w:r>
      <w:r>
        <w:rPr>
          <w:rFonts w:ascii="Arial" w:cs="Arial" w:eastAsia="Arial" w:hAnsi="Arial"/>
          <w:sz w:val="16"/>
          <w:szCs w:val="16"/>
          <w:b w:val="1"/>
          <w:bCs w:val="1"/>
          <w:color w:val="auto"/>
        </w:rPr>
        <w:t xml:space="preserve"> </w:t>
      </w:r>
      <w:r>
        <w:rPr>
          <w:rFonts w:ascii="Arial" w:cs="Arial" w:eastAsia="Arial" w:hAnsi="Arial"/>
          <w:sz w:val="16"/>
          <w:szCs w:val="16"/>
          <w:color w:val="auto"/>
        </w:rPr>
        <w:t>(NASDAQ:MRVL), a world leader in storage, cloud infrastructure, Internet of Things (IoT),</w:t>
      </w:r>
      <w:r>
        <w:rPr>
          <w:rFonts w:ascii="Arial" w:cs="Arial" w:eastAsia="Arial" w:hAnsi="Arial"/>
          <w:sz w:val="16"/>
          <w:szCs w:val="16"/>
          <w:b w:val="1"/>
          <w:bCs w:val="1"/>
          <w:color w:val="auto"/>
        </w:rPr>
        <w:t xml:space="preserve"> </w:t>
      </w:r>
      <w:r>
        <w:rPr>
          <w:rFonts w:ascii="Arial" w:cs="Arial" w:eastAsia="Arial" w:hAnsi="Arial"/>
          <w:sz w:val="16"/>
          <w:szCs w:val="16"/>
          <w:color w:val="auto"/>
        </w:rPr>
        <w:t>connectivity and multimedia semiconductor solutions, today reported financial results for the second quarter of fiscal year 2017, ended July 30,</w:t>
      </w:r>
    </w:p>
    <w:p>
      <w:pPr>
        <w:spacing w:after="0" w:line="1" w:lineRule="exact"/>
        <w:rPr>
          <w:sz w:val="20"/>
          <w:szCs w:val="20"/>
          <w:color w:val="auto"/>
        </w:rPr>
      </w:pPr>
    </w:p>
    <w:p>
      <w:pPr>
        <w:ind w:right="580"/>
        <w:spacing w:after="0" w:line="261" w:lineRule="auto"/>
        <w:rPr>
          <w:sz w:val="20"/>
          <w:szCs w:val="20"/>
          <w:color w:val="auto"/>
        </w:rPr>
      </w:pPr>
      <w:r>
        <w:rPr>
          <w:rFonts w:ascii="Arial" w:cs="Arial" w:eastAsia="Arial" w:hAnsi="Arial"/>
          <w:sz w:val="18"/>
          <w:szCs w:val="18"/>
          <w:color w:val="auto"/>
        </w:rPr>
        <w:t>2016. Revenues for the second quarter of fiscal 2017 were $626 million, up approximately 16 percent from $541 million in the prior quarter and down approximately 12 percent from the same quarter of last year.</w:t>
      </w:r>
    </w:p>
    <w:p>
      <w:pPr>
        <w:spacing w:after="0" w:line="184"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“We experienced a seasonally strong second quarter, driven by solid demand from customers across storage, networking, and wireless end markets,” said Matt Murphy, President and CEO. “We are also beginning to see the benefits of improved focus on product cost as well as a more disciplined approach to spending, which resulted in better than expected earnings per share.”</w:t>
      </w:r>
    </w:p>
    <w:p>
      <w:pPr>
        <w:spacing w:after="0" w:line="181"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In the second quarter of fiscal 2017, storage revenue increased 13 percent sequentially, reflecting higher HDD and SSD demand. Networking revenue in the second quarter of fiscal 2017 grew 12 percent sequentially due to continued strength in enterprise networking demand. Mobile and wireless revenue grew 21 percent sequentially, mainly driven by seasonal game console production ramps. Mobile handset-related revenues in the second quarter of fiscal 2017 were $9 million, down from $22 million in the first quarter, reflecting the anticipated declines due to the restructuring actions announced on September 24, 2015.</w:t>
      </w:r>
    </w:p>
    <w:p>
      <w:pPr>
        <w:sectPr>
          <w:pgSz w:w="11900" w:h="16838" w:orient="portrait"/>
          <w:cols w:equalWidth="0" w:num="1">
            <w:col w:w="11420"/>
          </w:cols>
          <w:pgMar w:left="240" w:top="121" w:right="239" w:bottom="1440" w:gutter="0" w:footer="0" w:header="0"/>
        </w:sectPr>
      </w:pPr>
    </w:p>
    <w:bookmarkStart w:id="5" w:name="page6"/>
    <w:bookmarkEnd w:id="5"/>
    <w:p>
      <w:pPr>
        <w:ind w:right="3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Net income on a GAAP basis for the second quarter of fiscal 2017 was $51 million, or $0.10 per diluted share. On a non-GAAP basis, net income for the second fiscal quarter of 2017 was $92 million, or $0.18 per diluted share.</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2017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September 5, 2016.</w:t>
      </w:r>
    </w:p>
    <w:p>
      <w:pPr>
        <w:spacing w:after="0" w:line="76" w:lineRule="exact"/>
        <w:rPr>
          <w:sz w:val="20"/>
          <w:szCs w:val="20"/>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flat to down 4 percent from the second quarter.</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in the range of 52 percent to 54 percent.</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Operating Expenses are expected to be approximately flat from the second quarter.</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EPS are expected to be in the range of $0.03 to $0.08.</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are expected to be in the range of $0.08 to $0.13.</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Adjustments to Reported Non-GAAP EPS for Q1 FY2017</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the first quarter of fiscal 2017, Marvell reported Non-GAAP diluted net income per share of $0.01. Subsequent to our earnings release on July 27, 2016, the Company discovered an error in the calculation of reported Non-GAAP tax benefit for income tax for the first quarter of fiscal 2017 which resulted in an understatement of our Non-GAAP net income and Non-GAAP EPS (diluted). After correction of this error, Non-GAAP net income increased from $6.5 million, as reported, to $9.3 million, as adjusted, and Non-GAAP EPS (diluted) increased from $0.01 to $0.02 per share. This error had no effect on the Company’s reported GAAP results for the first quarter of fiscal 2017. Refer to the Reconciliation from GAAP to Non-GAAP table and related footnotes at the end of the press release for more details.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Marvell will conduct a conference call on Tuesday, September 6, 2016 at 8:15 a.m. Eastern Time (5:15 a.m. Pacific Time) to discuss results for the second quarter of fiscal year 2017. Interested parties may join the conference call by dialing 1-844-647-5488 or 1-615-247-0258, pass-code 63627351. The call will be webcast by Thomson Reuters and can be accessed at the Marvell Investor Relations website at http://investor.marvell.com/ with a replay available following the call until October 6, 2016.</w:t>
      </w:r>
    </w:p>
    <w:p>
      <w:pPr>
        <w:sectPr>
          <w:pgSz w:w="11900" w:h="16838" w:orient="portrait"/>
          <w:cols w:equalWidth="0" w:num="1">
            <w:col w:w="11420"/>
          </w:cols>
          <w:pgMar w:left="240" w:top="274"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121"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operating performance. Non-GAAP diluted net income per share is calculated by dividing Non-GAAP net income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and to also include the dilutive/anti-dilutive effects of common stock options and restricted stock units, as applicable. The expected compensation costs are treated as proceeds assumed to be used to repurchase shares under the GAAP treasury stock method.</w:t>
      </w:r>
    </w:p>
    <w:p>
      <w:pPr>
        <w:spacing w:after="0" w:line="192"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4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ectPr>
          <w:pgSz w:w="11900" w:h="16838" w:orient="portrait"/>
          <w:cols w:equalWidth="0" w:num="1">
            <w:col w:w="11400"/>
          </w:cols>
          <w:pgMar w:left="240" w:top="270" w:right="259" w:bottom="1440" w:gutter="0" w:footer="0" w:header="0"/>
        </w:sectPr>
      </w:pPr>
    </w:p>
    <w:bookmarkStart w:id="7" w:name="page8"/>
    <w:bookmarkEnd w:id="7"/>
    <w:p>
      <w:pPr>
        <w:ind w:left="460" w:right="160" w:hanging="452"/>
        <w:spacing w:after="0" w:line="277"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Management’s determination of the achievement and measurement of certain performance-based equity awards (adjustments may vary from award to award).</w:t>
      </w:r>
    </w:p>
    <w:p>
      <w:pPr>
        <w:spacing w:after="0" w:line="170"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regarding its third quarter of fiscal 2017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actions that may be taken by Marvell as a result of the Audit Committee’s investigation; adverse impacts of litigation or regulatory activities; Marvell’s ability to hire a Chief Accounting Officer and Controller in a timely manner;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Marvell’s Quarterly Report on Form 10-Q for the fiscal quarter ended April 30, 2016 as filed with the SEC on August 10, 2016, and other factors detailed from time to time in Marvell’s filings with the SEC. Marvell undertakes no obligation to revise or update publicly any forward-looking statements.</w:t>
      </w:r>
    </w:p>
    <w:p>
      <w:pPr>
        <w:sectPr>
          <w:pgSz w:w="11900" w:h="16838" w:orient="portrait"/>
          <w:cols w:equalWidth="0" w:num="1">
            <w:col w:w="11400"/>
          </w:cols>
          <w:pgMar w:left="240" w:top="274"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7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p>
      <w:pPr>
        <w:sectPr>
          <w:pgSz w:w="11900" w:h="16838" w:orient="portrait"/>
          <w:cols w:equalWidth="0" w:num="1">
            <w:col w:w="11400"/>
          </w:cols>
          <w:pgMar w:left="240" w:top="270" w:right="259" w:bottom="1440" w:gutter="0" w:footer="0" w:header="0"/>
        </w:sectPr>
      </w:pPr>
    </w:p>
    <w:bookmarkStart w:id="9" w:name="page10"/>
    <w:bookmarkEnd w:id="9"/>
    <w:p>
      <w:pPr>
        <w:ind w:left="440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ind w:left="368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ind w:left="404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340" w:type="dxa"/>
            <w:vAlign w:val="bottom"/>
            <w:gridSpan w:val="6"/>
          </w:tcPr>
          <w:p>
            <w:pPr>
              <w:jc w:val="right"/>
              <w:spacing w:after="0"/>
              <w:rPr>
                <w:sz w:val="20"/>
                <w:szCs w:val="20"/>
                <w:color w:val="auto"/>
              </w:rPr>
            </w:pPr>
            <w:r>
              <w:rPr>
                <w:rFonts w:ascii="Arial" w:cs="Arial" w:eastAsia="Arial" w:hAnsi="Arial"/>
                <w:sz w:val="14"/>
                <w:szCs w:val="14"/>
                <w:b w:val="1"/>
                <w:bCs w:val="1"/>
                <w:color w:val="auto"/>
                <w:w w:val="92"/>
              </w:rPr>
              <w:t>Three Months Ended</w:t>
            </w: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20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gridSpan w:val="2"/>
          </w:tcPr>
          <w:p>
            <w:pPr>
              <w:jc w:val="right"/>
              <w:ind w:right="180"/>
              <w:spacing w:after="0" w:line="119" w:lineRule="exact"/>
              <w:rPr>
                <w:sz w:val="20"/>
                <w:szCs w:val="20"/>
                <w:color w:val="auto"/>
              </w:rPr>
            </w:pPr>
            <w:r>
              <w:rPr>
                <w:rFonts w:ascii="Arial" w:cs="Arial" w:eastAsia="Arial" w:hAnsi="Arial"/>
                <w:sz w:val="13"/>
                <w:szCs w:val="13"/>
                <w:b w:val="1"/>
                <w:bCs w:val="1"/>
                <w:color w:val="auto"/>
                <w:w w:val="96"/>
              </w:rPr>
              <w:t>July 30,</w:t>
            </w:r>
          </w:p>
        </w:tc>
        <w:tc>
          <w:tcPr>
            <w:tcW w:w="24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3"/>
          </w:tcPr>
          <w:p>
            <w:pPr>
              <w:jc w:val="right"/>
              <w:ind w:right="180"/>
              <w:spacing w:after="0" w:line="119" w:lineRule="exact"/>
              <w:rPr>
                <w:sz w:val="20"/>
                <w:szCs w:val="20"/>
                <w:color w:val="auto"/>
              </w:rPr>
            </w:pPr>
            <w:r>
              <w:rPr>
                <w:rFonts w:ascii="Arial" w:cs="Arial" w:eastAsia="Arial" w:hAnsi="Arial"/>
                <w:sz w:val="13"/>
                <w:szCs w:val="13"/>
                <w:b w:val="1"/>
                <w:bCs w:val="1"/>
                <w:color w:val="auto"/>
              </w:rPr>
              <w:t>April 30,</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tcPr>
          <w:p>
            <w:pPr>
              <w:jc w:val="right"/>
              <w:ind w:right="32"/>
              <w:spacing w:after="0" w:line="119" w:lineRule="exact"/>
              <w:rPr>
                <w:sz w:val="20"/>
                <w:szCs w:val="20"/>
                <w:color w:val="auto"/>
              </w:rPr>
            </w:pPr>
            <w:r>
              <w:rPr>
                <w:rFonts w:ascii="Arial" w:cs="Arial" w:eastAsia="Arial" w:hAnsi="Arial"/>
                <w:sz w:val="13"/>
                <w:szCs w:val="13"/>
                <w:b w:val="1"/>
                <w:bCs w:val="1"/>
                <w:color w:val="auto"/>
                <w:w w:val="97"/>
              </w:rPr>
              <w:t>August 1,</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right"/>
              <w:ind w:right="360"/>
              <w:spacing w:after="0" w:line="119" w:lineRule="exact"/>
              <w:rPr>
                <w:sz w:val="20"/>
                <w:szCs w:val="20"/>
                <w:color w:val="auto"/>
              </w:rPr>
            </w:pPr>
            <w:r>
              <w:rPr>
                <w:rFonts w:ascii="Arial" w:cs="Arial" w:eastAsia="Arial" w:hAnsi="Arial"/>
                <w:sz w:val="13"/>
                <w:szCs w:val="13"/>
                <w:b w:val="1"/>
                <w:bCs w:val="1"/>
                <w:color w:val="auto"/>
              </w:rPr>
              <w:t>July 30,</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32"/>
              <w:spacing w:after="0" w:line="119" w:lineRule="exact"/>
              <w:rPr>
                <w:sz w:val="20"/>
                <w:szCs w:val="20"/>
                <w:color w:val="auto"/>
              </w:rPr>
            </w:pPr>
            <w:r>
              <w:rPr>
                <w:rFonts w:ascii="Arial" w:cs="Arial" w:eastAsia="Arial" w:hAnsi="Arial"/>
                <w:sz w:val="13"/>
                <w:szCs w:val="13"/>
                <w:b w:val="1"/>
                <w:bCs w:val="1"/>
                <w:color w:val="auto"/>
              </w:rPr>
              <w:t>August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200" w:type="dxa"/>
            <w:vAlign w:val="bottom"/>
            <w:tcBorders>
              <w:bottom w:val="single" w:sz="8" w:color="CCEEFF"/>
            </w:tcBorders>
          </w:tcPr>
          <w:p>
            <w:pPr>
              <w:spacing w:after="0"/>
              <w:rPr>
                <w:sz w:val="14"/>
                <w:szCs w:val="14"/>
                <w:color w:val="auto"/>
              </w:rPr>
            </w:pPr>
          </w:p>
        </w:tc>
        <w:tc>
          <w:tcPr>
            <w:tcW w:w="10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2016</w:t>
            </w:r>
          </w:p>
        </w:tc>
        <w:tc>
          <w:tcPr>
            <w:tcW w:w="8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2015</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626,404</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540,822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710,492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1,167,226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1,434,780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Cost of goods sold</w:t>
            </w: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287,608</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259,210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461,719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546,818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812,872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338,796</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281,612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248,773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620,408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621,908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Operating expenses:</w:t>
            </w: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228,562</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241,271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297,321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469,833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577,435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31,094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31,379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30,841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62,473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67,015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37,173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35,623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691,230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72,796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732,257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2,461</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2,461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2,568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4,922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5,136</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2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299,290</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310,734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1,021,960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610,024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1,381,843</w:t>
            </w:r>
          </w:p>
        </w:tc>
        <w:tc>
          <w:tcPr>
            <w:tcW w:w="0" w:type="dxa"/>
            <w:vAlign w:val="bottom"/>
          </w:tcPr>
          <w:p>
            <w:pPr>
              <w:spacing w:after="0"/>
              <w:rPr>
                <w:sz w:val="1"/>
                <w:szCs w:val="1"/>
                <w:color w:val="auto"/>
              </w:rPr>
            </w:pPr>
          </w:p>
        </w:tc>
      </w:tr>
      <w:tr>
        <w:trPr>
          <w:trHeight w:val="223"/>
        </w:trPr>
        <w:tc>
          <w:tcPr>
            <w:tcW w:w="522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0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39,506</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3"/>
              </w:rPr>
              <w:t>(29,122)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(773,187)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10,384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(759,935)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6,284</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1,488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6,790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7,772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11,957</w:t>
            </w:r>
          </w:p>
        </w:tc>
        <w:tc>
          <w:tcPr>
            <w:tcW w:w="0" w:type="dxa"/>
            <w:vAlign w:val="bottom"/>
          </w:tcPr>
          <w:p>
            <w:pPr>
              <w:spacing w:after="0"/>
              <w:rPr>
                <w:sz w:val="1"/>
                <w:szCs w:val="1"/>
                <w:color w:val="auto"/>
              </w:rPr>
            </w:pPr>
          </w:p>
        </w:tc>
      </w:tr>
      <w:tr>
        <w:trPr>
          <w:trHeight w:val="223"/>
        </w:trPr>
        <w:tc>
          <w:tcPr>
            <w:tcW w:w="522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10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45,790</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3"/>
              </w:rPr>
              <w:t>(27,634)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(766,397)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18,156</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(747,978)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(5,515)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(4,955)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5,543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(10,470)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9,872</w:t>
            </w:r>
          </w:p>
        </w:tc>
        <w:tc>
          <w:tcPr>
            <w:tcW w:w="0" w:type="dxa"/>
            <w:vAlign w:val="bottom"/>
          </w:tcPr>
          <w:p>
            <w:pPr>
              <w:spacing w:after="0"/>
              <w:rPr>
                <w:sz w:val="1"/>
                <w:szCs w:val="1"/>
                <w:color w:val="auto"/>
              </w:rPr>
            </w:pPr>
          </w:p>
        </w:tc>
      </w:tr>
      <w:tr>
        <w:trPr>
          <w:trHeight w:val="223"/>
        </w:trPr>
        <w:tc>
          <w:tcPr>
            <w:tcW w:w="522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0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51,305</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1"/>
              </w:rPr>
              <w:t>(22,679</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(771,940</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28,626</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(757,850</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0.10</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(0.04)</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0.06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r>
        <w:trPr>
          <w:trHeight w:val="20"/>
        </w:trPr>
        <w:tc>
          <w:tcPr>
            <w:tcW w:w="52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1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20" w:type="dxa"/>
            <w:vAlign w:val="bottom"/>
            <w:gridSpan w:val="2"/>
            <w:vMerge w:val="continue"/>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6"/>
              </w:rPr>
              <w:t>511,235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508,794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516,368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510,014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516,298</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0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514,314</w:t>
            </w: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508,794</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516,368</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513,669</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516,298</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ind w:left="60"/>
              <w:spacing w:after="0"/>
              <w:rPr>
                <w:sz w:val="20"/>
                <w:szCs w:val="20"/>
                <w:color w:val="auto"/>
              </w:rPr>
            </w:pPr>
            <w:r>
              <w:rPr>
                <w:rFonts w:ascii="Arial" w:cs="Arial" w:eastAsia="Arial" w:hAnsi="Arial"/>
                <w:sz w:val="14"/>
                <w:szCs w:val="14"/>
                <w:b w:val="1"/>
                <w:bCs w:val="1"/>
                <w:color w:val="auto"/>
              </w:rPr>
              <w:t>July 30,</w:t>
            </w:r>
          </w:p>
        </w:tc>
        <w:tc>
          <w:tcPr>
            <w:tcW w:w="140" w:type="dxa"/>
            <w:vAlign w:val="bottom"/>
          </w:tcPr>
          <w:p>
            <w:pPr>
              <w:spacing w:after="0"/>
              <w:rPr>
                <w:sz w:val="14"/>
                <w:szCs w:val="14"/>
                <w:color w:val="auto"/>
              </w:rPr>
            </w:pPr>
          </w:p>
        </w:tc>
        <w:tc>
          <w:tcPr>
            <w:tcW w:w="9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8"/>
              </w:rPr>
              <w:t>January 30,</w:t>
            </w:r>
          </w:p>
        </w:tc>
      </w:tr>
      <w:tr>
        <w:trPr>
          <w:trHeight w:val="171"/>
        </w:trPr>
        <w:tc>
          <w:tcPr>
            <w:tcW w:w="93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r>
      <w:tr>
        <w:trPr>
          <w:trHeight w:val="196"/>
        </w:trPr>
        <w:tc>
          <w:tcPr>
            <w:tcW w:w="93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1,624,009</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2,282,749</w:t>
            </w:r>
          </w:p>
        </w:tc>
      </w:tr>
      <w:tr>
        <w:trPr>
          <w:trHeight w:val="216"/>
        </w:trPr>
        <w:tc>
          <w:tcPr>
            <w:tcW w:w="936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348,683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323,300</w:t>
            </w: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202,717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210,017</w:t>
            </w:r>
          </w:p>
        </w:tc>
      </w:tr>
      <w:tr>
        <w:trPr>
          <w:trHeight w:val="223"/>
        </w:trPr>
        <w:tc>
          <w:tcPr>
            <w:tcW w:w="9360" w:type="dxa"/>
            <w:vAlign w:val="bottom"/>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54,870</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102,560</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2,230,279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2,918,626</w:t>
            </w: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274,774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299,540</w:t>
            </w:r>
          </w:p>
        </w:tc>
      </w:tr>
      <w:tr>
        <w:trPr>
          <w:trHeight w:val="216"/>
        </w:trPr>
        <w:tc>
          <w:tcPr>
            <w:tcW w:w="93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8,974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11,296</w:t>
            </w: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2,042,063</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2,047,955</w:t>
            </w:r>
          </w:p>
        </w:tc>
      </w:tr>
      <w:tr>
        <w:trPr>
          <w:trHeight w:val="216"/>
        </w:trPr>
        <w:tc>
          <w:tcPr>
            <w:tcW w:w="93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160,586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164,710</w:t>
            </w:r>
          </w:p>
        </w:tc>
      </w:tr>
      <w:tr>
        <w:trPr>
          <w:trHeight w:val="223"/>
        </w:trPr>
        <w:tc>
          <w:tcPr>
            <w:tcW w:w="9360" w:type="dxa"/>
            <w:vAlign w:val="bottom"/>
          </w:tcPr>
          <w:p>
            <w:pPr>
              <w:ind w:left="720"/>
              <w:spacing w:after="0"/>
              <w:rPr>
                <w:sz w:val="20"/>
                <w:szCs w:val="20"/>
                <w:color w:val="auto"/>
              </w:rPr>
            </w:pPr>
            <w:r>
              <w:rPr>
                <w:rFonts w:ascii="Arial" w:cs="Arial" w:eastAsia="Arial" w:hAnsi="Arial"/>
                <w:sz w:val="18"/>
                <w:szCs w:val="18"/>
                <w:color w:val="auto"/>
              </w:rPr>
              <w:t>Total assets</w:t>
            </w:r>
          </w:p>
        </w:tc>
        <w:tc>
          <w:tcPr>
            <w:tcW w:w="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4,716,676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r>
      <w:tr>
        <w:trPr>
          <w:trHeight w:val="20"/>
        </w:trPr>
        <w:tc>
          <w:tcPr>
            <w:tcW w:w="9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9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212,950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180,372</w:t>
            </w:r>
          </w:p>
        </w:tc>
      </w:tr>
      <w:tr>
        <w:trPr>
          <w:trHeight w:val="216"/>
        </w:trPr>
        <w:tc>
          <w:tcPr>
            <w:tcW w:w="936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219,489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253,691</w:t>
            </w: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Carnige Mellon University accrued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736,000</w:t>
            </w:r>
          </w:p>
        </w:tc>
      </w:tr>
      <w:tr>
        <w:trPr>
          <w:trHeight w:val="223"/>
        </w:trPr>
        <w:tc>
          <w:tcPr>
            <w:tcW w:w="936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72,049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55,722</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504,488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1,225,785</w:t>
            </w:r>
          </w:p>
        </w:tc>
      </w:tr>
      <w:tr>
        <w:trPr>
          <w:trHeight w:val="223"/>
        </w:trPr>
        <w:tc>
          <w:tcPr>
            <w:tcW w:w="93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53,100</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76,219</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557,588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1,302,004</w:t>
            </w:r>
          </w:p>
        </w:tc>
      </w:tr>
      <w:tr>
        <w:trPr>
          <w:trHeight w:val="223"/>
        </w:trPr>
        <w:tc>
          <w:tcPr>
            <w:tcW w:w="9360" w:type="dxa"/>
            <w:vAlign w:val="bottom"/>
          </w:tcPr>
          <w:p>
            <w:pPr>
              <w:spacing w:after="0"/>
              <w:rPr>
                <w:sz w:val="20"/>
                <w:szCs w:val="20"/>
                <w:color w:val="auto"/>
              </w:rPr>
            </w:pPr>
            <w:r>
              <w:rPr>
                <w:rFonts w:ascii="Arial" w:cs="Arial" w:eastAsia="Arial" w:hAnsi="Arial"/>
                <w:sz w:val="18"/>
                <w:szCs w:val="18"/>
                <w:color w:val="auto"/>
              </w:rPr>
              <w:t>Shareholders’ equity:</w:t>
            </w:r>
          </w:p>
        </w:tc>
        <w:tc>
          <w:tcPr>
            <w:tcW w:w="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1,022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1,015</w:t>
            </w:r>
          </w:p>
        </w:tc>
      </w:tr>
      <w:tr>
        <w:trPr>
          <w:trHeight w:val="216"/>
        </w:trPr>
        <w:tc>
          <w:tcPr>
            <w:tcW w:w="936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3,075,579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3,028,921</w:t>
            </w: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4,015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(795)</w:t>
            </w:r>
          </w:p>
        </w:tc>
      </w:tr>
      <w:tr>
        <w:trPr>
          <w:trHeight w:val="223"/>
        </w:trPr>
        <w:tc>
          <w:tcPr>
            <w:tcW w:w="9360" w:type="dxa"/>
            <w:vAlign w:val="bottom"/>
          </w:tcPr>
          <w:p>
            <w:pPr>
              <w:ind w:left="360"/>
              <w:spacing w:after="0"/>
              <w:rPr>
                <w:sz w:val="20"/>
                <w:szCs w:val="20"/>
                <w:color w:val="auto"/>
              </w:rPr>
            </w:pPr>
            <w:r>
              <w:rPr>
                <w:rFonts w:ascii="Arial" w:cs="Arial" w:eastAsia="Arial" w:hAnsi="Arial"/>
                <w:sz w:val="18"/>
                <w:szCs w:val="18"/>
                <w:color w:val="auto"/>
              </w:rPr>
              <w:t>Retained earnings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1,078,472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1,110,982</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4,159,088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4,140,123</w:t>
            </w:r>
          </w:p>
        </w:tc>
      </w:tr>
      <w:tr>
        <w:trPr>
          <w:trHeight w:val="223"/>
        </w:trPr>
        <w:tc>
          <w:tcPr>
            <w:tcW w:w="9360" w:type="dxa"/>
            <w:vAlign w:val="bottom"/>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4,716,676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r>
      <w:tr>
        <w:trPr>
          <w:trHeight w:val="20"/>
        </w:trPr>
        <w:tc>
          <w:tcPr>
            <w:tcW w:w="9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60" w:type="dxa"/>
            <w:vAlign w:val="bottom"/>
            <w:gridSpan w:val="7"/>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Six Months Ended</w:t>
            </w:r>
          </w:p>
        </w:tc>
      </w:tr>
      <w:tr>
        <w:trPr>
          <w:trHeight w:val="119"/>
        </w:trPr>
        <w:tc>
          <w:tcPr>
            <w:tcW w:w="20" w:type="dxa"/>
            <w:vAlign w:val="bottom"/>
          </w:tcPr>
          <w:p>
            <w:pPr>
              <w:spacing w:after="0"/>
              <w:rPr>
                <w:sz w:val="10"/>
                <w:szCs w:val="10"/>
                <w:color w:val="auto"/>
              </w:rPr>
            </w:pPr>
          </w:p>
        </w:tc>
        <w:tc>
          <w:tcPr>
            <w:tcW w:w="7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3"/>
          </w:tcPr>
          <w:p>
            <w:pPr>
              <w:jc w:val="right"/>
              <w:ind w:right="320"/>
              <w:spacing w:after="0" w:line="119" w:lineRule="exact"/>
              <w:rPr>
                <w:sz w:val="20"/>
                <w:szCs w:val="20"/>
                <w:color w:val="auto"/>
              </w:rPr>
            </w:pPr>
            <w:r>
              <w:rPr>
                <w:rFonts w:ascii="Arial" w:cs="Arial" w:eastAsia="Arial" w:hAnsi="Arial"/>
                <w:sz w:val="13"/>
                <w:szCs w:val="13"/>
                <w:b w:val="1"/>
                <w:bCs w:val="1"/>
                <w:color w:val="auto"/>
              </w:rPr>
              <w:t>July 30,</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tcPr>
          <w:p>
            <w:pPr>
              <w:jc w:val="right"/>
              <w:ind w:right="31"/>
              <w:spacing w:after="0" w:line="119" w:lineRule="exact"/>
              <w:rPr>
                <w:sz w:val="20"/>
                <w:szCs w:val="20"/>
                <w:color w:val="auto"/>
              </w:rPr>
            </w:pPr>
            <w:r>
              <w:rPr>
                <w:rFonts w:ascii="Arial" w:cs="Arial" w:eastAsia="Arial" w:hAnsi="Arial"/>
                <w:sz w:val="13"/>
                <w:szCs w:val="13"/>
                <w:b w:val="1"/>
                <w:bCs w:val="1"/>
                <w:color w:val="auto"/>
                <w:w w:val="97"/>
              </w:rPr>
              <w:t>August 1,</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right"/>
              <w:ind w:right="360"/>
              <w:spacing w:after="0" w:line="119" w:lineRule="exact"/>
              <w:rPr>
                <w:sz w:val="20"/>
                <w:szCs w:val="20"/>
                <w:color w:val="auto"/>
              </w:rPr>
            </w:pPr>
            <w:r>
              <w:rPr>
                <w:rFonts w:ascii="Arial" w:cs="Arial" w:eastAsia="Arial" w:hAnsi="Arial"/>
                <w:sz w:val="13"/>
                <w:szCs w:val="13"/>
                <w:b w:val="1"/>
                <w:bCs w:val="1"/>
                <w:color w:val="auto"/>
              </w:rPr>
              <w:t>July 30,</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31"/>
              <w:spacing w:after="0" w:line="119" w:lineRule="exact"/>
              <w:rPr>
                <w:sz w:val="20"/>
                <w:szCs w:val="20"/>
                <w:color w:val="auto"/>
              </w:rPr>
            </w:pPr>
            <w:r>
              <w:rPr>
                <w:rFonts w:ascii="Arial" w:cs="Arial" w:eastAsia="Arial" w:hAnsi="Arial"/>
                <w:sz w:val="13"/>
                <w:szCs w:val="13"/>
                <w:b w:val="1"/>
                <w:bCs w:val="1"/>
                <w:color w:val="auto"/>
              </w:rPr>
              <w:t>August 1,</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1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2015</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1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14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51,305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(771,940)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28,626</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(757,850)</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26,866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25,191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53,980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51,811</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37,196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36,674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61,649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69,895</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2,946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3,053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5,892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6,106</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Non-cash restructuring and other related charges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1,025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1,473</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Other non-cash expense,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589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2,282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1,950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1,721</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Changes in assets and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(68,025)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(23,907)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(25,383)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3,234</w:t>
            </w:r>
          </w:p>
        </w:tc>
      </w:tr>
      <w:tr>
        <w:trPr>
          <w:trHeight w:val="216"/>
        </w:trPr>
        <w:tc>
          <w:tcPr>
            <w:tcW w:w="20" w:type="dxa"/>
            <w:vAlign w:val="bottom"/>
          </w:tcPr>
          <w:p>
            <w:pPr>
              <w:spacing w:after="0"/>
              <w:rPr>
                <w:sz w:val="18"/>
                <w:szCs w:val="18"/>
                <w:color w:val="auto"/>
              </w:rPr>
            </w:pPr>
          </w:p>
        </w:tc>
        <w:tc>
          <w:tcPr>
            <w:tcW w:w="71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(6,364)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12,903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7,234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(18,415)</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Prepaid expenses and other assets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6,658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9,359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(9,035)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11,328</w:t>
            </w:r>
          </w:p>
        </w:tc>
      </w:tr>
      <w:tr>
        <w:trPr>
          <w:trHeight w:val="216"/>
        </w:trPr>
        <w:tc>
          <w:tcPr>
            <w:tcW w:w="20" w:type="dxa"/>
            <w:vAlign w:val="bottom"/>
          </w:tcPr>
          <w:p>
            <w:pPr>
              <w:spacing w:after="0"/>
              <w:rPr>
                <w:sz w:val="18"/>
                <w:szCs w:val="18"/>
                <w:color w:val="auto"/>
              </w:rPr>
            </w:pPr>
          </w:p>
        </w:tc>
        <w:tc>
          <w:tcPr>
            <w:tcW w:w="714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20,437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(5,167)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40,359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11,958</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Accrued liabilities and other non-current liabilities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(7,741)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753,191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(766,243)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741,615</w:t>
            </w:r>
          </w:p>
        </w:tc>
      </w:tr>
      <w:tr>
        <w:trPr>
          <w:trHeight w:val="216"/>
        </w:trPr>
        <w:tc>
          <w:tcPr>
            <w:tcW w:w="20" w:type="dxa"/>
            <w:vAlign w:val="bottom"/>
          </w:tcPr>
          <w:p>
            <w:pPr>
              <w:spacing w:after="0"/>
              <w:rPr>
                <w:sz w:val="18"/>
                <w:szCs w:val="18"/>
                <w:color w:val="auto"/>
              </w:rPr>
            </w:pPr>
          </w:p>
        </w:tc>
        <w:tc>
          <w:tcPr>
            <w:tcW w:w="7140" w:type="dxa"/>
            <w:vAlign w:val="bottom"/>
          </w:tcPr>
          <w:p>
            <w:pPr>
              <w:ind w:left="700"/>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(22,270)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(14,507)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(15,118)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(28,931)</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17,561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(1,441)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16,327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(8,468)</w:t>
            </w:r>
          </w:p>
        </w:tc>
      </w:tr>
      <w:tr>
        <w:trPr>
          <w:trHeight w:val="223"/>
        </w:trPr>
        <w:tc>
          <w:tcPr>
            <w:tcW w:w="20" w:type="dxa"/>
            <w:vAlign w:val="bottom"/>
          </w:tcPr>
          <w:p>
            <w:pPr>
              <w:spacing w:after="0"/>
              <w:rPr>
                <w:sz w:val="19"/>
                <w:szCs w:val="19"/>
                <w:color w:val="auto"/>
              </w:rPr>
            </w:pPr>
          </w:p>
        </w:tc>
        <w:tc>
          <w:tcPr>
            <w:tcW w:w="7140" w:type="dxa"/>
            <w:vAlign w:val="bottom"/>
          </w:tcPr>
          <w:p>
            <w:pPr>
              <w:ind w:left="1060"/>
              <w:spacing w:after="0"/>
              <w:rPr>
                <w:sz w:val="20"/>
                <w:szCs w:val="20"/>
                <w:color w:val="auto"/>
              </w:rPr>
            </w:pPr>
            <w:r>
              <w:rPr>
                <w:rFonts w:ascii="Arial" w:cs="Arial" w:eastAsia="Arial" w:hAnsi="Arial"/>
                <w:sz w:val="18"/>
                <w:szCs w:val="18"/>
                <w:color w:val="auto"/>
              </w:rPr>
              <w:t>Net cash provided by (used in) operating activities</w:t>
            </w:r>
          </w:p>
        </w:tc>
        <w:tc>
          <w:tcPr>
            <w:tcW w:w="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59,282</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26,584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(598,742)</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85,452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w w:val="88"/>
              </w:rPr>
              <w:t>(110,358)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(173,465)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(203,723)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(566,365)</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95"/>
              </w:rPr>
              <w:t>116,506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222,295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486,565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469,790</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Purchase of time deposits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(125,000)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Distribution from (investments in) privately-held companies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208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208</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(3,995)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(2,071)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(8,045)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(5,677)</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(12,509)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(16,986)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(24,377)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(24,320)</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Purchase of equipment previously leased</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gridSpan w:val="2"/>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(10,240)</w:t>
            </w:r>
          </w:p>
        </w:tc>
      </w:tr>
      <w:tr>
        <w:trPr>
          <w:trHeight w:val="27"/>
        </w:trPr>
        <w:tc>
          <w:tcPr>
            <w:tcW w:w="20" w:type="dxa"/>
            <w:vAlign w:val="bottom"/>
          </w:tcPr>
          <w:p>
            <w:pPr>
              <w:spacing w:after="0"/>
              <w:rPr>
                <w:sz w:val="2"/>
                <w:szCs w:val="2"/>
                <w:color w:val="auto"/>
              </w:rPr>
            </w:pPr>
          </w:p>
        </w:tc>
        <w:tc>
          <w:tcPr>
            <w:tcW w:w="7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(85,356)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29,981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125,420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(136,604)</w:t>
            </w:r>
          </w:p>
        </w:tc>
      </w:tr>
      <w:tr>
        <w:trPr>
          <w:trHeight w:val="216"/>
        </w:trPr>
        <w:tc>
          <w:tcPr>
            <w:tcW w:w="20" w:type="dxa"/>
            <w:vAlign w:val="bottom"/>
          </w:tcPr>
          <w:p>
            <w:pPr>
              <w:spacing w:after="0"/>
              <w:rPr>
                <w:sz w:val="18"/>
                <w:szCs w:val="18"/>
                <w:color w:val="auto"/>
              </w:rPr>
            </w:pPr>
          </w:p>
        </w:tc>
        <w:tc>
          <w:tcPr>
            <w:tcW w:w="714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(b)</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(175,311)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(195,584)</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244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44,161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559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57,174</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(697)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(15,382)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(23,007)</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(30,675)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(31,194)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(61,136)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(62,104)</w:t>
            </w: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(4,858)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(4,732)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(10,152)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(8,799)</w:t>
            </w:r>
          </w:p>
        </w:tc>
      </w:tr>
      <w:tr>
        <w:trPr>
          <w:trHeight w:val="216"/>
        </w:trPr>
        <w:tc>
          <w:tcPr>
            <w:tcW w:w="20" w:type="dxa"/>
            <w:vAlign w:val="bottom"/>
          </w:tcPr>
          <w:p>
            <w:pPr>
              <w:spacing w:after="0"/>
              <w:rPr>
                <w:sz w:val="18"/>
                <w:szCs w:val="18"/>
                <w:color w:val="auto"/>
              </w:rPr>
            </w:pPr>
          </w:p>
        </w:tc>
        <w:tc>
          <w:tcPr>
            <w:tcW w:w="714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25</w:t>
            </w:r>
          </w:p>
        </w:tc>
      </w:tr>
      <w:tr>
        <w:trPr>
          <w:trHeight w:val="27"/>
        </w:trPr>
        <w:tc>
          <w:tcPr>
            <w:tcW w:w="20" w:type="dxa"/>
            <w:vAlign w:val="bottom"/>
          </w:tcPr>
          <w:p>
            <w:pPr>
              <w:spacing w:after="0"/>
              <w:rPr>
                <w:sz w:val="2"/>
                <w:szCs w:val="2"/>
                <w:color w:val="auto"/>
              </w:rPr>
            </w:pPr>
          </w:p>
        </w:tc>
        <w:tc>
          <w:tcPr>
            <w:tcW w:w="7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(35,396)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(167,766)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(86,106)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(232,295)</w:t>
            </w:r>
          </w:p>
        </w:tc>
      </w:tr>
      <w:tr>
        <w:trPr>
          <w:trHeight w:val="230"/>
        </w:trPr>
        <w:tc>
          <w:tcPr>
            <w:tcW w:w="716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(61,470)</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(111,201)</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(559,428)</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(283,447)</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5"/>
              </w:rPr>
              <w:t>780,222</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1,038,731</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1,278,180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1,210,977</w:t>
            </w:r>
          </w:p>
        </w:tc>
      </w:tr>
      <w:tr>
        <w:trPr>
          <w:trHeight w:val="223"/>
        </w:trPr>
        <w:tc>
          <w:tcPr>
            <w:tcW w:w="716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718,752</w:t>
            </w:r>
          </w:p>
        </w:tc>
        <w:tc>
          <w:tcPr>
            <w:tcW w:w="20" w:type="dxa"/>
            <w:vAlign w:val="bottom"/>
            <w:tcBorders>
              <w:bottom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927,530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718,752</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927,530</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60" w:hanging="452"/>
        <w:spacing w:after="0" w:line="253"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In the six months ended July 30, 2016, the Company paid a total of $750.0 million to CMU in connection with the settlement agreement that was reached in February 2016. Of this settlement, the Company recognized a charge of $736.0 million in fiscal 2016. The remaining $14.0 million was recorded in prepaid expenses and other assets, to be recognized in cost of good sold over the remaining term of the license from February 2016 through April 2018. For further detail of the accounting for the settlement, see “Note 13 – Carnegie Mellon University Settlement” in the Notes to the Unaudited Condensed Consolidated Financial Statements included in the Company’s Quarterly Report on Form 10-Q for the quarter ended April 30, 2016.</w:t>
      </w:r>
    </w:p>
    <w:p>
      <w:pPr>
        <w:spacing w:after="0" w:line="1" w:lineRule="exact"/>
        <w:rPr>
          <w:rFonts w:ascii="Arial" w:cs="Arial" w:eastAsia="Arial" w:hAnsi="Arial"/>
          <w:sz w:val="18"/>
          <w:szCs w:val="18"/>
          <w:i w:val="1"/>
          <w:iCs w:val="1"/>
          <w:color w:val="auto"/>
        </w:rPr>
      </w:pPr>
    </w:p>
    <w:p>
      <w:pPr>
        <w:ind w:left="460" w:right="140" w:hanging="452"/>
        <w:spacing w:after="0" w:line="254"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of common stock consistent with the way it records investment purchases and sales, based on trade date in accordance with U.S. GAAP. In the three and six months ended August 1, 2015, cash paid for repurchase of Marvell common shares was adjusted for repurchases of $19.7 million made within the final three days of the quarter that are accrued but not yet paid due to the standard settlement period that normally takes up to three days.</w:t>
      </w:r>
    </w:p>
    <w:p>
      <w:pPr>
        <w:sectPr>
          <w:pgSz w:w="11900" w:h="16838" w:orient="portrait"/>
          <w:cols w:equalWidth="0" w:num="1">
            <w:col w:w="11420"/>
          </w:cols>
          <w:pgMar w:left="240" w:top="27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80" w:type="dxa"/>
            <w:vAlign w:val="bottom"/>
            <w:gridSpan w:val="5"/>
          </w:tcPr>
          <w:p>
            <w:pPr>
              <w:jc w:val="right"/>
              <w:ind w:right="6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3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428"/>
              <w:spacing w:after="0" w:line="119" w:lineRule="exact"/>
              <w:rPr>
                <w:sz w:val="20"/>
                <w:szCs w:val="20"/>
                <w:color w:val="auto"/>
              </w:rPr>
            </w:pPr>
            <w:r>
              <w:rPr>
                <w:rFonts w:ascii="Arial" w:cs="Arial" w:eastAsia="Arial" w:hAnsi="Arial"/>
                <w:sz w:val="13"/>
                <w:szCs w:val="13"/>
                <w:b w:val="1"/>
                <w:bCs w:val="1"/>
                <w:color w:val="auto"/>
                <w:w w:val="96"/>
              </w:rPr>
              <w:t>July 30,</w:t>
            </w:r>
          </w:p>
        </w:tc>
        <w:tc>
          <w:tcPr>
            <w:tcW w:w="1080" w:type="dxa"/>
            <w:vAlign w:val="bottom"/>
            <w:tcBorders>
              <w:top w:val="single" w:sz="8" w:color="auto"/>
            </w:tcBorders>
            <w:gridSpan w:val="4"/>
          </w:tcPr>
          <w:p>
            <w:pPr>
              <w:jc w:val="right"/>
              <w:ind w:right="460"/>
              <w:spacing w:after="0" w:line="119" w:lineRule="exact"/>
              <w:rPr>
                <w:sz w:val="20"/>
                <w:szCs w:val="20"/>
                <w:color w:val="auto"/>
              </w:rPr>
            </w:pPr>
            <w:r>
              <w:rPr>
                <w:rFonts w:ascii="Arial" w:cs="Arial" w:eastAsia="Arial" w:hAnsi="Arial"/>
                <w:sz w:val="13"/>
                <w:szCs w:val="13"/>
                <w:b w:val="1"/>
                <w:bCs w:val="1"/>
                <w:color w:val="auto"/>
              </w:rPr>
              <w:t>April 30,</w:t>
            </w:r>
          </w:p>
        </w:tc>
        <w:tc>
          <w:tcPr>
            <w:tcW w:w="7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1,</w:t>
            </w:r>
          </w:p>
        </w:tc>
        <w:tc>
          <w:tcPr>
            <w:tcW w:w="4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500"/>
              <w:spacing w:after="0" w:line="119" w:lineRule="exact"/>
              <w:rPr>
                <w:sz w:val="20"/>
                <w:szCs w:val="20"/>
                <w:color w:val="auto"/>
              </w:rPr>
            </w:pPr>
            <w:r>
              <w:rPr>
                <w:rFonts w:ascii="Arial" w:cs="Arial" w:eastAsia="Arial" w:hAnsi="Arial"/>
                <w:sz w:val="13"/>
                <w:szCs w:val="13"/>
                <w:b w:val="1"/>
                <w:bCs w:val="1"/>
                <w:color w:val="auto"/>
                <w:w w:val="96"/>
              </w:rPr>
              <w:t>July 30,</w:t>
            </w:r>
          </w:p>
        </w:tc>
        <w:tc>
          <w:tcPr>
            <w:tcW w:w="7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1,</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1"/>
              <w:spacing w:after="0"/>
              <w:rPr>
                <w:sz w:val="20"/>
                <w:szCs w:val="20"/>
                <w:color w:val="auto"/>
              </w:rPr>
            </w:pPr>
            <w:r>
              <w:rPr>
                <w:rFonts w:ascii="Arial" w:cs="Arial" w:eastAsia="Arial" w:hAnsi="Arial"/>
                <w:sz w:val="14"/>
                <w:szCs w:val="14"/>
                <w:b w:val="1"/>
                <w:bCs w:val="1"/>
                <w:color w:val="auto"/>
              </w:rPr>
              <w:t>2016</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w w:val="86"/>
              </w:rPr>
              <w:t xml:space="preserve">2016 </w:t>
            </w:r>
            <w:r>
              <w:rPr>
                <w:rFonts w:ascii="Arial" w:cs="Arial" w:eastAsia="Arial" w:hAnsi="Arial"/>
                <w:sz w:val="14"/>
                <w:szCs w:val="14"/>
                <w:b w:val="1"/>
                <w:bCs w:val="1"/>
                <w:i w:val="1"/>
                <w:iCs w:val="1"/>
                <w:color w:val="auto"/>
                <w:w w:val="86"/>
              </w:rPr>
              <w:t>(d)</w:t>
            </w:r>
          </w:p>
        </w:tc>
        <w:tc>
          <w:tcPr>
            <w:tcW w:w="100" w:type="dxa"/>
            <w:vAlign w:val="bottom"/>
          </w:tcPr>
          <w:p>
            <w:pPr>
              <w:spacing w:after="0"/>
              <w:rPr>
                <w:sz w:val="14"/>
                <w:szCs w:val="14"/>
                <w:color w:val="auto"/>
              </w:rPr>
            </w:pPr>
          </w:p>
        </w:tc>
        <w:tc>
          <w:tcPr>
            <w:tcW w:w="640" w:type="dxa"/>
            <w:vAlign w:val="bottom"/>
          </w:tcPr>
          <w:p>
            <w:pPr>
              <w:jc w:val="right"/>
              <w:ind w:right="130"/>
              <w:spacing w:after="0"/>
              <w:rPr>
                <w:sz w:val="20"/>
                <w:szCs w:val="20"/>
                <w:color w:val="auto"/>
              </w:rPr>
            </w:pPr>
            <w:r>
              <w:rPr>
                <w:rFonts w:ascii="Arial" w:cs="Arial" w:eastAsia="Arial" w:hAnsi="Arial"/>
                <w:sz w:val="14"/>
                <w:szCs w:val="14"/>
                <w:b w:val="1"/>
                <w:bCs w:val="1"/>
                <w:color w:val="auto"/>
              </w:rPr>
              <w:t>2015</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1"/>
              <w:spacing w:after="0"/>
              <w:rPr>
                <w:sz w:val="20"/>
                <w:szCs w:val="20"/>
                <w:color w:val="auto"/>
              </w:rPr>
            </w:pPr>
            <w:r>
              <w:rPr>
                <w:rFonts w:ascii="Arial" w:cs="Arial" w:eastAsia="Arial" w:hAnsi="Arial"/>
                <w:sz w:val="14"/>
                <w:szCs w:val="14"/>
                <w:b w:val="1"/>
                <w:bCs w:val="1"/>
                <w:color w:val="auto"/>
              </w:rPr>
              <w:t>2016</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jc w:val="right"/>
              <w:ind w:right="130"/>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7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51,305</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(22,679)</w:t>
            </w:r>
          </w:p>
        </w:tc>
        <w:tc>
          <w:tcPr>
            <w:tcW w:w="40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(771,940)</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28,626</w:t>
            </w:r>
          </w:p>
        </w:tc>
        <w:tc>
          <w:tcPr>
            <w:tcW w:w="4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(757,850)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8"/>
              <w:spacing w:after="0"/>
              <w:rPr>
                <w:sz w:val="20"/>
                <w:szCs w:val="20"/>
                <w:color w:val="auto"/>
              </w:rPr>
            </w:pPr>
            <w:r>
              <w:rPr>
                <w:rFonts w:ascii="Arial" w:cs="Arial" w:eastAsia="Arial" w:hAnsi="Arial"/>
                <w:sz w:val="18"/>
                <w:szCs w:val="18"/>
                <w:color w:val="auto"/>
              </w:rPr>
              <w:t>37,196</w:t>
            </w:r>
          </w:p>
        </w:tc>
        <w:tc>
          <w:tcPr>
            <w:tcW w:w="100" w:type="dxa"/>
            <w:vAlign w:val="bottom"/>
          </w:tcPr>
          <w:p>
            <w:pPr>
              <w:spacing w:after="0"/>
              <w:rPr>
                <w:sz w:val="18"/>
                <w:szCs w:val="18"/>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8"/>
                <w:szCs w:val="18"/>
                <w:color w:val="auto"/>
              </w:rPr>
              <w:t>24,453</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36,674</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61,649</w:t>
            </w:r>
          </w:p>
        </w:tc>
        <w:tc>
          <w:tcPr>
            <w:tcW w:w="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69,895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721</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4,441</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13,000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5,162</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13,592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Amortization of acquired intangible assets</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8"/>
              <w:spacing w:after="0"/>
              <w:rPr>
                <w:sz w:val="20"/>
                <w:szCs w:val="20"/>
                <w:color w:val="auto"/>
              </w:rPr>
            </w:pPr>
            <w:r>
              <w:rPr>
                <w:rFonts w:ascii="Arial" w:cs="Arial" w:eastAsia="Arial" w:hAnsi="Arial"/>
                <w:sz w:val="18"/>
                <w:szCs w:val="18"/>
                <w:color w:val="auto"/>
              </w:rPr>
              <w:t>2,946</w:t>
            </w:r>
          </w:p>
        </w:tc>
        <w:tc>
          <w:tcPr>
            <w:tcW w:w="100" w:type="dxa"/>
            <w:vAlign w:val="bottom"/>
          </w:tcPr>
          <w:p>
            <w:pPr>
              <w:spacing w:after="0"/>
              <w:rPr>
                <w:sz w:val="18"/>
                <w:szCs w:val="18"/>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8"/>
                <w:szCs w:val="18"/>
                <w:color w:val="auto"/>
              </w:rPr>
              <w:t>2,946</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3,346</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5,892</w:t>
            </w:r>
          </w:p>
        </w:tc>
        <w:tc>
          <w:tcPr>
            <w:tcW w:w="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6,839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(115)</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100</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748,117</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(15)</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746,417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8"/>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18"/>
                <w:szCs w:val="18"/>
                <w:color w:val="auto"/>
              </w:rPr>
            </w:pPr>
          </w:p>
        </w:tc>
        <w:tc>
          <w:tcPr>
            <w:tcW w:w="980" w:type="dxa"/>
            <w:vAlign w:val="bottom"/>
            <w:gridSpan w:val="3"/>
          </w:tcPr>
          <w:p>
            <w:pPr>
              <w:jc w:val="right"/>
              <w:ind w:right="340"/>
              <w:spacing w:after="0"/>
              <w:rPr>
                <w:sz w:val="20"/>
                <w:szCs w:val="20"/>
                <w:color w:val="auto"/>
              </w:rPr>
            </w:pPr>
            <w:r>
              <w:rPr>
                <w:rFonts w:ascii="Arial" w:cs="Arial" w:eastAsia="Arial" w:hAnsi="Arial"/>
                <w:sz w:val="18"/>
                <w:szCs w:val="18"/>
                <w:color w:val="auto"/>
              </w:rPr>
              <w:t>(2,743)</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10,205</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173</w:t>
            </w:r>
          </w:p>
        </w:tc>
        <w:tc>
          <w:tcPr>
            <w:tcW w:w="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31,587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 as reported</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92,156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6,518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39,402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101,487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110,480</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net income, as adjusted </w:t>
            </w:r>
            <w:r>
              <w:rPr>
                <w:rFonts w:ascii="Arial" w:cs="Arial" w:eastAsia="Arial" w:hAnsi="Arial"/>
                <w:sz w:val="18"/>
                <w:szCs w:val="18"/>
                <w:i w:val="1"/>
                <w:iCs w:val="1"/>
                <w:color w:val="auto"/>
              </w:rPr>
              <w:t>(d)</w:t>
            </w: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9,331</w:t>
            </w: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w w:val="86"/>
              </w:rPr>
              <w:t>514,314</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w w:val="86"/>
              </w:rPr>
              <w:t>508,794</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516,368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513,669</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516,298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Non-GAAP adjustment</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8"/>
              <w:spacing w:after="0"/>
              <w:rPr>
                <w:sz w:val="20"/>
                <w:szCs w:val="20"/>
                <w:color w:val="auto"/>
              </w:rPr>
            </w:pPr>
            <w:r>
              <w:rPr>
                <w:rFonts w:ascii="Arial" w:cs="Arial" w:eastAsia="Arial" w:hAnsi="Arial"/>
                <w:sz w:val="18"/>
                <w:szCs w:val="18"/>
                <w:color w:val="auto"/>
              </w:rPr>
              <w:t>12,139</w:t>
            </w:r>
          </w:p>
        </w:tc>
        <w:tc>
          <w:tcPr>
            <w:tcW w:w="100" w:type="dxa"/>
            <w:vAlign w:val="bottom"/>
          </w:tcPr>
          <w:p>
            <w:pPr>
              <w:spacing w:after="0"/>
              <w:rPr>
                <w:sz w:val="18"/>
                <w:szCs w:val="18"/>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8"/>
                <w:szCs w:val="18"/>
                <w:color w:val="auto"/>
              </w:rPr>
              <w:t>13,569</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16,574</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10,739</w:t>
            </w:r>
          </w:p>
        </w:tc>
        <w:tc>
          <w:tcPr>
            <w:tcW w:w="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17,753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(e)</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w w:val="86"/>
              </w:rPr>
              <w:t>526,453</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w w:val="86"/>
              </w:rPr>
              <w:t>522,363</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532,942</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524,408</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534,051</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4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400" w:type="dxa"/>
            <w:vAlign w:val="bottom"/>
            <w:gridSpan w:val="2"/>
          </w:tcPr>
          <w:p>
            <w:pPr>
              <w:jc w:val="right"/>
              <w:ind w:right="340"/>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w:t>
            </w:r>
          </w:p>
        </w:tc>
        <w:tc>
          <w:tcPr>
            <w:tcW w:w="400" w:type="dxa"/>
            <w:vAlign w:val="bottom"/>
          </w:tcPr>
          <w:p>
            <w:pPr>
              <w:jc w:val="right"/>
              <w:ind w:right="260"/>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0.06</w:t>
            </w:r>
          </w:p>
        </w:tc>
        <w:tc>
          <w:tcPr>
            <w:tcW w:w="40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 as reported</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0.07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0.21</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diluted net income per share, as adjusted </w:t>
            </w:r>
            <w:r>
              <w:rPr>
                <w:rFonts w:ascii="Arial" w:cs="Arial" w:eastAsia="Arial" w:hAnsi="Arial"/>
                <w:sz w:val="18"/>
                <w:szCs w:val="18"/>
                <w:i w:val="1"/>
                <w:iCs w:val="1"/>
                <w:color w:val="auto"/>
              </w:rPr>
              <w:t>(d)</w:t>
            </w: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w w:val="86"/>
              </w:rPr>
              <w:t>338,796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w w:val="86"/>
              </w:rPr>
              <w:t>281,612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248,773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620,408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621,908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8"/>
              <w:spacing w:after="0"/>
              <w:rPr>
                <w:sz w:val="20"/>
                <w:szCs w:val="20"/>
                <w:color w:val="auto"/>
              </w:rPr>
            </w:pPr>
            <w:r>
              <w:rPr>
                <w:rFonts w:ascii="Arial" w:cs="Arial" w:eastAsia="Arial" w:hAnsi="Arial"/>
                <w:sz w:val="18"/>
                <w:szCs w:val="18"/>
                <w:color w:val="auto"/>
              </w:rPr>
              <w:t>2,832</w:t>
            </w:r>
          </w:p>
        </w:tc>
        <w:tc>
          <w:tcPr>
            <w:tcW w:w="100" w:type="dxa"/>
            <w:vAlign w:val="bottom"/>
          </w:tcPr>
          <w:p>
            <w:pPr>
              <w:spacing w:after="0"/>
              <w:rPr>
                <w:sz w:val="18"/>
                <w:szCs w:val="18"/>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8"/>
                <w:szCs w:val="18"/>
                <w:color w:val="auto"/>
              </w:rPr>
              <w:t>1,802</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2,012</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4,634</w:t>
            </w:r>
          </w:p>
        </w:tc>
        <w:tc>
          <w:tcPr>
            <w:tcW w:w="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3,559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8"/>
              <w:spacing w:after="0"/>
              <w:rPr>
                <w:sz w:val="20"/>
                <w:szCs w:val="20"/>
                <w:color w:val="auto"/>
              </w:rPr>
            </w:pPr>
            <w:r>
              <w:rPr>
                <w:rFonts w:ascii="Arial" w:cs="Arial" w:eastAsia="Arial" w:hAnsi="Arial"/>
                <w:sz w:val="18"/>
                <w:szCs w:val="18"/>
                <w:color w:val="auto"/>
              </w:rPr>
              <w:t>485</w:t>
            </w:r>
          </w:p>
        </w:tc>
        <w:tc>
          <w:tcPr>
            <w:tcW w:w="100" w:type="dxa"/>
            <w:vAlign w:val="bottom"/>
          </w:tcPr>
          <w:p>
            <w:pPr>
              <w:spacing w:after="0"/>
              <w:rPr>
                <w:sz w:val="18"/>
                <w:szCs w:val="18"/>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8"/>
                <w:szCs w:val="18"/>
                <w:color w:val="auto"/>
              </w:rPr>
              <w:t>485</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778</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970</w:t>
            </w:r>
          </w:p>
        </w:tc>
        <w:tc>
          <w:tcPr>
            <w:tcW w:w="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1,703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81,390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79,690</w:t>
            </w:r>
          </w:p>
        </w:tc>
        <w:tc>
          <w:tcPr>
            <w:tcW w:w="0" w:type="dxa"/>
            <w:vAlign w:val="bottom"/>
          </w:tcPr>
          <w:p>
            <w:pPr>
              <w:spacing w:after="0"/>
              <w:rPr>
                <w:sz w:val="1"/>
                <w:szCs w:val="1"/>
                <w:color w:val="auto"/>
              </w:rPr>
            </w:pPr>
          </w:p>
        </w:tc>
      </w:tr>
      <w:tr>
        <w:trPr>
          <w:trHeight w:val="223"/>
        </w:trPr>
        <w:tc>
          <w:tcPr>
            <w:tcW w:w="538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7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342,113</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283,899</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332,953</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626,012</w:t>
            </w:r>
          </w:p>
        </w:tc>
        <w:tc>
          <w:tcPr>
            <w:tcW w:w="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706,860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rPr>
              <w:t>54.1%</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52.1%</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53.2%</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168"/>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18"/>
                <w:szCs w:val="18"/>
                <w:color w:val="auto"/>
              </w:rPr>
            </w:pP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0.3%</w:t>
            </w:r>
          </w:p>
        </w:tc>
        <w:tc>
          <w:tcPr>
            <w:tcW w:w="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168"/>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0.1%</w:t>
            </w:r>
          </w:p>
        </w:tc>
        <w:tc>
          <w:tcPr>
            <w:tcW w:w="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11.5%</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7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5380" w:type="dxa"/>
            <w:vAlign w:val="bottom"/>
            <w:gridSpan w:val="2"/>
            <w:vMerge w:val="continue"/>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168"/>
              <w:spacing w:after="0"/>
              <w:rPr>
                <w:sz w:val="20"/>
                <w:szCs w:val="20"/>
                <w:color w:val="auto"/>
              </w:rPr>
            </w:pPr>
            <w:r>
              <w:rPr>
                <w:rFonts w:ascii="Arial" w:cs="Arial" w:eastAsia="Arial" w:hAnsi="Arial"/>
                <w:sz w:val="18"/>
                <w:szCs w:val="18"/>
                <w:color w:val="auto"/>
              </w:rPr>
              <w:t>54.6%</w:t>
            </w:r>
          </w:p>
        </w:tc>
        <w:tc>
          <w:tcPr>
            <w:tcW w:w="100" w:type="dxa"/>
            <w:vAlign w:val="bottom"/>
          </w:tcPr>
          <w:p>
            <w:pPr>
              <w:spacing w:after="0"/>
              <w:rPr>
                <w:sz w:val="19"/>
                <w:szCs w:val="19"/>
                <w:color w:val="auto"/>
              </w:rPr>
            </w:pP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52.5%</w:t>
            </w:r>
          </w:p>
        </w:tc>
        <w:tc>
          <w:tcPr>
            <w:tcW w:w="100" w:type="dxa"/>
            <w:vAlign w:val="bottom"/>
          </w:tcPr>
          <w:p>
            <w:pPr>
              <w:spacing w:after="0"/>
              <w:rPr>
                <w:sz w:val="19"/>
                <w:szCs w:val="19"/>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46.9%</w:t>
            </w:r>
          </w:p>
        </w:tc>
        <w:tc>
          <w:tcPr>
            <w:tcW w:w="100" w:type="dxa"/>
            <w:vAlign w:val="bottom"/>
          </w:tcPr>
          <w:p>
            <w:pPr>
              <w:spacing w:after="0"/>
              <w:rPr>
                <w:sz w:val="19"/>
                <w:szCs w:val="19"/>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53.6%</w:t>
            </w:r>
          </w:p>
        </w:tc>
        <w:tc>
          <w:tcPr>
            <w:tcW w:w="80" w:type="dxa"/>
            <w:vAlign w:val="bottom"/>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49.3%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w w:val="86"/>
              </w:rPr>
              <w:t>228,562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w w:val="86"/>
              </w:rPr>
              <w:t>241,271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297,321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469,833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577,435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68"/>
              <w:spacing w:after="0"/>
              <w:rPr>
                <w:sz w:val="20"/>
                <w:szCs w:val="20"/>
                <w:color w:val="auto"/>
              </w:rPr>
            </w:pPr>
            <w:r>
              <w:rPr>
                <w:rFonts w:ascii="Arial" w:cs="Arial" w:eastAsia="Arial" w:hAnsi="Arial"/>
                <w:sz w:val="18"/>
                <w:szCs w:val="18"/>
                <w:color w:val="auto"/>
                <w:w w:val="92"/>
              </w:rPr>
              <w:t>(28,581)</w:t>
            </w:r>
          </w:p>
        </w:tc>
        <w:tc>
          <w:tcPr>
            <w:tcW w:w="100" w:type="dxa"/>
            <w:vAlign w:val="bottom"/>
          </w:tcPr>
          <w:p>
            <w:pPr>
              <w:spacing w:after="0"/>
              <w:rPr>
                <w:sz w:val="18"/>
                <w:szCs w:val="18"/>
                <w:color w:val="auto"/>
              </w:rPr>
            </w:pPr>
          </w:p>
        </w:tc>
        <w:tc>
          <w:tcPr>
            <w:tcW w:w="980" w:type="dxa"/>
            <w:vAlign w:val="bottom"/>
            <w:gridSpan w:val="3"/>
          </w:tcPr>
          <w:p>
            <w:pPr>
              <w:jc w:val="right"/>
              <w:ind w:right="340"/>
              <w:spacing w:after="0"/>
              <w:rPr>
                <w:sz w:val="20"/>
                <w:szCs w:val="20"/>
                <w:color w:val="auto"/>
              </w:rPr>
            </w:pPr>
            <w:r>
              <w:rPr>
                <w:rFonts w:ascii="Arial" w:cs="Arial" w:eastAsia="Arial" w:hAnsi="Arial"/>
                <w:sz w:val="18"/>
                <w:szCs w:val="18"/>
                <w:color w:val="auto"/>
                <w:w w:val="92"/>
              </w:rPr>
              <w:t>(24,396)</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(27,807)</w:t>
            </w: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w w:val="92"/>
              </w:rPr>
              <w:t>(52,977)</w:t>
            </w: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(52,588)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329</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(813)</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(11,680)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(484)</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(11,680)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3"/>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(174)</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(125)</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(134)</w:t>
            </w:r>
          </w:p>
        </w:tc>
        <w:tc>
          <w:tcPr>
            <w:tcW w:w="0" w:type="dxa"/>
            <w:vAlign w:val="bottom"/>
          </w:tcPr>
          <w:p>
            <w:pPr>
              <w:spacing w:after="0"/>
              <w:rPr>
                <w:sz w:val="1"/>
                <w:szCs w:val="1"/>
                <w:color w:val="auto"/>
              </w:rPr>
            </w:pPr>
          </w:p>
        </w:tc>
      </w:tr>
      <w:tr>
        <w:trPr>
          <w:trHeight w:val="223"/>
        </w:trPr>
        <w:tc>
          <w:tcPr>
            <w:tcW w:w="5380" w:type="dxa"/>
            <w:vAlign w:val="bottom"/>
            <w:gridSpan w:val="2"/>
          </w:tcPr>
          <w:p>
            <w:pPr>
              <w:spacing w:after="0"/>
              <w:rPr>
                <w:sz w:val="20"/>
                <w:szCs w:val="20"/>
                <w:color w:val="auto"/>
              </w:rPr>
            </w:pPr>
            <w:r>
              <w:rPr>
                <w:rFonts w:ascii="Arial" w:cs="Arial" w:eastAsia="Arial" w:hAnsi="Arial"/>
                <w:sz w:val="18"/>
                <w:szCs w:val="18"/>
                <w:color w:val="auto"/>
              </w:rPr>
              <w:t>Non-GAAP research and development</w:t>
            </w:r>
          </w:p>
        </w:tc>
        <w:tc>
          <w:tcPr>
            <w:tcW w:w="7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200,136</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216,111</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252,700</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416,247</w:t>
            </w:r>
          </w:p>
        </w:tc>
        <w:tc>
          <w:tcPr>
            <w:tcW w:w="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508,033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31,094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31,379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30,841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62,473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67,015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68"/>
              <w:spacing w:after="0"/>
              <w:rPr>
                <w:sz w:val="20"/>
                <w:szCs w:val="20"/>
                <w:color w:val="auto"/>
              </w:rPr>
            </w:pPr>
            <w:r>
              <w:rPr>
                <w:rFonts w:ascii="Arial" w:cs="Arial" w:eastAsia="Arial" w:hAnsi="Arial"/>
                <w:sz w:val="18"/>
                <w:szCs w:val="18"/>
                <w:color w:val="auto"/>
              </w:rPr>
              <w:t>(3,315)</w:t>
            </w:r>
          </w:p>
        </w:tc>
        <w:tc>
          <w:tcPr>
            <w:tcW w:w="100" w:type="dxa"/>
            <w:vAlign w:val="bottom"/>
          </w:tcPr>
          <w:p>
            <w:pPr>
              <w:spacing w:after="0"/>
              <w:rPr>
                <w:sz w:val="18"/>
                <w:szCs w:val="18"/>
                <w:color w:val="auto"/>
              </w:rPr>
            </w:pPr>
          </w:p>
        </w:tc>
        <w:tc>
          <w:tcPr>
            <w:tcW w:w="980" w:type="dxa"/>
            <w:vAlign w:val="bottom"/>
            <w:gridSpan w:val="3"/>
          </w:tcPr>
          <w:p>
            <w:pPr>
              <w:jc w:val="right"/>
              <w:ind w:right="340"/>
              <w:spacing w:after="0"/>
              <w:rPr>
                <w:sz w:val="20"/>
                <w:szCs w:val="20"/>
                <w:color w:val="auto"/>
              </w:rPr>
            </w:pPr>
            <w:r>
              <w:rPr>
                <w:rFonts w:ascii="Arial" w:cs="Arial" w:eastAsia="Arial" w:hAnsi="Arial"/>
                <w:sz w:val="18"/>
                <w:szCs w:val="18"/>
                <w:color w:val="auto"/>
              </w:rPr>
              <w:t>(2,942)</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(2,707)</w:t>
            </w: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(6,257)</w:t>
            </w: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(5,284)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(27)</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1</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(26)</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jc w:val="right"/>
              <w:ind w:right="340"/>
              <w:spacing w:after="0"/>
              <w:rPr>
                <w:sz w:val="20"/>
                <w:szCs w:val="20"/>
                <w:color w:val="auto"/>
              </w:rPr>
            </w:pPr>
            <w:r>
              <w:rPr>
                <w:rFonts w:ascii="Arial" w:cs="Arial" w:eastAsia="Arial" w:hAnsi="Arial"/>
                <w:sz w:val="18"/>
                <w:szCs w:val="18"/>
                <w:color w:val="auto"/>
              </w:rPr>
              <w:t>(304)</w:t>
            </w: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(233)</w:t>
            </w:r>
          </w:p>
        </w:tc>
        <w:tc>
          <w:tcPr>
            <w:tcW w:w="8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27,823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28,134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28,134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55,957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61,731</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37,173</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35,623</w:t>
            </w: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36,563</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72,796</w:t>
            </w:r>
          </w:p>
        </w:tc>
        <w:tc>
          <w:tcPr>
            <w:tcW w:w="40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77,590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(2,468)</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4,687</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(4,148)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2,219</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(8,464)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68"/>
              <w:spacing w:after="0"/>
              <w:rPr>
                <w:sz w:val="20"/>
                <w:szCs w:val="20"/>
                <w:color w:val="auto"/>
              </w:rPr>
            </w:pPr>
            <w:r>
              <w:rPr>
                <w:rFonts w:ascii="Arial" w:cs="Arial" w:eastAsia="Arial" w:hAnsi="Arial"/>
                <w:sz w:val="18"/>
                <w:szCs w:val="18"/>
                <w:color w:val="auto"/>
              </w:rPr>
              <w:t>(1,023)</w:t>
            </w:r>
          </w:p>
        </w:tc>
        <w:tc>
          <w:tcPr>
            <w:tcW w:w="100" w:type="dxa"/>
            <w:vAlign w:val="bottom"/>
          </w:tcPr>
          <w:p>
            <w:pPr>
              <w:spacing w:after="0"/>
              <w:rPr>
                <w:sz w:val="18"/>
                <w:szCs w:val="18"/>
                <w:color w:val="auto"/>
              </w:rPr>
            </w:pPr>
          </w:p>
        </w:tc>
        <w:tc>
          <w:tcPr>
            <w:tcW w:w="980" w:type="dxa"/>
            <w:vAlign w:val="bottom"/>
            <w:gridSpan w:val="3"/>
          </w:tcPr>
          <w:p>
            <w:pPr>
              <w:jc w:val="right"/>
              <w:ind w:right="340"/>
              <w:spacing w:after="0"/>
              <w:rPr>
                <w:sz w:val="20"/>
                <w:szCs w:val="20"/>
                <w:color w:val="auto"/>
              </w:rPr>
            </w:pPr>
            <w:r>
              <w:rPr>
                <w:rFonts w:ascii="Arial" w:cs="Arial" w:eastAsia="Arial" w:hAnsi="Arial"/>
                <w:sz w:val="18"/>
                <w:szCs w:val="18"/>
                <w:color w:val="auto"/>
              </w:rPr>
              <w:t>(3,629)</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(1,320)</w:t>
            </w: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(4,652)</w:t>
            </w: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(1,912)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115</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(100)</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(7,060)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15</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jc w:val="right"/>
              <w:ind w:right="340"/>
              <w:spacing w:after="0"/>
              <w:rPr>
                <w:sz w:val="20"/>
                <w:szCs w:val="20"/>
                <w:color w:val="auto"/>
              </w:rPr>
            </w:pPr>
            <w:r>
              <w:rPr>
                <w:rFonts w:ascii="Arial" w:cs="Arial" w:eastAsia="Arial" w:hAnsi="Arial"/>
                <w:sz w:val="18"/>
                <w:szCs w:val="18"/>
                <w:color w:val="auto"/>
              </w:rPr>
              <w:t>(886)</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(2,748)</w:t>
            </w: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(886)</w:t>
            </w: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(21,050)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33,797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35,695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21,287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69,492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39,104</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GAAP Carnegie Mellon University litigation settlement</w:t>
            </w: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654,667</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654,667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8"/>
              </w:rPr>
              <w:t>(654,667)</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0"/>
              </w:rPr>
              <w:t>(654,667)</w:t>
            </w:r>
          </w:p>
        </w:tc>
        <w:tc>
          <w:tcPr>
            <w:tcW w:w="0" w:type="dxa"/>
            <w:vAlign w:val="bottom"/>
          </w:tcPr>
          <w:p>
            <w:pPr>
              <w:spacing w:after="0"/>
              <w:rPr>
                <w:sz w:val="1"/>
                <w:szCs w:val="1"/>
                <w:color w:val="auto"/>
              </w:rPr>
            </w:pPr>
          </w:p>
        </w:tc>
      </w:tr>
      <w:tr>
        <w:trPr>
          <w:trHeight w:val="223"/>
        </w:trPr>
        <w:tc>
          <w:tcPr>
            <w:tcW w:w="5380" w:type="dxa"/>
            <w:vAlign w:val="bottom"/>
            <w:gridSpan w:val="2"/>
          </w:tcPr>
          <w:p>
            <w:pPr>
              <w:spacing w:after="0"/>
              <w:rPr>
                <w:sz w:val="20"/>
                <w:szCs w:val="20"/>
                <w:color w:val="auto"/>
              </w:rPr>
            </w:pPr>
            <w:r>
              <w:rPr>
                <w:rFonts w:ascii="Arial" w:cs="Arial" w:eastAsia="Arial" w:hAnsi="Arial"/>
                <w:sz w:val="18"/>
                <w:szCs w:val="18"/>
                <w:color w:val="auto"/>
              </w:rPr>
              <w:t>Non-GAAP Carnegie Mellon University litigation settlement</w:t>
            </w:r>
          </w:p>
        </w:tc>
        <w:tc>
          <w:tcPr>
            <w:tcW w:w="7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GAAP provision (benefit) for income taxes</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(5,515)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(4,955)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5,543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2"/>
              </w:rPr>
              <w:t>(10,470)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8"/>
                <w:szCs w:val="18"/>
                <w:color w:val="auto"/>
              </w:rPr>
              <w:t>3,884</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(7,323)</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1,071</w:t>
            </w: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(10,403)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Non-GAAP provision (benefit) for income taxes, as reported</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(5,515)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(1,071)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(1,780)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(9,399)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(531)</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provision (benefit) for income taxes, as adjusted </w:t>
            </w:r>
            <w:r>
              <w:rPr>
                <w:rFonts w:ascii="Arial" w:cs="Arial" w:eastAsia="Arial" w:hAnsi="Arial"/>
                <w:sz w:val="18"/>
                <w:szCs w:val="18"/>
                <w:i w:val="1"/>
                <w:iCs w:val="1"/>
                <w:color w:val="auto"/>
              </w:rPr>
              <w:t>(d)</w:t>
            </w: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(3,884</w:t>
            </w:r>
          </w:p>
        </w:tc>
        <w:tc>
          <w:tcPr>
            <w:tcW w:w="400" w:type="dxa"/>
            <w:vAlign w:val="bottom"/>
            <w:gridSpan w:val="2"/>
          </w:tcPr>
          <w:p>
            <w:pPr>
              <w:jc w:val="right"/>
              <w:ind w:right="340"/>
              <w:spacing w:after="0"/>
              <w:rPr>
                <w:sz w:val="20"/>
                <w:szCs w:val="20"/>
                <w:color w:val="auto"/>
              </w:rPr>
            </w:pPr>
            <w:r>
              <w:rPr>
                <w:rFonts w:ascii="Arial" w:cs="Arial" w:eastAsia="Arial" w:hAnsi="Arial"/>
                <w:sz w:val="16"/>
                <w:szCs w:val="16"/>
                <w:color w:val="auto"/>
                <w:w w:val="74"/>
              </w:rPr>
              <w:t>)</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0"/>
          <w:szCs w:val="20"/>
          <w:color w:val="auto"/>
        </w:rPr>
      </w:pPr>
    </w:p>
    <w:p>
      <w:pPr>
        <w:sectPr>
          <w:pgSz w:w="11900" w:h="16838" w:orient="portrait"/>
          <w:cols w:equalWidth="0" w:num="1">
            <w:col w:w="11420"/>
          </w:cols>
          <w:pgMar w:left="240" w:top="270" w:right="239" w:bottom="1440" w:gutter="0" w:footer="0" w:header="0"/>
        </w:sectPr>
      </w:pPr>
    </w:p>
    <w:p>
      <w:pPr>
        <w:ind w:left="460" w:hanging="452"/>
        <w:spacing w:after="0" w:line="263" w:lineRule="auto"/>
        <w:tabs>
          <w:tab w:leader="none" w:pos="46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Restructuring and other related charges include costs that qualify under U.S. GAAP as restructuring costs and other incremental charges that are a direct result of restructuring. Examples of other incremental charges include impairment of equipment specifically identified as part of the restructuring action.</w:t>
      </w:r>
    </w:p>
    <w:p>
      <w:pPr>
        <w:sectPr>
          <w:pgSz w:w="11900" w:h="16838" w:orient="portrait"/>
          <w:cols w:equalWidth="0" w:num="1">
            <w:col w:w="11420"/>
          </w:cols>
          <w:pgMar w:left="240" w:top="270" w:right="239" w:bottom="1440" w:gutter="0" w:footer="0" w:header="0"/>
          <w:type w:val="continuous"/>
        </w:sectPr>
      </w:pPr>
    </w:p>
    <w:bookmarkStart w:id="13" w:name="page14"/>
    <w:bookmarkEnd w:id="13"/>
    <w:p>
      <w:pPr>
        <w:ind w:left="452" w:hanging="452"/>
        <w:spacing w:after="0"/>
        <w:tabs>
          <w:tab w:leader="none" w:pos="452"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amounts recorded represent charges recognized for pending litigation proceedings.</w:t>
      </w:r>
    </w:p>
    <w:p>
      <w:pPr>
        <w:spacing w:after="0" w:line="23" w:lineRule="exact"/>
        <w:rPr>
          <w:rFonts w:ascii="Arial" w:cs="Arial" w:eastAsia="Arial" w:hAnsi="Arial"/>
          <w:sz w:val="18"/>
          <w:szCs w:val="18"/>
          <w:i w:val="1"/>
          <w:iCs w:val="1"/>
          <w:color w:val="auto"/>
        </w:rPr>
      </w:pPr>
    </w:p>
    <w:p>
      <w:pPr>
        <w:ind w:left="452" w:hanging="452"/>
        <w:spacing w:after="0" w:line="281" w:lineRule="auto"/>
        <w:tabs>
          <w:tab w:leader="none" w:pos="452" w:val="left"/>
        </w:tabs>
        <w:numPr>
          <w:ilvl w:val="0"/>
          <w:numId w:val="9"/>
        </w:numPr>
        <w:rPr>
          <w:rFonts w:ascii="Arial" w:cs="Arial" w:eastAsia="Arial" w:hAnsi="Arial"/>
          <w:sz w:val="16"/>
          <w:szCs w:val="16"/>
          <w:i w:val="1"/>
          <w:iCs w:val="1"/>
          <w:color w:val="auto"/>
        </w:rPr>
      </w:pPr>
      <w:r>
        <w:rPr>
          <w:rFonts w:ascii="Arial" w:cs="Arial" w:eastAsia="Arial" w:hAnsi="Arial"/>
          <w:sz w:val="16"/>
          <w:szCs w:val="16"/>
          <w:color w:val="auto"/>
        </w:rPr>
        <w:t>Other costs for each of the three months ended July 30, 2016, April 30, 2016 and August 1, 2015, and the six months ended July 30, 2016 and August 1, 2015 include expenses related to retention bonuses offered to employees expected to remain through the ramp down of certain operations related to the mobile business, as well as the closure of certain design center operations in Europe. Other costs for the three months ended April 30, 2016 and August 1, 2015, and the six months ended July 30, 2016 and August 1, 2015 also include costs for the surety bonds related to the litigation with CMU that was settled in February 2016. In addition, other costs for the six months ended August 1, 2015 include a payment of $15.4 million due to Dr. Sehat Sutardja, the Company’s former Chief Executive Officer (see “Note 14 – Related Party Transactions” in the Notes to the Consolidated Financial Statements set forth in the Company’s Annual Report on Form 10-K for fiscal 2016). The related tax effect of the payment to Dr. Sutardja is also included in other costs for the three months ended April 30, 2016, and the six months ended July 30, 2016 and August 1, 2015. The tax effect of certain restructuring charges in the three and six months ended August 1, 2015 is also included in other costs for those periods.</w:t>
      </w:r>
    </w:p>
    <w:p>
      <w:pPr>
        <w:spacing w:after="0" w:line="6" w:lineRule="exact"/>
        <w:rPr>
          <w:rFonts w:ascii="Arial" w:cs="Arial" w:eastAsia="Arial" w:hAnsi="Arial"/>
          <w:sz w:val="16"/>
          <w:szCs w:val="16"/>
          <w:i w:val="1"/>
          <w:iCs w:val="1"/>
          <w:color w:val="auto"/>
        </w:rPr>
      </w:pPr>
    </w:p>
    <w:p>
      <w:pPr>
        <w:ind w:left="452" w:right="180" w:hanging="452"/>
        <w:spacing w:after="0" w:line="250" w:lineRule="auto"/>
        <w:tabs>
          <w:tab w:leader="none" w:pos="452"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For the three months ended April 30, 2016, the Company made a correction to the non-GAAP benefit for income taxes of $1,071 thousand that it previously reported in its fiscal 2017 first quarter earnings announcement on Wednesday, July 27, 2016. As a result, the Company now reports non-GAAP net income, as adjusted of $9,331 thousand, non-GAAP earnings per share, as adjusted of $0.02 per share, and non-GAAP benefit for income taxes, as adjusted of $3,884 thousand for the three months ended April 30, 2016.</w:t>
      </w:r>
    </w:p>
    <w:p>
      <w:pPr>
        <w:spacing w:after="0" w:line="1" w:lineRule="exact"/>
        <w:rPr>
          <w:rFonts w:ascii="Arial" w:cs="Arial" w:eastAsia="Arial" w:hAnsi="Arial"/>
          <w:sz w:val="18"/>
          <w:szCs w:val="18"/>
          <w:i w:val="1"/>
          <w:iCs w:val="1"/>
          <w:color w:val="auto"/>
        </w:rPr>
      </w:pPr>
    </w:p>
    <w:p>
      <w:pPr>
        <w:ind w:left="452" w:right="40" w:hanging="452"/>
        <w:spacing w:after="0" w:line="273" w:lineRule="auto"/>
        <w:tabs>
          <w:tab w:leader="none" w:pos="452" w:val="left"/>
        </w:tabs>
        <w:numPr>
          <w:ilvl w:val="0"/>
          <w:numId w:val="9"/>
        </w:numPr>
        <w:rPr>
          <w:rFonts w:ascii="Arial" w:cs="Arial" w:eastAsia="Arial" w:hAnsi="Arial"/>
          <w:sz w:val="17"/>
          <w:szCs w:val="17"/>
          <w:i w:val="1"/>
          <w:iCs w:val="1"/>
          <w:color w:val="auto"/>
        </w:rPr>
      </w:pPr>
      <w:r>
        <w:rPr>
          <w:rFonts w:ascii="Arial" w:cs="Arial" w:eastAsia="Arial" w:hAnsi="Arial"/>
          <w:sz w:val="17"/>
          <w:szCs w:val="17"/>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 and to also include the dilutive/anti-dilutive effects of common stock options and restricted stock units, as applicable. The expected compensation costs are treated as proceeds assumed to be used to repurchase shares under the GAAP treasury stock method.</w:t>
      </w:r>
    </w:p>
    <w:sectPr>
      <w:pgSz w:w="11900" w:h="16838" w:orient="portrait"/>
      <w:cols w:equalWidth="0" w:num="1">
        <w:col w:w="11352"/>
      </w:cols>
      <w:pgMar w:left="248" w:top="27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1)"/>
      <w:numFmt w:val="lowerLetter"/>
      <w:start w:val="4"/>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
      <w:numFmt w:val="bullet"/>
      <w:start w:val="1"/>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1)"/>
      <w:numFmt w:val="lowerLetter"/>
      <w:start w:val="1"/>
    </w:lvl>
  </w:abstractNum>
  <w:abstractNum w:abstractNumId="7">
    <w:nsid w:val="515F007C"/>
    <w:multiLevelType w:val="hybridMultilevel"/>
    <w:lvl w:ilvl="0">
      <w:lvlJc w:val="left"/>
      <w:lvlText w:val="(%1)"/>
      <w:numFmt w:val="lowerLetter"/>
      <w:start w:val="1"/>
    </w:lvl>
  </w:abstractNum>
  <w:abstractNum w:abstractNumId="8">
    <w:nsid w:val="5BD062C2"/>
    <w:multiLevelType w:val="hybridMultilevel"/>
    <w:lvl w:ilvl="0">
      <w:lvlJc w:val="left"/>
      <w:lvlText w:val="(%1)"/>
      <w:numFmt w:val="low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2019-12-06T21:06:51Z</dcterms:created>
  <dcterms:modified xsi:type="dcterms:W3CDTF">2019-12-06T21:06:51Z</dcterms:modified>
</cp:coreProperties>
</file>