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250825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August 28,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236855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200"/>
        <w:spacing w:after="0"/>
        <w:rPr>
          <w:sz w:val="20"/>
          <w:szCs w:val="20"/>
          <w:color w:val="auto"/>
        </w:rPr>
      </w:pPr>
      <w:r>
        <w:rPr>
          <w:rFonts w:ascii="Times New Roman" w:cs="Times New Roman" w:eastAsia="Times New Roman" w:hAnsi="Times New Roman"/>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740" w:space="720"/>
            <w:col w:w="2980" w:space="720"/>
            <w:col w:w="2220"/>
          </w:cols>
          <w:pgMar w:left="240" w:top="362" w:right="279" w:bottom="1440" w:gutter="0" w:footer="0" w:header="0"/>
          <w:type w:val="continuous"/>
        </w:sectPr>
      </w:pP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88" w:lineRule="exact"/>
        <w:rPr>
          <w:sz w:val="24"/>
          <w:szCs w:val="24"/>
          <w:color w:val="auto"/>
        </w:rPr>
      </w:pPr>
    </w:p>
    <w:p>
      <w:pPr>
        <w:sectPr>
          <w:pgSz w:w="11900" w:h="16838" w:orient="portrait"/>
          <w:cols w:equalWidth="0" w:num="3">
            <w:col w:w="4700" w:space="720"/>
            <w:col w:w="2900" w:space="720"/>
            <w:col w:w="2340"/>
          </w:cols>
          <w:pgMar w:left="240" w:top="362" w:right="279" w:bottom="1440" w:gutter="0" w:footer="0" w:header="0"/>
          <w:type w:val="continuous"/>
        </w:sect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163195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206375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bookmarkStart w:id="1" w:name="page2"/>
    <w:bookmarkEnd w:id="1"/>
    <w:p>
      <w:pPr>
        <w:ind w:left="1140" w:hanging="1133"/>
        <w:spacing w:after="0" w:line="286" w:lineRule="auto"/>
        <w:tabs>
          <w:tab w:leader="none" w:pos="112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159" w:lineRule="exact"/>
        <w:rPr>
          <w:sz w:val="20"/>
          <w:szCs w:val="20"/>
          <w:color w:val="auto"/>
        </w:rPr>
      </w:pPr>
    </w:p>
    <w:p>
      <w:pPr>
        <w:ind w:right="120" w:firstLine="913"/>
        <w:spacing w:after="0" w:line="289" w:lineRule="auto"/>
        <w:rPr>
          <w:sz w:val="20"/>
          <w:szCs w:val="20"/>
          <w:color w:val="auto"/>
        </w:rPr>
      </w:pPr>
      <w:r>
        <w:rPr>
          <w:rFonts w:ascii="Times New Roman" w:cs="Times New Roman" w:eastAsia="Times New Roman" w:hAnsi="Times New Roman"/>
          <w:sz w:val="17"/>
          <w:szCs w:val="17"/>
          <w:color w:val="auto"/>
        </w:rPr>
        <w:t>On August 28, 2016, Dr. Zining Wu, Chief Technology Officer, notified Marvell Technology Group Ltd. (“Marvell” or the “Company”) of his decision to leave Marvell. Dr. Wu’s resignation as an employee and a named executive officer will be effective as of September 9, 2016. In order to accommodate an orderly transition of his responsibilities, Dr. Wu has agreed to assist the Company in a consulting capacity at a mutually agreed upon rate.</w:t>
      </w:r>
    </w:p>
    <w:p>
      <w:pPr>
        <w:sectPr>
          <w:pgSz w:w="11900" w:h="16838" w:orient="portrait"/>
          <w:cols w:equalWidth="0" w:num="1">
            <w:col w:w="11300"/>
          </w:cols>
          <w:pgMar w:left="240" w:top="266" w:right="359" w:bottom="1440" w:gutter="0" w:footer="0" w:header="0"/>
        </w:sectPr>
      </w:pPr>
    </w:p>
    <w:bookmarkStart w:id="2" w:name="page3"/>
    <w:bookmarkEnd w:id="2"/>
    <w:p>
      <w:pPr>
        <w:jc w:val="center"/>
        <w:ind w:right="-27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920"/>
        <w:spacing w:after="0"/>
        <w:rPr>
          <w:sz w:val="20"/>
          <w:szCs w:val="20"/>
          <w:color w:val="auto"/>
        </w:rPr>
      </w:pPr>
      <w:r>
        <w:rPr>
          <w:rFonts w:ascii="Times New Roman" w:cs="Times New Roman" w:eastAsia="Times New Roman" w:hAnsi="Times New Roman"/>
          <w:sz w:val="18"/>
          <w:szCs w:val="18"/>
          <w:color w:val="auto"/>
        </w:rPr>
        <w:t>Dated: September 1, 2016</w:t>
      </w:r>
    </w:p>
    <w:p>
      <w:pPr>
        <w:spacing w:after="0" w:line="252"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17145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Mitchell Gaynor</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i w:val="1"/>
          <w:iCs w:val="1"/>
          <w:color w:val="auto"/>
        </w:rPr>
        <w:t>Executive Vice President, Chief Legal Officer and</w:t>
      </w:r>
    </w:p>
    <w:p>
      <w:pPr>
        <w:spacing w:after="0" w:line="9"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i w:val="1"/>
          <w:iCs w:val="1"/>
          <w:color w:val="auto"/>
        </w:rPr>
        <w:t>Secretary</w:t>
      </w:r>
    </w:p>
    <w:sectPr>
      <w:pgSz w:w="11900" w:h="16838" w:orient="portrait"/>
      <w:cols w:equalWidth="0" w:num="1">
        <w:col w:w="11140"/>
      </w:cols>
      <w:pgMar w:left="240" w:top="266"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2019-12-06T21:05:25Z</dcterms:created>
  <dcterms:modified xsi:type="dcterms:W3CDTF">2019-12-06T21:05:25Z</dcterms:modified>
</cp:coreProperties>
</file>