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9040"/>
        <w:spacing w:after="0"/>
        <w:rPr>
          <w:sz w:val="20"/>
          <w:szCs w:val="20"/>
          <w:color w:val="auto"/>
        </w:rPr>
      </w:pPr>
      <w:r>
        <w:rPr>
          <w:rFonts w:ascii="Arial" w:cs="Arial" w:eastAsia="Arial" w:hAnsi="Arial"/>
          <w:sz w:val="18"/>
          <w:szCs w:val="18"/>
          <w:color w:val="auto"/>
        </w:rPr>
        <w:t>OMB APPROVAL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5372735</wp:posOffset>
            </wp:positionH>
            <wp:positionV relativeFrom="paragraph">
              <wp:posOffset>-130175</wp:posOffset>
            </wp:positionV>
            <wp:extent cx="1595120" cy="14319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595120" cy="1431925"/>
                    </a:xfrm>
                    <a:prstGeom prst="rect">
                      <a:avLst/>
                    </a:prstGeom>
                    <a:noFill/>
                  </pic:spPr>
                </pic:pic>
              </a:graphicData>
            </a:graphic>
          </wp:anchor>
        </w:drawing>
      </w:r>
    </w:p>
    <w:p>
      <w:pPr>
        <w:spacing w:after="0" w:line="3" w:lineRule="exact"/>
        <w:rPr>
          <w:sz w:val="24"/>
          <w:szCs w:val="24"/>
          <w:color w:val="auto"/>
        </w:rPr>
      </w:pPr>
    </w:p>
    <w:tbl>
      <w:tblPr>
        <w:tblLayout w:type="fixed"/>
        <w:tblInd w:w="8460" w:type="dxa"/>
        <w:tblCellMar>
          <w:top w:w="0" w:type="dxa"/>
          <w:left w:w="0" w:type="dxa"/>
          <w:bottom w:w="0" w:type="dxa"/>
          <w:right w:w="0" w:type="dxa"/>
        </w:tblCellMar>
      </w:tblPr>
      <w:tr>
        <w:trPr>
          <w:trHeight w:val="230"/>
        </w:trPr>
        <w:tc>
          <w:tcPr>
            <w:tcW w:w="1540" w:type="dxa"/>
            <w:vAlign w:val="bottom"/>
            <w:tcBorders>
              <w:bottom w:val="single" w:sz="8" w:color="auto"/>
            </w:tcBorders>
            <w:gridSpan w:val="2"/>
          </w:tcPr>
          <w:p>
            <w:pPr>
              <w:ind w:left="160"/>
              <w:spacing w:after="0"/>
              <w:rPr>
                <w:sz w:val="20"/>
                <w:szCs w:val="20"/>
                <w:color w:val="auto"/>
              </w:rPr>
            </w:pPr>
            <w:r>
              <w:rPr>
                <w:rFonts w:ascii="Arial" w:cs="Arial" w:eastAsia="Arial" w:hAnsi="Arial"/>
                <w:sz w:val="18"/>
                <w:szCs w:val="18"/>
                <w:color w:val="auto"/>
              </w:rPr>
              <w:t>OMB Number:</w:t>
            </w:r>
          </w:p>
        </w:tc>
        <w:tc>
          <w:tcPr>
            <w:tcW w:w="9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2"/>
              </w:rPr>
              <w:t>3235-0058</w:t>
            </w:r>
          </w:p>
        </w:tc>
      </w:tr>
      <w:tr>
        <w:trPr>
          <w:trHeight w:val="210"/>
        </w:trPr>
        <w:tc>
          <w:tcPr>
            <w:tcW w:w="940" w:type="dxa"/>
            <w:vAlign w:val="bottom"/>
            <w:tcBorders>
              <w:bottom w:val="single" w:sz="8" w:color="auto"/>
            </w:tcBorders>
          </w:tcPr>
          <w:p>
            <w:pPr>
              <w:ind w:left="160"/>
              <w:spacing w:after="0"/>
              <w:rPr>
                <w:sz w:val="20"/>
                <w:szCs w:val="20"/>
                <w:color w:val="auto"/>
              </w:rPr>
            </w:pPr>
            <w:r>
              <w:rPr>
                <w:rFonts w:ascii="Arial" w:cs="Arial" w:eastAsia="Arial" w:hAnsi="Arial"/>
                <w:sz w:val="18"/>
                <w:szCs w:val="18"/>
                <w:color w:val="auto"/>
              </w:rPr>
              <w:t>Expires:</w:t>
            </w:r>
          </w:p>
        </w:tc>
        <w:tc>
          <w:tcPr>
            <w:tcW w:w="1580" w:type="dxa"/>
            <w:vAlign w:val="bottom"/>
            <w:tcBorders>
              <w:bottom w:val="single" w:sz="8" w:color="auto"/>
            </w:tcBorders>
            <w:gridSpan w:val="2"/>
          </w:tcPr>
          <w:p>
            <w:pPr>
              <w:jc w:val="right"/>
              <w:ind w:right="70"/>
              <w:spacing w:after="0"/>
              <w:rPr>
                <w:sz w:val="20"/>
                <w:szCs w:val="20"/>
                <w:color w:val="auto"/>
              </w:rPr>
            </w:pPr>
            <w:r>
              <w:rPr>
                <w:rFonts w:ascii="Arial" w:cs="Arial" w:eastAsia="Arial" w:hAnsi="Arial"/>
                <w:sz w:val="18"/>
                <w:szCs w:val="18"/>
                <w:color w:val="auto"/>
              </w:rPr>
              <w:t>October 31, 2018</w:t>
            </w:r>
          </w:p>
        </w:tc>
      </w:tr>
      <w:tr>
        <w:trPr>
          <w:trHeight w:val="195"/>
        </w:trPr>
        <w:tc>
          <w:tcPr>
            <w:tcW w:w="2520" w:type="dxa"/>
            <w:vAlign w:val="bottom"/>
            <w:gridSpan w:val="3"/>
          </w:tcPr>
          <w:p>
            <w:pPr>
              <w:ind w:left="160"/>
              <w:spacing w:after="0" w:line="195" w:lineRule="exact"/>
              <w:rPr>
                <w:sz w:val="20"/>
                <w:szCs w:val="20"/>
                <w:color w:val="auto"/>
              </w:rPr>
            </w:pPr>
            <w:r>
              <w:rPr>
                <w:rFonts w:ascii="Arial" w:cs="Arial" w:eastAsia="Arial" w:hAnsi="Arial"/>
                <w:sz w:val="18"/>
                <w:szCs w:val="18"/>
                <w:color w:val="auto"/>
              </w:rPr>
              <w:t>Estimated average burden</w:t>
            </w:r>
          </w:p>
        </w:tc>
      </w:tr>
      <w:tr>
        <w:trPr>
          <w:trHeight w:val="230"/>
        </w:trPr>
        <w:tc>
          <w:tcPr>
            <w:tcW w:w="1540" w:type="dxa"/>
            <w:vAlign w:val="bottom"/>
            <w:gridSpan w:val="2"/>
          </w:tcPr>
          <w:p>
            <w:pPr>
              <w:ind w:left="160"/>
              <w:spacing w:after="0"/>
              <w:rPr>
                <w:sz w:val="20"/>
                <w:szCs w:val="20"/>
                <w:color w:val="auto"/>
              </w:rPr>
            </w:pPr>
            <w:r>
              <w:rPr>
                <w:rFonts w:ascii="Arial" w:cs="Arial" w:eastAsia="Arial" w:hAnsi="Arial"/>
                <w:sz w:val="18"/>
                <w:szCs w:val="18"/>
                <w:color w:val="auto"/>
                <w:w w:val="87"/>
              </w:rPr>
              <w:t>hours per response</w:t>
            </w:r>
          </w:p>
        </w:tc>
        <w:tc>
          <w:tcPr>
            <w:tcW w:w="980" w:type="dxa"/>
            <w:vAlign w:val="bottom"/>
          </w:tcPr>
          <w:p>
            <w:pPr>
              <w:jc w:val="right"/>
              <w:ind w:right="70"/>
              <w:spacing w:after="0"/>
              <w:rPr>
                <w:sz w:val="20"/>
                <w:szCs w:val="20"/>
                <w:color w:val="auto"/>
              </w:rPr>
            </w:pPr>
            <w:r>
              <w:rPr>
                <w:rFonts w:ascii="Arial" w:cs="Arial" w:eastAsia="Arial" w:hAnsi="Arial"/>
                <w:sz w:val="18"/>
                <w:szCs w:val="18"/>
                <w:color w:val="auto"/>
              </w:rPr>
              <w:t>2.50</w:t>
            </w:r>
          </w:p>
        </w:tc>
      </w:tr>
    </w:tbl>
    <w:p>
      <w:pPr>
        <w:spacing w:after="0" w:line="94" w:lineRule="exact"/>
        <w:rPr>
          <w:sz w:val="24"/>
          <w:szCs w:val="24"/>
          <w:color w:val="auto"/>
        </w:rPr>
      </w:pPr>
    </w:p>
    <w:p>
      <w:pPr>
        <w:jc w:val="center"/>
        <w:ind w:left="8940"/>
        <w:spacing w:after="0"/>
        <w:rPr>
          <w:sz w:val="20"/>
          <w:szCs w:val="20"/>
          <w:color w:val="auto"/>
        </w:rPr>
      </w:pPr>
      <w:r>
        <w:rPr>
          <w:rFonts w:ascii="Arial" w:cs="Arial" w:eastAsia="Arial" w:hAnsi="Arial"/>
          <w:sz w:val="18"/>
          <w:szCs w:val="18"/>
          <w:color w:val="auto"/>
        </w:rPr>
        <w:t>SEC FILE NUMBER</w:t>
      </w:r>
    </w:p>
    <w:p>
      <w:pPr>
        <w:spacing w:after="0" w:line="23" w:lineRule="exact"/>
        <w:rPr>
          <w:sz w:val="24"/>
          <w:szCs w:val="24"/>
          <w:color w:val="auto"/>
        </w:rPr>
      </w:pPr>
    </w:p>
    <w:p>
      <w:pPr>
        <w:jc w:val="center"/>
        <w:ind w:left="8940"/>
        <w:spacing w:after="0"/>
        <w:rPr>
          <w:sz w:val="20"/>
          <w:szCs w:val="20"/>
          <w:color w:val="auto"/>
        </w:rPr>
      </w:pPr>
      <w:r>
        <w:rPr>
          <w:rFonts w:ascii="Arial" w:cs="Arial" w:eastAsia="Arial" w:hAnsi="Arial"/>
          <w:sz w:val="18"/>
          <w:szCs w:val="18"/>
          <w:color w:val="auto"/>
        </w:rPr>
        <w:t>000-30877</w:t>
      </w:r>
    </w:p>
    <w:p>
      <w:pPr>
        <w:spacing w:after="0" w:line="116" w:lineRule="exact"/>
        <w:rPr>
          <w:sz w:val="24"/>
          <w:szCs w:val="24"/>
          <w:color w:val="auto"/>
        </w:rPr>
      </w:pPr>
    </w:p>
    <w:p>
      <w:pPr>
        <w:jc w:val="center"/>
        <w:ind w:left="8940"/>
        <w:spacing w:after="0"/>
        <w:rPr>
          <w:sz w:val="20"/>
          <w:szCs w:val="20"/>
          <w:color w:val="auto"/>
        </w:rPr>
      </w:pPr>
      <w:r>
        <w:rPr>
          <w:rFonts w:ascii="Arial" w:cs="Arial" w:eastAsia="Arial" w:hAnsi="Arial"/>
          <w:sz w:val="18"/>
          <w:szCs w:val="18"/>
          <w:color w:val="auto"/>
        </w:rPr>
        <w:t>CUSIP NUMBER</w:t>
      </w:r>
    </w:p>
    <w:p>
      <w:pPr>
        <w:spacing w:after="0" w:line="23" w:lineRule="exact"/>
        <w:rPr>
          <w:sz w:val="24"/>
          <w:szCs w:val="24"/>
          <w:color w:val="auto"/>
        </w:rPr>
      </w:pPr>
    </w:p>
    <w:p>
      <w:pPr>
        <w:jc w:val="center"/>
        <w:ind w:left="8940"/>
        <w:spacing w:after="0"/>
        <w:rPr>
          <w:sz w:val="20"/>
          <w:szCs w:val="20"/>
          <w:color w:val="auto"/>
        </w:rPr>
      </w:pPr>
      <w:r>
        <w:rPr>
          <w:rFonts w:ascii="Arial" w:cs="Arial" w:eastAsia="Arial" w:hAnsi="Arial"/>
          <w:sz w:val="18"/>
          <w:szCs w:val="18"/>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-286385</wp:posOffset>
            </wp:positionH>
            <wp:positionV relativeFrom="paragraph">
              <wp:posOffset>83185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-286385</wp:posOffset>
            </wp:positionH>
            <wp:positionV relativeFrom="paragraph">
              <wp:posOffset>125730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67" w:lineRule="exact"/>
        <w:rPr>
          <w:sz w:val="24"/>
          <w:szCs w:val="24"/>
          <w:color w:val="auto"/>
        </w:rPr>
      </w:pPr>
    </w:p>
    <w:p>
      <w:pPr>
        <w:jc w:val="center"/>
        <w:ind w:right="48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480"/>
        <w:spacing w:after="0"/>
        <w:rPr>
          <w:sz w:val="20"/>
          <w:szCs w:val="20"/>
          <w:color w:val="auto"/>
        </w:rPr>
      </w:pPr>
      <w:r>
        <w:rPr>
          <w:rFonts w:ascii="Arial" w:cs="Arial" w:eastAsia="Arial" w:hAnsi="Arial"/>
          <w:sz w:val="32"/>
          <w:szCs w:val="32"/>
          <w:b w:val="1"/>
          <w:bCs w:val="1"/>
          <w:color w:val="auto"/>
        </w:rPr>
        <w:t>SECURITIES AND EXCHANGE COMMISSION</w:t>
      </w:r>
    </w:p>
    <w:p>
      <w:pPr>
        <w:ind w:left="414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2577465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480"/>
        <w:spacing w:after="0"/>
        <w:rPr>
          <w:sz w:val="20"/>
          <w:szCs w:val="20"/>
          <w:color w:val="auto"/>
        </w:rPr>
      </w:pPr>
      <w:r>
        <w:rPr>
          <w:rFonts w:ascii="Arial" w:cs="Arial" w:eastAsia="Arial" w:hAnsi="Arial"/>
          <w:sz w:val="32"/>
          <w:szCs w:val="32"/>
          <w:b w:val="1"/>
          <w:bCs w:val="1"/>
          <w:color w:val="auto"/>
        </w:rPr>
        <w:t>FORM 12b-25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2577465</wp:posOffset>
            </wp:positionH>
            <wp:positionV relativeFrom="paragraph">
              <wp:posOffset>255270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5" w:lineRule="exact"/>
        <w:rPr>
          <w:sz w:val="24"/>
          <w:szCs w:val="24"/>
          <w:color w:val="auto"/>
        </w:rPr>
      </w:pPr>
    </w:p>
    <w:p>
      <w:pPr>
        <w:ind w:left="3540"/>
        <w:spacing w:after="0"/>
        <w:rPr>
          <w:sz w:val="20"/>
          <w:szCs w:val="20"/>
          <w:color w:val="auto"/>
        </w:rPr>
      </w:pPr>
      <w:r>
        <w:rPr>
          <w:rFonts w:ascii="Arial" w:cs="Arial" w:eastAsia="Arial" w:hAnsi="Arial"/>
          <w:sz w:val="22"/>
          <w:szCs w:val="22"/>
          <w:b w:val="1"/>
          <w:bCs w:val="1"/>
          <w:color w:val="auto"/>
        </w:rPr>
        <w:t>NOTIFICATION OF LATE FILING</w:t>
      </w:r>
    </w:p>
    <w:p>
      <w:pPr>
        <w:spacing w:after="0" w:line="214" w:lineRule="exact"/>
        <w:rPr>
          <w:sz w:val="24"/>
          <w:szCs w:val="24"/>
          <w:color w:val="auto"/>
        </w:rPr>
      </w:pPr>
    </w:p>
    <w:p>
      <w:pPr>
        <w:ind w:left="1640"/>
        <w:spacing w:after="0" w:line="207" w:lineRule="exact"/>
        <w:tabs>
          <w:tab w:leader="none" w:pos="2860" w:val="left"/>
          <w:tab w:leader="none" w:pos="4140" w:val="left"/>
          <w:tab w:leader="none" w:pos="5380" w:val="left"/>
          <w:tab w:leader="none" w:pos="6660" w:val="left"/>
        </w:tabs>
        <w:rPr>
          <w:sz w:val="20"/>
          <w:szCs w:val="20"/>
          <w:color w:val="auto"/>
        </w:rPr>
      </w:pPr>
      <w:r>
        <w:rPr>
          <w:rFonts w:ascii="Arial" w:cs="Arial" w:eastAsia="Arial" w:hAnsi="Arial"/>
          <w:sz w:val="18"/>
          <w:szCs w:val="18"/>
          <w:color w:val="auto"/>
        </w:rPr>
        <w:t>(Check one):</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Form 10-K</w:t>
      </w:r>
      <w:r>
        <w:rPr>
          <w:rFonts w:ascii="MS PGothic" w:cs="MS PGothic" w:eastAsia="MS PGothic" w:hAnsi="MS PGothic"/>
          <w:sz w:val="18"/>
          <w:szCs w:val="18"/>
          <w:color w:val="auto"/>
        </w:rPr>
        <w:tab/>
        <w:t xml:space="preserve">☐ </w:t>
      </w:r>
      <w:r>
        <w:rPr>
          <w:rFonts w:ascii="Arial" w:cs="Arial" w:eastAsia="Arial" w:hAnsi="Arial"/>
          <w:sz w:val="18"/>
          <w:szCs w:val="18"/>
          <w:color w:val="auto"/>
        </w:rPr>
        <w:t>Form 20-F</w:t>
      </w:r>
      <w:r>
        <w:rPr>
          <w:rFonts w:ascii="MS PGothic" w:cs="MS PGothic" w:eastAsia="MS PGothic" w:hAnsi="MS PGothic"/>
          <w:sz w:val="18"/>
          <w:szCs w:val="18"/>
          <w:color w:val="auto"/>
        </w:rPr>
        <w:tab/>
        <w:t xml:space="preserve">☐ </w:t>
      </w:r>
      <w:r>
        <w:rPr>
          <w:rFonts w:ascii="Arial" w:cs="Arial" w:eastAsia="Arial" w:hAnsi="Arial"/>
          <w:sz w:val="18"/>
          <w:szCs w:val="18"/>
          <w:color w:val="auto"/>
        </w:rPr>
        <w:t>Form 11-K</w:t>
      </w:r>
      <w:r>
        <w:rPr>
          <w:sz w:val="20"/>
          <w:szCs w:val="20"/>
          <w:color w:val="auto"/>
        </w:rPr>
        <w:tab/>
      </w:r>
      <w:r>
        <w:rPr>
          <w:rFonts w:ascii="MS PGothic" w:cs="MS PGothic" w:eastAsia="MS PGothic" w:hAnsi="MS PGothic"/>
          <w:sz w:val="17"/>
          <w:szCs w:val="17"/>
          <w:color w:val="auto"/>
        </w:rPr>
        <w:t xml:space="preserve">☐ </w:t>
      </w:r>
      <w:r>
        <w:rPr>
          <w:rFonts w:ascii="Arial" w:cs="Arial" w:eastAsia="Arial" w:hAnsi="Arial"/>
          <w:sz w:val="17"/>
          <w:szCs w:val="17"/>
          <w:color w:val="auto"/>
        </w:rPr>
        <w:t>Form 10-Q</w:t>
      </w:r>
    </w:p>
    <w:p>
      <w:pPr>
        <w:spacing w:after="0" w:line="51" w:lineRule="exact"/>
        <w:rPr>
          <w:sz w:val="24"/>
          <w:szCs w:val="24"/>
          <w:color w:val="auto"/>
        </w:rPr>
      </w:pPr>
    </w:p>
    <w:p>
      <w:pPr>
        <w:ind w:left="2880" w:right="5320" w:hanging="10"/>
        <w:spacing w:after="0" w:line="334" w:lineRule="exact"/>
        <w:tabs>
          <w:tab w:leader="none" w:pos="3132"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 xml:space="preserve">Form N-SAR </w:t>
      </w:r>
      <w:r>
        <w:rPr>
          <w:rFonts w:ascii="MS PGothic" w:cs="MS PGothic" w:eastAsia="MS PGothic" w:hAnsi="MS PGothic"/>
          <w:sz w:val="17"/>
          <w:szCs w:val="17"/>
          <w:color w:val="auto"/>
        </w:rPr>
        <w:t>☐</w:t>
      </w:r>
      <w:r>
        <w:rPr>
          <w:rFonts w:ascii="Arial" w:cs="Arial" w:eastAsia="Arial" w:hAnsi="Arial"/>
          <w:sz w:val="17"/>
          <w:szCs w:val="17"/>
          <w:color w:val="auto"/>
        </w:rPr>
        <w:t xml:space="preserve"> Form N-CSR For Period Ended: January 30, 2016</w:t>
      </w:r>
    </w:p>
    <w:p>
      <w:pPr>
        <w:spacing w:after="0" w:line="202" w:lineRule="exact"/>
        <w:rPr>
          <w:rFonts w:ascii="MS PGothic" w:cs="MS PGothic" w:eastAsia="MS PGothic" w:hAnsi="MS PGothic"/>
          <w:sz w:val="17"/>
          <w:szCs w:val="17"/>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10-K</w:t>
      </w:r>
    </w:p>
    <w:p>
      <w:pPr>
        <w:spacing w:after="0" w:line="25"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20-F</w:t>
      </w:r>
    </w:p>
    <w:p>
      <w:pPr>
        <w:spacing w:after="0" w:line="9"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11-K</w:t>
      </w:r>
    </w:p>
    <w:p>
      <w:pPr>
        <w:spacing w:after="0" w:line="9"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10-Q</w:t>
      </w:r>
    </w:p>
    <w:p>
      <w:pPr>
        <w:spacing w:after="0" w:line="9"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N-SAR</w:t>
      </w:r>
    </w:p>
    <w:p>
      <w:pPr>
        <w:spacing w:after="0" w:line="209" w:lineRule="exact"/>
        <w:rPr>
          <w:sz w:val="24"/>
          <w:szCs w:val="24"/>
          <w:color w:val="auto"/>
        </w:rPr>
      </w:pPr>
    </w:p>
    <w:p>
      <w:pPr>
        <w:ind w:left="2880"/>
        <w:spacing w:after="0"/>
        <w:rPr>
          <w:sz w:val="20"/>
          <w:szCs w:val="20"/>
          <w:color w:val="auto"/>
        </w:rPr>
      </w:pPr>
      <w:r>
        <w:rPr>
          <w:rFonts w:ascii="Arial" w:cs="Arial" w:eastAsia="Arial" w:hAnsi="Arial"/>
          <w:sz w:val="18"/>
          <w:szCs w:val="18"/>
          <w:color w:val="auto"/>
        </w:rPr>
        <w:t>For the Transition Period Ended:</w:t>
      </w:r>
    </w:p>
    <w:p>
      <w:pPr>
        <w:spacing w:after="0" w:line="266" w:lineRule="exact"/>
        <w:rPr>
          <w:sz w:val="24"/>
          <w:szCs w:val="24"/>
          <w:color w:val="auto"/>
        </w:rPr>
      </w:pPr>
    </w:p>
    <w:p>
      <w:pPr>
        <w:jc w:val="center"/>
        <w:ind w:right="460"/>
        <w:spacing w:after="0"/>
        <w:rPr>
          <w:sz w:val="20"/>
          <w:szCs w:val="20"/>
          <w:color w:val="auto"/>
        </w:rPr>
      </w:pPr>
      <w:r>
        <w:rPr>
          <w:rFonts w:ascii="Arial" w:cs="Arial" w:eastAsia="Arial" w:hAnsi="Arial"/>
          <w:sz w:val="18"/>
          <w:szCs w:val="18"/>
          <w:i w:val="1"/>
          <w:iCs w:val="1"/>
          <w:color w:val="auto"/>
        </w:rPr>
        <w:t>Read Instruction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-286385</wp:posOffset>
            </wp:positionH>
            <wp:positionV relativeFrom="paragraph">
              <wp:posOffset>-130175</wp:posOffset>
            </wp:positionV>
            <wp:extent cx="7254875" cy="3003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4875" cy="300355"/>
                    </a:xfrm>
                    <a:prstGeom prst="rect">
                      <a:avLst/>
                    </a:prstGeom>
                    <a:noFill/>
                  </pic:spPr>
                </pic:pic>
              </a:graphicData>
            </a:graphic>
          </wp:anchor>
        </w:drawing>
      </w:r>
    </w:p>
    <w:p>
      <w:pPr>
        <w:spacing w:after="0" w:line="3" w:lineRule="exact"/>
        <w:rPr>
          <w:sz w:val="24"/>
          <w:szCs w:val="24"/>
          <w:color w:val="auto"/>
        </w:rPr>
      </w:pPr>
    </w:p>
    <w:p>
      <w:pPr>
        <w:jc w:val="center"/>
        <w:ind w:right="460"/>
        <w:spacing w:after="0"/>
        <w:rPr>
          <w:sz w:val="20"/>
          <w:szCs w:val="20"/>
          <w:color w:val="auto"/>
        </w:rPr>
      </w:pPr>
      <w:r>
        <w:rPr>
          <w:rFonts w:ascii="Arial" w:cs="Arial" w:eastAsia="Arial" w:hAnsi="Arial"/>
          <w:sz w:val="18"/>
          <w:szCs w:val="18"/>
          <w:b w:val="1"/>
          <w:bCs w:val="1"/>
          <w:color w:val="auto"/>
        </w:rPr>
        <w:t>Nothing in this form shall be construed to imply that the Commission has verified any information contained herein.</w:t>
      </w:r>
    </w:p>
    <w:p>
      <w:pPr>
        <w:spacing w:after="0" w:line="238" w:lineRule="exact"/>
        <w:rPr>
          <w:sz w:val="24"/>
          <w:szCs w:val="24"/>
          <w:color w:val="auto"/>
        </w:rPr>
      </w:pPr>
    </w:p>
    <w:p>
      <w:pPr>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-286385</wp:posOffset>
            </wp:positionH>
            <wp:positionV relativeFrom="paragraph">
              <wp:posOffset>417830</wp:posOffset>
            </wp:positionV>
            <wp:extent cx="72466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ind w:left="3540"/>
        <w:spacing w:after="0"/>
        <w:rPr>
          <w:sz w:val="20"/>
          <w:szCs w:val="20"/>
          <w:color w:val="auto"/>
        </w:rPr>
      </w:pPr>
      <w:r>
        <w:rPr>
          <w:rFonts w:ascii="Arial" w:cs="Arial" w:eastAsia="Arial" w:hAnsi="Arial"/>
          <w:sz w:val="18"/>
          <w:szCs w:val="18"/>
          <w:b w:val="1"/>
          <w:bCs w:val="1"/>
          <w:color w:val="auto"/>
        </w:rPr>
        <w:t>PART I — REGISTRANT INFORMATION</w:t>
      </w:r>
    </w:p>
    <w:p>
      <w:pPr>
        <w:spacing w:after="0" w:line="200" w:lineRule="exact"/>
        <w:rPr>
          <w:sz w:val="24"/>
          <w:szCs w:val="24"/>
          <w:color w:val="auto"/>
        </w:rPr>
      </w:pPr>
    </w:p>
    <w:p>
      <w:pPr>
        <w:spacing w:after="0" w:line="212" w:lineRule="exact"/>
        <w:rPr>
          <w:sz w:val="24"/>
          <w:szCs w:val="24"/>
          <w:color w:val="auto"/>
        </w:rPr>
      </w:pPr>
    </w:p>
    <w:p>
      <w:pPr>
        <w:jc w:val="center"/>
        <w:ind w:right="480"/>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480"/>
        <w:spacing w:after="0"/>
        <w:rPr>
          <w:sz w:val="20"/>
          <w:szCs w:val="20"/>
          <w:color w:val="auto"/>
        </w:rPr>
      </w:pPr>
      <w:r>
        <w:rPr>
          <w:rFonts w:ascii="Arial" w:cs="Arial" w:eastAsia="Arial" w:hAnsi="Arial"/>
          <w:sz w:val="18"/>
          <w:szCs w:val="18"/>
          <w:b w:val="1"/>
          <w:bCs w:val="1"/>
          <w:color w:val="auto"/>
        </w:rPr>
        <w:t>Full Name of Registrant</w:t>
      </w:r>
    </w:p>
    <w:p>
      <w:pPr>
        <w:spacing w:after="0" w:line="200" w:lineRule="exact"/>
        <w:rPr>
          <w:sz w:val="24"/>
          <w:szCs w:val="24"/>
          <w:color w:val="auto"/>
        </w:rPr>
      </w:pPr>
    </w:p>
    <w:p>
      <w:pPr>
        <w:spacing w:after="0" w:line="221" w:lineRule="exact"/>
        <w:rPr>
          <w:sz w:val="24"/>
          <w:szCs w:val="24"/>
          <w:color w:val="auto"/>
        </w:rPr>
      </w:pPr>
    </w:p>
    <w:p>
      <w:pPr>
        <w:jc w:val="center"/>
        <w:ind w:right="480"/>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480"/>
        <w:spacing w:after="0"/>
        <w:rPr>
          <w:sz w:val="20"/>
          <w:szCs w:val="20"/>
          <w:color w:val="auto"/>
        </w:rPr>
      </w:pPr>
      <w:r>
        <w:rPr>
          <w:rFonts w:ascii="Arial" w:cs="Arial" w:eastAsia="Arial" w:hAnsi="Arial"/>
          <w:sz w:val="14"/>
          <w:szCs w:val="14"/>
          <w:b w:val="1"/>
          <w:bCs w:val="1"/>
          <w:color w:val="auto"/>
        </w:rPr>
        <w:t>Former Name if Applicable</w:t>
      </w:r>
    </w:p>
    <w:p>
      <w:pPr>
        <w:spacing w:after="0" w:line="200" w:lineRule="exact"/>
        <w:rPr>
          <w:sz w:val="24"/>
          <w:szCs w:val="24"/>
          <w:color w:val="auto"/>
        </w:rPr>
      </w:pPr>
    </w:p>
    <w:p>
      <w:pPr>
        <w:spacing w:after="0" w:line="208" w:lineRule="exact"/>
        <w:rPr>
          <w:sz w:val="24"/>
          <w:szCs w:val="24"/>
          <w:color w:val="auto"/>
        </w:rPr>
      </w:pPr>
    </w:p>
    <w:p>
      <w:pPr>
        <w:jc w:val="center"/>
        <w:ind w:right="480"/>
        <w:spacing w:after="0"/>
        <w:rPr>
          <w:sz w:val="20"/>
          <w:szCs w:val="20"/>
          <w:color w:val="auto"/>
        </w:rPr>
      </w:pPr>
      <w:r>
        <w:rPr>
          <w:rFonts w:ascii="Arial" w:cs="Arial" w:eastAsia="Arial" w:hAnsi="Arial"/>
          <w:sz w:val="18"/>
          <w:szCs w:val="18"/>
          <w:b w:val="1"/>
          <w:bCs w:val="1"/>
          <w:color w:val="auto"/>
        </w:rPr>
        <w:t>Canon’s Court, 22 Victoria Street</w:t>
      </w:r>
    </w:p>
    <w:p>
      <w:pPr>
        <w:spacing w:after="0" w:line="21" w:lineRule="exact"/>
        <w:rPr>
          <w:sz w:val="24"/>
          <w:szCs w:val="24"/>
          <w:color w:val="auto"/>
        </w:rPr>
      </w:pPr>
    </w:p>
    <w:p>
      <w:pPr>
        <w:ind w:left="3480"/>
        <w:spacing w:after="0"/>
        <w:rPr>
          <w:sz w:val="20"/>
          <w:szCs w:val="20"/>
          <w:color w:val="auto"/>
        </w:rPr>
      </w:pPr>
      <w:r>
        <w:rPr>
          <w:rFonts w:ascii="Arial" w:cs="Arial" w:eastAsia="Arial" w:hAnsi="Arial"/>
          <w:sz w:val="14"/>
          <w:szCs w:val="14"/>
          <w:b w:val="1"/>
          <w:bCs w:val="1"/>
          <w:color w:val="auto"/>
        </w:rPr>
        <w:t>Address of Principal Executive Office (</w:t>
      </w:r>
      <w:r>
        <w:rPr>
          <w:rFonts w:ascii="Arial" w:cs="Arial" w:eastAsia="Arial" w:hAnsi="Arial"/>
          <w:sz w:val="14"/>
          <w:szCs w:val="14"/>
          <w:b w:val="1"/>
          <w:bCs w:val="1"/>
          <w:i w:val="1"/>
          <w:iCs w:val="1"/>
          <w:color w:val="auto"/>
        </w:rPr>
        <w:t>Street and Number</w:t>
      </w:r>
      <w:r>
        <w:rPr>
          <w:rFonts w:ascii="Arial" w:cs="Arial" w:eastAsia="Arial" w:hAnsi="Arial"/>
          <w:sz w:val="14"/>
          <w:szCs w:val="14"/>
          <w:b w:val="1"/>
          <w:bCs w:val="1"/>
          <w:color w:val="auto"/>
        </w:rPr>
        <w:t>)</w:t>
      </w:r>
    </w:p>
    <w:p>
      <w:pPr>
        <w:spacing w:after="0" w:line="200" w:lineRule="exact"/>
        <w:rPr>
          <w:sz w:val="24"/>
          <w:szCs w:val="24"/>
          <w:color w:val="auto"/>
        </w:rPr>
      </w:pPr>
    </w:p>
    <w:p>
      <w:pPr>
        <w:spacing w:after="0" w:line="208" w:lineRule="exact"/>
        <w:rPr>
          <w:sz w:val="24"/>
          <w:szCs w:val="24"/>
          <w:color w:val="auto"/>
        </w:rPr>
      </w:pPr>
    </w:p>
    <w:p>
      <w:pPr>
        <w:ind w:left="4200"/>
        <w:spacing w:after="0"/>
        <w:rPr>
          <w:sz w:val="20"/>
          <w:szCs w:val="20"/>
          <w:color w:val="auto"/>
        </w:rPr>
      </w:pPr>
      <w:r>
        <w:rPr>
          <w:rFonts w:ascii="Arial" w:cs="Arial" w:eastAsia="Arial" w:hAnsi="Arial"/>
          <w:sz w:val="18"/>
          <w:szCs w:val="18"/>
          <w:b w:val="1"/>
          <w:bCs w:val="1"/>
          <w:color w:val="auto"/>
        </w:rPr>
        <w:t>Hamilton HM 12, Bermuda</w:t>
      </w:r>
    </w:p>
    <w:p>
      <w:pPr>
        <w:sectPr>
          <w:pgSz w:w="11900" w:h="16838" w:orient="portrait"/>
          <w:cols w:equalWidth="0" w:num="1">
            <w:col w:w="10980"/>
          </w:cols>
          <w:pgMar w:left="700" w:top="247" w:right="219" w:bottom="1440" w:gutter="0" w:footer="0" w:header="0"/>
        </w:sectPr>
      </w:pPr>
    </w:p>
    <w:p>
      <w:pPr>
        <w:spacing w:after="0" w:line="21" w:lineRule="exact"/>
        <w:rPr>
          <w:sz w:val="24"/>
          <w:szCs w:val="24"/>
          <w:color w:val="auto"/>
        </w:rPr>
      </w:pPr>
    </w:p>
    <w:p>
      <w:pPr>
        <w:jc w:val="center"/>
        <w:ind w:right="460"/>
        <w:spacing w:after="0"/>
        <w:rPr>
          <w:sz w:val="20"/>
          <w:szCs w:val="20"/>
          <w:color w:val="auto"/>
        </w:rPr>
      </w:pPr>
      <w:r>
        <w:rPr>
          <w:rFonts w:ascii="Arial" w:cs="Arial" w:eastAsia="Arial" w:hAnsi="Arial"/>
          <w:sz w:val="13"/>
          <w:szCs w:val="13"/>
          <w:b w:val="1"/>
          <w:bCs w:val="1"/>
          <w:color w:val="auto"/>
        </w:rPr>
        <w:t>City, State and Zip Code</w:t>
      </w:r>
    </w:p>
    <w:p>
      <w:pPr>
        <w:sectPr>
          <w:pgSz w:w="11900" w:h="16838" w:orient="portrait"/>
          <w:cols w:equalWidth="0" w:num="1">
            <w:col w:w="10980"/>
          </w:cols>
          <w:pgMar w:left="700" w:top="247" w:right="219" w:bottom="1440" w:gutter="0" w:footer="0" w:header="0"/>
          <w:type w:val="continuous"/>
        </w:sectPr>
      </w:pPr>
    </w:p>
    <w:bookmarkStart w:id="1" w:name="page2"/>
    <w:bookmarkEnd w:id="1"/>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157480</wp:posOffset>
            </wp:positionH>
            <wp:positionV relativeFrom="page">
              <wp:posOffset>260350</wp:posOffset>
            </wp:positionV>
            <wp:extent cx="72466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17145"/>
                    </a:xfrm>
                    <a:prstGeom prst="rect">
                      <a:avLst/>
                    </a:prstGeom>
                    <a:noFill/>
                  </pic:spPr>
                </pic:pic>
              </a:graphicData>
            </a:graphic>
          </wp:anchor>
        </w:drawing>
        <w:t>PART II — RULES 12b-25(b) AND (c)</w:t>
      </w:r>
    </w:p>
    <w:p>
      <w:pPr>
        <w:spacing w:after="0" w:line="229"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97" w:lineRule="exact"/>
        <w:rPr>
          <w:sz w:val="20"/>
          <w:szCs w:val="20"/>
          <w:color w:val="auto"/>
        </w:rPr>
      </w:pPr>
    </w:p>
    <w:p>
      <w:pPr>
        <w:ind w:left="880" w:hanging="332"/>
        <w:spacing w:after="0"/>
        <w:tabs>
          <w:tab w:leader="none" w:pos="880" w:val="left"/>
        </w:tabs>
        <w:numPr>
          <w:ilvl w:val="1"/>
          <w:numId w:val="2"/>
        </w:numPr>
        <w:rPr>
          <w:rFonts w:ascii="Arial" w:cs="Arial" w:eastAsia="Arial" w:hAnsi="Arial"/>
          <w:sz w:val="18"/>
          <w:szCs w:val="18"/>
          <w:color w:val="auto"/>
        </w:rPr>
      </w:pPr>
      <w:r>
        <w:rPr>
          <w:rFonts w:ascii="Arial" w:cs="Arial" w:eastAsia="Arial" w:hAnsi="Arial"/>
          <w:sz w:val="18"/>
          <w:szCs w:val="18"/>
          <w:color w:val="auto"/>
        </w:rPr>
        <w:t>The reason described in reasonable detail in Part III of this form could not be eliminated without unreasonable effort or expense;</w:t>
      </w:r>
    </w:p>
    <w:p>
      <w:pPr>
        <w:spacing w:after="0" w:line="144" w:lineRule="exact"/>
        <w:rPr>
          <w:rFonts w:ascii="Arial" w:cs="Arial" w:eastAsia="Arial" w:hAnsi="Arial"/>
          <w:sz w:val="18"/>
          <w:szCs w:val="18"/>
          <w:color w:val="auto"/>
        </w:rPr>
      </w:pPr>
    </w:p>
    <w:p>
      <w:pPr>
        <w:ind w:left="880" w:hanging="332"/>
        <w:spacing w:after="0"/>
        <w:tabs>
          <w:tab w:leader="none" w:pos="880" w:val="left"/>
        </w:tabs>
        <w:numPr>
          <w:ilvl w:val="1"/>
          <w:numId w:val="2"/>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w:t>
      </w:r>
    </w:p>
    <w:p>
      <w:pPr>
        <w:spacing w:after="0" w:line="46" w:lineRule="exact"/>
        <w:rPr>
          <w:rFonts w:ascii="Arial" w:cs="Arial" w:eastAsia="Arial" w:hAnsi="Arial"/>
          <w:sz w:val="16"/>
          <w:szCs w:val="16"/>
          <w:color w:val="auto"/>
        </w:rPr>
      </w:pPr>
    </w:p>
    <w:p>
      <w:pPr>
        <w:ind w:left="880" w:right="160" w:hanging="728"/>
        <w:spacing w:after="0" w:line="201" w:lineRule="auto"/>
        <w:tabs>
          <w:tab w:leader="none" w:pos="880" w:val="left"/>
        </w:tabs>
        <w:numPr>
          <w:ilvl w:val="0"/>
          <w:numId w:val="2"/>
        </w:numPr>
        <w:rPr>
          <w:rFonts w:ascii="MS PGothic" w:cs="MS PGothic" w:eastAsia="MS PGothic" w:hAnsi="MS PGothic"/>
          <w:sz w:val="36"/>
          <w:szCs w:val="36"/>
          <w:color w:val="auto"/>
          <w:vertAlign w:val="subscript"/>
        </w:rPr>
      </w:pPr>
      <w:r>
        <w:rPr>
          <w:rFonts w:ascii="Arial" w:cs="Arial" w:eastAsia="Arial" w:hAnsi="Arial"/>
          <w:sz w:val="18"/>
          <w:szCs w:val="18"/>
          <w:color w:val="auto"/>
        </w:rPr>
        <w:t>thereof, will be filed on or before the fifteenth calendar day following the prescribed due date; or the subject quarterly report or transition report on Form 10-Q or subject distribution report on Form 10-D, or portion thereof, will be filed on or before the fifth calendar day following the prescribed due date; and</w:t>
      </w:r>
    </w:p>
    <w:p>
      <w:pPr>
        <w:spacing w:after="0" w:line="120" w:lineRule="exact"/>
        <w:rPr>
          <w:rFonts w:ascii="MS PGothic" w:cs="MS PGothic" w:eastAsia="MS PGothic" w:hAnsi="MS PGothic"/>
          <w:sz w:val="36"/>
          <w:szCs w:val="36"/>
          <w:color w:val="auto"/>
          <w:vertAlign w:val="subscript"/>
        </w:rPr>
      </w:pPr>
    </w:p>
    <w:p>
      <w:pPr>
        <w:ind w:left="880" w:hanging="332"/>
        <w:spacing w:after="0"/>
        <w:tabs>
          <w:tab w:leader="none" w:pos="880" w:val="left"/>
        </w:tabs>
        <w:numPr>
          <w:ilvl w:val="1"/>
          <w:numId w:val="3"/>
        </w:numPr>
        <w:rPr>
          <w:rFonts w:ascii="Arial" w:cs="Arial" w:eastAsia="Arial" w:hAnsi="Arial"/>
          <w:sz w:val="18"/>
          <w:szCs w:val="18"/>
          <w:color w:val="auto"/>
        </w:rPr>
      </w:pPr>
      <w:r>
        <w:rPr>
          <w:rFonts w:ascii="Arial" w:cs="Arial" w:eastAsia="Arial" w:hAnsi="Arial"/>
          <w:sz w:val="18"/>
          <w:szCs w:val="18"/>
          <w:color w:val="auto"/>
        </w:rPr>
        <w:t>The accountant’s statement or other exhibit required by Rule 12b-25(c) has been attached if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288290</wp:posOffset>
            </wp:positionH>
            <wp:positionV relativeFrom="paragraph">
              <wp:posOffset>-979170</wp:posOffset>
            </wp:positionV>
            <wp:extent cx="8890" cy="9950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9950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255270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93" w:lineRule="exact"/>
        <w:rPr>
          <w:sz w:val="20"/>
          <w:szCs w:val="20"/>
          <w:color w:val="auto"/>
        </w:rPr>
      </w:pPr>
    </w:p>
    <w:tbl>
      <w:tblPr>
        <w:tblLayout w:type="fixed"/>
        <w:tblInd w:w="840" w:type="dxa"/>
        <w:tblCellMar>
          <w:top w:w="0" w:type="dxa"/>
          <w:left w:w="0" w:type="dxa"/>
          <w:bottom w:w="0" w:type="dxa"/>
          <w:right w:w="0" w:type="dxa"/>
        </w:tblCellMar>
      </w:tblPr>
      <w:tr>
        <w:trPr>
          <w:trHeight w:val="234"/>
        </w:trPr>
        <w:tc>
          <w:tcPr>
            <w:tcW w:w="1960" w:type="dxa"/>
            <w:vAlign w:val="bottom"/>
          </w:tcPr>
          <w:p>
            <w:pPr>
              <w:spacing w:after="0"/>
              <w:rPr>
                <w:sz w:val="20"/>
                <w:szCs w:val="20"/>
                <w:color w:val="auto"/>
              </w:rPr>
            </w:pPr>
          </w:p>
        </w:tc>
        <w:tc>
          <w:tcPr>
            <w:tcW w:w="8380" w:type="dxa"/>
            <w:vAlign w:val="bottom"/>
          </w:tcPr>
          <w:p>
            <w:pPr>
              <w:ind w:left="1880"/>
              <w:spacing w:after="0"/>
              <w:rPr>
                <w:sz w:val="20"/>
                <w:szCs w:val="20"/>
                <w:color w:val="auto"/>
              </w:rPr>
            </w:pPr>
            <w:r>
              <w:rPr>
                <w:rFonts w:ascii="Arial" w:cs="Arial" w:eastAsia="Arial" w:hAnsi="Arial"/>
                <w:sz w:val="18"/>
                <w:szCs w:val="18"/>
                <w:b w:val="1"/>
                <w:bCs w:val="1"/>
                <w:color w:val="auto"/>
              </w:rPr>
              <w:t>PART III — NARRATIVE</w:t>
            </w:r>
          </w:p>
        </w:tc>
        <w:tc>
          <w:tcPr>
            <w:tcW w:w="0" w:type="dxa"/>
            <w:vAlign w:val="bottom"/>
          </w:tcPr>
          <w:p>
            <w:pPr>
              <w:spacing w:after="0"/>
              <w:rPr>
                <w:sz w:val="1"/>
                <w:szCs w:val="1"/>
                <w:color w:val="auto"/>
              </w:rPr>
            </w:pPr>
          </w:p>
        </w:tc>
      </w:tr>
      <w:tr>
        <w:trPr>
          <w:trHeight w:val="445"/>
        </w:trPr>
        <w:tc>
          <w:tcPr>
            <w:tcW w:w="1960" w:type="dxa"/>
            <w:vAlign w:val="bottom"/>
            <w:vMerge w:val="restart"/>
          </w:tcPr>
          <w:p>
            <w:pPr>
              <w:spacing w:after="0"/>
              <w:rPr>
                <w:sz w:val="20"/>
                <w:szCs w:val="20"/>
                <w:color w:val="auto"/>
              </w:rPr>
            </w:pPr>
            <w:r>
              <w:rPr>
                <w:rFonts w:ascii="Arial" w:cs="Arial" w:eastAsia="Arial" w:hAnsi="Arial"/>
                <w:sz w:val="18"/>
                <w:szCs w:val="18"/>
                <w:color w:val="auto"/>
              </w:rPr>
              <w:t>SEC 13344 (04-09)</w:t>
            </w:r>
          </w:p>
        </w:tc>
        <w:tc>
          <w:tcPr>
            <w:tcW w:w="8380" w:type="dxa"/>
            <w:vAlign w:val="bottom"/>
          </w:tcPr>
          <w:p>
            <w:pPr>
              <w:ind w:left="540"/>
              <w:spacing w:after="0"/>
              <w:rPr>
                <w:sz w:val="20"/>
                <w:szCs w:val="20"/>
                <w:color w:val="auto"/>
              </w:rPr>
            </w:pPr>
            <w:r>
              <w:rPr>
                <w:rFonts w:ascii="Arial" w:cs="Arial" w:eastAsia="Arial" w:hAnsi="Arial"/>
                <w:sz w:val="18"/>
                <w:szCs w:val="18"/>
                <w:color w:val="auto"/>
                <w:w w:val="90"/>
              </w:rPr>
              <w:t>Persons who are to respond to the collection of information contained in this form required to respond unless</w:t>
            </w:r>
          </w:p>
        </w:tc>
        <w:tc>
          <w:tcPr>
            <w:tcW w:w="0" w:type="dxa"/>
            <w:vAlign w:val="bottom"/>
          </w:tcPr>
          <w:p>
            <w:pPr>
              <w:spacing w:after="0"/>
              <w:rPr>
                <w:sz w:val="1"/>
                <w:szCs w:val="1"/>
                <w:color w:val="auto"/>
              </w:rPr>
            </w:pPr>
          </w:p>
        </w:tc>
      </w:tr>
      <w:tr>
        <w:trPr>
          <w:trHeight w:val="122"/>
        </w:trPr>
        <w:tc>
          <w:tcPr>
            <w:tcW w:w="1960" w:type="dxa"/>
            <w:vAlign w:val="bottom"/>
            <w:vMerge w:val="continue"/>
          </w:tcPr>
          <w:p>
            <w:pPr>
              <w:spacing w:after="0"/>
              <w:rPr>
                <w:sz w:val="10"/>
                <w:szCs w:val="10"/>
                <w:color w:val="auto"/>
              </w:rPr>
            </w:pPr>
          </w:p>
        </w:tc>
        <w:tc>
          <w:tcPr>
            <w:tcW w:w="8380" w:type="dxa"/>
            <w:vAlign w:val="bottom"/>
            <w:vMerge w:val="restart"/>
          </w:tcPr>
          <w:p>
            <w:pPr>
              <w:ind w:left="540"/>
              <w:spacing w:after="0"/>
              <w:rPr>
                <w:sz w:val="20"/>
                <w:szCs w:val="20"/>
                <w:color w:val="auto"/>
              </w:rPr>
            </w:pPr>
            <w:r>
              <w:rPr>
                <w:rFonts w:ascii="Arial" w:cs="Arial" w:eastAsia="Arial" w:hAnsi="Arial"/>
                <w:sz w:val="18"/>
                <w:szCs w:val="18"/>
                <w:color w:val="auto"/>
              </w:rPr>
              <w:t>the form displays a currently valid OMB control number</w:t>
            </w:r>
          </w:p>
        </w:tc>
        <w:tc>
          <w:tcPr>
            <w:tcW w:w="0" w:type="dxa"/>
            <w:vAlign w:val="bottom"/>
          </w:tcPr>
          <w:p>
            <w:pPr>
              <w:spacing w:after="0"/>
              <w:rPr>
                <w:sz w:val="1"/>
                <w:szCs w:val="1"/>
                <w:color w:val="auto"/>
              </w:rPr>
            </w:pPr>
          </w:p>
        </w:tc>
      </w:tr>
      <w:tr>
        <w:trPr>
          <w:trHeight w:val="108"/>
        </w:trPr>
        <w:tc>
          <w:tcPr>
            <w:tcW w:w="1960" w:type="dxa"/>
            <w:vAlign w:val="bottom"/>
          </w:tcPr>
          <w:p>
            <w:pPr>
              <w:spacing w:after="0"/>
              <w:rPr>
                <w:sz w:val="9"/>
                <w:szCs w:val="9"/>
                <w:color w:val="auto"/>
              </w:rPr>
            </w:pPr>
          </w:p>
        </w:tc>
        <w:tc>
          <w:tcPr>
            <w:tcW w:w="83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320" w:firstLine="456"/>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(Attach extra sheets if needed)</w:t>
      </w:r>
    </w:p>
    <w:p>
      <w:pPr>
        <w:spacing w:after="0" w:line="225" w:lineRule="exact"/>
        <w:rPr>
          <w:sz w:val="20"/>
          <w:szCs w:val="20"/>
          <w:color w:val="auto"/>
        </w:rPr>
      </w:pPr>
    </w:p>
    <w:p>
      <w:pPr>
        <w:ind w:right="20" w:firstLine="456"/>
        <w:spacing w:after="0" w:line="342" w:lineRule="auto"/>
        <w:rPr>
          <w:sz w:val="20"/>
          <w:szCs w:val="20"/>
          <w:color w:val="auto"/>
        </w:rPr>
      </w:pPr>
      <w:r>
        <w:rPr>
          <w:rFonts w:ascii="Arial" w:cs="Arial" w:eastAsia="Arial" w:hAnsi="Arial"/>
          <w:sz w:val="16"/>
          <w:szCs w:val="16"/>
          <w:color w:val="auto"/>
        </w:rPr>
        <w:t>Marvell Technology Group Ltd. (“Marvell” or “the Company”) has determined that it is unable to file its Annual Report on Form 10-K for the fiscal year ended January 30, 2016 (the “Annual Report”) within the prescribed time period without unreasonable effort or expense for the reasons described below.</w:t>
      </w:r>
    </w:p>
    <w:p>
      <w:pPr>
        <w:spacing w:after="0" w:line="124" w:lineRule="exact"/>
        <w:rPr>
          <w:sz w:val="20"/>
          <w:szCs w:val="20"/>
          <w:color w:val="auto"/>
        </w:rPr>
      </w:pPr>
    </w:p>
    <w:p>
      <w:pPr>
        <w:ind w:right="100" w:firstLine="456"/>
        <w:spacing w:after="0" w:line="271" w:lineRule="auto"/>
        <w:rPr>
          <w:sz w:val="20"/>
          <w:szCs w:val="20"/>
          <w:color w:val="auto"/>
        </w:rPr>
      </w:pPr>
      <w:r>
        <w:rPr>
          <w:rFonts w:ascii="Arial" w:cs="Arial" w:eastAsia="Arial" w:hAnsi="Arial"/>
          <w:sz w:val="17"/>
          <w:szCs w:val="17"/>
          <w:color w:val="auto"/>
        </w:rPr>
        <w:t>In October of 2015, PricewaterhouseCoopers LLP resigned as the Company’s independent public accounting firm. On February 22, 2016, the Audit Committee approved the engagement of Deloitte &amp;Touche LLP as the Company’s new independent public accounting firm. For further information on these matters, see the Company’s Current Reports on Form 8-K dated October 20, 2015, December 7, 2015, February 22, 2016 and March 1, 2016 (the “Forms 8-K”). As a result of these matters, including the review of the results of the Audit Committee’s independent investigation of certain accounting and internal control matters as disclosed in the Current Report on Form 8-K filed on March 1, 2016, the Company has experienced a delay in the completion of its financial statements, Management’s Discussion and Analysis of Financial Condition and Results of Operations and other related components of the Annual Report. The Company is working to complete the preparation and facilitate the audit of its financial statements for the year ended January 30, 2016 and the other portions of the Annual Report as soon as practicable.</w:t>
      </w:r>
    </w:p>
    <w:p>
      <w:pPr>
        <w:spacing w:after="0" w:line="179" w:lineRule="exact"/>
        <w:rPr>
          <w:sz w:val="20"/>
          <w:szCs w:val="20"/>
          <w:color w:val="auto"/>
        </w:rPr>
      </w:pPr>
    </w:p>
    <w:p>
      <w:pPr>
        <w:ind w:right="60" w:firstLine="456"/>
        <w:spacing w:after="0" w:line="276" w:lineRule="auto"/>
        <w:rPr>
          <w:sz w:val="20"/>
          <w:szCs w:val="20"/>
          <w:color w:val="auto"/>
        </w:rPr>
      </w:pPr>
      <w:r>
        <w:rPr>
          <w:rFonts w:ascii="Arial" w:cs="Arial" w:eastAsia="Arial" w:hAnsi="Arial"/>
          <w:sz w:val="17"/>
          <w:szCs w:val="17"/>
          <w:color w:val="auto"/>
        </w:rPr>
        <w:t>This document contains forward-looking statements within the meaning of the federal securities laws that involve risks and uncertainties.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filing due to a number of risks and uncertainties, including, among others, those identified in the Forms 8-K. Marvell undertakes no obligation to revise or update publicly any forward-looking statements.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153035</wp:posOffset>
            </wp:positionV>
            <wp:extent cx="724662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0"/>
          <w:szCs w:val="20"/>
          <w:color w:val="auto"/>
        </w:rPr>
      </w:pPr>
    </w:p>
    <w:p>
      <w:pPr>
        <w:spacing w:after="0" w:line="24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IV — OTHER INFORMATION</w:t>
      </w:r>
    </w:p>
    <w:p>
      <w:pPr>
        <w:spacing w:after="0" w:line="256" w:lineRule="exact"/>
        <w:rPr>
          <w:sz w:val="20"/>
          <w:szCs w:val="20"/>
          <w:color w:val="auto"/>
        </w:rPr>
      </w:pPr>
    </w:p>
    <w:p>
      <w:pPr>
        <w:ind w:left="460" w:hanging="452"/>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00" w:lineRule="exact"/>
        <w:rPr>
          <w:sz w:val="20"/>
          <w:szCs w:val="20"/>
          <w:color w:val="auto"/>
        </w:rPr>
      </w:pPr>
    </w:p>
    <w:p>
      <w:pPr>
        <w:spacing w:after="0" w:line="305" w:lineRule="exact"/>
        <w:rPr>
          <w:sz w:val="20"/>
          <w:szCs w:val="20"/>
          <w:color w:val="auto"/>
        </w:rPr>
      </w:pPr>
    </w:p>
    <w:tbl>
      <w:tblPr>
        <w:tblLayout w:type="fixed"/>
        <w:tblInd w:w="460" w:type="dxa"/>
        <w:tblCellMar>
          <w:top w:w="0" w:type="dxa"/>
          <w:left w:w="0" w:type="dxa"/>
          <w:bottom w:w="0" w:type="dxa"/>
          <w:right w:w="0" w:type="dxa"/>
        </w:tblCellMar>
      </w:tblPr>
      <w:tr>
        <w:trPr>
          <w:trHeight w:val="234"/>
        </w:trPr>
        <w:tc>
          <w:tcPr>
            <w:tcW w:w="4060" w:type="dxa"/>
            <w:vAlign w:val="bottom"/>
            <w:gridSpan w:val="2"/>
          </w:tcPr>
          <w:p>
            <w:pPr>
              <w:jc w:val="center"/>
              <w:ind w:right="520"/>
              <w:spacing w:after="0"/>
              <w:rPr>
                <w:sz w:val="20"/>
                <w:szCs w:val="20"/>
                <w:color w:val="auto"/>
              </w:rPr>
            </w:pPr>
            <w:r>
              <w:rPr>
                <w:rFonts w:ascii="Arial" w:cs="Arial" w:eastAsia="Arial" w:hAnsi="Arial"/>
                <w:sz w:val="18"/>
                <w:szCs w:val="18"/>
                <w:b w:val="1"/>
                <w:bCs w:val="1"/>
                <w:color w:val="auto"/>
                <w:w w:val="92"/>
              </w:rPr>
              <w:t>David Eichler</w:t>
            </w:r>
          </w:p>
        </w:tc>
        <w:tc>
          <w:tcPr>
            <w:tcW w:w="2340" w:type="dxa"/>
            <w:vAlign w:val="bottom"/>
          </w:tcPr>
          <w:p>
            <w:pPr>
              <w:jc w:val="right"/>
              <w:ind w:right="779"/>
              <w:spacing w:after="0"/>
              <w:rPr>
                <w:sz w:val="20"/>
                <w:szCs w:val="20"/>
                <w:color w:val="auto"/>
              </w:rPr>
            </w:pPr>
            <w:r>
              <w:rPr>
                <w:rFonts w:ascii="Arial" w:cs="Arial" w:eastAsia="Arial" w:hAnsi="Arial"/>
                <w:sz w:val="18"/>
                <w:szCs w:val="18"/>
                <w:b w:val="1"/>
                <w:bCs w:val="1"/>
                <w:color w:val="auto"/>
              </w:rPr>
              <w:t>(408)</w:t>
            </w:r>
          </w:p>
        </w:tc>
        <w:tc>
          <w:tcPr>
            <w:tcW w:w="840" w:type="dxa"/>
            <w:vAlign w:val="bottom"/>
          </w:tcPr>
          <w:p>
            <w:pPr>
              <w:spacing w:after="0"/>
              <w:rPr>
                <w:sz w:val="20"/>
                <w:szCs w:val="20"/>
                <w:color w:val="auto"/>
              </w:rPr>
            </w:pPr>
          </w:p>
        </w:tc>
        <w:tc>
          <w:tcPr>
            <w:tcW w:w="3260" w:type="dxa"/>
            <w:vAlign w:val="bottom"/>
          </w:tcPr>
          <w:p>
            <w:pPr>
              <w:jc w:val="right"/>
              <w:ind w:right="1159"/>
              <w:spacing w:after="0"/>
              <w:rPr>
                <w:sz w:val="20"/>
                <w:szCs w:val="20"/>
                <w:color w:val="auto"/>
              </w:rPr>
            </w:pPr>
            <w:r>
              <w:rPr>
                <w:rFonts w:ascii="Arial" w:cs="Arial" w:eastAsia="Arial" w:hAnsi="Arial"/>
                <w:sz w:val="18"/>
                <w:szCs w:val="18"/>
                <w:b w:val="1"/>
                <w:bCs w:val="1"/>
                <w:color w:val="auto"/>
              </w:rPr>
              <w:t>222-2500</w:t>
            </w:r>
          </w:p>
        </w:tc>
      </w:tr>
      <w:tr>
        <w:trPr>
          <w:trHeight w:val="180"/>
        </w:trPr>
        <w:tc>
          <w:tcPr>
            <w:tcW w:w="3540" w:type="dxa"/>
            <w:vAlign w:val="bottom"/>
            <w:tcBorders>
              <w:top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(Name)</w:t>
            </w:r>
          </w:p>
        </w:tc>
        <w:tc>
          <w:tcPr>
            <w:tcW w:w="520" w:type="dxa"/>
            <w:vAlign w:val="bottom"/>
          </w:tcPr>
          <w:p>
            <w:pPr>
              <w:spacing w:after="0"/>
              <w:rPr>
                <w:sz w:val="15"/>
                <w:szCs w:val="15"/>
                <w:color w:val="auto"/>
              </w:rPr>
            </w:pPr>
          </w:p>
        </w:tc>
        <w:tc>
          <w:tcPr>
            <w:tcW w:w="2340" w:type="dxa"/>
            <w:vAlign w:val="bottom"/>
            <w:tcBorders>
              <w:top w:val="single" w:sz="8" w:color="auto"/>
            </w:tcBorders>
          </w:tcPr>
          <w:p>
            <w:pPr>
              <w:jc w:val="center"/>
              <w:ind w:left="139"/>
              <w:spacing w:after="0"/>
              <w:rPr>
                <w:sz w:val="20"/>
                <w:szCs w:val="20"/>
                <w:color w:val="auto"/>
              </w:rPr>
            </w:pPr>
            <w:r>
              <w:rPr>
                <w:rFonts w:ascii="Arial" w:cs="Arial" w:eastAsia="Arial" w:hAnsi="Arial"/>
                <w:sz w:val="14"/>
                <w:szCs w:val="14"/>
                <w:b w:val="1"/>
                <w:bCs w:val="1"/>
                <w:color w:val="auto"/>
                <w:w w:val="95"/>
              </w:rPr>
              <w:t>(Area Code)</w:t>
            </w:r>
          </w:p>
        </w:tc>
        <w:tc>
          <w:tcPr>
            <w:tcW w:w="840" w:type="dxa"/>
            <w:vAlign w:val="bottom"/>
          </w:tcPr>
          <w:p>
            <w:pPr>
              <w:spacing w:after="0"/>
              <w:rPr>
                <w:sz w:val="15"/>
                <w:szCs w:val="15"/>
                <w:color w:val="auto"/>
              </w:rPr>
            </w:pPr>
          </w:p>
        </w:tc>
        <w:tc>
          <w:tcPr>
            <w:tcW w:w="3260" w:type="dxa"/>
            <w:vAlign w:val="bottom"/>
            <w:tcBorders>
              <w:top w:val="single" w:sz="8" w:color="auto"/>
            </w:tcBorders>
          </w:tcPr>
          <w:p>
            <w:pPr>
              <w:jc w:val="center"/>
              <w:ind w:left="19"/>
              <w:spacing w:after="0"/>
              <w:rPr>
                <w:sz w:val="20"/>
                <w:szCs w:val="20"/>
                <w:color w:val="auto"/>
              </w:rPr>
            </w:pPr>
            <w:r>
              <w:rPr>
                <w:rFonts w:ascii="Arial" w:cs="Arial" w:eastAsia="Arial" w:hAnsi="Arial"/>
                <w:sz w:val="14"/>
                <w:szCs w:val="14"/>
                <w:b w:val="1"/>
                <w:bCs w:val="1"/>
                <w:color w:val="auto"/>
                <w:w w:val="93"/>
              </w:rPr>
              <w:t>(Telephone Number)</w:t>
            </w:r>
          </w:p>
        </w:tc>
      </w:tr>
    </w:tbl>
    <w:p>
      <w:pPr>
        <w:spacing w:after="0" w:line="69" w:lineRule="exact"/>
        <w:rPr>
          <w:sz w:val="20"/>
          <w:szCs w:val="20"/>
          <w:color w:val="auto"/>
        </w:rPr>
      </w:pPr>
    </w:p>
    <w:p>
      <w:pPr>
        <w:ind w:left="460" w:right="40" w:hanging="452"/>
        <w:spacing w:after="0" w:line="287" w:lineRule="auto"/>
        <w:tabs>
          <w:tab w:leader="none" w:pos="460" w:val="left"/>
        </w:tabs>
        <w:numPr>
          <w:ilvl w:val="0"/>
          <w:numId w:val="5"/>
        </w:numPr>
        <w:rPr>
          <w:rFonts w:ascii="Arial" w:cs="Arial" w:eastAsia="Arial" w:hAnsi="Arial"/>
          <w:sz w:val="16"/>
          <w:szCs w:val="16"/>
          <w:color w:val="auto"/>
        </w:rPr>
      </w:pPr>
      <w:r>
        <w:rPr>
          <w:rFonts w:ascii="Arial" w:cs="Arial" w:eastAsia="Arial" w:hAnsi="Arial"/>
          <w:sz w:val="16"/>
          <w:szCs w:val="16"/>
          <w:color w:val="auto"/>
        </w:rPr>
        <w:t>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w:t>
      </w:r>
    </w:p>
    <w:p>
      <w:pPr>
        <w:spacing w:after="0" w:line="1" w:lineRule="exact"/>
        <w:rPr>
          <w:sz w:val="20"/>
          <w:szCs w:val="20"/>
          <w:color w:val="auto"/>
        </w:rPr>
      </w:pPr>
    </w:p>
    <w:p>
      <w:pPr>
        <w:ind w:left="460"/>
        <w:spacing w:after="0" w:line="207" w:lineRule="exact"/>
        <w:tabs>
          <w:tab w:leader="none" w:pos="1880" w:val="left"/>
        </w:tabs>
        <w:rPr>
          <w:sz w:val="20"/>
          <w:szCs w:val="20"/>
          <w:color w:val="auto"/>
        </w:rPr>
      </w:pPr>
      <w:r>
        <w:rPr>
          <w:rFonts w:ascii="Arial" w:cs="Arial" w:eastAsia="Arial" w:hAnsi="Arial"/>
          <w:sz w:val="18"/>
          <w:szCs w:val="18"/>
          <w:color w:val="auto"/>
        </w:rPr>
        <w:t>identify report(s).</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2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The Company’s Forms 10-Q for the periods ended August 1, 2015 and October 31, 2015 have not been filed.</w:t>
      </w:r>
    </w:p>
    <w:p>
      <w:pPr>
        <w:spacing w:after="0" w:line="252" w:lineRule="exact"/>
        <w:rPr>
          <w:sz w:val="20"/>
          <w:szCs w:val="20"/>
          <w:color w:val="auto"/>
        </w:rPr>
      </w:pPr>
    </w:p>
    <w:p>
      <w:pPr>
        <w:ind w:left="460" w:hanging="452"/>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Is it anticipated that any significant change in results of operations from the corresponding period for the last fiscal year will be reflected by the</w:t>
      </w:r>
    </w:p>
    <w:p>
      <w:pPr>
        <w:spacing w:after="0" w:line="30" w:lineRule="exact"/>
        <w:rPr>
          <w:sz w:val="20"/>
          <w:szCs w:val="20"/>
          <w:color w:val="auto"/>
        </w:rPr>
      </w:pPr>
    </w:p>
    <w:p>
      <w:pPr>
        <w:ind w:left="460"/>
        <w:spacing w:after="0" w:line="207" w:lineRule="exact"/>
        <w:tabs>
          <w:tab w:leader="none" w:pos="6060" w:val="left"/>
        </w:tabs>
        <w:rPr>
          <w:sz w:val="20"/>
          <w:szCs w:val="20"/>
          <w:color w:val="auto"/>
        </w:rPr>
      </w:pPr>
      <w:r>
        <w:rPr>
          <w:rFonts w:ascii="Arial" w:cs="Arial" w:eastAsia="Arial" w:hAnsi="Arial"/>
          <w:sz w:val="18"/>
          <w:szCs w:val="18"/>
          <w:color w:val="auto"/>
        </w:rPr>
        <w:t>earnings statements to be included in the subject report or portion there of ?</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216" w:lineRule="exact"/>
        <w:rPr>
          <w:sz w:val="20"/>
          <w:szCs w:val="20"/>
          <w:color w:val="auto"/>
        </w:rPr>
      </w:pPr>
    </w:p>
    <w:p>
      <w:pPr>
        <w:ind w:left="460" w:right="58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17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expects net revenue to be significantly lower for fiscal 2016 than fiscal 2015 primarily as a result of decreased demand for its storage products and restructuring of its mobile platform business. In addition, the Company expects to incur a net loss for fiscal 2016 as a result of charges associated with the Company’s settlement of its litigation with Carnegie Mellon University for an aggregate of $750 million as well as restructuring and severance related charges for its mobile platform business of approximately $75 million. These items were disclosed in the Company’s Current Reports on Forms 8-K Filed on February 17, 2016 and September 24, 2015, respectively. The Company cannot make a quantitative estimate of the expected change in its results of operations for the period indicated because the Company needs to complete the steps necessary to complete the Company’s annual financial statements.</w:t>
      </w:r>
    </w:p>
    <w:p>
      <w:pPr>
        <w:spacing w:after="0" w:line="189"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w:t>
      </w:r>
    </w:p>
    <w:p>
      <w:pPr>
        <w:sectPr>
          <w:pgSz w:w="11900" w:h="16838" w:orient="portrait"/>
          <w:cols w:equalWidth="0" w:num="1">
            <w:col w:w="11380"/>
          </w:cols>
          <w:pgMar w:left="240" w:top="634" w:right="279" w:bottom="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157480</wp:posOffset>
            </wp:positionH>
            <wp:positionV relativeFrom="page">
              <wp:posOffset>252095</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6620" cy="8890"/>
                    </a:xfrm>
                    <a:prstGeom prst="rect">
                      <a:avLst/>
                    </a:prstGeom>
                    <a:noFill/>
                  </pic:spPr>
                </pic:pic>
              </a:graphicData>
            </a:graphic>
          </wp:anchor>
        </w:drawing>
        <w:t>SIGNATURES</w:t>
      </w:r>
    </w:p>
    <w:p>
      <w:pPr>
        <w:spacing w:after="0" w:line="12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the Company has duly caused this report to be signed on its behalf by the undersigned thereunto duly authorized.</w:t>
      </w:r>
    </w:p>
    <w:p>
      <w:pPr>
        <w:spacing w:after="0" w:line="193" w:lineRule="exact"/>
        <w:rPr>
          <w:sz w:val="20"/>
          <w:szCs w:val="20"/>
          <w:color w:val="auto"/>
        </w:rPr>
      </w:pPr>
    </w:p>
    <w:p>
      <w:pPr>
        <w:ind w:left="584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spacing w:after="0"/>
        <w:tabs>
          <w:tab w:leader="none" w:pos="5820" w:val="left"/>
          <w:tab w:leader="none" w:pos="6260" w:val="left"/>
        </w:tabs>
        <w:rPr>
          <w:sz w:val="20"/>
          <w:szCs w:val="20"/>
          <w:color w:val="auto"/>
        </w:rPr>
      </w:pPr>
      <w:r>
        <w:rPr>
          <w:rFonts w:ascii="Arial" w:cs="Arial" w:eastAsia="Arial" w:hAnsi="Arial"/>
          <w:sz w:val="18"/>
          <w:szCs w:val="18"/>
          <w:color w:val="auto"/>
        </w:rPr>
        <w:t>March 31,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168910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211455</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sectPr>
      <w:pgSz w:w="11900" w:h="16838" w:orient="portrait"/>
      <w:cols w:equalWidth="0" w:num="1">
        <w:col w:w="11240"/>
      </w:cols>
      <w:pgMar w:left="240" w:top="891" w:right="4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lvl w:ilvl="1">
      <w:lvlJc w:val="left"/>
      <w:lvlText w:val="(%2)"/>
      <w:numFmt w:val="lowerLetter"/>
      <w:start w:val="1"/>
    </w:lvl>
  </w:abstractNum>
  <w:abstractNum w:abstractNumId="2">
    <w:nsid w:val="238E1F29"/>
    <w:multiLevelType w:val="hybridMultilevel"/>
    <w:lvl w:ilvl="0">
      <w:lvlJc w:val="left"/>
      <w:lvlText w:val="☐"/>
      <w:numFmt w:val="bullet"/>
      <w:start w:val="1"/>
    </w:lvl>
    <w:lvl w:ilvl="1">
      <w:lvlJc w:val="left"/>
      <w:lvlText w:val="(%2)"/>
      <w:numFmt w:val="lowerLetter"/>
      <w:start w:val="3"/>
    </w:lvl>
  </w:abstractNum>
  <w:abstractNum w:abstractNumId="3">
    <w:nsid w:val="46E87CCD"/>
    <w:multiLevelType w:val="hybridMultilevel"/>
    <w:lvl w:ilvl="0">
      <w:lvlJc w:val="left"/>
      <w:lvlText w:val="(%1)"/>
      <w:numFmt w:val="decimal"/>
      <w:start w:val="1"/>
    </w:lvl>
  </w:abstractNum>
  <w:abstractNum w:abstractNumId="4">
    <w:nsid w:val="3D1B58BA"/>
    <w:multiLevelType w:val="hybridMultilevel"/>
    <w:lvl w:ilvl="0">
      <w:lvlJc w:val="left"/>
      <w:lvlText w:val="(%1)"/>
      <w:numFmt w:val="decimal"/>
      <w:start w:val="2"/>
    </w:lvl>
  </w:abstractNum>
  <w:abstractNum w:abstractNumId="5">
    <w:nsid w:val="507ED7AB"/>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2019-12-06T21:47:10Z</dcterms:created>
  <dcterms:modified xsi:type="dcterms:W3CDTF">2019-12-06T21:47:10Z</dcterms:modified>
</cp:coreProperties>
</file>