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10-K</w:t>
      </w:r>
    </w:p>
    <w:p>
      <w:pPr>
        <w:spacing w:after="0" w:line="25"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220" w:right="2360" w:hanging="4212"/>
        <w:spacing w:after="0" w:line="308" w:lineRule="auto"/>
        <w:tabs>
          <w:tab w:leader="none" w:pos="452"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 xml:space="preserve">ANNUAL REPORT PURSUANT TO SECTION 13 OR 15(d) OF THE SECURITIES EXCHANGE ACT OF 1934 </w:t>
      </w:r>
      <w:r>
        <w:rPr>
          <w:rFonts w:ascii="Arial" w:cs="Arial" w:eastAsia="Arial" w:hAnsi="Arial"/>
          <w:sz w:val="18"/>
          <w:szCs w:val="18"/>
          <w:color w:val="auto"/>
        </w:rPr>
        <w:t>For the fiscal year ended January 30, 2016</w:t>
      </w:r>
    </w:p>
    <w:p>
      <w:pPr>
        <w:spacing w:after="0" w:line="1" w:lineRule="exact"/>
        <w:rPr>
          <w:rFonts w:ascii="MS PGothic" w:cs="MS PGothic" w:eastAsia="MS PGothic" w:hAnsi="MS PGothic"/>
          <w:sz w:val="18"/>
          <w:szCs w:val="18"/>
          <w:color w:val="auto"/>
        </w:rPr>
      </w:pPr>
    </w:p>
    <w:p>
      <w:pPr>
        <w:ind w:left="5640"/>
        <w:spacing w:after="0"/>
        <w:rPr>
          <w:rFonts w:ascii="MS PGothic" w:cs="MS PGothic" w:eastAsia="MS PGothic" w:hAnsi="MS PGothic"/>
          <w:sz w:val="18"/>
          <w:szCs w:val="18"/>
          <w:color w:val="auto"/>
        </w:rPr>
      </w:pPr>
      <w:r>
        <w:rPr>
          <w:rFonts w:ascii="Arial" w:cs="Arial" w:eastAsia="Arial" w:hAnsi="Arial"/>
          <w:sz w:val="18"/>
          <w:szCs w:val="18"/>
          <w:color w:val="auto"/>
        </w:rPr>
        <w:t>or</w:t>
      </w:r>
    </w:p>
    <w:p>
      <w:pPr>
        <w:spacing w:after="0" w:line="71"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69" w:lineRule="exact"/>
        <w:rPr>
          <w:sz w:val="24"/>
          <w:szCs w:val="24"/>
          <w:color w:val="auto"/>
        </w:rPr>
      </w:pPr>
    </w:p>
    <w:tbl>
      <w:tblPr>
        <w:tblLayout w:type="fixed"/>
        <w:tblInd w:w="360" w:type="dxa"/>
        <w:tblCellMar>
          <w:top w:w="0" w:type="dxa"/>
          <w:left w:w="0" w:type="dxa"/>
          <w:bottom w:w="0" w:type="dxa"/>
          <w:right w:w="0" w:type="dxa"/>
        </w:tblCellMar>
      </w:tblPr>
      <w:tr>
        <w:trPr>
          <w:trHeight w:val="222"/>
        </w:trPr>
        <w:tc>
          <w:tcPr>
            <w:tcW w:w="20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100" w:type="dxa"/>
            <w:vAlign w:val="bottom"/>
          </w:tcPr>
          <w:p>
            <w:pPr>
              <w:jc w:val="right"/>
              <w:ind w:right="351"/>
              <w:spacing w:after="0"/>
              <w:rPr>
                <w:sz w:val="20"/>
                <w:szCs w:val="20"/>
                <w:color w:val="auto"/>
              </w:rPr>
            </w:pPr>
            <w:r>
              <w:rPr>
                <w:rFonts w:ascii="Arial" w:cs="Arial" w:eastAsia="Arial" w:hAnsi="Arial"/>
                <w:sz w:val="18"/>
                <w:szCs w:val="18"/>
                <w:color w:val="auto"/>
              </w:rPr>
              <w:t>For the transition period from</w:t>
            </w:r>
          </w:p>
        </w:tc>
        <w:tc>
          <w:tcPr>
            <w:tcW w:w="2200" w:type="dxa"/>
            <w:vAlign w:val="bottom"/>
            <w:gridSpan w:val="2"/>
          </w:tcPr>
          <w:p>
            <w:pPr>
              <w:ind w:left="180"/>
              <w:spacing w:after="0"/>
              <w:rPr>
                <w:sz w:val="20"/>
                <w:szCs w:val="20"/>
                <w:color w:val="auto"/>
              </w:rPr>
            </w:pPr>
            <w:r>
              <w:rPr>
                <w:rFonts w:ascii="Arial" w:cs="Arial" w:eastAsia="Arial" w:hAnsi="Arial"/>
                <w:sz w:val="18"/>
                <w:szCs w:val="18"/>
                <w:color w:val="auto"/>
              </w:rPr>
              <w:t>to</w:t>
            </w: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297"/>
        </w:trPr>
        <w:tc>
          <w:tcPr>
            <w:tcW w:w="20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5300" w:type="dxa"/>
            <w:vAlign w:val="bottom"/>
            <w:gridSpan w:val="3"/>
          </w:tcPr>
          <w:p>
            <w:pPr>
              <w:jc w:val="center"/>
              <w:ind w:right="687"/>
              <w:spacing w:after="0"/>
              <w:rPr>
                <w:sz w:val="20"/>
                <w:szCs w:val="20"/>
                <w:color w:val="auto"/>
              </w:rPr>
            </w:pPr>
            <w:r>
              <w:rPr>
                <w:rFonts w:ascii="Arial" w:cs="Arial" w:eastAsia="Arial" w:hAnsi="Arial"/>
                <w:sz w:val="18"/>
                <w:szCs w:val="18"/>
                <w:color w:val="auto"/>
                <w:w w:val="90"/>
              </w:rPr>
              <w:t>Commission file number 0-30877</w:t>
            </w:r>
          </w:p>
        </w:tc>
        <w:tc>
          <w:tcPr>
            <w:tcW w:w="6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422"/>
        </w:trPr>
        <w:tc>
          <w:tcPr>
            <w:tcW w:w="20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5300" w:type="dxa"/>
            <w:vAlign w:val="bottom"/>
            <w:gridSpan w:val="3"/>
          </w:tcPr>
          <w:p>
            <w:pPr>
              <w:jc w:val="center"/>
              <w:ind w:right="687"/>
              <w:spacing w:after="0"/>
              <w:rPr>
                <w:sz w:val="20"/>
                <w:szCs w:val="20"/>
                <w:color w:val="auto"/>
              </w:rPr>
            </w:pPr>
            <w:r>
              <w:rPr>
                <w:rFonts w:ascii="Arial" w:cs="Arial" w:eastAsia="Arial" w:hAnsi="Arial"/>
                <w:sz w:val="32"/>
                <w:szCs w:val="32"/>
                <w:b w:val="1"/>
                <w:bCs w:val="1"/>
                <w:color w:val="auto"/>
                <w:w w:val="93"/>
              </w:rPr>
              <w:t>Marvell Technology Group Ltd.</w:t>
            </w:r>
          </w:p>
        </w:tc>
        <w:tc>
          <w:tcPr>
            <w:tcW w:w="6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200"/>
        </w:trPr>
        <w:tc>
          <w:tcPr>
            <w:tcW w:w="20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5300" w:type="dxa"/>
            <w:vAlign w:val="bottom"/>
            <w:gridSpan w:val="3"/>
          </w:tcPr>
          <w:p>
            <w:pPr>
              <w:jc w:val="center"/>
              <w:ind w:right="687"/>
              <w:spacing w:after="0"/>
              <w:rPr>
                <w:sz w:val="20"/>
                <w:szCs w:val="20"/>
                <w:color w:val="auto"/>
              </w:rPr>
            </w:pPr>
            <w:r>
              <w:rPr>
                <w:rFonts w:ascii="Arial" w:cs="Arial" w:eastAsia="Arial" w:hAnsi="Arial"/>
                <w:sz w:val="14"/>
                <w:szCs w:val="14"/>
                <w:b w:val="1"/>
                <w:bCs w:val="1"/>
                <w:i w:val="1"/>
                <w:iCs w:val="1"/>
                <w:color w:val="auto"/>
                <w:w w:val="84"/>
              </w:rPr>
              <w:t>(Exact name of registrant as specified in its charter)</w:t>
            </w:r>
          </w:p>
        </w:tc>
        <w:tc>
          <w:tcPr>
            <w:tcW w:w="68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20"/>
        </w:trPr>
        <w:tc>
          <w:tcPr>
            <w:tcW w:w="2000" w:type="dxa"/>
            <w:vAlign w:val="bottom"/>
          </w:tcPr>
          <w:p>
            <w:pPr>
              <w:spacing w:after="0"/>
              <w:rPr>
                <w:sz w:val="19"/>
                <w:szCs w:val="19"/>
                <w:color w:val="auto"/>
              </w:rPr>
            </w:pPr>
          </w:p>
        </w:tc>
        <w:tc>
          <w:tcPr>
            <w:tcW w:w="4180" w:type="dxa"/>
            <w:vAlign w:val="bottom"/>
            <w:gridSpan w:val="2"/>
          </w:tcPr>
          <w:p>
            <w:pPr>
              <w:jc w:val="center"/>
              <w:ind w:right="3031"/>
              <w:spacing w:after="0"/>
              <w:rPr>
                <w:sz w:val="20"/>
                <w:szCs w:val="20"/>
                <w:color w:val="auto"/>
              </w:rPr>
            </w:pPr>
            <w:r>
              <w:rPr>
                <w:rFonts w:ascii="Arial" w:cs="Arial" w:eastAsia="Arial" w:hAnsi="Arial"/>
                <w:sz w:val="18"/>
                <w:szCs w:val="18"/>
                <w:b w:val="1"/>
                <w:bCs w:val="1"/>
                <w:color w:val="auto"/>
                <w:w w:val="89"/>
              </w:rPr>
              <w:t>Bermuda</w:t>
            </w:r>
          </w:p>
        </w:tc>
        <w:tc>
          <w:tcPr>
            <w:tcW w:w="2880" w:type="dxa"/>
            <w:vAlign w:val="bottom"/>
            <w:gridSpan w:val="3"/>
          </w:tcPr>
          <w:p>
            <w:pPr>
              <w:jc w:val="center"/>
              <w:ind w:left="1252"/>
              <w:spacing w:after="0"/>
              <w:rPr>
                <w:sz w:val="20"/>
                <w:szCs w:val="20"/>
                <w:color w:val="auto"/>
              </w:rPr>
            </w:pPr>
            <w:r>
              <w:rPr>
                <w:rFonts w:ascii="Arial" w:cs="Arial" w:eastAsia="Arial" w:hAnsi="Arial"/>
                <w:sz w:val="18"/>
                <w:szCs w:val="18"/>
                <w:b w:val="1"/>
                <w:bCs w:val="1"/>
                <w:color w:val="auto"/>
                <w:w w:val="89"/>
              </w:rPr>
              <w:t>77-0481679</w:t>
            </w: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149"/>
        </w:trPr>
        <w:tc>
          <w:tcPr>
            <w:tcW w:w="6180" w:type="dxa"/>
            <w:vAlign w:val="bottom"/>
            <w:gridSpan w:val="3"/>
          </w:tcPr>
          <w:p>
            <w:pPr>
              <w:jc w:val="center"/>
              <w:ind w:right="1071"/>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780" w:type="dxa"/>
            <w:vAlign w:val="bottom"/>
          </w:tcPr>
          <w:p>
            <w:pPr>
              <w:spacing w:after="0"/>
              <w:rPr>
                <w:sz w:val="12"/>
                <w:szCs w:val="12"/>
                <w:color w:val="auto"/>
              </w:rPr>
            </w:pPr>
          </w:p>
        </w:tc>
        <w:tc>
          <w:tcPr>
            <w:tcW w:w="2100" w:type="dxa"/>
            <w:vAlign w:val="bottom"/>
            <w:gridSpan w:val="2"/>
          </w:tcPr>
          <w:p>
            <w:pPr>
              <w:jc w:val="center"/>
              <w:ind w:left="447"/>
              <w:spacing w:after="0" w:line="149" w:lineRule="exact"/>
              <w:rPr>
                <w:sz w:val="20"/>
                <w:szCs w:val="20"/>
                <w:color w:val="auto"/>
              </w:rPr>
            </w:pPr>
            <w:r>
              <w:rPr>
                <w:rFonts w:ascii="Arial" w:cs="Arial" w:eastAsia="Arial" w:hAnsi="Arial"/>
                <w:sz w:val="14"/>
                <w:szCs w:val="14"/>
                <w:b w:val="1"/>
                <w:bCs w:val="1"/>
                <w:i w:val="1"/>
                <w:iCs w:val="1"/>
                <w:color w:val="auto"/>
                <w:w w:val="87"/>
              </w:rPr>
              <w:t>(I.R.S. Employer</w:t>
            </w:r>
          </w:p>
        </w:tc>
        <w:tc>
          <w:tcPr>
            <w:tcW w:w="560" w:type="dxa"/>
            <w:vAlign w:val="bottom"/>
          </w:tcPr>
          <w:p>
            <w:pPr>
              <w:spacing w:after="0"/>
              <w:rPr>
                <w:sz w:val="12"/>
                <w:szCs w:val="12"/>
                <w:color w:val="auto"/>
              </w:rPr>
            </w:pPr>
          </w:p>
        </w:tc>
        <w:tc>
          <w:tcPr>
            <w:tcW w:w="80" w:type="dxa"/>
            <w:vAlign w:val="bottom"/>
          </w:tcPr>
          <w:p>
            <w:pPr>
              <w:spacing w:after="0"/>
              <w:rPr>
                <w:sz w:val="12"/>
                <w:szCs w:val="12"/>
                <w:color w:val="auto"/>
              </w:rPr>
            </w:pPr>
          </w:p>
        </w:tc>
      </w:tr>
      <w:tr>
        <w:trPr>
          <w:trHeight w:val="172"/>
        </w:trPr>
        <w:tc>
          <w:tcPr>
            <w:tcW w:w="6180" w:type="dxa"/>
            <w:vAlign w:val="bottom"/>
            <w:gridSpan w:val="3"/>
          </w:tcPr>
          <w:p>
            <w:pPr>
              <w:jc w:val="center"/>
              <w:ind w:right="1031"/>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780" w:type="dxa"/>
            <w:vAlign w:val="bottom"/>
          </w:tcPr>
          <w:p>
            <w:pPr>
              <w:spacing w:after="0"/>
              <w:rPr>
                <w:sz w:val="14"/>
                <w:szCs w:val="14"/>
                <w:color w:val="auto"/>
              </w:rPr>
            </w:pPr>
          </w:p>
        </w:tc>
        <w:tc>
          <w:tcPr>
            <w:tcW w:w="2100" w:type="dxa"/>
            <w:vAlign w:val="bottom"/>
            <w:gridSpan w:val="2"/>
          </w:tcPr>
          <w:p>
            <w:pPr>
              <w:jc w:val="center"/>
              <w:ind w:left="487"/>
              <w:spacing w:after="0"/>
              <w:rPr>
                <w:sz w:val="20"/>
                <w:szCs w:val="20"/>
                <w:color w:val="auto"/>
              </w:rPr>
            </w:pPr>
            <w:r>
              <w:rPr>
                <w:rFonts w:ascii="Arial" w:cs="Arial" w:eastAsia="Arial" w:hAnsi="Arial"/>
                <w:sz w:val="14"/>
                <w:szCs w:val="14"/>
                <w:b w:val="1"/>
                <w:bCs w:val="1"/>
                <w:i w:val="1"/>
                <w:iCs w:val="1"/>
                <w:color w:val="auto"/>
                <w:w w:val="86"/>
              </w:rPr>
              <w:t>Identification No.)</w:t>
            </w: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r>
      <w:tr>
        <w:trPr>
          <w:trHeight w:val="246"/>
        </w:trPr>
        <w:tc>
          <w:tcPr>
            <w:tcW w:w="2000" w:type="dxa"/>
            <w:vAlign w:val="bottom"/>
          </w:tcPr>
          <w:p>
            <w:pPr>
              <w:spacing w:after="0"/>
              <w:rPr>
                <w:sz w:val="21"/>
                <w:szCs w:val="21"/>
                <w:color w:val="auto"/>
              </w:rPr>
            </w:pPr>
          </w:p>
        </w:tc>
        <w:tc>
          <w:tcPr>
            <w:tcW w:w="6380" w:type="dxa"/>
            <w:vAlign w:val="bottom"/>
            <w:gridSpan w:val="4"/>
          </w:tcPr>
          <w:p>
            <w:pPr>
              <w:jc w:val="center"/>
              <w:ind w:left="239"/>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c>
          <w:tcPr>
            <w:tcW w:w="6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80" w:type="dxa"/>
            <w:vAlign w:val="bottom"/>
          </w:tcPr>
          <w:p>
            <w:pPr>
              <w:spacing w:after="0"/>
              <w:rPr>
                <w:sz w:val="21"/>
                <w:szCs w:val="21"/>
                <w:color w:val="auto"/>
              </w:rPr>
            </w:pPr>
          </w:p>
        </w:tc>
      </w:tr>
      <w:tr>
        <w:trPr>
          <w:trHeight w:val="145"/>
        </w:trPr>
        <w:tc>
          <w:tcPr>
            <w:tcW w:w="20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300" w:type="dxa"/>
            <w:vAlign w:val="bottom"/>
            <w:gridSpan w:val="3"/>
          </w:tcPr>
          <w:p>
            <w:pPr>
              <w:jc w:val="center"/>
              <w:ind w:right="667"/>
              <w:spacing w:after="0" w:line="145" w:lineRule="exact"/>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6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0" w:type="dxa"/>
            <w:vAlign w:val="bottom"/>
          </w:tcPr>
          <w:p>
            <w:pPr>
              <w:spacing w:after="0"/>
              <w:rPr>
                <w:sz w:val="12"/>
                <w:szCs w:val="12"/>
                <w:color w:val="auto"/>
              </w:rPr>
            </w:pPr>
          </w:p>
        </w:tc>
      </w:tr>
      <w:tr>
        <w:trPr>
          <w:trHeight w:val="220"/>
        </w:trPr>
        <w:tc>
          <w:tcPr>
            <w:tcW w:w="6180" w:type="dxa"/>
            <w:vAlign w:val="bottom"/>
            <w:gridSpan w:val="3"/>
          </w:tcPr>
          <w:p>
            <w:pPr>
              <w:jc w:val="right"/>
              <w:ind w:right="71"/>
              <w:spacing w:after="0"/>
              <w:rPr>
                <w:sz w:val="20"/>
                <w:szCs w:val="20"/>
                <w:color w:val="auto"/>
              </w:rPr>
            </w:pPr>
            <w:r>
              <w:rPr>
                <w:rFonts w:ascii="Arial" w:cs="Arial" w:eastAsia="Arial" w:hAnsi="Arial"/>
                <w:sz w:val="18"/>
                <w:szCs w:val="18"/>
                <w:b w:val="1"/>
                <w:bCs w:val="1"/>
                <w:color w:val="auto"/>
              </w:rPr>
              <w:t>(441) 296-6395</w:t>
            </w:r>
          </w:p>
        </w:tc>
        <w:tc>
          <w:tcPr>
            <w:tcW w:w="78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172"/>
        </w:trPr>
        <w:tc>
          <w:tcPr>
            <w:tcW w:w="20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300" w:type="dxa"/>
            <w:vAlign w:val="bottom"/>
            <w:gridSpan w:val="3"/>
          </w:tcPr>
          <w:p>
            <w:pPr>
              <w:jc w:val="center"/>
              <w:ind w:right="667"/>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r>
      <w:tr>
        <w:trPr>
          <w:trHeight w:val="255"/>
        </w:trPr>
        <w:tc>
          <w:tcPr>
            <w:tcW w:w="20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5300" w:type="dxa"/>
            <w:vAlign w:val="bottom"/>
            <w:gridSpan w:val="3"/>
          </w:tcPr>
          <w:p>
            <w:pPr>
              <w:jc w:val="center"/>
              <w:ind w:right="687"/>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80" w:type="dxa"/>
            <w:vAlign w:val="bottom"/>
          </w:tcPr>
          <w:p>
            <w:pPr>
              <w:spacing w:after="0"/>
              <w:rPr>
                <w:sz w:val="22"/>
                <w:szCs w:val="22"/>
                <w:color w:val="auto"/>
              </w:rPr>
            </w:pPr>
          </w:p>
        </w:tc>
      </w:tr>
      <w:tr>
        <w:trPr>
          <w:trHeight w:val="218"/>
        </w:trPr>
        <w:tc>
          <w:tcPr>
            <w:tcW w:w="2000" w:type="dxa"/>
            <w:vAlign w:val="bottom"/>
          </w:tcPr>
          <w:p>
            <w:pPr>
              <w:spacing w:after="0"/>
              <w:rPr>
                <w:sz w:val="18"/>
                <w:szCs w:val="18"/>
                <w:color w:val="auto"/>
              </w:rPr>
            </w:pPr>
          </w:p>
        </w:tc>
        <w:tc>
          <w:tcPr>
            <w:tcW w:w="10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Title of each class</w:t>
            </w:r>
          </w:p>
        </w:tc>
        <w:tc>
          <w:tcPr>
            <w:tcW w:w="3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Name of each exchange on which registered</w:t>
            </w:r>
          </w:p>
        </w:tc>
        <w:tc>
          <w:tcPr>
            <w:tcW w:w="80" w:type="dxa"/>
            <w:vAlign w:val="bottom"/>
          </w:tcPr>
          <w:p>
            <w:pPr>
              <w:spacing w:after="0"/>
              <w:rPr>
                <w:sz w:val="18"/>
                <w:szCs w:val="18"/>
                <w:color w:val="auto"/>
              </w:rPr>
            </w:pPr>
          </w:p>
        </w:tc>
      </w:tr>
      <w:tr>
        <w:trPr>
          <w:trHeight w:val="195"/>
        </w:trPr>
        <w:tc>
          <w:tcPr>
            <w:tcW w:w="3080" w:type="dxa"/>
            <w:vAlign w:val="bottom"/>
            <w:gridSpan w:val="2"/>
          </w:tcPr>
          <w:p>
            <w:pPr>
              <w:ind w:left="900"/>
              <w:spacing w:after="0" w:line="195" w:lineRule="exact"/>
              <w:rPr>
                <w:sz w:val="20"/>
                <w:szCs w:val="20"/>
                <w:color w:val="auto"/>
              </w:rPr>
            </w:pPr>
            <w:r>
              <w:rPr>
                <w:rFonts w:ascii="Arial" w:cs="Arial" w:eastAsia="Arial" w:hAnsi="Arial"/>
                <w:sz w:val="18"/>
                <w:szCs w:val="18"/>
                <w:b w:val="1"/>
                <w:bCs w:val="1"/>
                <w:color w:val="auto"/>
                <w:w w:val="90"/>
              </w:rPr>
              <w:t>Common shares, $0.002 par</w:t>
            </w:r>
          </w:p>
        </w:tc>
        <w:tc>
          <w:tcPr>
            <w:tcW w:w="3100" w:type="dxa"/>
            <w:vAlign w:val="bottom"/>
          </w:tcPr>
          <w:p>
            <w:pPr>
              <w:jc w:val="right"/>
              <w:ind w:right="1911"/>
              <w:spacing w:after="0" w:line="195" w:lineRule="exact"/>
              <w:rPr>
                <w:sz w:val="20"/>
                <w:szCs w:val="20"/>
                <w:color w:val="auto"/>
              </w:rPr>
            </w:pPr>
            <w:r>
              <w:rPr>
                <w:rFonts w:ascii="Arial" w:cs="Arial" w:eastAsia="Arial" w:hAnsi="Arial"/>
                <w:sz w:val="18"/>
                <w:szCs w:val="18"/>
                <w:b w:val="1"/>
                <w:bCs w:val="1"/>
                <w:color w:val="auto"/>
                <w:w w:val="81"/>
              </w:rPr>
              <w:t>value per share</w:t>
            </w:r>
          </w:p>
        </w:tc>
        <w:tc>
          <w:tcPr>
            <w:tcW w:w="780" w:type="dxa"/>
            <w:vAlign w:val="bottom"/>
          </w:tcPr>
          <w:p>
            <w:pPr>
              <w:spacing w:after="0"/>
              <w:rPr>
                <w:sz w:val="16"/>
                <w:szCs w:val="16"/>
                <w:color w:val="auto"/>
              </w:rPr>
            </w:pPr>
          </w:p>
        </w:tc>
        <w:tc>
          <w:tcPr>
            <w:tcW w:w="2740" w:type="dxa"/>
            <w:vAlign w:val="bottom"/>
            <w:gridSpan w:val="4"/>
          </w:tcPr>
          <w:p>
            <w:pPr>
              <w:jc w:val="center"/>
              <w:ind w:right="80"/>
              <w:spacing w:after="0" w:line="195" w:lineRule="exact"/>
              <w:rPr>
                <w:sz w:val="20"/>
                <w:szCs w:val="20"/>
                <w:color w:val="auto"/>
              </w:rPr>
            </w:pPr>
            <w:r>
              <w:rPr>
                <w:rFonts w:ascii="Arial" w:cs="Arial" w:eastAsia="Arial" w:hAnsi="Arial"/>
                <w:sz w:val="18"/>
                <w:szCs w:val="18"/>
                <w:b w:val="1"/>
                <w:bCs w:val="1"/>
                <w:color w:val="auto"/>
                <w:w w:val="93"/>
              </w:rPr>
              <w:t>The NASDAQ Stock Market LLC</w:t>
            </w:r>
          </w:p>
        </w:tc>
      </w:tr>
      <w:tr>
        <w:trPr>
          <w:trHeight w:val="216"/>
        </w:trPr>
        <w:tc>
          <w:tcPr>
            <w:tcW w:w="20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5300" w:type="dxa"/>
            <w:vAlign w:val="bottom"/>
            <w:gridSpan w:val="3"/>
          </w:tcPr>
          <w:p>
            <w:pPr>
              <w:jc w:val="center"/>
              <w:ind w:right="667"/>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28"/>
        </w:trPr>
        <w:tc>
          <w:tcPr>
            <w:tcW w:w="20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100" w:type="dxa"/>
            <w:vAlign w:val="bottom"/>
          </w:tcPr>
          <w:p>
            <w:pPr>
              <w:jc w:val="center"/>
              <w:ind w:left="1351"/>
              <w:spacing w:after="0"/>
              <w:rPr>
                <w:sz w:val="20"/>
                <w:szCs w:val="20"/>
                <w:color w:val="auto"/>
              </w:rPr>
            </w:pPr>
            <w:r>
              <w:rPr>
                <w:rFonts w:ascii="Arial" w:cs="Arial" w:eastAsia="Arial" w:hAnsi="Arial"/>
                <w:sz w:val="18"/>
                <w:szCs w:val="18"/>
                <w:b w:val="1"/>
                <w:bCs w:val="1"/>
                <w:color w:val="auto"/>
                <w:w w:val="84"/>
              </w:rPr>
              <w:t>None</w:t>
            </w:r>
          </w:p>
        </w:tc>
        <w:tc>
          <w:tcPr>
            <w:tcW w:w="78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285"/>
        </w:trPr>
        <w:tc>
          <w:tcPr>
            <w:tcW w:w="8380" w:type="dxa"/>
            <w:vAlign w:val="bottom"/>
            <w:gridSpan w:val="5"/>
          </w:tcPr>
          <w:p>
            <w:pPr>
              <w:spacing w:after="0"/>
              <w:rPr>
                <w:sz w:val="20"/>
                <w:szCs w:val="20"/>
                <w:color w:val="auto"/>
              </w:rPr>
            </w:pPr>
            <w:r>
              <w:rPr>
                <w:rFonts w:ascii="Arial" w:cs="Arial" w:eastAsia="Arial" w:hAnsi="Arial"/>
                <w:sz w:val="18"/>
                <w:szCs w:val="18"/>
                <w:color w:val="auto"/>
                <w:w w:val="89"/>
              </w:rPr>
              <w:t>Indicate by check mark if the registrant is a well-known seasoned issuer, as defined in Rule 405 of the Securities Act.</w:t>
            </w:r>
          </w:p>
        </w:tc>
        <w:tc>
          <w:tcPr>
            <w:tcW w:w="680" w:type="dxa"/>
            <w:vAlign w:val="bottom"/>
          </w:tcPr>
          <w:p>
            <w:pPr>
              <w:ind w:left="20"/>
              <w:spacing w:after="0" w:line="207" w:lineRule="exact"/>
              <w:rPr>
                <w:sz w:val="20"/>
                <w:szCs w:val="20"/>
                <w:color w:val="auto"/>
              </w:rPr>
            </w:pPr>
            <w:r>
              <w:rPr>
                <w:rFonts w:ascii="Arial" w:cs="Arial" w:eastAsia="Arial" w:hAnsi="Arial"/>
                <w:sz w:val="18"/>
                <w:szCs w:val="18"/>
                <w:color w:val="auto"/>
              </w:rPr>
              <w:t xml:space="preserve">Yes </w:t>
            </w:r>
            <w:r>
              <w:rPr>
                <w:rFonts w:ascii="MS PGothic" w:cs="MS PGothic" w:eastAsia="MS PGothic" w:hAnsi="MS PGothic"/>
                <w:sz w:val="18"/>
                <w:szCs w:val="18"/>
                <w:color w:val="auto"/>
              </w:rPr>
              <w:t>☐</w:t>
            </w:r>
          </w:p>
        </w:tc>
        <w:tc>
          <w:tcPr>
            <w:tcW w:w="640" w:type="dxa"/>
            <w:vAlign w:val="bottom"/>
            <w:gridSpan w:val="2"/>
          </w:tcPr>
          <w:p>
            <w:pPr>
              <w:ind w:left="20"/>
              <w:spacing w:after="0" w:line="207" w:lineRule="exact"/>
              <w:rPr>
                <w:sz w:val="20"/>
                <w:szCs w:val="20"/>
                <w:color w:val="auto"/>
              </w:rPr>
            </w:pPr>
            <w:r>
              <w:rPr>
                <w:rFonts w:ascii="Arial" w:cs="Arial" w:eastAsia="Arial" w:hAnsi="Arial"/>
                <w:sz w:val="18"/>
                <w:szCs w:val="18"/>
                <w:color w:val="auto"/>
              </w:rPr>
              <w:t xml:space="preserve">No </w:t>
            </w:r>
            <w:r>
              <w:rPr>
                <w:rFonts w:ascii="MS PGothic" w:cs="MS PGothic" w:eastAsia="MS PGothic" w:hAnsi="MS PGothic"/>
                <w:sz w:val="18"/>
                <w:szCs w:val="18"/>
                <w:color w:val="auto"/>
              </w:rPr>
              <w:t>☒</w:t>
            </w:r>
          </w:p>
        </w:tc>
      </w:tr>
      <w:tr>
        <w:trPr>
          <w:trHeight w:val="275"/>
        </w:trPr>
        <w:tc>
          <w:tcPr>
            <w:tcW w:w="8380" w:type="dxa"/>
            <w:vAlign w:val="bottom"/>
            <w:gridSpan w:val="5"/>
          </w:tcPr>
          <w:p>
            <w:pPr>
              <w:spacing w:after="0"/>
              <w:rPr>
                <w:sz w:val="20"/>
                <w:szCs w:val="20"/>
                <w:color w:val="auto"/>
              </w:rPr>
            </w:pPr>
            <w:r>
              <w:rPr>
                <w:rFonts w:ascii="Arial" w:cs="Arial" w:eastAsia="Arial" w:hAnsi="Arial"/>
                <w:sz w:val="18"/>
                <w:szCs w:val="18"/>
                <w:color w:val="auto"/>
                <w:w w:val="88"/>
              </w:rPr>
              <w:t>Indicate by check mark if the registrant is not required to file reports pursuant to Section 13 or Section 15(d) of the Act.</w:t>
            </w:r>
          </w:p>
        </w:tc>
        <w:tc>
          <w:tcPr>
            <w:tcW w:w="680" w:type="dxa"/>
            <w:vAlign w:val="bottom"/>
          </w:tcPr>
          <w:p>
            <w:pPr>
              <w:ind w:left="180"/>
              <w:spacing w:after="0" w:line="207" w:lineRule="exact"/>
              <w:rPr>
                <w:sz w:val="20"/>
                <w:szCs w:val="20"/>
                <w:color w:val="auto"/>
              </w:rPr>
            </w:pPr>
            <w:r>
              <w:rPr>
                <w:rFonts w:ascii="Arial" w:cs="Arial" w:eastAsia="Arial" w:hAnsi="Arial"/>
                <w:sz w:val="18"/>
                <w:szCs w:val="18"/>
                <w:color w:val="auto"/>
                <w:w w:val="88"/>
              </w:rPr>
              <w:t xml:space="preserve">Yes </w:t>
            </w:r>
            <w:r>
              <w:rPr>
                <w:rFonts w:ascii="MS PGothic" w:cs="MS PGothic" w:eastAsia="MS PGothic" w:hAnsi="MS PGothic"/>
                <w:sz w:val="18"/>
                <w:szCs w:val="18"/>
                <w:color w:val="auto"/>
                <w:w w:val="88"/>
              </w:rPr>
              <w:t>☐</w:t>
            </w:r>
          </w:p>
        </w:tc>
        <w:tc>
          <w:tcPr>
            <w:tcW w:w="640" w:type="dxa"/>
            <w:vAlign w:val="bottom"/>
            <w:gridSpan w:val="2"/>
          </w:tcPr>
          <w:p>
            <w:pPr>
              <w:ind w:left="180"/>
              <w:spacing w:after="0" w:line="207" w:lineRule="exact"/>
              <w:rPr>
                <w:sz w:val="20"/>
                <w:szCs w:val="20"/>
                <w:color w:val="auto"/>
              </w:rPr>
            </w:pPr>
            <w:r>
              <w:rPr>
                <w:rFonts w:ascii="Arial" w:cs="Arial" w:eastAsia="Arial" w:hAnsi="Arial"/>
                <w:sz w:val="18"/>
                <w:szCs w:val="18"/>
                <w:color w:val="auto"/>
                <w:w w:val="95"/>
              </w:rPr>
              <w:t xml:space="preserve">No </w:t>
            </w:r>
            <w:r>
              <w:rPr>
                <w:rFonts w:ascii="MS PGothic" w:cs="MS PGothic" w:eastAsia="MS PGothic" w:hAnsi="MS PGothic"/>
                <w:sz w:val="18"/>
                <w:szCs w:val="18"/>
                <w:color w:val="auto"/>
                <w:w w:val="95"/>
              </w:rPr>
              <w:t>☒</w:t>
            </w:r>
          </w:p>
        </w:tc>
      </w:tr>
    </w:tbl>
    <w:p>
      <w:pPr>
        <w:spacing w:after="0" w:line="28" w:lineRule="exact"/>
        <w:rPr>
          <w:sz w:val="24"/>
          <w:szCs w:val="24"/>
          <w:color w:val="auto"/>
        </w:rPr>
      </w:pPr>
    </w:p>
    <w:p>
      <w:pPr>
        <w:ind w:right="3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jc w:val="both"/>
        <w:ind w:right="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ind w:firstLine="342"/>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w:t>
      </w:r>
      <w:r>
        <w:rPr>
          <w:rFonts w:ascii="MS PGothic" w:cs="MS PGothic" w:eastAsia="MS PGothic" w:hAnsi="MS PGothic"/>
          <w:sz w:val="18"/>
          <w:szCs w:val="18"/>
          <w:color w:val="auto"/>
        </w:rPr>
        <w:t>☒</w:t>
      </w:r>
    </w:p>
    <w:p>
      <w:pPr>
        <w:spacing w:after="0" w:line="30" w:lineRule="exact"/>
        <w:rPr>
          <w:sz w:val="24"/>
          <w:szCs w:val="24"/>
          <w:color w:val="auto"/>
        </w:rPr>
      </w:pPr>
    </w:p>
    <w:p>
      <w:pPr>
        <w:ind w:right="20" w:firstLine="342"/>
        <w:spacing w:after="0" w:line="304"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380"/>
          </w:cols>
          <w:pgMar w:left="240" w:top="230" w:right="279" w:bottom="1440" w:gutter="0" w:footer="0" w:header="0"/>
        </w:sectPr>
      </w:pPr>
    </w:p>
    <w:p>
      <w:pPr>
        <w:spacing w:after="0" w:line="34" w:lineRule="exact"/>
        <w:rPr>
          <w:sz w:val="24"/>
          <w:szCs w:val="24"/>
          <w:color w:val="auto"/>
        </w:rPr>
      </w:pPr>
    </w:p>
    <w:p>
      <w:pPr>
        <w:ind w:left="460"/>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65" w:lineRule="exact"/>
        <w:rPr>
          <w:sz w:val="20"/>
          <w:szCs w:val="20"/>
          <w:color w:val="auto"/>
        </w:rPr>
      </w:pPr>
      <w:r>
        <w:rPr>
          <w:rFonts w:ascii="Arial" w:cs="Arial" w:eastAsia="Arial" w:hAnsi="Arial"/>
          <w:sz w:val="16"/>
          <w:szCs w:val="16"/>
          <w:color w:val="auto"/>
        </w:rPr>
        <w:t xml:space="preserve">Non-accelerated filer </w:t>
      </w:r>
      <w:r>
        <w:rPr>
          <w:rFonts w:ascii="MS PGothic" w:cs="MS PGothic" w:eastAsia="MS PGothic" w:hAnsi="MS PGothic"/>
          <w:sz w:val="16"/>
          <w:szCs w:val="16"/>
          <w:color w:val="auto"/>
        </w:rPr>
        <w:t>☐</w:t>
      </w:r>
    </w:p>
    <w:p>
      <w:pPr>
        <w:spacing w:after="0" w:line="79" w:lineRule="exact"/>
        <w:rPr>
          <w:sz w:val="24"/>
          <w:szCs w:val="24"/>
          <w:color w:val="auto"/>
        </w:rPr>
      </w:pPr>
    </w:p>
    <w:p>
      <w:pPr>
        <w:ind w:left="40"/>
        <w:spacing w:after="0"/>
        <w:rPr>
          <w:sz w:val="20"/>
          <w:szCs w:val="20"/>
          <w:color w:val="auto"/>
        </w:rPr>
      </w:pPr>
      <w:r>
        <w:rPr>
          <w:rFonts w:ascii="Arial" w:cs="Arial" w:eastAsia="Arial" w:hAnsi="Arial"/>
          <w:sz w:val="16"/>
          <w:szCs w:val="16"/>
          <w:color w:val="auto"/>
        </w:rPr>
        <w:t>(Do not check if a smaller</w:t>
      </w:r>
    </w:p>
    <w:p>
      <w:pPr>
        <w:spacing w:after="0" w:line="24" w:lineRule="exact"/>
        <w:rPr>
          <w:sz w:val="24"/>
          <w:szCs w:val="24"/>
          <w:color w:val="auto"/>
        </w:rPr>
      </w:pPr>
    </w:p>
    <w:p>
      <w:pPr>
        <w:ind w:left="260"/>
        <w:spacing w:after="0"/>
        <w:rPr>
          <w:sz w:val="20"/>
          <w:szCs w:val="20"/>
          <w:color w:val="auto"/>
        </w:rPr>
      </w:pPr>
      <w:r>
        <w:rPr>
          <w:rFonts w:ascii="Arial" w:cs="Arial" w:eastAsia="Arial" w:hAnsi="Arial"/>
          <w:sz w:val="18"/>
          <w:szCs w:val="18"/>
          <w:color w:val="auto"/>
        </w:rPr>
        <w:t>reporting company)</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555" w:lineRule="exact"/>
        <w:rPr>
          <w:sz w:val="24"/>
          <w:szCs w:val="24"/>
          <w:color w:val="auto"/>
        </w:rPr>
      </w:pPr>
    </w:p>
    <w:p>
      <w:pPr>
        <w:sectPr>
          <w:pgSz w:w="11900" w:h="16838" w:orient="portrait"/>
          <w:cols w:equalWidth="0" w:num="7">
            <w:col w:w="2040" w:space="140"/>
            <w:col w:w="800" w:space="720"/>
            <w:col w:w="1180" w:space="140"/>
            <w:col w:w="220" w:space="720"/>
            <w:col w:w="1880" w:space="400"/>
            <w:col w:w="1920" w:space="80"/>
            <w:col w:w="1140"/>
          </w:cols>
          <w:pgMar w:left="240" w:top="230" w:right="279" w:bottom="1440" w:gutter="0" w:footer="0" w:header="0"/>
          <w:type w:val="continuous"/>
        </w:sectPr>
      </w:pPr>
    </w:p>
    <w:p>
      <w:pPr>
        <w:ind w:left="360"/>
        <w:spacing w:after="0" w:line="207" w:lineRule="exact"/>
        <w:tabs>
          <w:tab w:leader="none" w:pos="8480" w:val="left"/>
          <w:tab w:leader="none" w:pos="916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96" w:lineRule="exact"/>
        <w:rPr>
          <w:sz w:val="24"/>
          <w:szCs w:val="24"/>
          <w:color w:val="auto"/>
        </w:rPr>
      </w:pPr>
    </w:p>
    <w:p>
      <w:pPr>
        <w:ind w:right="420" w:firstLine="342"/>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$4,380 million based upon the closing price of $12.44 per share on the NASDAQ Global Select Market on July 31, 2015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5"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July 11, 2016, there were 511.2 million common shares of the registrant outstanding.</w:t>
      </w:r>
    </w:p>
    <w:p>
      <w:pPr>
        <w:spacing w:after="0" w:line="57" w:lineRule="exact"/>
        <w:rPr>
          <w:sz w:val="24"/>
          <w:szCs w:val="24"/>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69" w:lineRule="exact"/>
        <w:rPr>
          <w:sz w:val="24"/>
          <w:szCs w:val="24"/>
          <w:color w:val="auto"/>
        </w:rPr>
      </w:pPr>
    </w:p>
    <w:p>
      <w:pPr>
        <w:ind w:left="360"/>
        <w:spacing w:after="0"/>
        <w:rPr>
          <w:sz w:val="20"/>
          <w:szCs w:val="20"/>
          <w:color w:val="auto"/>
        </w:rPr>
      </w:pPr>
      <w:r>
        <w:rPr>
          <w:rFonts w:ascii="Arial" w:cs="Arial" w:eastAsia="Arial" w:hAnsi="Arial"/>
          <w:sz w:val="18"/>
          <w:szCs w:val="18"/>
          <w:color w:val="auto"/>
        </w:rPr>
        <w:t>None</w:t>
      </w:r>
    </w:p>
    <w:p>
      <w:pPr>
        <w:spacing w:after="0" w:line="5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TRADEMARKS</w:t>
      </w:r>
    </w:p>
    <w:p>
      <w:pPr>
        <w:spacing w:after="0" w:line="69" w:lineRule="exact"/>
        <w:rPr>
          <w:sz w:val="24"/>
          <w:szCs w:val="24"/>
          <w:color w:val="auto"/>
        </w:rPr>
      </w:pPr>
    </w:p>
    <w:p>
      <w:pPr>
        <w:ind w:right="520" w:firstLine="342"/>
        <w:spacing w:after="0" w:line="332" w:lineRule="auto"/>
        <w:rPr>
          <w:sz w:val="20"/>
          <w:szCs w:val="20"/>
          <w:color w:val="auto"/>
        </w:rPr>
      </w:pPr>
      <w:r>
        <w:rPr>
          <w:rFonts w:ascii="Arial" w:cs="Arial" w:eastAsia="Arial" w:hAnsi="Arial"/>
          <w:sz w:val="16"/>
          <w:szCs w:val="16"/>
          <w:color w:val="auto"/>
        </w:rPr>
        <w:t>Marvell</w:t>
      </w:r>
      <w:r>
        <w:rPr>
          <w:rFonts w:ascii="Arial" w:cs="Arial" w:eastAsia="Arial" w:hAnsi="Arial"/>
          <w:sz w:val="10"/>
          <w:szCs w:val="10"/>
          <w:color w:val="auto"/>
        </w:rPr>
        <w:t>®</w:t>
      </w:r>
      <w:r>
        <w:rPr>
          <w:rFonts w:ascii="Arial" w:cs="Arial" w:eastAsia="Arial" w:hAnsi="Arial"/>
          <w:sz w:val="16"/>
          <w:szCs w:val="16"/>
          <w:color w:val="auto"/>
        </w:rPr>
        <w:t>, Alaska</w:t>
      </w:r>
      <w:r>
        <w:rPr>
          <w:rFonts w:ascii="Arial" w:cs="Arial" w:eastAsia="Arial" w:hAnsi="Arial"/>
          <w:sz w:val="10"/>
          <w:szCs w:val="10"/>
          <w:color w:val="auto"/>
        </w:rPr>
        <w:t>®</w:t>
      </w:r>
      <w:r>
        <w:rPr>
          <w:rFonts w:ascii="Arial" w:cs="Arial" w:eastAsia="Arial" w:hAnsi="Arial"/>
          <w:sz w:val="16"/>
          <w:szCs w:val="16"/>
          <w:color w:val="auto"/>
        </w:rPr>
        <w:t>, ARMADA</w:t>
      </w:r>
      <w:r>
        <w:rPr>
          <w:rFonts w:ascii="Arial" w:cs="Arial" w:eastAsia="Arial" w:hAnsi="Arial"/>
          <w:sz w:val="10"/>
          <w:szCs w:val="10"/>
          <w:color w:val="auto"/>
        </w:rPr>
        <w:t>®</w:t>
      </w:r>
      <w:r>
        <w:rPr>
          <w:rFonts w:ascii="Arial" w:cs="Arial" w:eastAsia="Arial" w:hAnsi="Arial"/>
          <w:sz w:val="16"/>
          <w:szCs w:val="16"/>
          <w:color w:val="auto"/>
        </w:rPr>
        <w:t xml:space="preserve"> Avanta</w:t>
      </w:r>
      <w:r>
        <w:rPr>
          <w:rFonts w:ascii="Arial" w:cs="Arial" w:eastAsia="Arial" w:hAnsi="Arial"/>
          <w:sz w:val="10"/>
          <w:szCs w:val="10"/>
          <w:color w:val="auto"/>
        </w:rPr>
        <w:t>®</w:t>
      </w:r>
      <w:r>
        <w:rPr>
          <w:rFonts w:ascii="Arial" w:cs="Arial" w:eastAsia="Arial" w:hAnsi="Arial"/>
          <w:sz w:val="16"/>
          <w:szCs w:val="16"/>
          <w:color w:val="auto"/>
        </w:rPr>
        <w:t>, Avastar</w:t>
      </w:r>
      <w:r>
        <w:rPr>
          <w:rFonts w:ascii="Arial" w:cs="Arial" w:eastAsia="Arial" w:hAnsi="Arial"/>
          <w:sz w:val="10"/>
          <w:szCs w:val="10"/>
          <w:color w:val="auto"/>
        </w:rPr>
        <w:t>®</w:t>
      </w:r>
      <w:r>
        <w:rPr>
          <w:rFonts w:ascii="Arial" w:cs="Arial" w:eastAsia="Arial" w:hAnsi="Arial"/>
          <w:sz w:val="16"/>
          <w:szCs w:val="16"/>
          <w:color w:val="auto"/>
        </w:rPr>
        <w:t>, Kirkwood</w:t>
      </w:r>
      <w:r>
        <w:rPr>
          <w:rFonts w:ascii="Arial" w:cs="Arial" w:eastAsia="Arial" w:hAnsi="Arial"/>
          <w:sz w:val="10"/>
          <w:szCs w:val="10"/>
          <w:color w:val="auto"/>
        </w:rPr>
        <w:t>®</w:t>
      </w:r>
      <w:r>
        <w:rPr>
          <w:rFonts w:ascii="Arial" w:cs="Arial" w:eastAsia="Arial" w:hAnsi="Arial"/>
          <w:sz w:val="16"/>
          <w:szCs w:val="16"/>
          <w:color w:val="auto"/>
        </w:rPr>
        <w:t>, Link Street</w:t>
      </w:r>
      <w:r>
        <w:rPr>
          <w:rFonts w:ascii="Arial" w:cs="Arial" w:eastAsia="Arial" w:hAnsi="Arial"/>
          <w:sz w:val="10"/>
          <w:szCs w:val="10"/>
          <w:color w:val="auto"/>
        </w:rPr>
        <w:t>®</w:t>
      </w:r>
      <w:r>
        <w:rPr>
          <w:rFonts w:ascii="Arial" w:cs="Arial" w:eastAsia="Arial" w:hAnsi="Arial"/>
          <w:sz w:val="16"/>
          <w:szCs w:val="16"/>
          <w:color w:val="auto"/>
        </w:rPr>
        <w:t>, Prestera</w:t>
      </w:r>
      <w:r>
        <w:rPr>
          <w:rFonts w:ascii="Arial" w:cs="Arial" w:eastAsia="Arial" w:hAnsi="Arial"/>
          <w:sz w:val="10"/>
          <w:szCs w:val="10"/>
          <w:color w:val="auto"/>
        </w:rPr>
        <w:t>®</w:t>
      </w:r>
      <w:r>
        <w:rPr>
          <w:rFonts w:ascii="Arial" w:cs="Arial" w:eastAsia="Arial" w:hAnsi="Arial"/>
          <w:sz w:val="16"/>
          <w:szCs w:val="16"/>
          <w:color w:val="auto"/>
        </w:rPr>
        <w:t>, Xelerated</w:t>
      </w:r>
      <w:r>
        <w:rPr>
          <w:rFonts w:ascii="Arial" w:cs="Arial" w:eastAsia="Arial" w:hAnsi="Arial"/>
          <w:sz w:val="10"/>
          <w:szCs w:val="10"/>
          <w:color w:val="auto"/>
        </w:rPr>
        <w:t>®</w:t>
      </w:r>
      <w:r>
        <w:rPr>
          <w:rFonts w:ascii="Arial" w:cs="Arial" w:eastAsia="Arial" w:hAnsi="Arial"/>
          <w:sz w:val="16"/>
          <w:szCs w:val="16"/>
          <w:color w:val="auto"/>
        </w:rPr>
        <w:t xml:space="preserve"> and Yukon</w:t>
      </w:r>
      <w:r>
        <w:rPr>
          <w:rFonts w:ascii="Arial" w:cs="Arial" w:eastAsia="Arial" w:hAnsi="Arial"/>
          <w:sz w:val="10"/>
          <w:szCs w:val="10"/>
          <w:color w:val="auto"/>
        </w:rPr>
        <w:t>®</w:t>
      </w:r>
      <w:r>
        <w:rPr>
          <w:rFonts w:ascii="Arial" w:cs="Arial" w:eastAsia="Arial" w:hAnsi="Arial"/>
          <w:sz w:val="16"/>
          <w:szCs w:val="16"/>
          <w:color w:val="auto"/>
        </w:rPr>
        <w:t xml:space="preserve"> are registered trademarks of Marvell International Ltd. and/or its affiliates. Any other trademarks or trade names mentioned are the property of their respective owners.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-8255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25400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230" w:right="27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0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740" w:type="dxa"/>
            <w:vAlign w:val="bottom"/>
            <w:gridSpan w:val="8"/>
          </w:tcPr>
          <w:p>
            <w:pPr>
              <w:ind w:left="520"/>
              <w:spacing w:after="0"/>
              <w:rPr>
                <w:sz w:val="20"/>
                <w:szCs w:val="20"/>
                <w:color w:val="auto"/>
              </w:rPr>
            </w:pPr>
            <w:r>
              <w:rPr>
                <w:rFonts w:ascii="Arial" w:cs="Arial" w:eastAsia="Arial" w:hAnsi="Arial"/>
                <w:sz w:val="18"/>
                <w:szCs w:val="18"/>
                <w:b w:val="1"/>
                <w:bCs w:val="1"/>
                <w:color w:val="auto"/>
              </w:rPr>
              <w:t>TABLE OF CONTENTS</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10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40" w:type="dxa"/>
            <w:vAlign w:val="bottom"/>
            <w:gridSpan w:val="6"/>
            <w:vMerge w:val="restart"/>
          </w:tcPr>
          <w:p>
            <w:pPr>
              <w:jc w:val="center"/>
              <w:ind w:right="4920"/>
              <w:spacing w:after="0"/>
              <w:rPr>
                <w:sz w:val="20"/>
                <w:szCs w:val="20"/>
                <w:color w:val="auto"/>
              </w:rPr>
            </w:pPr>
            <w:r>
              <w:rPr>
                <w:rFonts w:ascii="Arial" w:cs="Arial" w:eastAsia="Arial" w:hAnsi="Arial"/>
                <w:sz w:val="18"/>
                <w:szCs w:val="18"/>
                <w:b w:val="1"/>
                <w:bCs w:val="1"/>
                <w:color w:val="auto"/>
                <w:w w:val="98"/>
              </w:rPr>
              <w:t>PART I</w:t>
            </w: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94"/>
        </w:trPr>
        <w:tc>
          <w:tcPr>
            <w:tcW w:w="10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740" w:type="dxa"/>
            <w:vAlign w:val="bottom"/>
            <w:gridSpan w:val="6"/>
            <w:vMerge w:val="continue"/>
          </w:tcPr>
          <w:p>
            <w:pPr>
              <w:spacing w:after="0"/>
              <w:rPr>
                <w:sz w:val="16"/>
                <w:szCs w:val="16"/>
                <w:color w:val="auto"/>
              </w:rPr>
            </w:pPr>
          </w:p>
        </w:tc>
        <w:tc>
          <w:tcPr>
            <w:tcW w:w="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5"/>
        </w:trPr>
        <w:tc>
          <w:tcPr>
            <w:tcW w:w="1000" w:type="dxa"/>
            <w:vAlign w:val="bottom"/>
          </w:tcPr>
          <w:p>
            <w:pPr>
              <w:spacing w:after="0"/>
              <w:rPr>
                <w:sz w:val="20"/>
                <w:szCs w:val="20"/>
                <w:color w:val="auto"/>
              </w:rPr>
            </w:pPr>
            <w:r>
              <w:rPr>
                <w:rFonts w:ascii="Arial" w:cs="Arial" w:eastAsia="Arial" w:hAnsi="Arial"/>
                <w:sz w:val="18"/>
                <w:szCs w:val="18"/>
                <w:color w:val="auto"/>
              </w:rPr>
              <w:t>Item 1.</w:t>
            </w:r>
          </w:p>
        </w:tc>
        <w:tc>
          <w:tcPr>
            <w:tcW w:w="640" w:type="dxa"/>
            <w:vAlign w:val="bottom"/>
            <w:tcBorders>
              <w:bottom w:val="single" w:sz="8" w:color="0000EE"/>
            </w:tcBorders>
          </w:tcPr>
          <w:p>
            <w:pPr>
              <w:spacing w:after="0"/>
              <w:rPr>
                <w:rFonts w:ascii="Arial" w:cs="Arial" w:eastAsia="Arial" w:hAnsi="Arial"/>
                <w:sz w:val="18"/>
                <w:szCs w:val="18"/>
                <w:color w:val="0000EE"/>
                <w:w w:val="84"/>
              </w:rPr>
            </w:pPr>
            <w:hyperlink w:anchor="page4">
              <w:r>
                <w:rPr>
                  <w:rFonts w:ascii="Arial" w:cs="Arial" w:eastAsia="Arial" w:hAnsi="Arial"/>
                  <w:sz w:val="18"/>
                  <w:szCs w:val="18"/>
                  <w:color w:val="0000EE"/>
                  <w:w w:val="84"/>
                </w:rPr>
                <w:t>Business</w:t>
              </w:r>
            </w:hyperlink>
          </w:p>
        </w:tc>
        <w:tc>
          <w:tcPr>
            <w:tcW w:w="9360" w:type="dxa"/>
            <w:vAlign w:val="bottom"/>
            <w:gridSpan w:val="18"/>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tcBorders>
              <w:bottom w:val="single" w:sz="8" w:color="0000EE"/>
            </w:tcBorders>
            <w:gridSpan w:val="3"/>
          </w:tcPr>
          <w:p>
            <w:pPr>
              <w:spacing w:after="0"/>
              <w:rPr>
                <w:rFonts w:ascii="Arial" w:cs="Arial" w:eastAsia="Arial" w:hAnsi="Arial"/>
                <w:sz w:val="18"/>
                <w:szCs w:val="18"/>
                <w:color w:val="0000EE"/>
                <w:w w:val="87"/>
              </w:rPr>
            </w:pPr>
            <w:hyperlink w:anchor="page14">
              <w:r>
                <w:rPr>
                  <w:rFonts w:ascii="Arial" w:cs="Arial" w:eastAsia="Arial" w:hAnsi="Arial"/>
                  <w:sz w:val="18"/>
                  <w:szCs w:val="18"/>
                  <w:color w:val="0000EE"/>
                  <w:w w:val="87"/>
                </w:rPr>
                <w:t>Risk Factors</w:t>
              </w:r>
            </w:hyperlink>
          </w:p>
        </w:tc>
        <w:tc>
          <w:tcPr>
            <w:tcW w:w="9100" w:type="dxa"/>
            <w:vAlign w:val="bottom"/>
            <w:gridSpan w:val="16"/>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1B.</w:t>
            </w:r>
          </w:p>
        </w:tc>
        <w:tc>
          <w:tcPr>
            <w:tcW w:w="10000" w:type="dxa"/>
            <w:vAlign w:val="bottom"/>
            <w:gridSpan w:val="19"/>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Unresolved Staff Comments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2.</w:t>
            </w:r>
          </w:p>
        </w:tc>
        <w:tc>
          <w:tcPr>
            <w:tcW w:w="740" w:type="dxa"/>
            <w:vAlign w:val="bottom"/>
            <w:tcBorders>
              <w:top w:val="single" w:sz="8" w:color="0000EE"/>
              <w:bottom w:val="single" w:sz="8" w:color="0000EE"/>
            </w:tcBorders>
            <w:gridSpan w:val="2"/>
          </w:tcPr>
          <w:p>
            <w:pPr>
              <w:spacing w:after="0"/>
              <w:rPr>
                <w:rFonts w:ascii="Arial" w:cs="Arial" w:eastAsia="Arial" w:hAnsi="Arial"/>
                <w:sz w:val="18"/>
                <w:szCs w:val="18"/>
                <w:color w:val="0000EE"/>
                <w:w w:val="85"/>
              </w:rPr>
            </w:pPr>
            <w:hyperlink w:anchor="page34">
              <w:r>
                <w:rPr>
                  <w:rFonts w:ascii="Arial" w:cs="Arial" w:eastAsia="Arial" w:hAnsi="Arial"/>
                  <w:sz w:val="18"/>
                  <w:szCs w:val="18"/>
                  <w:color w:val="0000EE"/>
                  <w:w w:val="85"/>
                </w:rPr>
                <w:t>Properties</w:t>
              </w:r>
            </w:hyperlink>
          </w:p>
        </w:tc>
        <w:tc>
          <w:tcPr>
            <w:tcW w:w="1260" w:type="dxa"/>
            <w:vAlign w:val="bottom"/>
            <w:tcBorders>
              <w:top w:val="single" w:sz="8" w:color="0000EE"/>
            </w:tcBorders>
            <w:gridSpan w:val="6"/>
          </w:tcPr>
          <w:p>
            <w:pPr>
              <w:spacing w:after="0"/>
              <w:rPr>
                <w:sz w:val="22"/>
                <w:szCs w:val="22"/>
                <w:color w:val="auto"/>
              </w:rPr>
            </w:pPr>
          </w:p>
        </w:tc>
        <w:tc>
          <w:tcPr>
            <w:tcW w:w="8000" w:type="dxa"/>
            <w:vAlign w:val="bottom"/>
            <w:gridSpan w:val="1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3.</w:t>
            </w:r>
          </w:p>
        </w:tc>
        <w:tc>
          <w:tcPr>
            <w:tcW w:w="10000" w:type="dxa"/>
            <w:vAlign w:val="bottom"/>
            <w:gridSpan w:val="19"/>
          </w:tcPr>
          <w:p>
            <w:pPr>
              <w:spacing w:after="0"/>
              <w:rPr>
                <w:rFonts w:ascii="Arial" w:cs="Arial" w:eastAsia="Arial" w:hAnsi="Arial"/>
                <w:sz w:val="18"/>
                <w:szCs w:val="18"/>
                <w:color w:val="0000EE"/>
              </w:rPr>
            </w:pPr>
            <w:hyperlink w:anchor="page34">
              <w:r>
                <w:rPr>
                  <w:rFonts w:ascii="Arial" w:cs="Arial" w:eastAsia="Arial" w:hAnsi="Arial"/>
                  <w:sz w:val="18"/>
                  <w:szCs w:val="18"/>
                  <w:color w:val="0000EE"/>
                </w:rPr>
                <w:t>Legal Proceedings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740" w:type="dxa"/>
            <w:vAlign w:val="bottom"/>
            <w:tcBorders>
              <w:right w:val="single" w:sz="8" w:color="0000EE"/>
            </w:tcBorders>
            <w:gridSpan w:val="2"/>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4.</w:t>
            </w:r>
          </w:p>
        </w:tc>
        <w:tc>
          <w:tcPr>
            <w:tcW w:w="10000" w:type="dxa"/>
            <w:vAlign w:val="bottom"/>
            <w:gridSpan w:val="19"/>
          </w:tcPr>
          <w:p>
            <w:pPr>
              <w:spacing w:after="0"/>
              <w:rPr>
                <w:rFonts w:ascii="Arial" w:cs="Arial" w:eastAsia="Arial" w:hAnsi="Arial"/>
                <w:sz w:val="18"/>
                <w:szCs w:val="18"/>
                <w:color w:val="0000EE"/>
              </w:rPr>
            </w:pPr>
            <w:hyperlink w:anchor="page34">
              <w:r>
                <w:rPr>
                  <w:rFonts w:ascii="Arial" w:cs="Arial" w:eastAsia="Arial" w:hAnsi="Arial"/>
                  <w:sz w:val="18"/>
                  <w:szCs w:val="18"/>
                  <w:color w:val="0000EE"/>
                </w:rPr>
                <w:t>Mine Safety Disclosures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302"/>
        </w:trPr>
        <w:tc>
          <w:tcPr>
            <w:tcW w:w="100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40" w:type="dxa"/>
            <w:vAlign w:val="bottom"/>
            <w:gridSpan w:val="6"/>
          </w:tcPr>
          <w:p>
            <w:pPr>
              <w:jc w:val="center"/>
              <w:ind w:right="4940"/>
              <w:spacing w:after="0"/>
              <w:rPr>
                <w:sz w:val="20"/>
                <w:szCs w:val="20"/>
                <w:color w:val="auto"/>
              </w:rPr>
            </w:pPr>
            <w:r>
              <w:rPr>
                <w:rFonts w:ascii="Arial" w:cs="Arial" w:eastAsia="Arial" w:hAnsi="Arial"/>
                <w:sz w:val="18"/>
                <w:szCs w:val="18"/>
                <w:b w:val="1"/>
                <w:bCs w:val="1"/>
                <w:color w:val="auto"/>
                <w:w w:val="99"/>
              </w:rPr>
              <w:t>PART 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00" w:type="dxa"/>
            <w:vAlign w:val="bottom"/>
          </w:tcPr>
          <w:p>
            <w:pPr>
              <w:spacing w:after="0"/>
              <w:rPr>
                <w:sz w:val="20"/>
                <w:szCs w:val="20"/>
                <w:color w:val="auto"/>
              </w:rPr>
            </w:pPr>
            <w:r>
              <w:rPr>
                <w:rFonts w:ascii="Arial" w:cs="Arial" w:eastAsia="Arial" w:hAnsi="Arial"/>
                <w:sz w:val="18"/>
                <w:szCs w:val="18"/>
                <w:color w:val="auto"/>
              </w:rPr>
              <w:t>Item 5.</w:t>
            </w:r>
          </w:p>
        </w:tc>
        <w:tc>
          <w:tcPr>
            <w:tcW w:w="10000" w:type="dxa"/>
            <w:vAlign w:val="bottom"/>
            <w:gridSpan w:val="19"/>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Market for Registrant’s Common Equity, Related Shareholder Matters and Issuer Purchases of Equity Securities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6.</w:t>
            </w:r>
          </w:p>
        </w:tc>
        <w:tc>
          <w:tcPr>
            <w:tcW w:w="1680" w:type="dxa"/>
            <w:vAlign w:val="bottom"/>
            <w:tcBorders>
              <w:top w:val="single" w:sz="8" w:color="0000EE"/>
              <w:bottom w:val="single" w:sz="8" w:color="0000EE"/>
            </w:tcBorders>
            <w:gridSpan w:val="5"/>
          </w:tcPr>
          <w:p>
            <w:pPr>
              <w:spacing w:after="0"/>
              <w:rPr>
                <w:rFonts w:ascii="Arial" w:cs="Arial" w:eastAsia="Arial" w:hAnsi="Arial"/>
                <w:sz w:val="18"/>
                <w:szCs w:val="18"/>
                <w:color w:val="0000EE"/>
                <w:w w:val="87"/>
              </w:rPr>
            </w:pPr>
            <w:hyperlink w:anchor="page38">
              <w:r>
                <w:rPr>
                  <w:rFonts w:ascii="Arial" w:cs="Arial" w:eastAsia="Arial" w:hAnsi="Arial"/>
                  <w:sz w:val="18"/>
                  <w:szCs w:val="18"/>
                  <w:color w:val="0000EE"/>
                  <w:w w:val="87"/>
                </w:rPr>
                <w:t>Selected Financial Data</w:t>
              </w:r>
            </w:hyperlink>
          </w:p>
        </w:tc>
        <w:tc>
          <w:tcPr>
            <w:tcW w:w="6200" w:type="dxa"/>
            <w:vAlign w:val="bottom"/>
            <w:tcBorders>
              <w:top w:val="single" w:sz="8" w:color="0000EE"/>
            </w:tcBorders>
            <w:gridSpan w:val="13"/>
          </w:tcPr>
          <w:p>
            <w:pPr>
              <w:spacing w:after="0"/>
              <w:rPr>
                <w:sz w:val="22"/>
                <w:szCs w:val="22"/>
                <w:color w:val="auto"/>
              </w:rPr>
            </w:pPr>
          </w:p>
        </w:tc>
        <w:tc>
          <w:tcPr>
            <w:tcW w:w="212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7.</w:t>
            </w:r>
          </w:p>
        </w:tc>
        <w:tc>
          <w:tcPr>
            <w:tcW w:w="10000" w:type="dxa"/>
            <w:vAlign w:val="bottom"/>
            <w:gridSpan w:val="19"/>
          </w:tcPr>
          <w:p>
            <w:pPr>
              <w:spacing w:after="0"/>
              <w:rPr>
                <w:rFonts w:ascii="Arial" w:cs="Arial" w:eastAsia="Arial" w:hAnsi="Arial"/>
                <w:sz w:val="18"/>
                <w:szCs w:val="18"/>
                <w:color w:val="0000EE"/>
              </w:rPr>
            </w:pPr>
            <w:hyperlink w:anchor="page39">
              <w:r>
                <w:rPr>
                  <w:rFonts w:ascii="Arial" w:cs="Arial" w:eastAsia="Arial" w:hAnsi="Arial"/>
                  <w:sz w:val="18"/>
                  <w:szCs w:val="18"/>
                  <w:color w:val="0000EE"/>
                </w:rPr>
                <w:t>Management’s Discussion and Analysis of Financial Condition and Results of Operations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7A.</w:t>
            </w:r>
          </w:p>
        </w:tc>
        <w:tc>
          <w:tcPr>
            <w:tcW w:w="4260" w:type="dxa"/>
            <w:vAlign w:val="bottom"/>
            <w:tcBorders>
              <w:top w:val="single" w:sz="8" w:color="0000EE"/>
              <w:bottom w:val="single" w:sz="8" w:color="0000EE"/>
            </w:tcBorders>
            <w:gridSpan w:val="13"/>
          </w:tcPr>
          <w:p>
            <w:pPr>
              <w:spacing w:after="0"/>
              <w:rPr>
                <w:rFonts w:ascii="Arial" w:cs="Arial" w:eastAsia="Arial" w:hAnsi="Arial"/>
                <w:sz w:val="18"/>
                <w:szCs w:val="18"/>
                <w:color w:val="0000EE"/>
                <w:w w:val="89"/>
              </w:rPr>
            </w:pPr>
            <w:hyperlink w:anchor="page57">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22"/>
                <w:szCs w:val="22"/>
                <w:color w:val="auto"/>
              </w:rPr>
            </w:pPr>
          </w:p>
        </w:tc>
        <w:tc>
          <w:tcPr>
            <w:tcW w:w="3700" w:type="dxa"/>
            <w:vAlign w:val="bottom"/>
            <w:gridSpan w:val="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8.</w:t>
            </w:r>
          </w:p>
        </w:tc>
        <w:tc>
          <w:tcPr>
            <w:tcW w:w="3260" w:type="dxa"/>
            <w:vAlign w:val="bottom"/>
            <w:tcBorders>
              <w:bottom w:val="single" w:sz="8" w:color="0000EE"/>
            </w:tcBorders>
            <w:gridSpan w:val="11"/>
          </w:tcPr>
          <w:p>
            <w:pPr>
              <w:spacing w:after="0"/>
              <w:rPr>
                <w:rFonts w:ascii="Arial" w:cs="Arial" w:eastAsia="Arial" w:hAnsi="Arial"/>
                <w:sz w:val="18"/>
                <w:szCs w:val="18"/>
                <w:color w:val="0000EE"/>
                <w:w w:val="87"/>
              </w:rPr>
            </w:pPr>
            <w:hyperlink w:anchor="page59">
              <w:r>
                <w:rPr>
                  <w:rFonts w:ascii="Arial" w:cs="Arial" w:eastAsia="Arial" w:hAnsi="Arial"/>
                  <w:sz w:val="18"/>
                  <w:szCs w:val="18"/>
                  <w:color w:val="0000EE"/>
                  <w:w w:val="87"/>
                </w:rPr>
                <w:t>Financial Statements and Supplementary Data</w:t>
              </w:r>
            </w:hyperlink>
          </w:p>
        </w:tc>
        <w:tc>
          <w:tcPr>
            <w:tcW w:w="6740" w:type="dxa"/>
            <w:vAlign w:val="bottom"/>
            <w:gridSpan w:val="8"/>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9.</w:t>
            </w:r>
          </w:p>
        </w:tc>
        <w:tc>
          <w:tcPr>
            <w:tcW w:w="10000" w:type="dxa"/>
            <w:vAlign w:val="bottom"/>
            <w:gridSpan w:val="19"/>
          </w:tcPr>
          <w:p>
            <w:pPr>
              <w:spacing w:after="0"/>
              <w:rPr>
                <w:rFonts w:ascii="Arial" w:cs="Arial" w:eastAsia="Arial" w:hAnsi="Arial"/>
                <w:sz w:val="18"/>
                <w:szCs w:val="18"/>
                <w:color w:val="0000EE"/>
              </w:rPr>
            </w:pPr>
            <w:hyperlink w:anchor="page112">
              <w:r>
                <w:rPr>
                  <w:rFonts w:ascii="Arial" w:cs="Arial" w:eastAsia="Arial" w:hAnsi="Arial"/>
                  <w:sz w:val="18"/>
                  <w:szCs w:val="18"/>
                  <w:color w:val="0000EE"/>
                </w:rPr>
                <w:t>Changes in and Disagreements with Accountants on Accounting and Financial Disclosure</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110</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9A.</w:t>
            </w:r>
          </w:p>
        </w:tc>
        <w:tc>
          <w:tcPr>
            <w:tcW w:w="174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86"/>
              </w:rPr>
            </w:pPr>
            <w:hyperlink w:anchor="page112">
              <w:r>
                <w:rPr>
                  <w:rFonts w:ascii="Arial" w:cs="Arial" w:eastAsia="Arial" w:hAnsi="Arial"/>
                  <w:sz w:val="18"/>
                  <w:szCs w:val="18"/>
                  <w:color w:val="0000EE"/>
                  <w:w w:val="86"/>
                </w:rPr>
                <w:t>Controls and Procedures</w:t>
              </w:r>
            </w:hyperlink>
          </w:p>
        </w:tc>
        <w:tc>
          <w:tcPr>
            <w:tcW w:w="4580" w:type="dxa"/>
            <w:vAlign w:val="bottom"/>
            <w:tcBorders>
              <w:top w:val="single" w:sz="8" w:color="0000EE"/>
            </w:tcBorders>
            <w:gridSpan w:val="10"/>
          </w:tcPr>
          <w:p>
            <w:pPr>
              <w:spacing w:after="0"/>
              <w:rPr>
                <w:sz w:val="22"/>
                <w:szCs w:val="22"/>
                <w:color w:val="auto"/>
              </w:rPr>
            </w:pPr>
          </w:p>
        </w:tc>
        <w:tc>
          <w:tcPr>
            <w:tcW w:w="368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110</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9B.</w:t>
            </w:r>
          </w:p>
        </w:tc>
        <w:tc>
          <w:tcPr>
            <w:tcW w:w="10000" w:type="dxa"/>
            <w:vAlign w:val="bottom"/>
            <w:gridSpan w:val="19"/>
          </w:tcPr>
          <w:p>
            <w:pPr>
              <w:spacing w:after="0"/>
              <w:rPr>
                <w:rFonts w:ascii="Arial" w:cs="Arial" w:eastAsia="Arial" w:hAnsi="Arial"/>
                <w:sz w:val="18"/>
                <w:szCs w:val="18"/>
                <w:color w:val="0000EE"/>
              </w:rPr>
            </w:pPr>
            <w:hyperlink w:anchor="page117">
              <w:r>
                <w:rPr>
                  <w:rFonts w:ascii="Arial" w:cs="Arial" w:eastAsia="Arial" w:hAnsi="Arial"/>
                  <w:sz w:val="18"/>
                  <w:szCs w:val="18"/>
                  <w:color w:val="0000EE"/>
                </w:rPr>
                <w:t>Other Information</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115</w:t>
            </w:r>
          </w:p>
        </w:tc>
        <w:tc>
          <w:tcPr>
            <w:tcW w:w="0" w:type="dxa"/>
            <w:vAlign w:val="bottom"/>
          </w:tcPr>
          <w:p>
            <w:pPr>
              <w:spacing w:after="0"/>
              <w:rPr>
                <w:sz w:val="1"/>
                <w:szCs w:val="1"/>
                <w:color w:val="auto"/>
              </w:rPr>
            </w:pPr>
          </w:p>
        </w:tc>
      </w:tr>
      <w:tr>
        <w:trPr>
          <w:trHeight w:val="302"/>
        </w:trPr>
        <w:tc>
          <w:tcPr>
            <w:tcW w:w="100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40" w:type="dxa"/>
            <w:vAlign w:val="bottom"/>
            <w:gridSpan w:val="6"/>
          </w:tcPr>
          <w:p>
            <w:pPr>
              <w:jc w:val="center"/>
              <w:ind w:right="4920"/>
              <w:spacing w:after="0"/>
              <w:rPr>
                <w:sz w:val="20"/>
                <w:szCs w:val="20"/>
                <w:color w:val="auto"/>
              </w:rPr>
            </w:pPr>
            <w:r>
              <w:rPr>
                <w:rFonts w:ascii="Arial" w:cs="Arial" w:eastAsia="Arial" w:hAnsi="Arial"/>
                <w:sz w:val="18"/>
                <w:szCs w:val="18"/>
                <w:b w:val="1"/>
                <w:bCs w:val="1"/>
                <w:color w:val="auto"/>
              </w:rPr>
              <w:t>PART III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00" w:type="dxa"/>
            <w:vAlign w:val="bottom"/>
          </w:tcPr>
          <w:p>
            <w:pPr>
              <w:spacing w:after="0"/>
              <w:rPr>
                <w:sz w:val="20"/>
                <w:szCs w:val="20"/>
                <w:color w:val="auto"/>
              </w:rPr>
            </w:pPr>
            <w:r>
              <w:rPr>
                <w:rFonts w:ascii="Arial" w:cs="Arial" w:eastAsia="Arial" w:hAnsi="Arial"/>
                <w:sz w:val="18"/>
                <w:szCs w:val="18"/>
                <w:color w:val="auto"/>
              </w:rPr>
              <w:t>Item 10.</w:t>
            </w:r>
          </w:p>
        </w:tc>
        <w:tc>
          <w:tcPr>
            <w:tcW w:w="10000" w:type="dxa"/>
            <w:vAlign w:val="bottom"/>
            <w:gridSpan w:val="19"/>
          </w:tcPr>
          <w:p>
            <w:pPr>
              <w:spacing w:after="0"/>
              <w:rPr>
                <w:rFonts w:ascii="Arial" w:cs="Arial" w:eastAsia="Arial" w:hAnsi="Arial"/>
                <w:sz w:val="18"/>
                <w:szCs w:val="18"/>
                <w:color w:val="0000EE"/>
              </w:rPr>
            </w:pPr>
            <w:hyperlink w:anchor="page120">
              <w:r>
                <w:rPr>
                  <w:rFonts w:ascii="Arial" w:cs="Arial" w:eastAsia="Arial" w:hAnsi="Arial"/>
                  <w:sz w:val="18"/>
                  <w:szCs w:val="18"/>
                  <w:color w:val="0000EE"/>
                </w:rPr>
                <w:t>Directors, Executive Officers and Corporate Governance</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118</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11.</w:t>
            </w:r>
          </w:p>
        </w:tc>
        <w:tc>
          <w:tcPr>
            <w:tcW w:w="4000" w:type="dxa"/>
            <w:vAlign w:val="bottom"/>
            <w:tcBorders>
              <w:top w:val="single" w:sz="8" w:color="0000EE"/>
            </w:tcBorders>
            <w:gridSpan w:val="12"/>
          </w:tcPr>
          <w:p>
            <w:pPr>
              <w:spacing w:after="0"/>
              <w:rPr>
                <w:rFonts w:ascii="Arial" w:cs="Arial" w:eastAsia="Arial" w:hAnsi="Arial"/>
                <w:sz w:val="18"/>
                <w:szCs w:val="18"/>
                <w:color w:val="0000EE"/>
              </w:rPr>
            </w:pPr>
            <w:hyperlink w:anchor="page124">
              <w:r>
                <w:rPr>
                  <w:rFonts w:ascii="Arial" w:cs="Arial" w:eastAsia="Arial" w:hAnsi="Arial"/>
                  <w:sz w:val="18"/>
                  <w:szCs w:val="18"/>
                  <w:color w:val="0000EE"/>
                </w:rPr>
                <w:t>Executive Compensation</w:t>
              </w:r>
            </w:hyperlink>
          </w:p>
        </w:tc>
        <w:tc>
          <w:tcPr>
            <w:tcW w:w="6000" w:type="dxa"/>
            <w:vAlign w:val="bottom"/>
            <w:gridSpan w:val="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122</w:t>
            </w: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740" w:type="dxa"/>
            <w:vAlign w:val="bottom"/>
            <w:tcBorders>
              <w:right w:val="single" w:sz="8" w:color="0000EE"/>
            </w:tcBorders>
            <w:gridSpan w:val="2"/>
            <w:shd w:val="clear" w:color="auto" w:fill="0000EE"/>
          </w:tcPr>
          <w:p>
            <w:pPr>
              <w:spacing w:after="0" w:line="20" w:lineRule="exact"/>
              <w:rPr>
                <w:sz w:val="1"/>
                <w:szCs w:val="1"/>
                <w:color w:val="auto"/>
              </w:rPr>
            </w:pPr>
          </w:p>
        </w:tc>
        <w:tc>
          <w:tcPr>
            <w:tcW w:w="1020" w:type="dxa"/>
            <w:vAlign w:val="bottom"/>
            <w:gridSpan w:val="5"/>
            <w:shd w:val="clear" w:color="auto" w:fill="0000EE"/>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80" w:type="dxa"/>
            <w:vAlign w:val="bottom"/>
            <w:gridSpan w:val="4"/>
          </w:tcPr>
          <w:p>
            <w:pPr>
              <w:spacing w:after="0" w:line="20" w:lineRule="exact"/>
              <w:rPr>
                <w:sz w:val="1"/>
                <w:szCs w:val="1"/>
                <w:color w:val="auto"/>
              </w:rPr>
            </w:pPr>
          </w:p>
        </w:tc>
        <w:tc>
          <w:tcPr>
            <w:tcW w:w="1800" w:type="dxa"/>
            <w:vAlign w:val="bottom"/>
            <w:gridSpan w:val="3"/>
          </w:tcPr>
          <w:p>
            <w:pPr>
              <w:spacing w:after="0" w:line="20" w:lineRule="exact"/>
              <w:rPr>
                <w:sz w:val="1"/>
                <w:szCs w:val="1"/>
                <w:color w:val="auto"/>
              </w:rPr>
            </w:pPr>
          </w:p>
        </w:tc>
        <w:tc>
          <w:tcPr>
            <w:tcW w:w="28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12.</w:t>
            </w:r>
          </w:p>
        </w:tc>
        <w:tc>
          <w:tcPr>
            <w:tcW w:w="10000" w:type="dxa"/>
            <w:vAlign w:val="bottom"/>
            <w:gridSpan w:val="19"/>
          </w:tcPr>
          <w:p>
            <w:pPr>
              <w:spacing w:after="0"/>
              <w:rPr>
                <w:rFonts w:ascii="Arial" w:cs="Arial" w:eastAsia="Arial" w:hAnsi="Arial"/>
                <w:sz w:val="18"/>
                <w:szCs w:val="18"/>
                <w:color w:val="0000EE"/>
              </w:rPr>
            </w:pPr>
            <w:hyperlink w:anchor="page156">
              <w:r>
                <w:rPr>
                  <w:rFonts w:ascii="Arial" w:cs="Arial" w:eastAsia="Arial" w:hAnsi="Arial"/>
                  <w:sz w:val="18"/>
                  <w:szCs w:val="18"/>
                  <w:color w:val="0000EE"/>
                </w:rPr>
                <w:t>Security Ownership of Certain Beneficial Owners and Management and Related Shareholder Matters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154</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13.</w:t>
            </w:r>
          </w:p>
        </w:tc>
        <w:tc>
          <w:tcPr>
            <w:tcW w:w="7120" w:type="dxa"/>
            <w:vAlign w:val="bottom"/>
            <w:tcBorders>
              <w:top w:val="single" w:sz="8" w:color="0000EE"/>
            </w:tcBorders>
            <w:gridSpan w:val="17"/>
          </w:tcPr>
          <w:p>
            <w:pPr>
              <w:spacing w:after="0"/>
              <w:rPr>
                <w:rFonts w:ascii="Arial" w:cs="Arial" w:eastAsia="Arial" w:hAnsi="Arial"/>
                <w:sz w:val="18"/>
                <w:szCs w:val="18"/>
                <w:color w:val="0000EE"/>
              </w:rPr>
            </w:pPr>
            <w:hyperlink w:anchor="page159">
              <w:r>
                <w:rPr>
                  <w:rFonts w:ascii="Arial" w:cs="Arial" w:eastAsia="Arial" w:hAnsi="Arial"/>
                  <w:sz w:val="18"/>
                  <w:szCs w:val="18"/>
                  <w:color w:val="0000EE"/>
                </w:rPr>
                <w:t>Certain Relationships and Related Transactions, and Director Independence</w:t>
              </w:r>
            </w:hyperlink>
          </w:p>
        </w:tc>
        <w:tc>
          <w:tcPr>
            <w:tcW w:w="288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157</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0"/>
                <w:szCs w:val="20"/>
                <w:color w:val="auto"/>
              </w:rPr>
            </w:pPr>
            <w:r>
              <w:rPr>
                <w:rFonts w:ascii="Arial" w:cs="Arial" w:eastAsia="Arial" w:hAnsi="Arial"/>
                <w:sz w:val="18"/>
                <w:szCs w:val="18"/>
                <w:color w:val="auto"/>
              </w:rPr>
              <w:t>Item 14.</w:t>
            </w:r>
          </w:p>
        </w:tc>
        <w:tc>
          <w:tcPr>
            <w:tcW w:w="5320" w:type="dxa"/>
            <w:vAlign w:val="bottom"/>
            <w:tcBorders>
              <w:top w:val="single" w:sz="8" w:color="0000EE"/>
            </w:tcBorders>
            <w:gridSpan w:val="14"/>
          </w:tcPr>
          <w:p>
            <w:pPr>
              <w:spacing w:after="0"/>
              <w:rPr>
                <w:rFonts w:ascii="Arial" w:cs="Arial" w:eastAsia="Arial" w:hAnsi="Arial"/>
                <w:sz w:val="18"/>
                <w:szCs w:val="18"/>
                <w:color w:val="0000EE"/>
              </w:rPr>
            </w:pPr>
            <w:hyperlink w:anchor="page161">
              <w:r>
                <w:rPr>
                  <w:rFonts w:ascii="Arial" w:cs="Arial" w:eastAsia="Arial" w:hAnsi="Arial"/>
                  <w:sz w:val="18"/>
                  <w:szCs w:val="18"/>
                  <w:color w:val="0000EE"/>
                </w:rPr>
                <w:t>Principal Accounting Fees and Services</w:t>
              </w:r>
            </w:hyperlink>
          </w:p>
        </w:tc>
        <w:tc>
          <w:tcPr>
            <w:tcW w:w="4680" w:type="dxa"/>
            <w:vAlign w:val="bottom"/>
            <w:gridSpan w:val="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159</w:t>
            </w:r>
          </w:p>
        </w:tc>
        <w:tc>
          <w:tcPr>
            <w:tcW w:w="0" w:type="dxa"/>
            <w:vAlign w:val="bottom"/>
          </w:tcPr>
          <w:p>
            <w:pPr>
              <w:spacing w:after="0"/>
              <w:rPr>
                <w:sz w:val="1"/>
                <w:szCs w:val="1"/>
                <w:color w:val="auto"/>
              </w:rPr>
            </w:pPr>
          </w:p>
        </w:tc>
      </w:tr>
      <w:tr>
        <w:trPr>
          <w:trHeight w:val="302"/>
        </w:trPr>
        <w:tc>
          <w:tcPr>
            <w:tcW w:w="100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80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40" w:type="dxa"/>
            <w:vAlign w:val="bottom"/>
            <w:gridSpan w:val="6"/>
          </w:tcPr>
          <w:p>
            <w:pPr>
              <w:jc w:val="center"/>
              <w:ind w:right="4920"/>
              <w:spacing w:after="0"/>
              <w:rPr>
                <w:sz w:val="20"/>
                <w:szCs w:val="20"/>
                <w:color w:val="auto"/>
              </w:rPr>
            </w:pPr>
            <w:r>
              <w:rPr>
                <w:rFonts w:ascii="Arial" w:cs="Arial" w:eastAsia="Arial" w:hAnsi="Arial"/>
                <w:sz w:val="18"/>
                <w:szCs w:val="18"/>
                <w:b w:val="1"/>
                <w:bCs w:val="1"/>
                <w:color w:val="auto"/>
                <w:w w:val="98"/>
              </w:rPr>
              <w:t>PART IV</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00" w:type="dxa"/>
            <w:vAlign w:val="bottom"/>
          </w:tcPr>
          <w:p>
            <w:pPr>
              <w:spacing w:after="0"/>
              <w:rPr>
                <w:sz w:val="20"/>
                <w:szCs w:val="20"/>
                <w:color w:val="auto"/>
              </w:rPr>
            </w:pPr>
            <w:r>
              <w:rPr>
                <w:rFonts w:ascii="Arial" w:cs="Arial" w:eastAsia="Arial" w:hAnsi="Arial"/>
                <w:sz w:val="18"/>
                <w:szCs w:val="18"/>
                <w:color w:val="auto"/>
              </w:rPr>
              <w:t>Item 15.</w:t>
            </w:r>
          </w:p>
        </w:tc>
        <w:tc>
          <w:tcPr>
            <w:tcW w:w="2840" w:type="dxa"/>
            <w:vAlign w:val="bottom"/>
            <w:tcBorders>
              <w:bottom w:val="single" w:sz="8" w:color="0000EE"/>
            </w:tcBorders>
            <w:gridSpan w:val="10"/>
          </w:tcPr>
          <w:p>
            <w:pPr>
              <w:spacing w:after="0"/>
              <w:rPr>
                <w:rFonts w:ascii="Arial" w:cs="Arial" w:eastAsia="Arial" w:hAnsi="Arial"/>
                <w:sz w:val="18"/>
                <w:szCs w:val="18"/>
                <w:color w:val="0000EE"/>
                <w:w w:val="87"/>
              </w:rPr>
            </w:pPr>
            <w:hyperlink w:anchor="page163">
              <w:r>
                <w:rPr>
                  <w:rFonts w:ascii="Arial" w:cs="Arial" w:eastAsia="Arial" w:hAnsi="Arial"/>
                  <w:sz w:val="18"/>
                  <w:szCs w:val="18"/>
                  <w:color w:val="0000EE"/>
                  <w:w w:val="87"/>
                </w:rPr>
                <w:t>Exhibits, Financial Statement Schedules</w:t>
              </w:r>
            </w:hyperlink>
          </w:p>
        </w:tc>
        <w:tc>
          <w:tcPr>
            <w:tcW w:w="7160" w:type="dxa"/>
            <w:vAlign w:val="bottom"/>
            <w:gridSpan w:val="9"/>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161</w:t>
            </w:r>
          </w:p>
        </w:tc>
        <w:tc>
          <w:tcPr>
            <w:tcW w:w="0" w:type="dxa"/>
            <w:vAlign w:val="bottom"/>
          </w:tcPr>
          <w:p>
            <w:pPr>
              <w:spacing w:after="0"/>
              <w:rPr>
                <w:sz w:val="1"/>
                <w:szCs w:val="1"/>
                <w:color w:val="auto"/>
              </w:rPr>
            </w:pPr>
          </w:p>
        </w:tc>
      </w:tr>
      <w:tr>
        <w:trPr>
          <w:trHeight w:val="264"/>
        </w:trPr>
        <w:tc>
          <w:tcPr>
            <w:tcW w:w="1000" w:type="dxa"/>
            <w:vAlign w:val="bottom"/>
          </w:tcPr>
          <w:p>
            <w:pPr>
              <w:spacing w:after="0"/>
              <w:rPr>
                <w:sz w:val="22"/>
                <w:szCs w:val="22"/>
                <w:color w:val="auto"/>
              </w:rPr>
            </w:pPr>
          </w:p>
        </w:tc>
        <w:tc>
          <w:tcPr>
            <w:tcW w:w="10000" w:type="dxa"/>
            <w:vAlign w:val="bottom"/>
            <w:gridSpan w:val="19"/>
          </w:tcPr>
          <w:p>
            <w:pPr>
              <w:spacing w:after="0"/>
              <w:rPr>
                <w:rFonts w:ascii="Arial" w:cs="Arial" w:eastAsia="Arial" w:hAnsi="Arial"/>
                <w:sz w:val="18"/>
                <w:szCs w:val="18"/>
                <w:color w:val="0000EE"/>
              </w:rPr>
            </w:pPr>
            <w:hyperlink w:anchor="page164">
              <w:r>
                <w:rPr>
                  <w:rFonts w:ascii="Arial" w:cs="Arial" w:eastAsia="Arial" w:hAnsi="Arial"/>
                  <w:sz w:val="18"/>
                  <w:szCs w:val="18"/>
                  <w:color w:val="0000EE"/>
                </w:rPr>
                <w:t>Signatures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162</w:t>
            </w: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EXPLANATORY NOTE</w:t>
      </w:r>
    </w:p>
    <w:p>
      <w:pPr>
        <w:spacing w:after="0" w:line="17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previously reported, we were unable to timely file our Quarterly Reports on Form 10-Q for the second and third quarters of fiscal 2016 ended August 1, 2015 and October 31, 2016, respectively, and our Annual Report on Form 10-K for the fiscal year ended January 30, 2016, as a result of the resignation of our independent registered public accounting firm and an Audit Committee investigation as described herein. As previously reported and further set forth herein, we retained Deloitte &amp; Touche LLP as our independent registered public accounting firm and the Audit Committee subsequently completed its investigation. This Form 10-K is being filed concurrently with our Quarterly Reports on Form 10-Q for the periods ended August 1, 2015 and October 31, 2015, respectively.</w:t>
      </w:r>
    </w:p>
    <w:p>
      <w:pPr>
        <w:sectPr>
          <w:pgSz w:w="11900" w:h="16838" w:orient="portrait"/>
          <w:cols w:equalWidth="0" w:num="1">
            <w:col w:w="11360"/>
          </w:cols>
          <w:pgMar w:left="240" w:top="459" w:right="29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Forward-Looking Statements</w:t>
      </w:r>
    </w:p>
    <w:p>
      <w:pPr>
        <w:spacing w:after="0" w:line="177"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i w:val="1"/>
          <w:iCs w:val="1"/>
          <w:color w:val="auto"/>
        </w:rPr>
        <w:t>This Annual Report on Form 10-K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16"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hard disk drive and wireless markets, which are highly cyclical and intensely competitive;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6"/>
          <w:szCs w:val="16"/>
          <w:i w:val="1"/>
          <w:iCs w:val="1"/>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i w:val="1"/>
          <w:iCs w:val="1"/>
          <w:color w:val="auto"/>
        </w:rPr>
      </w:pPr>
    </w:p>
    <w:p>
      <w:pPr>
        <w:ind w:left="900" w:hanging="325"/>
        <w:spacing w:after="0" w:line="268" w:lineRule="auto"/>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acquisitions or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regain compliance with our NASDAQ listing qualifications;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i w:val="1"/>
          <w:iCs w:val="1"/>
          <w:color w:val="auto"/>
        </w:rPr>
        <w:t>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and System-in-a-Package (“SiP”) devices, leveraging our extensive technology portfolio of intellectual property in the areas of analog, mixed-signal, digital signal processing, and embedded and standalone integrated circuits. The majority of our product portfolio leverages embedded central processing unit technology.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(“PHY”), wireless connectivity, Internet-of-Things (“IoT”) devices and multimedia solutions. We were incorporated in Bermuda in January 1995.</w:t>
      </w:r>
    </w:p>
    <w:p>
      <w:pPr>
        <w:spacing w:after="0" w:line="118" w:lineRule="exact"/>
        <w:rPr>
          <w:sz w:val="20"/>
          <w:szCs w:val="20"/>
          <w:color w:val="auto"/>
        </w:rPr>
      </w:pPr>
    </w:p>
    <w:p>
      <w:pPr>
        <w:ind w:right="120" w:firstLine="456"/>
        <w:spacing w:after="0" w:line="323" w:lineRule="auto"/>
        <w:rPr>
          <w:sz w:val="20"/>
          <w:szCs w:val="20"/>
          <w:color w:val="auto"/>
        </w:rPr>
      </w:pPr>
      <w:r>
        <w:rPr>
          <w:rFonts w:ascii="Arial" w:cs="Arial" w:eastAsia="Arial" w:hAnsi="Arial"/>
          <w:sz w:val="15"/>
          <w:szCs w:val="15"/>
          <w:color w:val="auto"/>
        </w:rPr>
        <w:t>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China, India, Israel, Italy, Japan, Malaysia, Singapore, South Korea, Spain, Switzerland and Taiwan. Our fiscal year ends on the Saturday nearest January 31. For example, the fiscal year ended January 30, 2016 is referred to as fiscal 2016.</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U.S. Securities and Exchange Commission (“SEC”).</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Over the last several years, we have transitioned from a supplier of stand-alone semiconductor components to a supplier of fully integrated platform solutions. Our platform solutions contain multiple intellectual property components in integrated hardware along with software that incorporates digital, analog and mixed-signal computing and communication technologies, designed and configured to provide an optimized solution compared to individual components. Our solutions have become increasingly integrated, with more and more components resulting in an all-in-one solution for a given customer’s end product. The demand for such highly integrated platform solutions is generally driven by technological changes and anticipation of the future needs of device manufacturers and end users, as well as, to an increasing extent, service providers, including cellular network carriers and Internet-based applications providers. A device manufacturer may require high-definition graphics processing, high-definition video and audio, and power management. These platforms will often cross multiple end markets, integrating components and technologies traditionally associated with one end market with components and technologies from another end market. For example, we may integrate an applications processor, traditionally associated with the mobile and wireless end market, with software and other components in an end user product targeting the home cloud. Therefore, it has become critical that our products across multiple end markets work together seamlessly.</w:t>
      </w:r>
    </w:p>
    <w:p>
      <w:pPr>
        <w:spacing w:after="0" w:line="12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integration of these various technologies onto a single piece of silicon is referred to as SoC. The development of SoCs became in high demand over the past decade, with strong market presence in networking</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and cloud infrastructure, storage, multimedia and custom specific product solutions. We believe the development of SoCs will continue to grow as more complex chips can be delivered to the different end markets in the years to come.</w:t>
      </w:r>
    </w:p>
    <w:p>
      <w:pPr>
        <w:spacing w:after="0" w:line="132"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addition, software has become increasingly important to our business over the last several years and we expect software to become even more relevant as the market expects hardware and software to be delivered as a solution offering. On-chip software, which acts as the “driver” for the functionality of the chip, has always been a critical part of our business. However, the software that we deliver with our chip has become significantly more complex as the range of uses and the needs in application-level software have increased. For example, a chip that we develop for storage or networking can contain software that already has functionalities included, or it can offer abilities that our customers deploy in their operative system on top of our chip, as well as deploying in application software on top of it.</w:t>
      </w:r>
    </w:p>
    <w:p>
      <w:pPr>
        <w:spacing w:after="0" w:line="14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products that we develop are targeted for several key end markets and applications: storage, networking and cloud infrastructure, wireless connectivity, multimedia and IoT. In storage, we are a market leader in data storage controller solutions spanning consumer, mobile, desktop and enterprise markets. Our storage solutions enable customers to engineer high-volume products for hard disk drives and solid state drives. In IoT, we develop flexible and cost-effective platforms that enable original equipment manufacturers (“OEM”) and original design manufacturers (“ODM”) to quickly and cost-effectively reach the market with new, innovative products in this rapidly growing space. We provide a range of silicon and software solutions that enable applications such as wearables, home automation, home security, smart appliances and automotive. For networking and cloud infrastructure, our products and solutions are designed for reliability and resiliency. From robust enterprise networking applications to consumer and small business solutions, our cloud services products power every point in the cloud and networking ecosystem. Our storage, networking, multimedia, wireless connectivity and video processing products power cutting-edge consumer and digital entertainment devices, empowering consumers to manage and consume content at home or on the go.</w:t>
      </w:r>
    </w:p>
    <w:p>
      <w:pPr>
        <w:spacing w:after="0" w:line="120"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All of our products are built on the foundation of innovation, and we continue to develop new and cutting-edge technology to enable our customers’ applications. In fiscal 2016, we developed two technologies that have the potential to revolutionize integrated circuit design by decreasing the cost, complexity, power and form factor of next-generation systems and chips. Our Final-Level Cache (“FLC</w:t>
      </w:r>
      <w:r>
        <w:rPr>
          <w:rFonts w:ascii="Arial" w:cs="Arial" w:eastAsia="Arial" w:hAnsi="Arial"/>
          <w:sz w:val="11"/>
          <w:szCs w:val="11"/>
          <w:color w:val="auto"/>
        </w:rPr>
        <w:t>TM</w:t>
      </w:r>
      <w:r>
        <w:rPr>
          <w:rFonts w:ascii="Arial" w:cs="Arial" w:eastAsia="Arial" w:hAnsi="Arial"/>
          <w:sz w:val="18"/>
          <w:szCs w:val="18"/>
          <w:color w:val="auto"/>
        </w:rPr>
        <w:t xml:space="preserve">”) architecture redefines the main memory hierarchy by substantially reducing the amount of dynamic random access memory needed in a system. Our Modular Chip (“MoChi </w:t>
      </w:r>
      <w:r>
        <w:rPr>
          <w:rFonts w:ascii="Arial" w:cs="Arial" w:eastAsia="Arial" w:hAnsi="Arial"/>
          <w:sz w:val="11"/>
          <w:szCs w:val="11"/>
          <w:color w:val="auto"/>
        </w:rPr>
        <w:t>TM</w:t>
      </w:r>
      <w:r>
        <w:rPr>
          <w:rFonts w:ascii="Arial" w:cs="Arial" w:eastAsia="Arial" w:hAnsi="Arial"/>
          <w:sz w:val="18"/>
          <w:szCs w:val="18"/>
          <w:color w:val="auto"/>
        </w:rPr>
        <w:t xml:space="preserve">”) technology enables the building of virtual SoCs by connecting together a set of MoChi </w:t>
      </w:r>
      <w:r>
        <w:rPr>
          <w:rFonts w:ascii="Arial" w:cs="Arial" w:eastAsia="Arial" w:hAnsi="Arial"/>
          <w:sz w:val="11"/>
          <w:szCs w:val="11"/>
          <w:color w:val="auto"/>
        </w:rPr>
        <w:t>TM</w:t>
      </w:r>
      <w:r>
        <w:rPr>
          <w:rFonts w:ascii="Arial" w:cs="Arial" w:eastAsia="Arial" w:hAnsi="Arial"/>
          <w:sz w:val="18"/>
          <w:szCs w:val="18"/>
          <w:color w:val="auto"/>
        </w:rPr>
        <w:t xml:space="preserve"> in a modular fashion to implement a final product. Both FLC </w:t>
      </w:r>
      <w:r>
        <w:rPr>
          <w:rFonts w:ascii="Arial" w:cs="Arial" w:eastAsia="Arial" w:hAnsi="Arial"/>
          <w:sz w:val="11"/>
          <w:szCs w:val="11"/>
          <w:color w:val="auto"/>
        </w:rPr>
        <w:t>TM</w:t>
      </w:r>
      <w:r>
        <w:rPr>
          <w:rFonts w:ascii="Arial" w:cs="Arial" w:eastAsia="Arial" w:hAnsi="Arial"/>
          <w:sz w:val="18"/>
          <w:szCs w:val="18"/>
          <w:color w:val="auto"/>
        </w:rPr>
        <w:t xml:space="preserve"> and MoChi </w:t>
      </w:r>
      <w:r>
        <w:rPr>
          <w:rFonts w:ascii="Arial" w:cs="Arial" w:eastAsia="Arial" w:hAnsi="Arial"/>
          <w:sz w:val="11"/>
          <w:szCs w:val="11"/>
          <w:color w:val="auto"/>
        </w:rPr>
        <w:t>TM</w:t>
      </w:r>
      <w:r>
        <w:rPr>
          <w:rFonts w:ascii="Arial" w:cs="Arial" w:eastAsia="Arial" w:hAnsi="Arial"/>
          <w:sz w:val="18"/>
          <w:szCs w:val="18"/>
          <w:color w:val="auto"/>
        </w:rPr>
        <w:t xml:space="preserve"> technologies may become integral parts of our product evolution in the future.</w:t>
      </w:r>
    </w:p>
    <w:p>
      <w:pPr>
        <w:spacing w:after="0" w:line="144"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Our current product offerings are primarily in three broad end markets: storage, networking, and mobile and wireless. Our net revenue by end market for the last three fiscal years is as follows: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6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2"/>
          </w:tcPr>
          <w:p>
            <w:pPr>
              <w:jc w:val="center"/>
              <w:ind w:left="38"/>
              <w:spacing w:after="0"/>
              <w:rPr>
                <w:sz w:val="20"/>
                <w:szCs w:val="20"/>
                <w:color w:val="auto"/>
              </w:rPr>
            </w:pPr>
            <w:r>
              <w:rPr>
                <w:rFonts w:ascii="Arial" w:cs="Arial" w:eastAsia="Arial" w:hAnsi="Arial"/>
                <w:sz w:val="14"/>
                <w:szCs w:val="14"/>
                <w:b w:val="1"/>
                <w:bCs w:val="1"/>
                <w:color w:val="auto"/>
                <w:w w:val="88"/>
              </w:rPr>
              <w:t>Year Ended</w:t>
            </w: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60" w:type="dxa"/>
            <w:vAlign w:val="bottom"/>
          </w:tcPr>
          <w:p>
            <w:pPr>
              <w:spacing w:after="0"/>
              <w:rPr>
                <w:sz w:val="11"/>
                <w:szCs w:val="11"/>
                <w:color w:val="auto"/>
              </w:rPr>
            </w:pPr>
          </w:p>
        </w:tc>
        <w:tc>
          <w:tcPr>
            <w:tcW w:w="272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30,</w:t>
            </w: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74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1,</w:t>
            </w: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6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2016</w:t>
            </w: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3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56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700" w:type="dxa"/>
            <w:vAlign w:val="bottom"/>
            <w:gridSpan w:val="6"/>
          </w:tcPr>
          <w:p>
            <w:pPr>
              <w:jc w:val="center"/>
              <w:ind w:left="316"/>
              <w:spacing w:after="0" w:line="142" w:lineRule="exact"/>
              <w:rPr>
                <w:sz w:val="20"/>
                <w:szCs w:val="20"/>
                <w:color w:val="auto"/>
              </w:rPr>
            </w:pPr>
            <w:r>
              <w:rPr>
                <w:rFonts w:ascii="Arial" w:cs="Arial" w:eastAsia="Arial" w:hAnsi="Arial"/>
                <w:sz w:val="14"/>
                <w:szCs w:val="14"/>
                <w:b w:val="1"/>
                <w:bCs w:val="1"/>
                <w:color w:val="auto"/>
                <w:w w:val="85"/>
              </w:rPr>
              <w:t>(in millions, except for percentages)</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Storage</w:t>
            </w:r>
          </w:p>
        </w:tc>
        <w:tc>
          <w:tcPr>
            <w:tcW w:w="2880" w:type="dxa"/>
            <w:vAlign w:val="bottom"/>
            <w:gridSpan w:val="2"/>
            <w:shd w:val="clear" w:color="auto" w:fill="CCEEFF"/>
          </w:tcPr>
          <w:p>
            <w:pPr>
              <w:ind w:left="272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1,201</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44%</w:t>
            </w: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1,745</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47%</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1,682</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16"/>
        </w:trPr>
        <w:tc>
          <w:tcPr>
            <w:tcW w:w="3560" w:type="dxa"/>
            <w:vAlign w:val="bottom"/>
          </w:tcPr>
          <w:p>
            <w:pPr>
              <w:spacing w:after="0"/>
              <w:rPr>
                <w:sz w:val="20"/>
                <w:szCs w:val="20"/>
                <w:color w:val="auto"/>
              </w:rPr>
            </w:pPr>
            <w:r>
              <w:rPr>
                <w:rFonts w:ascii="Arial" w:cs="Arial" w:eastAsia="Arial" w:hAnsi="Arial"/>
                <w:sz w:val="18"/>
                <w:szCs w:val="18"/>
                <w:color w:val="auto"/>
              </w:rPr>
              <w:t>Mobile and Wireless</w:t>
            </w:r>
          </w:p>
        </w:tc>
        <w:tc>
          <w:tcPr>
            <w:tcW w:w="2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786</w:t>
            </w: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29%</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1,072</w:t>
            </w:r>
          </w:p>
        </w:tc>
        <w:tc>
          <w:tcPr>
            <w:tcW w:w="380" w:type="dxa"/>
            <w:vAlign w:val="bottom"/>
          </w:tcPr>
          <w:p>
            <w:pPr>
              <w:spacing w:after="0"/>
              <w:rPr>
                <w:sz w:val="18"/>
                <w:szCs w:val="18"/>
                <w:color w:val="auto"/>
              </w:rPr>
            </w:pPr>
          </w:p>
        </w:tc>
        <w:tc>
          <w:tcPr>
            <w:tcW w:w="740" w:type="dxa"/>
            <w:vAlign w:val="bottom"/>
          </w:tcPr>
          <w:p>
            <w:pPr>
              <w:jc w:val="right"/>
              <w:ind w:right="252"/>
              <w:spacing w:after="0"/>
              <w:rPr>
                <w:sz w:val="20"/>
                <w:szCs w:val="20"/>
                <w:color w:val="auto"/>
              </w:rPr>
            </w:pPr>
            <w:r>
              <w:rPr>
                <w:rFonts w:ascii="Arial" w:cs="Arial" w:eastAsia="Arial" w:hAnsi="Arial"/>
                <w:sz w:val="18"/>
                <w:szCs w:val="18"/>
                <w:color w:val="auto"/>
              </w:rPr>
              <w:t>29%</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839</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2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552</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20%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675</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18%</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670</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23"/>
        </w:trPr>
        <w:tc>
          <w:tcPr>
            <w:tcW w:w="3560" w:type="dxa"/>
            <w:vAlign w:val="bottom"/>
          </w:tcPr>
          <w:p>
            <w:pPr>
              <w:spacing w:after="0"/>
              <w:rPr>
                <w:sz w:val="20"/>
                <w:szCs w:val="20"/>
                <w:color w:val="auto"/>
              </w:rPr>
            </w:pPr>
            <w:r>
              <w:rPr>
                <w:rFonts w:ascii="Arial" w:cs="Arial" w:eastAsia="Arial" w:hAnsi="Arial"/>
                <w:sz w:val="18"/>
                <w:szCs w:val="18"/>
                <w:color w:val="auto"/>
              </w:rPr>
              <w:t>Other</w:t>
            </w:r>
          </w:p>
        </w:tc>
        <w:tc>
          <w:tcPr>
            <w:tcW w:w="27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187</w:t>
            </w:r>
          </w:p>
        </w:tc>
        <w:tc>
          <w:tcPr>
            <w:tcW w:w="220" w:type="dxa"/>
            <w:vAlign w:val="bottom"/>
          </w:tcPr>
          <w:p>
            <w:pPr>
              <w:spacing w:after="0"/>
              <w:rPr>
                <w:sz w:val="19"/>
                <w:szCs w:val="19"/>
                <w:color w:val="auto"/>
              </w:rPr>
            </w:pP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7%</w:t>
            </w:r>
          </w:p>
        </w:tc>
        <w:tc>
          <w:tcPr>
            <w:tcW w:w="1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215</w:t>
            </w:r>
          </w:p>
        </w:tc>
        <w:tc>
          <w:tcPr>
            <w:tcW w:w="380" w:type="dxa"/>
            <w:vAlign w:val="bottom"/>
          </w:tcPr>
          <w:p>
            <w:pPr>
              <w:spacing w:after="0"/>
              <w:rPr>
                <w:sz w:val="19"/>
                <w:szCs w:val="19"/>
                <w:color w:val="auto"/>
              </w:rPr>
            </w:pPr>
          </w:p>
        </w:tc>
        <w:tc>
          <w:tcPr>
            <w:tcW w:w="740" w:type="dxa"/>
            <w:vAlign w:val="bottom"/>
          </w:tcPr>
          <w:p>
            <w:pPr>
              <w:jc w:val="right"/>
              <w:ind w:right="252"/>
              <w:spacing w:after="0"/>
              <w:rPr>
                <w:sz w:val="20"/>
                <w:szCs w:val="20"/>
                <w:color w:val="auto"/>
              </w:rPr>
            </w:pPr>
            <w:r>
              <w:rPr>
                <w:rFonts w:ascii="Arial" w:cs="Arial" w:eastAsia="Arial" w:hAnsi="Arial"/>
                <w:sz w:val="18"/>
                <w:szCs w:val="18"/>
                <w:color w:val="auto"/>
              </w:rPr>
              <w:t>6%</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213</w:t>
            </w:r>
          </w:p>
        </w:tc>
        <w:tc>
          <w:tcPr>
            <w:tcW w:w="2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2880" w:type="dxa"/>
            <w:vAlign w:val="bottom"/>
            <w:gridSpan w:val="2"/>
            <w:shd w:val="clear" w:color="auto" w:fill="CCEEFF"/>
          </w:tcPr>
          <w:p>
            <w:pPr>
              <w:ind w:left="272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2,726</w:t>
            </w:r>
          </w:p>
        </w:tc>
        <w:tc>
          <w:tcPr>
            <w:tcW w:w="7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3,707</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3,404</w:t>
            </w:r>
          </w:p>
        </w:tc>
        <w:tc>
          <w:tcPr>
            <w:tcW w:w="4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560" w:type="dxa"/>
            <w:vAlign w:val="bottom"/>
          </w:tcPr>
          <w:p>
            <w:pPr>
              <w:spacing w:after="0" w:line="20" w:lineRule="exact"/>
              <w:rPr>
                <w:sz w:val="1"/>
                <w:szCs w:val="1"/>
                <w:color w:val="auto"/>
              </w:rPr>
            </w:pPr>
          </w:p>
        </w:tc>
        <w:tc>
          <w:tcPr>
            <w:tcW w:w="2720" w:type="dxa"/>
            <w:vAlign w:val="bottom"/>
            <w:vMerge w:val="restart"/>
          </w:tcPr>
          <w:p>
            <w:pPr>
              <w:jc w:val="right"/>
              <w:ind w:right="432"/>
              <w:spacing w:after="0"/>
              <w:rPr>
                <w:sz w:val="20"/>
                <w:szCs w:val="20"/>
                <w:color w:val="auto"/>
              </w:rPr>
            </w:pPr>
            <w:r>
              <w:rPr>
                <w:rFonts w:ascii="Arial" w:cs="Arial" w:eastAsia="Arial" w:hAnsi="Arial"/>
                <w:sz w:val="18"/>
                <w:szCs w:val="18"/>
                <w:color w:val="auto"/>
              </w:rPr>
              <w:t>3</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60" w:type="dxa"/>
            <w:vAlign w:val="bottom"/>
          </w:tcPr>
          <w:p>
            <w:pPr>
              <w:spacing w:after="0"/>
              <w:rPr>
                <w:sz w:val="24"/>
                <w:szCs w:val="24"/>
                <w:color w:val="auto"/>
              </w:rPr>
            </w:pPr>
          </w:p>
        </w:tc>
        <w:tc>
          <w:tcPr>
            <w:tcW w:w="272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Storage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Hard Disk Drive Controllers</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Hard disk drive (“HDD”) controllers provide high-performance input/output (“I/O”) interface control between the HDD and the host system. We support a variety of host system interfaces, including serial advanced technology attachment (“SATA”), statistical analysis system (“SAS”), peripheral component interconnect express (“PCIe”) and universal serial bus (“USB”), which supports the complete range of enterprise, desktop and mobile HDDs.</w:t>
      </w:r>
    </w:p>
    <w:p>
      <w:pPr>
        <w:spacing w:after="0" w:line="26"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are a leading HDD controller supplier and currently supply products to all of the major hard drive manufacturers.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HDD controllers with advanced 1 terabyte-per-platter technology for mobile HDDs provide a technological advantage that enables a higher level of data storage on smaller form factors and higher volumetric densities.</w:t>
      </w:r>
    </w:p>
    <w:p>
      <w:pPr>
        <w:spacing w:after="0" w:line="50" w:lineRule="exact"/>
        <w:rPr>
          <w:rFonts w:ascii="Arial" w:cs="Arial" w:eastAsia="Arial" w:hAnsi="Arial"/>
          <w:sz w:val="18"/>
          <w:szCs w:val="18"/>
          <w:color w:val="auto"/>
        </w:rPr>
      </w:pPr>
    </w:p>
    <w:p>
      <w:pPr>
        <w:ind w:left="900" w:right="14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advanced HDD controller SoCs are designed incorporating the latest Marvell IPs using leading advanced process nodes, including Taiwan Semiconductor Manufacturing Company’s (“TSMC”) 16nm FinFet Compact (“FFC”) process node, resulting in the smallest die size, lowest power dissipation and highest performance.</w:t>
      </w:r>
    </w:p>
    <w:p>
      <w:pPr>
        <w:spacing w:after="0" w:line="59" w:lineRule="exact"/>
        <w:rPr>
          <w:rFonts w:ascii="Arial" w:cs="Arial" w:eastAsia="Arial" w:hAnsi="Arial"/>
          <w:sz w:val="18"/>
          <w:szCs w:val="18"/>
          <w:color w:val="auto"/>
        </w:rPr>
      </w:pPr>
    </w:p>
    <w:p>
      <w:pPr>
        <w:ind w:left="900" w:right="28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provide advanced Hybrid HDD controller solutions based on our solid state drive (“SSD”) forward flash based concepts utilizing our SSD controller SoCs and Marvell’s differentiated and patented FLC and MoChi</w:t>
      </w:r>
      <w:r>
        <w:rPr>
          <w:rFonts w:ascii="Arial" w:cs="Arial" w:eastAsia="Arial" w:hAnsi="Arial"/>
          <w:sz w:val="11"/>
          <w:szCs w:val="11"/>
          <w:color w:val="auto"/>
        </w:rPr>
        <w:t>TM</w:t>
      </w:r>
      <w:r>
        <w:rPr>
          <w:rFonts w:ascii="Arial" w:cs="Arial" w:eastAsia="Arial" w:hAnsi="Arial"/>
          <w:sz w:val="18"/>
          <w:szCs w:val="18"/>
          <w:color w:val="auto"/>
        </w:rPr>
        <w:t xml:space="preserve"> technologies. Our Hybrid SSDs provide SSD like performance with HDD cost structures.</w:t>
      </w:r>
    </w:p>
    <w:p>
      <w:pPr>
        <w:spacing w:after="0" w:line="59"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Hybrid HDD solutions incorporate hardware accelerated advanced caching algorithms and are supported by our full turnkey (“FTK”) software system solutions.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Solid-State Drive Controllers</w:t>
      </w:r>
    </w:p>
    <w:p>
      <w:pPr>
        <w:spacing w:after="0" w:line="90" w:lineRule="exact"/>
        <w:rPr>
          <w:sz w:val="20"/>
          <w:szCs w:val="20"/>
          <w:color w:val="auto"/>
        </w:rPr>
      </w:pPr>
    </w:p>
    <w:p>
      <w:pPr>
        <w:jc w:val="both"/>
        <w:ind w:right="480" w:firstLine="456"/>
        <w:spacing w:after="0" w:line="259" w:lineRule="auto"/>
        <w:rPr>
          <w:sz w:val="20"/>
          <w:szCs w:val="20"/>
          <w:color w:val="auto"/>
        </w:rPr>
      </w:pPr>
      <w:r>
        <w:rPr>
          <w:rFonts w:ascii="Arial" w:cs="Arial" w:eastAsia="Arial" w:hAnsi="Arial"/>
          <w:sz w:val="18"/>
          <w:szCs w:val="18"/>
          <w:color w:val="auto"/>
        </w:rPr>
        <w:t>Our SSD controller SoCs are targeted at the fast growing market for flash-based storage systems, for the enterprise, consumer and mobile computing markets, as well as for smartphones and tablets. We support a variety of host system interfaces, including SAS, SATA, PCIe, non-volatile memory express (“NVMe”) and emerging mobile standards.</w:t>
      </w:r>
    </w:p>
    <w:p>
      <w:pPr>
        <w:spacing w:after="0" w:line="59"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are a leading supplier of SSD controllers across a range of customers and market segments.</w:t>
      </w:r>
    </w:p>
    <w:p>
      <w:pPr>
        <w:spacing w:after="0" w:line="90" w:lineRule="exact"/>
        <w:rPr>
          <w:rFonts w:ascii="Arial" w:cs="Arial" w:eastAsia="Arial" w:hAnsi="Arial"/>
          <w:sz w:val="18"/>
          <w:szCs w:val="18"/>
          <w:color w:val="auto"/>
        </w:rPr>
      </w:pPr>
    </w:p>
    <w:p>
      <w:pPr>
        <w:ind w:left="900" w:right="540" w:hanging="325"/>
        <w:spacing w:after="0" w:line="332"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Our advanced SSD controller SoCs are designed incorporating the latest Marvell technology using leading advanced process nodes, including TSMC’s 16nm FFC process node, resulting to the smallest die size, lowest power dissipation and leading performance.</w:t>
      </w:r>
    </w:p>
    <w:p>
      <w:pPr>
        <w:spacing w:after="0" w:line="4" w:lineRule="exact"/>
        <w:rPr>
          <w:rFonts w:ascii="Arial" w:cs="Arial" w:eastAsia="Arial" w:hAnsi="Arial"/>
          <w:sz w:val="16"/>
          <w:szCs w:val="16"/>
          <w:color w:val="auto"/>
        </w:rPr>
      </w:pPr>
    </w:p>
    <w:p>
      <w:pPr>
        <w:ind w:left="900" w:right="18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SSD controllers are complemented by our fully featured software development kit and FTK software solutions. We are currently in production using our controllers and FTKs with a number of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are also designing future SSD controllers incorporating our differentiated and patented FLC and MoChi</w:t>
      </w:r>
      <w:r>
        <w:rPr>
          <w:rFonts w:ascii="Arial" w:cs="Arial" w:eastAsia="Arial" w:hAnsi="Arial"/>
          <w:sz w:val="11"/>
          <w:szCs w:val="11"/>
          <w:color w:val="auto"/>
        </w:rPr>
        <w:t>TM</w:t>
      </w:r>
      <w:r>
        <w:rPr>
          <w:rFonts w:ascii="Arial" w:cs="Arial" w:eastAsia="Arial" w:hAnsi="Arial"/>
          <w:sz w:val="18"/>
          <w:szCs w:val="18"/>
          <w:color w:val="auto"/>
        </w:rPr>
        <w:t xml:space="preserve"> technologies.</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HDD Components</w:t>
      </w:r>
    </w:p>
    <w:p>
      <w:pPr>
        <w:spacing w:after="0" w:line="90"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In fiscal 2016, Marvell re-entered the HDD preamps and motor combo drivers business. We are working with a number of customers in developing and qualifying our components.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Enterprise Storage Solutions</w:t>
      </w:r>
    </w:p>
    <w:p>
      <w:pPr>
        <w:spacing w:after="0" w:line="90"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We develop software enabled silicon solutions for enterprise, data centers and cloud computing businesses. The solutions include, SATA port multipliers, bridges, SATA, SAS and NVMe redundant array of independent disks controllers and converged storage processors.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Networking</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Ethernet Solutions</w:t>
      </w:r>
    </w:p>
    <w:p>
      <w:pPr>
        <w:spacing w:after="0" w:line="9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Ethernet connectivity is pervasive throughout networking infrastructures built for enterprise, small and medium business, home office, service provider and data centers. Our Ethernet solutions address a wide variety of end-customer products for those market spaces, from small, cost-effective appliances to large, high-performance modular solutions. Our Ethernet products include:</w:t>
      </w:r>
    </w:p>
    <w:p>
      <w:pPr>
        <w:spacing w:after="0" w:line="59" w:lineRule="exact"/>
        <w:rPr>
          <w:sz w:val="20"/>
          <w:szCs w:val="20"/>
          <w:color w:val="auto"/>
        </w:rPr>
      </w:pPr>
    </w:p>
    <w:p>
      <w:pPr>
        <w:ind w:left="900" w:right="100" w:hanging="325"/>
        <w:spacing w:after="0" w:line="259"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broad selection of Ethernet Switches with market optimized advanced features, such as audio video bridging and network traffic management, that make networks more effective at delivering content, and range from low-power five port switches to highly integrated, multi terabit Ethernet SoC devices that can be interconnected to form massive network solutions;</w:t>
      </w:r>
    </w:p>
    <w:p>
      <w:pPr>
        <w:spacing w:after="0" w:line="59" w:lineRule="exact"/>
        <w:rPr>
          <w:rFonts w:ascii="Arial" w:cs="Arial" w:eastAsia="Arial" w:hAnsi="Arial"/>
          <w:sz w:val="18"/>
          <w:szCs w:val="18"/>
          <w:color w:val="auto"/>
        </w:rPr>
      </w:pPr>
    </w:p>
    <w:p>
      <w:pPr>
        <w:ind w:left="900" w:right="760" w:hanging="325"/>
        <w:spacing w:after="0" w:line="332"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a broad selection of Ethernet Transceivers for both fiber and copper interconnect with advanced power management, link security and time synchronization features that complement our Ethernet Switch and Embedded Communication Processors; and</w:t>
      </w:r>
    </w:p>
    <w:p>
      <w:pPr>
        <w:spacing w:after="0" w:line="4" w:lineRule="exact"/>
        <w:rPr>
          <w:rFonts w:ascii="Arial" w:cs="Arial" w:eastAsia="Arial" w:hAnsi="Arial"/>
          <w:sz w:val="16"/>
          <w:szCs w:val="16"/>
          <w:color w:val="auto"/>
        </w:rPr>
      </w:pPr>
    </w:p>
    <w:p>
      <w:pPr>
        <w:ind w:left="900" w:right="5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family of single-chip network interface devices offered in ultra-small form factor with low-power consumption and targeted for client-server network interface cards.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Embedded Communication Processors</w:t>
      </w:r>
    </w:p>
    <w:p>
      <w:pPr>
        <w:spacing w:after="0" w:line="9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Our range of SoC-embedded communication processors provide multi-processor architectures optimized to consume low power while simultaneously delivering high-performance per watt. They provide a combination of I/O peripherals, including Ethernet, SATA, SAS, PCIe and USB and are ideally suited to a range of end-customer networking applications, such as home gateways, networked storage, point-of-service terminals, routers, switches and wireless application points and base stations.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Network Processors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Our family of Network Processors offers high-performance-per-watt programmable solutions ideally suited to applications where flexible functionality for differentiated, value-add solutions and enhanced quality of service are essential, such as in carrier Ethernet access, aggregation, mobile backhaul, transport and mobile cloud platforms. They also offer 1G through 100G Ethernet connectivity into a multi-hundred gigabit Ethernet pipeline that has deterministic performance and ideally suited for software-defined networking.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Mobile and Wireless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Communications and Applications Processors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offer “thin modems,” highly optimized multi-mode baseband modem devices without an application processor. In September 2015, we announced a significant restructuring of our mobile platform business in order to focus research and development on more profitable opportunities and align our expenses with corporate targets. As a result, we have discontinued the development and marketing of our communications and applications processors targeted for mobile handsets.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Connectivity</w:t>
      </w:r>
    </w:p>
    <w:p>
      <w:pPr>
        <w:spacing w:after="0" w:line="90" w:lineRule="exact"/>
        <w:rPr>
          <w:sz w:val="20"/>
          <w:szCs w:val="20"/>
          <w:color w:val="auto"/>
        </w:rPr>
      </w:pPr>
    </w:p>
    <w:p>
      <w:pPr>
        <w:jc w:val="both"/>
        <w:ind w:firstLine="456"/>
        <w:spacing w:after="0" w:line="255" w:lineRule="auto"/>
        <w:rPr>
          <w:sz w:val="20"/>
          <w:szCs w:val="20"/>
          <w:color w:val="auto"/>
        </w:rPr>
      </w:pPr>
      <w:r>
        <w:rPr>
          <w:rFonts w:ascii="Arial" w:cs="Arial" w:eastAsia="Arial" w:hAnsi="Arial"/>
          <w:sz w:val="18"/>
          <w:szCs w:val="18"/>
          <w:color w:val="auto"/>
        </w:rPr>
        <w:t>We offer a variety of connectivity solutions, including Wi-Fi, Bluetooth, global positioning system (“GPS”) and ZigBee. These products are integrated into a wide variety of end devices, such as gaming devices, printers, enterprise solutions, video dongles tablets, in-car infotainment and smart appliances. Our products are well positioned to deliver low-power and high-performance functionality with the latest technologies that follow evolution of IEEE 802.11standards. We have a broad wireless product portfolio that includes single stream 1x1, as well as multi-stream 2x2 and 4x4 multiple input multiple output (“MIMO”) devices, and we are developing</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8x8 MIMO 802.11ax solutions. As a result of the restructuring of our mobile platform business announced in September 2015, our connectivity solutions are no longer being targeted for mobile phones.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Mobile Computing</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offer high-performance applications processors that are designed to deliver advanced integration, excellent multimedia performance and superior power consumption savings for mobile computing products. These products have been incorporated into tablets, notebooks, eReaders, gaming devices, scanners and educational devices.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Other Technologies</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We incorporate a variety of other technologies into our platforms, depending on the needs of our customers and their end products, including power management, GPS, radio frequency (“RF”) and memory. As a result of the restructuring of our mobile platform business announced in September 2015, we have also discontinued development and marketing of our power management, GPS, RF and memory into mobile platform designs.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Products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Printing Solutions</w:t>
      </w:r>
    </w:p>
    <w:p>
      <w:pPr>
        <w:spacing w:after="0" w:line="90"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Our printer SoC products power many of today’s laser and ink printers and multi-function peripherals. These SoCs include a family of printer-specific standard products as well as full-custom printer application-specific integrated circuits.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Smart Home Products</w:t>
      </w:r>
    </w:p>
    <w:p>
      <w:pPr>
        <w:spacing w:after="0" w:line="90" w:lineRule="exact"/>
        <w:rPr>
          <w:sz w:val="20"/>
          <w:szCs w:val="20"/>
          <w:color w:val="auto"/>
        </w:rPr>
      </w:pPr>
    </w:p>
    <w:p>
      <w:pPr>
        <w:ind w:right="580" w:firstLine="456"/>
        <w:spacing w:after="0" w:line="332" w:lineRule="auto"/>
        <w:rPr>
          <w:sz w:val="20"/>
          <w:szCs w:val="20"/>
          <w:color w:val="auto"/>
        </w:rPr>
      </w:pPr>
      <w:r>
        <w:rPr>
          <w:rFonts w:ascii="Arial" w:cs="Arial" w:eastAsia="Arial" w:hAnsi="Arial"/>
          <w:sz w:val="16"/>
          <w:szCs w:val="16"/>
          <w:color w:val="auto"/>
        </w:rPr>
        <w:t>Our smart home products are designed to enable the next generation of connected consumer platforms, and to enhance the eco-friendly “Connected Lifestyle” throughout the home, and include platforms for set-top boxes, video dongles such as Google Chromecast and smart appliances.</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Financial Information about Segments and Geographic Areas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We have determined that we operate in one reportable business segment: the design, development and sale of integrated circuits. For information regarding our revenue by geographic area, and property and equipment by geographic area, please see “Note 13 — Segment and Geographic Information” in our Notes to the Consolidated Financial Statements set forth in Part II, Item 8 of this Annual Report on Form 10-K.</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96" w:lineRule="exact"/>
        <w:rPr>
          <w:sz w:val="20"/>
          <w:szCs w:val="20"/>
          <w:color w:val="auto"/>
        </w:rPr>
      </w:pPr>
    </w:p>
    <w:p>
      <w:pPr>
        <w:ind w:right="80" w:firstLine="456"/>
        <w:spacing w:after="0" w:line="253" w:lineRule="auto"/>
        <w:rPr>
          <w:sz w:val="20"/>
          <w:szCs w:val="20"/>
          <w:color w:val="auto"/>
        </w:rPr>
      </w:pPr>
      <w:r>
        <w:rPr>
          <w:rFonts w:ascii="Arial" w:cs="Arial" w:eastAsia="Arial" w:hAnsi="Arial"/>
          <w:sz w:val="18"/>
          <w:szCs w:val="18"/>
          <w:color w:val="auto"/>
        </w:rPr>
        <w:t>As a fabless semiconductor company, our target customers are OEMs and ODMs, both of which design and manufacture end market devices. Our sales force is strategically aligned along key customer lines in order to offer fully integrated platforms to our customers. In this way, we believe we can more effectively offer a broader set of content into our key customers’ end products, without having multiple product groups separately engage the same customer. We complement and support our direct sales force with manufacturers’ representatives for our products in North America, Europe and Asia. In addition, we have distributors who support our sales and marketing activities in the United States, Europe and Asia. We also use third-party logistics providers who maintain warehouses in close proximity to our customers’ facilities. We expect a significant percentage of our sales will continue to come from direct sales to key customers.</w:t>
      </w:r>
    </w:p>
    <w:p>
      <w:pPr>
        <w:spacing w:after="0" w:line="147" w:lineRule="exact"/>
        <w:rPr>
          <w:sz w:val="20"/>
          <w:szCs w:val="20"/>
          <w:color w:val="auto"/>
        </w:rPr>
      </w:pPr>
    </w:p>
    <w:p>
      <w:pPr>
        <w:ind w:right="460" w:firstLine="456"/>
        <w:spacing w:after="0" w:line="259"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customers by improving our customers’ time-to-market, maintaining a high level of customer satisfaction and encouraging customers to use our next-generation products. Our marketing team works in conjunction with our field sales and application engineering force, and is organized around our product applications and end markets.</w:t>
      </w:r>
    </w:p>
    <w:p>
      <w:pPr>
        <w:spacing w:after="0" w:line="140" w:lineRule="exact"/>
        <w:rPr>
          <w:sz w:val="20"/>
          <w:szCs w:val="20"/>
          <w:color w:val="auto"/>
        </w:rPr>
      </w:pPr>
    </w:p>
    <w:p>
      <w:pPr>
        <w:ind w:right="400" w:firstLine="456"/>
        <w:spacing w:after="0" w:line="332"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Net revenue attributable to significant customers whose revenues as a percentage of net revenue was 10% or greater of total net revenues is presented in the following table:</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16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680" w:type="dxa"/>
            <w:vAlign w:val="bottom"/>
            <w:tcBorders>
              <w:bottom w:val="single" w:sz="8" w:color="auto"/>
            </w:tcBorders>
            <w:gridSpan w:val="2"/>
          </w:tcPr>
          <w:p>
            <w:pPr>
              <w:jc w:val="center"/>
              <w:ind w:right="100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7160" w:type="dxa"/>
            <w:vAlign w:val="bottom"/>
          </w:tcPr>
          <w:p>
            <w:pPr>
              <w:spacing w:after="0"/>
              <w:rPr>
                <w:sz w:val="11"/>
                <w:szCs w:val="11"/>
                <w:color w:val="auto"/>
              </w:rPr>
            </w:pPr>
          </w:p>
        </w:tc>
        <w:tc>
          <w:tcPr>
            <w:tcW w:w="1680" w:type="dxa"/>
            <w:vAlign w:val="bottom"/>
            <w:gridSpan w:val="2"/>
          </w:tcPr>
          <w:p>
            <w:pPr>
              <w:jc w:val="center"/>
              <w:ind w:right="1000"/>
              <w:spacing w:after="0" w:line="129" w:lineRule="exact"/>
              <w:rPr>
                <w:sz w:val="20"/>
                <w:szCs w:val="20"/>
                <w:color w:val="auto"/>
              </w:rPr>
            </w:pPr>
            <w:r>
              <w:rPr>
                <w:rFonts w:ascii="Arial" w:cs="Arial" w:eastAsia="Arial" w:hAnsi="Arial"/>
                <w:sz w:val="14"/>
                <w:szCs w:val="14"/>
                <w:b w:val="1"/>
                <w:bCs w:val="1"/>
                <w:color w:val="auto"/>
                <w:w w:val="88"/>
              </w:rPr>
              <w:t>January 30,</w:t>
            </w:r>
          </w:p>
        </w:tc>
        <w:tc>
          <w:tcPr>
            <w:tcW w:w="1680" w:type="dxa"/>
            <w:vAlign w:val="bottom"/>
            <w:gridSpan w:val="2"/>
          </w:tcPr>
          <w:p>
            <w:pPr>
              <w:jc w:val="center"/>
              <w:ind w:right="1000"/>
              <w:spacing w:after="0" w:line="12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200" w:type="dxa"/>
            <w:vAlign w:val="bottom"/>
          </w:tcPr>
          <w:p>
            <w:pPr>
              <w:spacing w:after="0"/>
              <w:rPr>
                <w:sz w:val="11"/>
                <w:szCs w:val="11"/>
                <w:color w:val="auto"/>
              </w:rPr>
            </w:pPr>
          </w:p>
        </w:tc>
      </w:tr>
      <w:tr>
        <w:trPr>
          <w:trHeight w:val="161"/>
        </w:trPr>
        <w:tc>
          <w:tcPr>
            <w:tcW w:w="716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rPr>
              <w:t>2016</w:t>
            </w:r>
          </w:p>
        </w:tc>
        <w:tc>
          <w:tcPr>
            <w:tcW w:w="10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2015</w:t>
            </w:r>
          </w:p>
        </w:tc>
        <w:tc>
          <w:tcPr>
            <w:tcW w:w="100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r>
      <w:tr>
        <w:trPr>
          <w:trHeight w:val="196"/>
        </w:trPr>
        <w:tc>
          <w:tcPr>
            <w:tcW w:w="71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End Customer:</w:t>
            </w:r>
          </w:p>
        </w:tc>
        <w:tc>
          <w:tcPr>
            <w:tcW w:w="68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7160" w:type="dxa"/>
            <w:vAlign w:val="bottom"/>
          </w:tcPr>
          <w:p>
            <w:pPr>
              <w:ind w:left="440"/>
              <w:spacing w:after="0"/>
              <w:rPr>
                <w:sz w:val="20"/>
                <w:szCs w:val="20"/>
                <w:color w:val="auto"/>
              </w:rPr>
            </w:pPr>
            <w:r>
              <w:rPr>
                <w:rFonts w:ascii="Arial" w:cs="Arial" w:eastAsia="Arial" w:hAnsi="Arial"/>
                <w:sz w:val="18"/>
                <w:szCs w:val="18"/>
                <w:color w:val="auto"/>
              </w:rPr>
              <w:t>Western Digital</w:t>
            </w:r>
          </w:p>
        </w:tc>
        <w:tc>
          <w:tcPr>
            <w:tcW w:w="1680" w:type="dxa"/>
            <w:vAlign w:val="bottom"/>
            <w:gridSpan w:val="2"/>
          </w:tcPr>
          <w:p>
            <w:pPr>
              <w:jc w:val="right"/>
              <w:ind w:right="860"/>
              <w:spacing w:after="0"/>
              <w:rPr>
                <w:sz w:val="20"/>
                <w:szCs w:val="20"/>
                <w:color w:val="auto"/>
              </w:rPr>
            </w:pPr>
            <w:r>
              <w:rPr>
                <w:rFonts w:ascii="Arial" w:cs="Arial" w:eastAsia="Arial" w:hAnsi="Arial"/>
                <w:sz w:val="18"/>
                <w:szCs w:val="18"/>
                <w:color w:val="auto"/>
              </w:rPr>
              <w:t>18%</w:t>
            </w:r>
          </w:p>
        </w:tc>
        <w:tc>
          <w:tcPr>
            <w:tcW w:w="1680" w:type="dxa"/>
            <w:vAlign w:val="bottom"/>
            <w:gridSpan w:val="2"/>
          </w:tcPr>
          <w:p>
            <w:pPr>
              <w:jc w:val="right"/>
              <w:ind w:right="840"/>
              <w:spacing w:after="0"/>
              <w:rPr>
                <w:sz w:val="20"/>
                <w:szCs w:val="20"/>
                <w:color w:val="auto"/>
              </w:rPr>
            </w:pPr>
            <w:r>
              <w:rPr>
                <w:rFonts w:ascii="Arial" w:cs="Arial" w:eastAsia="Arial" w:hAnsi="Arial"/>
                <w:sz w:val="18"/>
                <w:szCs w:val="18"/>
                <w:color w:val="auto"/>
              </w:rPr>
              <w:t>20%</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24%</w:t>
            </w:r>
          </w:p>
        </w:tc>
      </w:tr>
      <w:tr>
        <w:trPr>
          <w:trHeight w:val="216"/>
        </w:trPr>
        <w:tc>
          <w:tcPr>
            <w:tcW w:w="7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Seagate</w:t>
            </w:r>
          </w:p>
        </w:tc>
        <w:tc>
          <w:tcPr>
            <w:tcW w:w="168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13%</w:t>
            </w:r>
          </w:p>
        </w:tc>
        <w:tc>
          <w:tcPr>
            <w:tcW w:w="168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13%</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w:t>
            </w:r>
          </w:p>
        </w:tc>
      </w:tr>
      <w:tr>
        <w:trPr>
          <w:trHeight w:val="216"/>
        </w:trPr>
        <w:tc>
          <w:tcPr>
            <w:tcW w:w="7160" w:type="dxa"/>
            <w:vAlign w:val="bottom"/>
          </w:tcPr>
          <w:p>
            <w:pPr>
              <w:spacing w:after="0"/>
              <w:rPr>
                <w:sz w:val="20"/>
                <w:szCs w:val="20"/>
                <w:color w:val="auto"/>
              </w:rPr>
            </w:pPr>
            <w:r>
              <w:rPr>
                <w:rFonts w:ascii="Arial" w:cs="Arial" w:eastAsia="Arial" w:hAnsi="Arial"/>
                <w:sz w:val="18"/>
                <w:szCs w:val="18"/>
                <w:b w:val="1"/>
                <w:bCs w:val="1"/>
                <w:color w:val="auto"/>
              </w:rPr>
              <w:t>Distributor:</w:t>
            </w:r>
          </w:p>
        </w:tc>
        <w:tc>
          <w:tcPr>
            <w:tcW w:w="6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7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Wintech</w:t>
            </w:r>
          </w:p>
        </w:tc>
        <w:tc>
          <w:tcPr>
            <w:tcW w:w="168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11%</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71" w:lineRule="exact"/>
        <w:rPr>
          <w:sz w:val="20"/>
          <w:szCs w:val="20"/>
          <w:color w:val="auto"/>
        </w:rPr>
      </w:pPr>
    </w:p>
    <w:p>
      <w:pPr>
        <w:jc w:val="both"/>
        <w:ind w:right="40" w:firstLine="456"/>
        <w:spacing w:after="0" w:line="298"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the timing of new product introductions by our customers may cause variations in our quarterly revenues, which may not be indicative of future trends.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 and Working Capital</w:t>
      </w:r>
    </w:p>
    <w:p>
      <w:pPr>
        <w:spacing w:after="0" w:line="9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place firm orders for products with our suppliers generally up to 16 weeks prior to the anticipated delivery date and typically prior to an order for the product. These lead times typically change based on the current capacity at the foundries. We often maintain substantial inventories of our products because the semiconductor industry is characterized by short lead time orders and quick delivery schedules. In addition, increased use of “hubs” managed by third-party logistics providers has resulted in a higher number of inventory locations and higher overall inventory levels.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do not believe that backlog is a meaningful or reliable indicator for future demand, due to the following:</w:t>
      </w:r>
    </w:p>
    <w:p>
      <w:pPr>
        <w:spacing w:after="0" w:line="90"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 industry practice that allows customers to cancel or change orders prior to the scheduled shipment dates;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 increasing portion of our revenue comes from products shipped to customers using third-party logistics providers, or “hubs” wherein the product can be pulled at any time by the customer and is therefore never reflected in backlog;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scheduled future shipments include shipments to distributors for which we do not recognize revenue until the products are sold to end customers.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9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20"/>
        <w:spacing w:after="0" w:line="306" w:lineRule="auto"/>
        <w:rPr>
          <w:sz w:val="20"/>
          <w:szCs w:val="20"/>
          <w:color w:val="auto"/>
        </w:rPr>
      </w:pPr>
      <w:r>
        <w:rPr>
          <w:rFonts w:ascii="Arial" w:cs="Arial" w:eastAsia="Arial" w:hAnsi="Arial"/>
          <w:sz w:val="16"/>
          <w:szCs w:val="16"/>
          <w:color w:val="auto"/>
        </w:rPr>
        <w:t>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stand-alone integrated circuits into our integrated platform solutions to reduce our customers’ overall system costs.</w:t>
      </w:r>
    </w:p>
    <w:p>
      <w:pPr>
        <w:spacing w:after="0" w:line="107"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have assembled a core team of engineers who have extensive experience in the areas of mixed-signal circuit design, digital signal processing, embedded microprocessors, complementary metal oxide semiconductor (“CMOS”) technology and system-level architectures. We have invested and will continue to invest significant funds for research and development. Our research and development expense was $1.1 billion, $1.2 billion and $1.2 billion in fiscal 2016, 2015 and 2014, respectively.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currently outsource a large percentage of our integrated circuit manufacturing to Taiwan Semiconductor Manufacturing Company. We also utilize United Microelectronics Corporation, with the remaining manufacturing outsourced to other foundries primarily in Asia. We work closely with our foundry partners to forecast on a monthly basis our manufacturing capacity requirements. We closely monitor foundry production to ensure consistent overall quality, reliability and yield levels. Our integrated circuits are currently fabricated in several advanced manufacturing processes up to and including 28 nanometer.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outsource all product packaging and testing requirements for our products in production to several assembly and test subcontractors primarily located in China, Korea, Singapore and Taiwan.</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We believe that our products comply with the current Restriction of Hazardous Substances Directive, the European legislation that restricts the use of a number of substances, including lead, and the Regulation, Evaluation and Authorization of Chemicals SVHC Substances Directive. In addition, each of our manufacturing subcontractors complies with ISO 14001:2004, the international standard related to environmental management. We are also working to establish a “conflict-free” supply chain, including ethical sourcing of certain minerals for our products.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confidentiality agreements and licenses to protect our intellectual property. As of January 30, 2016, we have been issued and/or have acquired over 6,200 U.S. patents and over 1,700 foreign patents with expiration dates ranging from 2016 to 2036. We also have more than 5,200 U.S. and foreign pending patent applications on various aspects of our technology. See “Risk Factors” under Item 1A of this Annual Report on Form 10-K for a discussion of the risks associated with our patents and intellectual property, including the risk that our patents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332" w:lineRule="auto"/>
        <w:rPr>
          <w:sz w:val="20"/>
          <w:szCs w:val="20"/>
          <w:color w:val="auto"/>
        </w:rPr>
      </w:pPr>
      <w:r>
        <w:rPr>
          <w:rFonts w:ascii="Arial" w:cs="Arial" w:eastAsia="Arial" w:hAnsi="Arial"/>
          <w:sz w:val="16"/>
          <w:szCs w:val="16"/>
          <w:color w:val="auto"/>
        </w:rPr>
        <w:t>may be invalidated, the risk that third parties may copy or otherwise obtain and use our products and technology without authorization, and the risks involved with operating in foreign countries where the laws are not as protective of our intellectual property as in the United States.</w:t>
      </w:r>
    </w:p>
    <w:p>
      <w:pPr>
        <w:spacing w:after="0" w:line="85"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4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From time to time, we may desire or be required to renew or to obtain licenses from third parties in order to further develop and effectively market commercially viable products or in connection with a pending or future claim or action asserted against us. We cannot be sure that any necessary licenses will be available or will be available on commercially reasonable terms.</w:t>
      </w:r>
    </w:p>
    <w:p>
      <w:pPr>
        <w:spacing w:after="0" w:line="14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For instance, we have had a dispute with Dr. Sehat Sutardja, our former Chief Executive Officer and a current member of our board of directors, related to his stated belief of ownership of certain patent rights related to the Final-Level Cache invention and his later assignment of associated patent applications to Marvell. Our Audit Committee investigated this claim and concluded that the FLC invention was owned by the Company.</w:t>
      </w:r>
    </w:p>
    <w:p>
      <w:pPr>
        <w:spacing w:after="0" w:line="14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we have in the past and may in the future be sued by other parties who claim that we have infringed their patents or misappropriated or misused their trade secrets, or who may seek to invalidate one or more of our patents. Although we defend these claims vigorously, it is possible that we will not prevail in pending or future lawsuits. Furthermore, we may need to engage in litigation in the future to enforce our intellectual property rights or the rights of our customers, to protect our trade secrets or to determine the validity and scope of proprietary rights of others, including our customers. All such litigation, even if not valid or successfully asserted, could result in significant costs and a diversion of management and personnel resources, which could materially and adversely affect our business, financial condition and results of operations. See “Risk Factors” under Item 1A of this Annual Report on Form 10-K and “Note 10 — Commitments and Contingencies” in our Notes to the Consolidated Financial Statements set forth in Part II, Item 8, of this Annual Report on Form 10-K for further discussion of the risks associated with patent litigation matters.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96"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markets for our products, particularly in the mobile and wireless end market, are intensely competitive, characterized by rapid technological change, evolving industry standards, frequent new product introductions, short product life cycles and pricing pressures imposed by high-volume customers and competitors, particularly in the product markets that we are targeting. Competition has intensified as a result of the increasing demand for higher levels of integration and smaller process geometries, and we expect competition to intensify as current competitors continue to strengthen their product offerings and new competitors enter our markets. In addition, we expect competitive pressure from our customers to increase as they may continue to increase the vertical nature of their business by developing their own in-house solutions.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 the:</w:t>
      </w:r>
    </w:p>
    <w:p>
      <w:pPr>
        <w:spacing w:after="0" w:line="113"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timing and success of new product introductions by us, our customers and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emergence, and rate of adoption and acceptance of new industry standards;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ability to obtain adequate foundry capacity;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number and nature of our competitors in a given market.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major competitors by end market are as follows:</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3540" w:type="dxa"/>
            <w:vAlign w:val="bottom"/>
            <w:tcBorders>
              <w:bottom w:val="single" w:sz="8" w:color="auto"/>
            </w:tcBorders>
          </w:tcPr>
          <w:p>
            <w:pPr>
              <w:ind w:left="1200"/>
              <w:spacing w:after="0"/>
              <w:rPr>
                <w:sz w:val="20"/>
                <w:szCs w:val="20"/>
                <w:color w:val="auto"/>
              </w:rPr>
            </w:pPr>
            <w:r>
              <w:rPr>
                <w:rFonts w:ascii="Arial" w:cs="Arial" w:eastAsia="Arial" w:hAnsi="Arial"/>
                <w:sz w:val="14"/>
                <w:szCs w:val="14"/>
                <w:b w:val="1"/>
                <w:bCs w:val="1"/>
                <w:i w:val="1"/>
                <w:iCs w:val="1"/>
                <w:color w:val="auto"/>
              </w:rPr>
              <w:t>Mobile and Wireless</w:t>
            </w:r>
          </w:p>
        </w:tc>
        <w:tc>
          <w:tcPr>
            <w:tcW w:w="240" w:type="dxa"/>
            <w:vAlign w:val="bottom"/>
          </w:tcPr>
          <w:p>
            <w:pPr>
              <w:spacing w:after="0"/>
              <w:rPr>
                <w:sz w:val="15"/>
                <w:szCs w:val="15"/>
                <w:color w:val="auto"/>
              </w:rPr>
            </w:pPr>
          </w:p>
        </w:tc>
        <w:tc>
          <w:tcPr>
            <w:tcW w:w="3320" w:type="dxa"/>
            <w:vAlign w:val="bottom"/>
            <w:tcBorders>
              <w:bottom w:val="single" w:sz="8" w:color="auto"/>
            </w:tcBorders>
          </w:tcPr>
          <w:p>
            <w:pPr>
              <w:ind w:left="1440"/>
              <w:spacing w:after="0"/>
              <w:rPr>
                <w:sz w:val="20"/>
                <w:szCs w:val="20"/>
                <w:color w:val="auto"/>
              </w:rPr>
            </w:pPr>
            <w:r>
              <w:rPr>
                <w:rFonts w:ascii="Arial" w:cs="Arial" w:eastAsia="Arial" w:hAnsi="Arial"/>
                <w:sz w:val="14"/>
                <w:szCs w:val="14"/>
                <w:b w:val="1"/>
                <w:bCs w:val="1"/>
                <w:i w:val="1"/>
                <w:iCs w:val="1"/>
                <w:color w:val="auto"/>
              </w:rPr>
              <w:t>Storage</w:t>
            </w:r>
          </w:p>
        </w:tc>
        <w:tc>
          <w:tcPr>
            <w:tcW w:w="220" w:type="dxa"/>
            <w:vAlign w:val="bottom"/>
          </w:tcPr>
          <w:p>
            <w:pPr>
              <w:spacing w:after="0"/>
              <w:rPr>
                <w:sz w:val="15"/>
                <w:szCs w:val="15"/>
                <w:color w:val="auto"/>
              </w:rPr>
            </w:pPr>
          </w:p>
        </w:tc>
        <w:tc>
          <w:tcPr>
            <w:tcW w:w="4100" w:type="dxa"/>
            <w:vAlign w:val="bottom"/>
            <w:tcBorders>
              <w:bottom w:val="single" w:sz="8" w:color="auto"/>
            </w:tcBorders>
          </w:tcPr>
          <w:p>
            <w:pPr>
              <w:ind w:left="1720"/>
              <w:spacing w:after="0"/>
              <w:rPr>
                <w:sz w:val="20"/>
                <w:szCs w:val="20"/>
                <w:color w:val="auto"/>
              </w:rPr>
            </w:pPr>
            <w:r>
              <w:rPr>
                <w:rFonts w:ascii="Arial" w:cs="Arial" w:eastAsia="Arial" w:hAnsi="Arial"/>
                <w:sz w:val="14"/>
                <w:szCs w:val="14"/>
                <w:b w:val="1"/>
                <w:bCs w:val="1"/>
                <w:i w:val="1"/>
                <w:iCs w:val="1"/>
                <w:color w:val="auto"/>
              </w:rPr>
              <w:t>Networking</w:t>
            </w:r>
          </w:p>
        </w:tc>
      </w:tr>
      <w:tr>
        <w:trPr>
          <w:trHeight w:val="302"/>
        </w:trPr>
        <w:tc>
          <w:tcPr>
            <w:tcW w:w="3780" w:type="dxa"/>
            <w:vAlign w:val="bottom"/>
            <w:gridSpan w:val="2"/>
          </w:tcPr>
          <w:p>
            <w:pPr>
              <w:spacing w:after="0"/>
              <w:rPr>
                <w:sz w:val="20"/>
                <w:szCs w:val="20"/>
                <w:color w:val="auto"/>
              </w:rPr>
            </w:pPr>
            <w:r>
              <w:rPr>
                <w:rFonts w:ascii="Arial" w:cs="Arial" w:eastAsia="Arial" w:hAnsi="Arial"/>
                <w:sz w:val="18"/>
                <w:szCs w:val="18"/>
                <w:color w:val="auto"/>
              </w:rPr>
              <w:t>Broadcom Limited</w:t>
            </w:r>
          </w:p>
        </w:tc>
        <w:tc>
          <w:tcPr>
            <w:tcW w:w="3540" w:type="dxa"/>
            <w:vAlign w:val="bottom"/>
            <w:gridSpan w:val="2"/>
          </w:tcPr>
          <w:p>
            <w:pPr>
              <w:spacing w:after="0"/>
              <w:rPr>
                <w:sz w:val="20"/>
                <w:szCs w:val="20"/>
                <w:color w:val="auto"/>
              </w:rPr>
            </w:pPr>
            <w:r>
              <w:rPr>
                <w:rFonts w:ascii="Arial" w:cs="Arial" w:eastAsia="Arial" w:hAnsi="Arial"/>
                <w:sz w:val="18"/>
                <w:szCs w:val="18"/>
                <w:color w:val="auto"/>
              </w:rPr>
              <w:t>Broadcom Limited</w:t>
            </w:r>
          </w:p>
        </w:tc>
        <w:tc>
          <w:tcPr>
            <w:tcW w:w="4100" w:type="dxa"/>
            <w:vAlign w:val="bottom"/>
          </w:tcPr>
          <w:p>
            <w:pPr>
              <w:spacing w:after="0"/>
              <w:rPr>
                <w:sz w:val="20"/>
                <w:szCs w:val="20"/>
                <w:color w:val="auto"/>
              </w:rPr>
            </w:pPr>
            <w:r>
              <w:rPr>
                <w:rFonts w:ascii="Arial" w:cs="Arial" w:eastAsia="Arial" w:hAnsi="Arial"/>
                <w:sz w:val="18"/>
                <w:szCs w:val="18"/>
                <w:color w:val="auto"/>
              </w:rPr>
              <w:t>Broadcom Limited</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MediaTek, Inc.</w:t>
            </w:r>
          </w:p>
        </w:tc>
        <w:tc>
          <w:tcPr>
            <w:tcW w:w="3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Cavium, Inc.</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QUALCOMM Incorporated</w:t>
            </w:r>
          </w:p>
        </w:tc>
        <w:tc>
          <w:tcPr>
            <w:tcW w:w="3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NXP Semiconductors</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Spreadtrum Communications, Inc.</w:t>
            </w:r>
          </w:p>
        </w:tc>
        <w:tc>
          <w:tcPr>
            <w:tcW w:w="3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Intel Corporation</w:t>
            </w:r>
          </w:p>
        </w:tc>
      </w:tr>
    </w:tbl>
    <w:p>
      <w:pPr>
        <w:spacing w:after="0" w:line="15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We expect increased competition in the future from emerging or established companies, or alliances among competitors, customers or other third parties, any of which could acquire significant market share. Although we believe we will be able to successfully compete with existing and potential competitors, some of these current and potential competitors may have advantages over us that allow them to compete effectively against us. Our current or future competitors could also introduce products that are priced lower, provide superior performance or are based on new or emerging technologies. Furthermore, some of our customers have already developed, or in the future may develop, technologies that could compete directly with our products. See “Risk Factors” under Item 1A of this Annual Report on Form 10-K for further discussion of competitive risks associated with our business.</w:t>
      </w:r>
    </w:p>
    <w:p>
      <w:pPr>
        <w:spacing w:after="0" w:line="12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selling prices of our products, we will need to continue to introduce innovative new products and reduce the cost of our products. To accomplish this, we intend to continue to implement design changes that lower the cost of manufacturing, and assembling and testing our products. We may also enter into long-term, strategic arrangements with foundry partners to secure wafer capacity at reduced prices, by negotiating reduced charges from our foundries. Because we do not operate our own manufacturing, assembly or testing facilities, we may not be able to reduce our costs as rapidly as companies that operate their own facilities. See “Risk Factors” under Item 1A of this Annual Report on Form 10-K for further discussion of pricing risks.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30, 2016, we had a total of 5,437 employees.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executive officers as of July 12, 2016:</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40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75"/>
              </w:rPr>
              <w:t>Age</w:t>
            </w:r>
          </w:p>
        </w:tc>
        <w:tc>
          <w:tcPr>
            <w:tcW w:w="7180" w:type="dxa"/>
            <w:vAlign w:val="bottom"/>
            <w:gridSpan w:val="3"/>
          </w:tcPr>
          <w:p>
            <w:pPr>
              <w:ind w:left="160"/>
              <w:spacing w:after="0"/>
              <w:rPr>
                <w:sz w:val="20"/>
                <w:szCs w:val="20"/>
                <w:color w:val="auto"/>
              </w:rPr>
            </w:pPr>
            <w:r>
              <w:rPr>
                <w:rFonts w:ascii="Arial" w:cs="Arial" w:eastAsia="Arial" w:hAnsi="Arial"/>
                <w:sz w:val="14"/>
                <w:szCs w:val="14"/>
                <w:b w:val="1"/>
                <w:bCs w:val="1"/>
                <w:color w:val="auto"/>
              </w:rPr>
              <w:t>Position(s)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46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6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S. Hill</w:t>
            </w:r>
          </w:p>
        </w:tc>
        <w:tc>
          <w:tcPr>
            <w:tcW w:w="4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64</w:t>
            </w:r>
          </w:p>
        </w:tc>
        <w:tc>
          <w:tcPr>
            <w:tcW w:w="718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Chairman of the Board and Interim Principal Executive Officer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400" w:type="dxa"/>
            <w:vAlign w:val="bottom"/>
            <w:gridSpan w:val="2"/>
          </w:tcPr>
          <w:p>
            <w:pPr>
              <w:jc w:val="right"/>
              <w:ind w:right="160"/>
              <w:spacing w:after="0"/>
              <w:rPr>
                <w:sz w:val="20"/>
                <w:szCs w:val="20"/>
                <w:color w:val="auto"/>
              </w:rPr>
            </w:pPr>
            <w:r>
              <w:rPr>
                <w:rFonts w:ascii="Arial" w:cs="Arial" w:eastAsia="Arial" w:hAnsi="Arial"/>
                <w:sz w:val="18"/>
                <w:szCs w:val="18"/>
                <w:color w:val="auto"/>
              </w:rPr>
              <w:t>43</w:t>
            </w:r>
          </w:p>
        </w:tc>
        <w:tc>
          <w:tcPr>
            <w:tcW w:w="7180" w:type="dxa"/>
            <w:vAlign w:val="bottom"/>
            <w:gridSpan w:val="3"/>
          </w:tcPr>
          <w:p>
            <w:pPr>
              <w:ind w:left="160"/>
              <w:spacing w:after="0"/>
              <w:rPr>
                <w:sz w:val="20"/>
                <w:szCs w:val="20"/>
                <w:color w:val="auto"/>
              </w:rPr>
            </w:pPr>
            <w:r>
              <w:rPr>
                <w:rFonts w:ascii="Arial" w:cs="Arial" w:eastAsia="Arial" w:hAnsi="Arial"/>
                <w:sz w:val="18"/>
                <w:szCs w:val="18"/>
                <w:color w:val="auto"/>
              </w:rPr>
              <w:t>President and Chief Executive Officer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Pantelis Alexopoulos</w:t>
            </w:r>
          </w:p>
        </w:tc>
        <w:tc>
          <w:tcPr>
            <w:tcW w:w="4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67</w:t>
            </w:r>
          </w:p>
        </w:tc>
        <w:tc>
          <w:tcPr>
            <w:tcW w:w="718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Executive Vice President, Storage Business Group</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David P. Eichler</w:t>
            </w:r>
          </w:p>
        </w:tc>
        <w:tc>
          <w:tcPr>
            <w:tcW w:w="400" w:type="dxa"/>
            <w:vAlign w:val="bottom"/>
            <w:gridSpan w:val="2"/>
          </w:tcPr>
          <w:p>
            <w:pPr>
              <w:jc w:val="right"/>
              <w:ind w:right="160"/>
              <w:spacing w:after="0"/>
              <w:rPr>
                <w:sz w:val="20"/>
                <w:szCs w:val="20"/>
                <w:color w:val="auto"/>
              </w:rPr>
            </w:pPr>
            <w:r>
              <w:rPr>
                <w:rFonts w:ascii="Arial" w:cs="Arial" w:eastAsia="Arial" w:hAnsi="Arial"/>
                <w:sz w:val="18"/>
                <w:szCs w:val="18"/>
                <w:color w:val="auto"/>
              </w:rPr>
              <w:t>67</w:t>
            </w:r>
          </w:p>
        </w:tc>
        <w:tc>
          <w:tcPr>
            <w:tcW w:w="7180" w:type="dxa"/>
            <w:vAlign w:val="bottom"/>
            <w:gridSpan w:val="3"/>
          </w:tcPr>
          <w:p>
            <w:pPr>
              <w:ind w:left="160"/>
              <w:spacing w:after="0"/>
              <w:rPr>
                <w:sz w:val="20"/>
                <w:szCs w:val="20"/>
                <w:color w:val="auto"/>
              </w:rPr>
            </w:pPr>
            <w:r>
              <w:rPr>
                <w:rFonts w:ascii="Arial" w:cs="Arial" w:eastAsia="Arial" w:hAnsi="Arial"/>
                <w:sz w:val="18"/>
                <w:szCs w:val="18"/>
                <w:color w:val="auto"/>
              </w:rPr>
              <w:t>Interim Chief Financial Officer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w:t>
            </w:r>
          </w:p>
        </w:tc>
        <w:tc>
          <w:tcPr>
            <w:tcW w:w="4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56</w:t>
            </w:r>
          </w:p>
        </w:tc>
        <w:tc>
          <w:tcPr>
            <w:tcW w:w="718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Executive Vice President, Chief Legal Officer and Secretary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Chris Koopmans</w:t>
            </w:r>
          </w:p>
        </w:tc>
        <w:tc>
          <w:tcPr>
            <w:tcW w:w="400" w:type="dxa"/>
            <w:vAlign w:val="bottom"/>
            <w:gridSpan w:val="2"/>
          </w:tcPr>
          <w:p>
            <w:pPr>
              <w:jc w:val="right"/>
              <w:ind w:right="160"/>
              <w:spacing w:after="0"/>
              <w:rPr>
                <w:sz w:val="20"/>
                <w:szCs w:val="20"/>
                <w:color w:val="auto"/>
              </w:rPr>
            </w:pPr>
            <w:r>
              <w:rPr>
                <w:rFonts w:ascii="Arial" w:cs="Arial" w:eastAsia="Arial" w:hAnsi="Arial"/>
                <w:sz w:val="18"/>
                <w:szCs w:val="18"/>
                <w:color w:val="auto"/>
              </w:rPr>
              <w:t>39</w:t>
            </w:r>
          </w:p>
        </w:tc>
        <w:tc>
          <w:tcPr>
            <w:tcW w:w="7180" w:type="dxa"/>
            <w:vAlign w:val="bottom"/>
            <w:gridSpan w:val="3"/>
          </w:tcPr>
          <w:p>
            <w:pPr>
              <w:ind w:left="160"/>
              <w:spacing w:after="0"/>
              <w:rPr>
                <w:sz w:val="20"/>
                <w:szCs w:val="20"/>
                <w:color w:val="auto"/>
              </w:rPr>
            </w:pPr>
            <w:r>
              <w:rPr>
                <w:rFonts w:ascii="Arial" w:cs="Arial" w:eastAsia="Arial" w:hAnsi="Arial"/>
                <w:sz w:val="18"/>
                <w:szCs w:val="18"/>
                <w:color w:val="auto"/>
              </w:rPr>
              <w:t>Executive Vice President, Marketing and Sales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Andy Micallef</w:t>
            </w:r>
          </w:p>
        </w:tc>
        <w:tc>
          <w:tcPr>
            <w:tcW w:w="4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51</w:t>
            </w:r>
          </w:p>
        </w:tc>
        <w:tc>
          <w:tcPr>
            <w:tcW w:w="718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Chief Operations Officer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Maya Strelar-Migotti</w:t>
            </w:r>
          </w:p>
        </w:tc>
        <w:tc>
          <w:tcPr>
            <w:tcW w:w="400" w:type="dxa"/>
            <w:vAlign w:val="bottom"/>
            <w:gridSpan w:val="2"/>
          </w:tcPr>
          <w:p>
            <w:pPr>
              <w:jc w:val="right"/>
              <w:ind w:right="160"/>
              <w:spacing w:after="0"/>
              <w:rPr>
                <w:sz w:val="20"/>
                <w:szCs w:val="20"/>
                <w:color w:val="auto"/>
              </w:rPr>
            </w:pPr>
            <w:r>
              <w:rPr>
                <w:rFonts w:ascii="Arial" w:cs="Arial" w:eastAsia="Arial" w:hAnsi="Arial"/>
                <w:sz w:val="18"/>
                <w:szCs w:val="18"/>
                <w:color w:val="auto"/>
              </w:rPr>
              <w:t>59</w:t>
            </w:r>
          </w:p>
        </w:tc>
        <w:tc>
          <w:tcPr>
            <w:tcW w:w="7180" w:type="dxa"/>
            <w:vAlign w:val="bottom"/>
            <w:gridSpan w:val="3"/>
          </w:tcPr>
          <w:p>
            <w:pPr>
              <w:ind w:left="160"/>
              <w:spacing w:after="0"/>
              <w:rPr>
                <w:sz w:val="20"/>
                <w:szCs w:val="20"/>
                <w:color w:val="auto"/>
              </w:rPr>
            </w:pPr>
            <w:r>
              <w:rPr>
                <w:rFonts w:ascii="Arial" w:cs="Arial" w:eastAsia="Arial" w:hAnsi="Arial"/>
                <w:sz w:val="18"/>
                <w:szCs w:val="18"/>
                <w:color w:val="auto"/>
              </w:rPr>
              <w:t>Executive Vice President, Smart Networked Devices and Solutions Business Group</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4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44</w:t>
            </w:r>
          </w:p>
        </w:tc>
        <w:tc>
          <w:tcPr>
            <w:tcW w:w="718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Chief Technology Officer</w:t>
            </w: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180" w:type="dxa"/>
            <w:vAlign w:val="bottom"/>
            <w:gridSpan w:val="3"/>
          </w:tcPr>
          <w:p>
            <w:pPr>
              <w:ind w:left="138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i w:val="1"/>
          <w:iCs w:val="1"/>
          <w:color w:val="auto"/>
        </w:rPr>
        <w:t xml:space="preserve">Richard S. Hill </w:t>
      </w:r>
      <w:r>
        <w:rPr>
          <w:rFonts w:ascii="Arial" w:cs="Arial" w:eastAsia="Arial" w:hAnsi="Arial"/>
          <w:sz w:val="16"/>
          <w:szCs w:val="16"/>
          <w:color w:val="auto"/>
        </w:rPr>
        <w:t>has served as our Chairman of the Board of Directors since May 2016 and our Interim Principal Executive Officer since July 2016. Mr. Hill</w:t>
      </w:r>
      <w:r>
        <w:rPr>
          <w:rFonts w:ascii="Arial" w:cs="Arial" w:eastAsia="Arial" w:hAnsi="Arial"/>
          <w:sz w:val="16"/>
          <w:szCs w:val="16"/>
          <w:i w:val="1"/>
          <w:iCs w:val="1"/>
          <w:color w:val="auto"/>
        </w:rPr>
        <w:t xml:space="preserve"> </w:t>
      </w:r>
      <w:r>
        <w:rPr>
          <w:rFonts w:ascii="Arial" w:cs="Arial" w:eastAsia="Arial" w:hAnsi="Arial"/>
          <w:sz w:val="16"/>
          <w:szCs w:val="16"/>
          <w:color w:val="auto"/>
        </w:rPr>
        <w:t>has served as a member of the Board of Directors of Tessera Technologies since August 2012 and as Chairman of the Board since March 2013. Mr. Hill also served as Tessera’s Interim Chief Executive Officer from April 15, 2013 until May 29,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Presently, Mr. Hill is a member of the Boards of Directors of Autodesk, Inc., Arrow Electronics, Inc., Cabot Microelectronics Corporation, and Yahoo, Inc. Mr. Hill received a Bachelor of Science in Bioengineering from the University of Illinois in Chicago and a Master of Business Administration from Syracuse University. Mr. Hill brings to the board extensive expertise in executive management and engineering for technology companies, as well as considerable directorial and governance experience developed through his service on the boards of directors of several public companies, to his role as Chairman of the Board.</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has served as President and Chief Executive Officer since July 11, 2016. Mr. Murphy joined Marvell from Maxim Integrated, where he</w:t>
      </w:r>
      <w:r>
        <w:rPr>
          <w:rFonts w:ascii="Arial" w:cs="Arial" w:eastAsia="Arial" w:hAnsi="Arial"/>
          <w:sz w:val="16"/>
          <w:szCs w:val="16"/>
          <w:i w:val="1"/>
          <w:iCs w:val="1"/>
          <w:color w:val="auto"/>
        </w:rPr>
        <w:t xml:space="preserve"> </w:t>
      </w:r>
      <w:r>
        <w:rPr>
          <w:rFonts w:ascii="Arial" w:cs="Arial" w:eastAsia="Arial" w:hAnsi="Arial"/>
          <w:sz w:val="16"/>
          <w:szCs w:val="16"/>
          <w:color w:val="auto"/>
        </w:rPr>
        <w:t>spent 22 years with increasing responsibilities in sales and business unit leadership roles. Most recently, he was Executive Vice President, Business Units, Sales &amp; Marketing. In this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Mr. Murphy holds a Bachelor of Arts in English from Franklin &amp; Marshall College and is a graduate of the 2010 Stanford Executive Program.</w:t>
      </w:r>
    </w:p>
    <w:p>
      <w:pPr>
        <w:spacing w:after="0" w:line="118"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i w:val="1"/>
          <w:iCs w:val="1"/>
          <w:color w:val="auto"/>
        </w:rPr>
        <w:t xml:space="preserve">Dr. Pantelis Alexopoulos </w:t>
      </w:r>
      <w:r>
        <w:rPr>
          <w:rFonts w:ascii="Arial" w:cs="Arial" w:eastAsia="Arial" w:hAnsi="Arial"/>
          <w:sz w:val="18"/>
          <w:szCs w:val="18"/>
          <w:color w:val="auto"/>
        </w:rPr>
        <w:t>has served as Senior Vice President of the Storage Business Group at Marvell since August 2015 and was promoted to Executive</w:t>
      </w:r>
      <w:r>
        <w:rPr>
          <w:rFonts w:ascii="Arial" w:cs="Arial" w:eastAsia="Arial" w:hAnsi="Arial"/>
          <w:sz w:val="18"/>
          <w:szCs w:val="18"/>
          <w:i w:val="1"/>
          <w:iCs w:val="1"/>
          <w:color w:val="auto"/>
        </w:rPr>
        <w:t xml:space="preserve"> </w:t>
      </w:r>
      <w:r>
        <w:rPr>
          <w:rFonts w:ascii="Arial" w:cs="Arial" w:eastAsia="Arial" w:hAnsi="Arial"/>
          <w:sz w:val="18"/>
          <w:szCs w:val="18"/>
          <w:color w:val="auto"/>
        </w:rPr>
        <w:t>Vice President in April 2016. He served as the Company’s Co-Interim Chief Executive Officer from April 2016 through July 2016. Dr. Alexopoulos joined Marvell from the Agency for Science, Technology and Research (“A*STAR”), located in Singapore, where he served as Executive Director of the Data Storage Institute from February 2010 to July 2015. Prior to his tenure at A*STAR, Dr. Alexopoulos held senior executive management roles at major storage companies TDK Fujitsu Philippines Corporation, Seagate and Maxtor. Dr. Alexopoulos holds a Ph.D. in Materials Science and Engineering from Cornell University, a Master of Science degree in Materials Science and Engineering from the University of Utah, and a Bachelor of Science degree in Physics from Aristotle University of Thessaloniki.</w:t>
      </w:r>
    </w:p>
    <w:p>
      <w:pPr>
        <w:spacing w:after="0" w:line="147"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David P. Eichler </w:t>
      </w:r>
      <w:r>
        <w:rPr>
          <w:rFonts w:ascii="Arial" w:cs="Arial" w:eastAsia="Arial" w:hAnsi="Arial"/>
          <w:sz w:val="18"/>
          <w:szCs w:val="18"/>
          <w:color w:val="auto"/>
        </w:rPr>
        <w:t>has served as Interim Chief Financial Officer since October 2015. Mr. Eichler brings to us more than 20 years of Chief Financial Officer</w:t>
      </w:r>
      <w:r>
        <w:rPr>
          <w:rFonts w:ascii="Arial" w:cs="Arial" w:eastAsia="Arial" w:hAnsi="Arial"/>
          <w:sz w:val="18"/>
          <w:szCs w:val="18"/>
          <w:i w:val="1"/>
          <w:iCs w:val="1"/>
          <w:color w:val="auto"/>
        </w:rPr>
        <w:t xml:space="preserve"> </w:t>
      </w:r>
      <w:r>
        <w:rPr>
          <w:rFonts w:ascii="Arial" w:cs="Arial" w:eastAsia="Arial" w:hAnsi="Arial"/>
          <w:sz w:val="18"/>
          <w:szCs w:val="18"/>
          <w:color w:val="auto"/>
        </w:rPr>
        <w:t>and senior-level finance executive leadership, as well as broad operational experience with leading public and private high-growth and transition companies in the high-tech sector. Mr. Eichler has served as Chief Financial Officer for a variety of semiconductor, software and electronics companies during his career including Catalyst Semiconductor, Phoenix Technologies, Intellisync, Inc., Alliance Semiconductor and Hyundai Electronics. His diverse skill set includes extensive experience with financings, restructuring, merger and acquisition transactions, strategic planning, public company reporting and governance as well as international operations. In addition, Mr. Eichler has held director-level positions for several private companies. Mr. Eichler holds a Master of Business Administration in finance from the University of California, Los Angeles and a Bachelor of Science in Business Administration and Accounting from Northeastern University.</w:t>
      </w:r>
    </w:p>
    <w:p>
      <w:pPr>
        <w:spacing w:after="0" w:line="145"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i w:val="1"/>
          <w:iCs w:val="1"/>
          <w:color w:val="auto"/>
        </w:rPr>
        <w:t xml:space="preserve">Mitchell Gaynor </w:t>
      </w:r>
      <w:r>
        <w:rPr>
          <w:rFonts w:ascii="Arial" w:cs="Arial" w:eastAsia="Arial" w:hAnsi="Arial"/>
          <w:sz w:val="16"/>
          <w:szCs w:val="16"/>
          <w:color w:val="auto"/>
        </w:rPr>
        <w:t>has served as Executive Vice President, Chief Legal Officer and Secretary since May 2016. From 2004 through 2015, Mr. Gaynor held a</w:t>
      </w:r>
      <w:r>
        <w:rPr>
          <w:rFonts w:ascii="Arial" w:cs="Arial" w:eastAsia="Arial" w:hAnsi="Arial"/>
          <w:sz w:val="16"/>
          <w:szCs w:val="16"/>
          <w:i w:val="1"/>
          <w:iCs w:val="1"/>
          <w:color w:val="auto"/>
        </w:rPr>
        <w:t xml:space="preserve"> </w:t>
      </w:r>
      <w:r>
        <w:rPr>
          <w:rFonts w:ascii="Arial" w:cs="Arial" w:eastAsia="Arial" w:hAnsi="Arial"/>
          <w:sz w:val="16"/>
          <w:szCs w:val="16"/>
          <w:color w:val="auto"/>
        </w:rPr>
        <w:t>variety of senior legal roles at Juniper Networks, Inc., most recently as Executive Vice President, General Counsel, and Secretary. Previous to Juniper, he served as General Counsel at Portal Software, Inc. from 1999-2004 and as General Counsel and other senior legal roles at Sybase, Inc. from 1993-1999. Mr. Gaynor started his legal career at Brobeck, Phleger and Harrison, LLP in 1984. Mr. Gaynor</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00"/>
        <w:spacing w:after="0" w:line="268" w:lineRule="auto"/>
        <w:rPr>
          <w:sz w:val="20"/>
          <w:szCs w:val="20"/>
          <w:color w:val="auto"/>
        </w:rPr>
      </w:pPr>
      <w:r>
        <w:rPr>
          <w:rFonts w:ascii="Arial" w:cs="Arial" w:eastAsia="Arial" w:hAnsi="Arial"/>
          <w:sz w:val="18"/>
          <w:szCs w:val="18"/>
          <w:color w:val="auto"/>
        </w:rPr>
        <w:t>holds a Juris Doctor degree from the University of California, Hastings College of the Law and a Bachelor of Arts degree in history from the University of California, Berkeley.</w:t>
      </w:r>
    </w:p>
    <w:p>
      <w:pPr>
        <w:spacing w:after="0" w:line="132"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 xml:space="preserve">Chris Koopmans </w:t>
      </w:r>
      <w:r>
        <w:rPr>
          <w:rFonts w:ascii="Arial" w:cs="Arial" w:eastAsia="Arial" w:hAnsi="Arial"/>
          <w:sz w:val="16"/>
          <w:szCs w:val="16"/>
          <w:color w:val="auto"/>
        </w:rPr>
        <w:t>has served as Executive Vice President, Marketing and Sales, since June 2016. Mr. Koopmans joined us from Citrix Systems, Inc., where</w:t>
      </w:r>
      <w:r>
        <w:rPr>
          <w:rFonts w:ascii="Arial" w:cs="Arial" w:eastAsia="Arial" w:hAnsi="Arial"/>
          <w:sz w:val="16"/>
          <w:szCs w:val="16"/>
          <w:i w:val="1"/>
          <w:iCs w:val="1"/>
          <w:color w:val="auto"/>
        </w:rPr>
        <w:t xml:space="preserve"> </w:t>
      </w:r>
      <w:r>
        <w:rPr>
          <w:rFonts w:ascii="Arial" w:cs="Arial" w:eastAsia="Arial" w:hAnsi="Arial"/>
          <w:sz w:val="16"/>
          <w:szCs w:val="16"/>
          <w:color w:val="auto"/>
        </w:rPr>
        <w:t>he was Vice President and General Manager of Service Provider Platforms since 2012. Prior to Citrix, Mr. Koopmans was a founding team member at Bytemobile, Inc., a leading provider of mobile video and web optimization and traffic management solutions. At Bytemobile, he served in a variety of senior leadership roles and ultimately as Chief Operating Officer until the company was acquired by Citrix in 2012. Mr. Koopmans holds a Bachelor of Science in Electrical and Computer Engineering from the University of Illinois, Urbana-Champaign and was awarded a National Science Foundation fellowship to pursue studies toward his Ph.D. prior to leaving to join Bytemobile in 2000.</w:t>
      </w:r>
    </w:p>
    <w:p>
      <w:pPr>
        <w:spacing w:after="0" w:line="12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 xml:space="preserve">Andy Micallef </w:t>
      </w:r>
      <w:r>
        <w:rPr>
          <w:rFonts w:ascii="Arial" w:cs="Arial" w:eastAsia="Arial" w:hAnsi="Arial"/>
          <w:sz w:val="18"/>
          <w:szCs w:val="18"/>
          <w:color w:val="auto"/>
        </w:rPr>
        <w:t>has served as Chief Operations Officer since June 2016. He joined us from Intersil Corporation where he was Senior Vice President of</w:t>
      </w:r>
      <w:r>
        <w:rPr>
          <w:rFonts w:ascii="Arial" w:cs="Arial" w:eastAsia="Arial" w:hAnsi="Arial"/>
          <w:sz w:val="18"/>
          <w:szCs w:val="18"/>
          <w:i w:val="1"/>
          <w:iCs w:val="1"/>
          <w:color w:val="auto"/>
        </w:rPr>
        <w:t xml:space="preserve"> </w:t>
      </w:r>
      <w:r>
        <w:rPr>
          <w:rFonts w:ascii="Arial" w:cs="Arial" w:eastAsia="Arial" w:hAnsi="Arial"/>
          <w:sz w:val="18"/>
          <w:szCs w:val="18"/>
          <w:color w:val="auto"/>
        </w:rPr>
        <w:t>Operations since January 2015. Prior to Intersil, Mr. Micallef was Vice President of Operations at Audience, Inc. from 2010 to 2015, Executive Vice President of Operations at LSI Corporation from 2007 to 2010, and Executive Vice President of Global Operations at Agere Systems from 2005-2007. Mr. Micallef holds a Bachelor of Science degree in Mechanical Engineering from the University of Notre Dame, a Master of Science degree in Mechanical Engineering and a Master of Business Administration from the University of Michigan.</w:t>
      </w:r>
    </w:p>
    <w:p>
      <w:pPr>
        <w:spacing w:after="0" w:line="143" w:lineRule="exact"/>
        <w:rPr>
          <w:sz w:val="20"/>
          <w:szCs w:val="20"/>
          <w:color w:val="auto"/>
        </w:rPr>
      </w:pPr>
    </w:p>
    <w:p>
      <w:pPr>
        <w:ind w:right="100" w:firstLine="456"/>
        <w:spacing w:after="0" w:line="314" w:lineRule="auto"/>
        <w:rPr>
          <w:sz w:val="20"/>
          <w:szCs w:val="20"/>
          <w:color w:val="auto"/>
        </w:rPr>
      </w:pPr>
      <w:r>
        <w:rPr>
          <w:rFonts w:ascii="Arial" w:cs="Arial" w:eastAsia="Arial" w:hAnsi="Arial"/>
          <w:sz w:val="15"/>
          <w:szCs w:val="15"/>
          <w:i w:val="1"/>
          <w:iCs w:val="1"/>
          <w:color w:val="auto"/>
        </w:rPr>
        <w:t xml:space="preserve">Maya Strelar-Migotti </w:t>
      </w:r>
      <w:r>
        <w:rPr>
          <w:rFonts w:ascii="Arial" w:cs="Arial" w:eastAsia="Arial" w:hAnsi="Arial"/>
          <w:sz w:val="15"/>
          <w:szCs w:val="15"/>
          <w:color w:val="auto"/>
        </w:rPr>
        <w:t>has served as Senior Vice President, Smart Networked Devices and Solutions Business Group since August 2015 and was promoted</w:t>
      </w:r>
      <w:r>
        <w:rPr>
          <w:rFonts w:ascii="Arial" w:cs="Arial" w:eastAsia="Arial" w:hAnsi="Arial"/>
          <w:sz w:val="15"/>
          <w:szCs w:val="15"/>
          <w:i w:val="1"/>
          <w:iCs w:val="1"/>
          <w:color w:val="auto"/>
        </w:rPr>
        <w:t xml:space="preserve"> </w:t>
      </w:r>
      <w:r>
        <w:rPr>
          <w:rFonts w:ascii="Arial" w:cs="Arial" w:eastAsia="Arial" w:hAnsi="Arial"/>
          <w:sz w:val="15"/>
          <w:szCs w:val="15"/>
          <w:color w:val="auto"/>
        </w:rPr>
        <w:t>to Executive Vice President in April 2016. She served as the Company’s Co-Interim Chief Executive Officer from April 2016 through July 2016. For 15 years prior to joining Marvell, Ms. Strelar-Migotti held a number of senior executive roles within Ericsson and has managed organizations and customer programs in North America, Europe, China and India. From June 2009 until August 2015, Ms. Strelar-Migotti was Head of the Ericsson Silicon Valley Site, and Vice President of the IP and Broadband Development Organization in Ericsson. Ms. Strelar-Migotti holds a Bachelor of Science degree in Electrical Engineering and Telecommunications and Informatics from the University of Zagreb Croatia and has completed executive training at New York’s Columbia University.</w:t>
      </w:r>
    </w:p>
    <w:p>
      <w:pPr>
        <w:spacing w:after="0" w:line="105"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i w:val="1"/>
          <w:iCs w:val="1"/>
          <w:color w:val="auto"/>
        </w:rPr>
        <w:t xml:space="preserve">Dr. Zining Wu </w:t>
      </w:r>
      <w:r>
        <w:rPr>
          <w:rFonts w:ascii="Arial" w:cs="Arial" w:eastAsia="Arial" w:hAnsi="Arial"/>
          <w:sz w:val="15"/>
          <w:szCs w:val="15"/>
          <w:color w:val="auto"/>
        </w:rPr>
        <w:t>has served as our Chief Technology Officer since January 2014. From August 2008 to January 2014, Dr. Wu served as MSI’s Vice President,</w:t>
      </w:r>
      <w:r>
        <w:rPr>
          <w:rFonts w:ascii="Arial" w:cs="Arial" w:eastAsia="Arial" w:hAnsi="Arial"/>
          <w:sz w:val="15"/>
          <w:szCs w:val="15"/>
          <w:i w:val="1"/>
          <w:iCs w:val="1"/>
          <w:color w:val="auto"/>
        </w:rPr>
        <w:t xml:space="preserve"> </w:t>
      </w:r>
      <w:r>
        <w:rPr>
          <w:rFonts w:ascii="Arial" w:cs="Arial" w:eastAsia="Arial" w:hAnsi="Arial"/>
          <w:sz w:val="15"/>
          <w:szCs w:val="15"/>
          <w:color w:val="auto"/>
        </w:rPr>
        <w:t>Data Storage Technology. Prior to August 2008, Dr. Wu worked as an engineer and in various managerial roles in MSI’s Storage group since July 1999. Dr. Wu holds a Bachelor of Science degree in Electronic Engineering from Tsinghua University in Beijing, China, and a Master of Science degree and Ph.D. in Electrical Engineering from Stanford University. Dr. Wu holds over 280 U.S. patents and has published eight technical papers and a book related to data storage technology.</w:t>
      </w:r>
    </w:p>
    <w:p>
      <w:pPr>
        <w:spacing w:after="0" w:line="21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6"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40" w:top="459" w:right="2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540" w:hanging="325"/>
        <w:spacing w:after="0" w:line="332" w:lineRule="auto"/>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71"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February 2, 2014 through January 30, 2016, our common shares traded as low as $7.40 and as high as $16.78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The semiconductor industry and specifically the data storage, networking, mobile and wireless communications markets are extremely competitive, and we expect competition to intensify as current competitors expand their product offerings and new competitors enter the market. This has especially intensified</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as semiconductor companies have begun to offer more integrated platforms. We expect competition to continue to increase as industry standards continue to evolve and become better known, and others realize the market potential of this trend to platform integration.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Some of our competitors may be better situated to meet changing customer needs.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ensure that we will be able to continue to compete successfully against existing or new competitors, which would harm our results of operations.</w:t>
      </w:r>
    </w:p>
    <w:p>
      <w:pPr>
        <w:spacing w:after="0" w:line="12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Avago Technologies Limited (which has renamed itself as Broadcom Limited (“Broadcom”) acquired Broadcom Corporation in February 2016 and LSI Corporation in May 2014, and Intel acquired Altera Corporation and NXP Semiconductors acquired Freescale Semiconductor, Ltd., each in December 2015. These transactions and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 For example, in fiscal 2016, our revenue was negatively affected by a meaningful decline in overall HDD unit demand.</w:t>
      </w:r>
    </w:p>
    <w:p>
      <w:pPr>
        <w:spacing w:after="0" w:line="107"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addition, the HDD industry experienced consolidation in the past. For example, Western Digital completed the acquisition of Hitachi’s HDD unit in March 2012, Seagate Technology PLC (“Seagate”) completed the acquisition of Samsung’s HDD unit in December 2011 and Toshiba acquired the HDD operations of Fujitsu during fiscal 2010.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could become a source of competition to manufacturers of HDDs. Although we offer SSD controllers, leveraging our technology in hard drives, we cannot ensure we will be able to maintain significant market share if demand for traditional HDDs decreases. Additionally, we depend on a few customers for our SSD controllers and as such, the loss of any SSD controller customer or a significant reduction in sales we make to them (for example, as a result of a significant drop in market share) may harm our financial condition and results of operations.</w:t>
      </w:r>
    </w:p>
    <w:p>
      <w:pPr>
        <w:spacing w:after="0" w:line="225"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31% of our net revenue for the year ended January 30, 2016.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 (for example, a significant customer of our SSD products has recently seen a significant drop in its market share);</w:t>
      </w:r>
    </w:p>
    <w:p>
      <w:pPr>
        <w:spacing w:after="0" w:line="5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SSD business from Broadcom);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252"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or to stop selling our products or force us to redesign our products.</w:t>
      </w:r>
    </w:p>
    <w:p>
      <w:pPr>
        <w:spacing w:after="0" w:line="59" w:lineRule="exact"/>
        <w:rPr>
          <w:sz w:val="20"/>
          <w:szCs w:val="20"/>
          <w:color w:val="auto"/>
        </w:rPr>
      </w:pPr>
    </w:p>
    <w:p>
      <w:pPr>
        <w:jc w:val="both"/>
        <w:ind w:right="120" w:firstLine="456"/>
        <w:spacing w:after="0" w:line="302" w:lineRule="auto"/>
        <w:rPr>
          <w:sz w:val="20"/>
          <w:szCs w:val="20"/>
          <w:color w:val="auto"/>
        </w:rPr>
      </w:pPr>
      <w:r>
        <w:rPr>
          <w:rFonts w:ascii="Arial" w:cs="Arial" w:eastAsia="Arial" w:hAnsi="Arial"/>
          <w:sz w:val="15"/>
          <w:szCs w:val="15"/>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Consolidated Financial Statements set forth in Part II, Item 8 of this Annual Report on Form 10-K (“Note 10”) for a more detailed description of a number of the litigation matters we are currently engaged in.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w:t>
      </w:r>
    </w:p>
    <w:p>
      <w:pPr>
        <w:spacing w:after="0" w:line="2" w:lineRule="exact"/>
        <w:rPr>
          <w:sz w:val="20"/>
          <w:szCs w:val="20"/>
          <w:color w:val="auto"/>
        </w:rPr>
      </w:pPr>
    </w:p>
    <w:p>
      <w:pPr>
        <w:jc w:val="both"/>
        <w:ind w:right="100"/>
        <w:spacing w:after="0" w:line="261" w:lineRule="auto"/>
        <w:rPr>
          <w:sz w:val="20"/>
          <w:szCs w:val="20"/>
          <w:color w:val="auto"/>
        </w:rPr>
      </w:pPr>
      <w:r>
        <w:rPr>
          <w:rFonts w:ascii="Arial" w:cs="Arial" w:eastAsia="Arial" w:hAnsi="Arial"/>
          <w:sz w:val="18"/>
          <w:szCs w:val="18"/>
          <w:color w:val="auto"/>
        </w:rPr>
        <w:t>The amount of damages alleged in intellectual property infringement claims can often be very significant. For example, the settlement of a lawsuit with Carnegie Mellon University resulted in a payment by us of $750 million as described further in Note 10.</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particularly those related to storage technology, microprocessors and other circuit components.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5" w:lineRule="exact"/>
        <w:rPr>
          <w:sz w:val="20"/>
          <w:szCs w:val="20"/>
          <w:color w:val="auto"/>
        </w:rPr>
      </w:pPr>
    </w:p>
    <w:p>
      <w:pPr>
        <w:ind w:left="900" w:right="42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damage to our reputation or relationship with third parties, which could materially and adversely affect our business, financial condition, results of operations, cash flows and our stock price.</w:t>
      </w:r>
    </w:p>
    <w:p>
      <w:pPr>
        <w:spacing w:after="0" w:line="194" w:lineRule="exact"/>
        <w:rPr>
          <w:sz w:val="20"/>
          <w:szCs w:val="20"/>
          <w:color w:val="auto"/>
        </w:rPr>
      </w:pPr>
    </w:p>
    <w:p>
      <w:pPr>
        <w:ind w:right="440"/>
        <w:spacing w:after="0" w:line="268" w:lineRule="auto"/>
        <w:rPr>
          <w:sz w:val="20"/>
          <w:szCs w:val="20"/>
          <w:color w:val="auto"/>
        </w:rPr>
      </w:pPr>
      <w:r>
        <w:rPr>
          <w:rFonts w:ascii="Arial" w:cs="Arial" w:eastAsia="Arial" w:hAnsi="Arial"/>
          <w:sz w:val="18"/>
          <w:szCs w:val="18"/>
          <w:b w:val="1"/>
          <w:bCs w:val="1"/>
          <w:i w:val="1"/>
          <w:iCs w:val="1"/>
          <w:color w:val="auto"/>
        </w:rPr>
        <w:t>We identified material weaknesses in our internal controls over financial reporting, and we may be unable to develop, implement and maintain effective internal controls in future periods.</w:t>
      </w:r>
    </w:p>
    <w:p>
      <w:pPr>
        <w:spacing w:after="0" w:line="51" w:lineRule="exact"/>
        <w:rPr>
          <w:sz w:val="20"/>
          <w:szCs w:val="20"/>
          <w:color w:val="auto"/>
        </w:rPr>
      </w:pPr>
    </w:p>
    <w:p>
      <w:pPr>
        <w:ind w:right="100" w:firstLine="456"/>
        <w:spacing w:after="0" w:line="286" w:lineRule="auto"/>
        <w:rPr>
          <w:sz w:val="20"/>
          <w:szCs w:val="20"/>
          <w:color w:val="auto"/>
        </w:rPr>
      </w:pPr>
      <w:r>
        <w:rPr>
          <w:rFonts w:ascii="Arial" w:cs="Arial" w:eastAsia="Arial" w:hAnsi="Arial"/>
          <w:sz w:val="16"/>
          <w:szCs w:val="16"/>
          <w:color w:val="auto"/>
        </w:rPr>
        <w:t>The Sarbanes-Oxley Act of 2002 and SEC rules require that management report annually on the effectiveness of our internal control over financial reporting and our disclosure controls and procedures. Among other things, management must conduct an assessment of our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January 30, 2016. The specific material weaknesses are described in Part II — Item 9A. “Controls and Procedures” of this Form 10-K in “Management’s Report on Internal Control over Financial Reporting.” 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on a timely basis.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99"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51"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As previously disclosed in our public filings, the Audit Committee of our Board of Directors has recently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our former Chairman and Chief Executive Officer of ownership of certain patent rights related to the Final-Level Cache invention and his later assignment of associated patent applications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meeting our periodic 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 As a result of the delay in filing of our periodic reports, we are not eligible to use a registration statement on Form S-3, and will not be eligible to use that form until we have timely filed all periodic reports required by the SEC for one year, which may make it more difficult, costly or time consuming for us to raise capital if we should choose to do so.</w:t>
      </w:r>
    </w:p>
    <w:p>
      <w:pPr>
        <w:spacing w:after="0" w:line="118"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 xml:space="preserve">As a result of the matters reported above, we are exposed to greater risks associated with litigation, regulatory proceedings and government enforcement actions. In addition, securities class actions or other lawsuits have been filed against us, our directors and officers (see also, </w:t>
      </w:r>
      <w:r>
        <w:rPr>
          <w:rFonts w:ascii="Arial" w:cs="Arial" w:eastAsia="Arial" w:hAnsi="Arial"/>
          <w:sz w:val="18"/>
          <w:szCs w:val="18"/>
          <w:i w:val="1"/>
          <w:iCs w:val="1"/>
          <w:color w:val="auto"/>
        </w:rPr>
        <w:t>“We are subject to pending securities</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class action and shareholder derivative legal proceedings” </w:t>
      </w:r>
      <w:r>
        <w:rPr>
          <w:rFonts w:ascii="Arial" w:cs="Arial" w:eastAsia="Arial" w:hAnsi="Arial"/>
          <w:sz w:val="18"/>
          <w:szCs w:val="18"/>
          <w:color w:val="auto"/>
        </w:rPr>
        <w:t>below). Any future such investigations or additional lawsuits may adversely affect our business,</w:t>
      </w:r>
      <w:r>
        <w:rPr>
          <w:rFonts w:ascii="Arial" w:cs="Arial" w:eastAsia="Arial" w:hAnsi="Arial"/>
          <w:sz w:val="18"/>
          <w:szCs w:val="18"/>
          <w:i w:val="1"/>
          <w:iCs w:val="1"/>
          <w:color w:val="auto"/>
        </w:rPr>
        <w:t xml:space="preserve"> </w:t>
      </w:r>
      <w:r>
        <w:rPr>
          <w:rFonts w:ascii="Arial" w:cs="Arial" w:eastAsia="Arial" w:hAnsi="Arial"/>
          <w:sz w:val="18"/>
          <w:szCs w:val="18"/>
          <w:color w:val="auto"/>
        </w:rPr>
        <w:t>financial condition, results of operations and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pending securities class action and shareholder derivative legal proceedings.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 We also have been named as a nominal defendant in a shareholder derivative lawsuit filed in fiscal 2016 concerning our announcement of the audit committee investigation. No specific amounts of damages have been alleged in the class action lawsuits and, by the nature of the lawsuits, no damages will be alleged against Marvell in the derivative lawsuit.</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We will continue to incur legal fees in connection with these pending cases, including expenses for the reimbursement of legal fees of present and former officers and directors under indemnification obligations. The expense of continuing to defend such litigation may be significant. We intend to defend these lawsuits vigorously, however there can be no assurance that we will be successful in any defense. If any of the lawsuits related to our audit committee investigation are adversely decided, we may be liable for significant damages directly or under our indemnification obligations, which could adversely affect our business, results of operations and cash flows. Further, the amount of time that will be required to resolve these lawsuits is unpredictable and these actions may divert management’s attention from the day-to-day operations of our business, which could adversely affect our business, results of operations and cash flows.</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51"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 — Item 3, “Legal Proceedings.”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to not be entitled to indemnification, we may not be able to recover the amounts we previously advanced to them.</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we have incurred significant expenses in connection with the Audit Committee’s independent investigation, the pending government investigations, and the shareholder litigation.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business, financial condition, results of operations or cash flows.</w:t>
      </w:r>
    </w:p>
    <w:p>
      <w:pPr>
        <w:spacing w:after="0" w:line="199"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color w:val="auto"/>
        </w:rPr>
        <w:t>in the Pacific Rim close to fault lines), tsunamis or typhoons, or by political, social or economic instability. In the case of such an event, our revenues,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w:t>
      </w:r>
      <w:r>
        <w:rPr>
          <w:rFonts w:ascii="Arial" w:cs="Arial" w:eastAsia="Arial" w:hAnsi="Arial"/>
          <w:sz w:val="16"/>
          <w:szCs w:val="16"/>
          <w:color w:val="auto"/>
        </w:rPr>
        <w:t xml:space="preserve"> </w:t>
      </w:r>
      <w:r>
        <w:rPr>
          <w:rFonts w:ascii="Arial" w:cs="Arial" w:eastAsia="Arial" w:hAnsi="Arial"/>
          <w:sz w:val="16"/>
          <w:szCs w:val="16"/>
          <w:i w:val="1"/>
          <w:iCs w:val="1"/>
          <w:color w:val="auto"/>
        </w:rPr>
        <w:t>experience difficulties in transitioning to smaller geometry process technologies or in achieving higher levels of design integration, which may result in reduced manufacturing yields, delays in product deliveries and increased expenses.</w:t>
      </w:r>
      <w:r>
        <w:rPr>
          <w:rFonts w:ascii="Arial" w:cs="Arial" w:eastAsia="Arial" w:hAnsi="Arial"/>
          <w:sz w:val="16"/>
          <w:szCs w:val="16"/>
          <w:color w:val="auto"/>
        </w:rPr>
        <w:t>” Moreover, if any of our third-party foundry suppliers are unable to secure necessary</w:t>
      </w:r>
      <w:r>
        <w:rPr>
          <w:rFonts w:ascii="Arial" w:cs="Arial" w:eastAsia="Arial" w:hAnsi="Arial"/>
          <w:sz w:val="16"/>
          <w:szCs w:val="16"/>
          <w:i w:val="1"/>
          <w:iCs w:val="1"/>
          <w:color w:val="auto"/>
        </w:rPr>
        <w:t xml:space="preserve"> </w:t>
      </w:r>
      <w:r>
        <w:rPr>
          <w:rFonts w:ascii="Arial" w:cs="Arial" w:eastAsia="Arial" w:hAnsi="Arial"/>
          <w:sz w:val="16"/>
          <w:szCs w:val="16"/>
          <w:color w:val="auto"/>
        </w:rPr>
        <w:t>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revenues, net income and cash flow.</w:t>
      </w:r>
    </w:p>
    <w:p>
      <w:pPr>
        <w:spacing w:after="0" w:line="11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w:t>
      </w:r>
    </w:p>
    <w:p>
      <w:pPr>
        <w:spacing w:after="0" w:line="1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60"/>
          </w:cols>
          <w:pgMar w:left="240" w:top="459" w:right="29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8"/>
          <w:szCs w:val="18"/>
          <w:i w:val="1"/>
          <w:iCs w:val="1"/>
          <w:color w:val="auto"/>
        </w:rPr>
        <w:t>Costs related to defective products could have a material adverse effect on</w:t>
      </w:r>
      <w:r>
        <w:rPr>
          <w:rFonts w:ascii="Arial" w:cs="Arial" w:eastAsia="Arial" w:hAnsi="Arial"/>
          <w:sz w:val="18"/>
          <w:szCs w:val="18"/>
          <w:color w:val="auto"/>
        </w:rPr>
        <w:t xml:space="preserve"> </w:t>
      </w:r>
      <w:r>
        <w:rPr>
          <w:rFonts w:ascii="Arial" w:cs="Arial" w:eastAsia="Arial" w:hAnsi="Arial"/>
          <w:sz w:val="18"/>
          <w:szCs w:val="18"/>
          <w:i w:val="1"/>
          <w:iCs w:val="1"/>
          <w:color w:val="auto"/>
        </w:rPr>
        <w:t>us</w:t>
      </w:r>
      <w:r>
        <w:rPr>
          <w:rFonts w:ascii="Arial" w:cs="Arial" w:eastAsia="Arial" w:hAnsi="Arial"/>
          <w:sz w:val="18"/>
          <w:szCs w:val="18"/>
          <w:color w:val="auto"/>
        </w:rPr>
        <w:t>.”</w:t>
      </w:r>
    </w:p>
    <w:p>
      <w:pPr>
        <w:spacing w:after="0" w:line="143" w:lineRule="exact"/>
        <w:rPr>
          <w:sz w:val="20"/>
          <w:szCs w:val="20"/>
          <w:color w:val="auto"/>
        </w:rPr>
      </w:pPr>
    </w:p>
    <w:p>
      <w:pPr>
        <w:ind w:right="10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right="440"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but not limited to, gold and copper,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2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For example, we believe the success of FLC</w:t>
      </w:r>
      <w:r>
        <w:rPr>
          <w:rFonts w:ascii="Arial" w:cs="Arial" w:eastAsia="Arial" w:hAnsi="Arial"/>
          <w:sz w:val="10"/>
          <w:szCs w:val="10"/>
          <w:color w:val="auto"/>
        </w:rPr>
        <w:t>TM</w:t>
      </w:r>
      <w:r>
        <w:rPr>
          <w:rFonts w:ascii="Arial" w:cs="Arial" w:eastAsia="Arial" w:hAnsi="Arial"/>
          <w:sz w:val="16"/>
          <w:szCs w:val="16"/>
          <w:color w:val="auto"/>
        </w:rPr>
        <w:t xml:space="preserve"> technology may be an important factor in the future growth of the company. If FLC</w:t>
      </w:r>
      <w:r>
        <w:rPr>
          <w:rFonts w:ascii="Arial" w:cs="Arial" w:eastAsia="Arial" w:hAnsi="Arial"/>
          <w:sz w:val="10"/>
          <w:szCs w:val="10"/>
          <w:color w:val="auto"/>
        </w:rPr>
        <w:t>TM</w:t>
      </w:r>
      <w:r>
        <w:rPr>
          <w:rFonts w:ascii="Arial" w:cs="Arial" w:eastAsia="Arial" w:hAnsi="Arial"/>
          <w:sz w:val="16"/>
          <w:szCs w:val="16"/>
          <w:color w:val="auto"/>
        </w:rPr>
        <w:t xml:space="preserve"> technology fails to function in actual product development at the level required for market acceptance, or if our customers do not readily embrace the technology as quickly as we would anticipate, our future results may be impacted. No revenue was derived from FLC</w:t>
      </w:r>
      <w:r>
        <w:rPr>
          <w:rFonts w:ascii="Arial" w:cs="Arial" w:eastAsia="Arial" w:hAnsi="Arial"/>
          <w:sz w:val="10"/>
          <w:szCs w:val="10"/>
          <w:color w:val="auto"/>
        </w:rPr>
        <w:t>TM</w:t>
      </w:r>
      <w:r>
        <w:rPr>
          <w:rFonts w:ascii="Arial" w:cs="Arial" w:eastAsia="Arial" w:hAnsi="Arial"/>
          <w:sz w:val="16"/>
          <w:szCs w:val="16"/>
          <w:color w:val="auto"/>
        </w:rPr>
        <w:t xml:space="preserve"> related products in fiscal 2016 and we anticipate no revenue in fiscal 2017 as these products are still in development. See also, “</w:t>
      </w:r>
      <w:r>
        <w:rPr>
          <w:rFonts w:ascii="Arial" w:cs="Arial" w:eastAsia="Arial" w:hAnsi="Arial"/>
          <w:sz w:val="16"/>
          <w:szCs w:val="16"/>
          <w:i w:val="1"/>
          <w:iCs w:val="1"/>
          <w:color w:val="auto"/>
        </w:rPr>
        <w:t>We may be unable to protect our intellectual property,</w:t>
      </w:r>
      <w:r>
        <w:rPr>
          <w:rFonts w:ascii="Arial" w:cs="Arial" w:eastAsia="Arial" w:hAnsi="Arial"/>
          <w:sz w:val="16"/>
          <w:szCs w:val="16"/>
          <w:color w:val="auto"/>
        </w:rPr>
        <w:t xml:space="preserve"> </w:t>
      </w:r>
      <w:r>
        <w:rPr>
          <w:rFonts w:ascii="Arial" w:cs="Arial" w:eastAsia="Arial" w:hAnsi="Arial"/>
          <w:sz w:val="16"/>
          <w:szCs w:val="16"/>
          <w:i w:val="1"/>
          <w:iCs w:val="1"/>
          <w:color w:val="auto"/>
        </w:rPr>
        <w:t>which would negatively affect our ability to compete.”</w:t>
      </w:r>
    </w:p>
    <w:p>
      <w:pPr>
        <w:spacing w:after="0" w:line="12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we and our customers introduce new and enhanced products to the market, those products may not achieve market acceptance.</w:t>
      </w:r>
    </w:p>
    <w:p>
      <w:pPr>
        <w:spacing w:after="0" w:line="224"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18"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6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124"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32"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 portion of our inventory is held by, and net revenues are derived from, sales through third-party logistics providers, whereby revenues are recognized when product is pulled from stock by the end customer. From time to time, our customers will take early delivery of product at the end of a fiscal quarter that was scheduled for delivery in the following fiscal quarter, which we internally refer to as “pull-ins” if the early delivery was requested by Marvell. Variation in timing of large orders and our ability to effectively manage required inventory levels may be impacted by such arrangements, including increased expenses associated with excess or obsolete inventory and volatility in timing of revenues recognized period to period. Our operating results under these arrangements may vary significantly from quarter to quarter based on fluctuations in demand and our ability to deliver on forecasted customer orders. Beginning in fiscal 2017, our policy is not to engage in pull-in transactions and we therefore do not expect them to have any meaningful impact on our net revenue in future periods.</w:t>
      </w:r>
    </w:p>
    <w:p>
      <w:pPr>
        <w:spacing w:after="0" w:line="199"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occur as anticipated, our profitability could be adversely affected due to our higher expense levels.</w:t>
      </w:r>
    </w:p>
    <w:p>
      <w:pPr>
        <w:spacing w:after="0" w:line="123" w:lineRule="exact"/>
        <w:rPr>
          <w:sz w:val="20"/>
          <w:szCs w:val="20"/>
          <w:color w:val="auto"/>
        </w:rPr>
      </w:pPr>
    </w:p>
    <w:p>
      <w:pPr>
        <w:ind w:right="20" w:firstLine="456"/>
        <w:spacing w:after="0" w:line="312" w:lineRule="auto"/>
        <w:rPr>
          <w:sz w:val="20"/>
          <w:szCs w:val="20"/>
          <w:color w:val="auto"/>
        </w:rPr>
      </w:pPr>
      <w:r>
        <w:rPr>
          <w:rFonts w:ascii="Arial" w:cs="Arial" w:eastAsia="Arial" w:hAnsi="Arial"/>
          <w:sz w:val="15"/>
          <w:szCs w:val="15"/>
          <w:color w:val="auto"/>
        </w:rPr>
        <w:t>To implement our current business and product plans, we will need to continue to evolve,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8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44"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lengthy product development coupled with challenging macroeconomic conditions could adversely impact our results of operations.</w:t>
      </w:r>
    </w:p>
    <w:p>
      <w:pPr>
        <w:spacing w:after="0" w:line="22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ensure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had approximately $2.0 billion of goodwill and $18.0 million of acquired intangible assets, net on our consolidated balance sheet as of January 30, 2016.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We have identified that our business operates as a single operating segment with two components (Storage, and Smart Networked Devices and Solutions),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59" w:lineRule="auto"/>
        <w:rPr>
          <w:sz w:val="20"/>
          <w:szCs w:val="20"/>
          <w:color w:val="auto"/>
        </w:rPr>
      </w:pPr>
      <w:r>
        <w:rPr>
          <w:rFonts w:ascii="Arial" w:cs="Arial" w:eastAsia="Arial" w:hAnsi="Arial"/>
          <w:sz w:val="18"/>
          <w:szCs w:val="18"/>
          <w:color w:val="auto"/>
        </w:rPr>
        <w:t>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may have an impairment of goodwill in one of our reporting units.</w:t>
      </w:r>
    </w:p>
    <w:p>
      <w:pPr>
        <w:spacing w:after="0" w:line="140"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jc w:val="both"/>
        <w:ind w:right="460"/>
        <w:spacing w:after="0" w:line="259"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qualified personnel, our ability to develop and successfully market our products could be harmed. We have undergone significant management changes, which could affect our implementation of our business strategy.</w:t>
      </w:r>
    </w:p>
    <w:p>
      <w:pPr>
        <w:spacing w:after="0" w:line="59"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144"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recent years, we have experienced significant senior management turnover, including the departure of our Chief Executive Officer, Sehat Sutardja, and our President, Weili Dai, as officers and employees of the Company, effective April 1, 2016, and the retirement of our former Chief Financial Officer in May 2015. Our board of directors recently appointed our new President and Chief Executive Officer who will assume his duties as the Company’s principal executive officer immediately following the filing of our Quarterly Report on Form 10-Q for the second fiscal quarter of 2017, and is conducting a formal search to identify a new, permanent Chief Financial Officer. In addition, our board of directors has designated our Chairman of the Board, Richard S. Hill, as the Company’s Interim Principal Executive Officer until we file our Quarterly Report on Form 10-Q for the second fiscal quarter of 2017.</w:t>
      </w:r>
    </w:p>
    <w:p>
      <w:pPr>
        <w:spacing w:after="0" w:line="12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marketplace for such key employees is very competitive and limited. Our growth may be adversely impacted if we are unable to attract and retain key employees. In addition, turnover of senior management can adversely impact our stock price, our results of operations and our client relationships and has made recruiting for future management positions more difficult. We have recently added a number of new executive officers in addition to our President and Chief Executive Officer, including our new Executive Vice President, Marketing and Sales, our Executive Vice President and Chief Legal Officer, our Chief Operations Officer and our Senior Vice President of Finance. Although the individual members of our senior management team have significant experience, they, and the Chief Financial Officer we hire,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with operations in Asia represented approximately 96% of our net revenue in each of fiscal 2016 and 2015, and 95% of our net revenue in fiscal 2014.</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ensure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the process of identifying a recalled product in devices that have been widely distributed may be lengthy and require significant resources and we may have difficulty identifying the end customers of the defective products in the field, which may cause us to incur significant replacement costs, contract damage claims from our customers and further reputational harm. Any of these problems could materially adversely affect our results of operations.</w:t>
      </w:r>
    </w:p>
    <w:p>
      <w:pPr>
        <w:spacing w:after="0" w:line="20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62" w:lineRule="exact"/>
        <w:rPr>
          <w:sz w:val="20"/>
          <w:szCs w:val="20"/>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possible material weaknesses in internal control over financial reporting;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increased expenses including legal, administrative and compensation expenses related to newly hired or terminated employees;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90" w:lineRule="exact"/>
        <w:rPr>
          <w:rFonts w:ascii="Arial" w:cs="Arial" w:eastAsia="Arial" w:hAnsi="Arial"/>
          <w:sz w:val="18"/>
          <w:szCs w:val="18"/>
          <w:color w:val="auto"/>
        </w:rPr>
      </w:pPr>
    </w:p>
    <w:p>
      <w:pPr>
        <w:ind w:left="900" w:right="90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unavailability of acquisition financing or unavailability of such financing on reasonable terms.</w:t>
      </w:r>
    </w:p>
    <w:p>
      <w:pPr>
        <w:spacing w:after="0" w:line="17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and may not achieve the benefits we expect from possible acquisitions. For all these reasons, our pursuit of an acquisition, investment, divestiture, merger or joint venture could cause its actual results to differ materially from those anticipated.</w:t>
      </w:r>
    </w:p>
    <w:p>
      <w:pPr>
        <w:spacing w:after="0" w:line="22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40"/>
        <w:spacing w:after="0" w:line="268" w:lineRule="auto"/>
        <w:rPr>
          <w:sz w:val="20"/>
          <w:szCs w:val="20"/>
          <w:color w:val="auto"/>
        </w:rPr>
      </w:pPr>
      <w:r>
        <w:rPr>
          <w:rFonts w:ascii="Arial" w:cs="Arial" w:eastAsia="Arial" w:hAnsi="Arial"/>
          <w:sz w:val="18"/>
          <w:szCs w:val="18"/>
          <w:color w:val="auto"/>
        </w:rPr>
        <w:t>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(“DEI”)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Our subsidiary in Switzerland also had tax incentives on revenues from research and design, and wafer supply trading activities, which expired at the end of fiscal 2016.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21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13"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or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2016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59"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natural disasters, viruses, destructive or inadequate code, malware, power failures, cyber-attacks, and other events. We have implemented processes for systems under our control intended to mitigate risks, however, there can be no guarantee that they will be effective in mitigating those risks. Given the frequency of cyber attacks and resulting breaches reported by other businesses and governments, it is likely we will experience one or more breaches of some extent in the future. We may incur significant costs in order to implement, maintain and/or update security systems that we feel are necessary to protect our information systems or we may miscalculate the level of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and we currently have a disagreement with our former Chief Executive Officer, Dr. Sehat Sutardja, regarding his claim to ownership of the Final-Level Cache intellectual property. To the extent that any third party has a claim to ownership of any relevant technologies used in our products, we may not be able to recognize the full revenue stream from such relevant technologies.</w:t>
      </w:r>
    </w:p>
    <w:p>
      <w:pPr>
        <w:spacing w:after="0" w:line="12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47"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32" w:lineRule="auto"/>
        <w:rPr>
          <w:sz w:val="20"/>
          <w:szCs w:val="20"/>
          <w:color w:val="auto"/>
        </w:rPr>
      </w:pPr>
      <w:r>
        <w:rPr>
          <w:rFonts w:ascii="Arial" w:cs="Arial" w:eastAsia="Arial" w:hAnsi="Arial"/>
          <w:sz w:val="16"/>
          <w:szCs w:val="16"/>
          <w:color w:val="auto"/>
        </w:rPr>
        <w:t>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66"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May 2012, we announced the declaration of our first quarterly cash dividend. Future payment of a regular quarterly cash dividend on our common shares will be subject to, among other things, the best interests of our company, our results of operations, cash balances and future cash requirements, financial condition, statutory requirements under Bermuda law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20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Our buildings in Santa Clara, California; Singapore; Etoy, Switzerland; and Shanghai, China subject us to the risks of owning real property, which include, but not limited to:</w:t>
      </w:r>
    </w:p>
    <w:p>
      <w:pPr>
        <w:spacing w:after="0" w:line="51" w:lineRule="exact"/>
        <w:rPr>
          <w:sz w:val="20"/>
          <w:szCs w:val="20"/>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Additionally, the second surety bond, issued in connection with the patent litigation action with CMU, and commitment from the sureties are secured by our campus located in Santa Clara, California.</w:t>
      </w:r>
    </w:p>
    <w:p>
      <w:pPr>
        <w:spacing w:after="0" w:line="213"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jc w:val="both"/>
        <w:ind w:right="240"/>
        <w:spacing w:after="0" w:line="357" w:lineRule="auto"/>
        <w:rPr>
          <w:sz w:val="20"/>
          <w:szCs w:val="20"/>
          <w:color w:val="auto"/>
        </w:rPr>
      </w:pPr>
      <w:r>
        <w:rPr>
          <w:rFonts w:ascii="Arial" w:cs="Arial" w:eastAsia="Arial" w:hAnsi="Arial"/>
          <w:sz w:val="15"/>
          <w:szCs w:val="15"/>
          <w:b w:val="1"/>
          <w:bCs w:val="1"/>
          <w:i w:val="1"/>
          <w:iCs w:val="1"/>
          <w:color w:val="auto"/>
        </w:rPr>
        <w:t>We have not been in compliance with the reporting requirements of the Securities Exchange Act of 1934, as amended (the “Exchange Act”) and Nasdaq’s requirements for continued listing and, as a result, our common shares may be delisted and suspended from trading on the Nasdaq Global Select Market.</w:t>
      </w:r>
    </w:p>
    <w:p>
      <w:pPr>
        <w:ind w:right="40" w:firstLine="456"/>
        <w:spacing w:after="0" w:line="290" w:lineRule="auto"/>
        <w:rPr>
          <w:sz w:val="20"/>
          <w:szCs w:val="20"/>
          <w:color w:val="auto"/>
        </w:rPr>
      </w:pPr>
      <w:r>
        <w:rPr>
          <w:rFonts w:ascii="Arial" w:cs="Arial" w:eastAsia="Arial" w:hAnsi="Arial"/>
          <w:sz w:val="16"/>
          <w:szCs w:val="16"/>
          <w:color w:val="auto"/>
        </w:rPr>
        <w:t>We have been delinquent in the filing of our periodic financial reports with the SEC and, as a result, we are not in compliance with the Nasdaq rule that requires the timely filing of our periodic financial reports with the SEC. On September 14, 2015, Nasdaq notified us that due to our delay in filing with the SEC our Quarterly Report on Form 10-Q for the quarter ended August 1, 2015, our common shares would be delisted unless we timely requested a hearing before a Nasdaq Listings Qualification Panel (a “Hearings Panel”). We timely requested such a hearing, which was held on April 14, 2016. At the hearing, we presented a plan to regain compliance with the rule and requested an extension of time for the filing of our delayed reports, and on May 3, 2016, the Hearings Panel granted Marvell an extension of time to September 6, 2016, to regain compliance with our continued listing requirements. After filing this Form 10-K with the SEC, we will continue to be delinquent in our filings with the SEC due to our delay in filing a Form 10-Q for the quarter ended April 30, 2016. There can</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80"/>
          </w:cols>
          <w:pgMar w:left="240" w:top="459" w:right="27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be no assurance that we will be successful in regaining compliance with the listing rule during the extension period. If our common shares are delisted, there can no assurance whether or when it would again be listed for trading on Nasdaq or any other exchange. If our common shares are delisted, the market price of our shares will likely decline and become more volatile, and our shareholders may find that their ability to trade in our stock will be adversely affected. A delisting from Nasdaq may also have other negative implications, including the potential loss of confidence by customers and employees, the loss of institutional investor interest and fewer business development opportunities.</w:t>
      </w:r>
    </w:p>
    <w:p>
      <w:pPr>
        <w:spacing w:after="0" w:line="224"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authorizing the issuance of preferred shares without shareholder approval; and</w:t>
      </w:r>
    </w:p>
    <w:p>
      <w:pPr>
        <w:spacing w:after="0" w:line="90" w:lineRule="exact"/>
        <w:rPr>
          <w:rFonts w:ascii="Arial" w:cs="Arial" w:eastAsia="Arial" w:hAnsi="Arial"/>
          <w:sz w:val="18"/>
          <w:szCs w:val="18"/>
          <w:color w:val="auto"/>
        </w:rPr>
      </w:pPr>
    </w:p>
    <w:p>
      <w:pPr>
        <w:ind w:left="900" w:right="240" w:hanging="325"/>
        <w:spacing w:after="0" w:line="332" w:lineRule="auto"/>
        <w:tabs>
          <w:tab w:leader="none" w:pos="900" w:val="left"/>
        </w:tabs>
        <w:numPr>
          <w:ilvl w:val="0"/>
          <w:numId w:val="17"/>
        </w:numPr>
        <w:rPr>
          <w:rFonts w:ascii="Arial" w:cs="Arial" w:eastAsia="Arial" w:hAnsi="Arial"/>
          <w:sz w:val="16"/>
          <w:szCs w:val="16"/>
          <w:color w:val="auto"/>
        </w:rPr>
      </w:pPr>
      <w:r>
        <w:rPr>
          <w:rFonts w:ascii="Arial" w:cs="Arial" w:eastAsia="Arial" w:hAnsi="Arial"/>
          <w:sz w:val="16"/>
          <w:szCs w:val="16"/>
          <w:color w:val="auto"/>
        </w:rPr>
        <w:t>a shareholder vote requiring the approval 66</w:t>
      </w:r>
      <w:r>
        <w:rPr>
          <w:rFonts w:ascii="Arial" w:cs="Arial" w:eastAsia="Arial" w:hAnsi="Arial"/>
          <w:sz w:val="10"/>
          <w:szCs w:val="10"/>
          <w:color w:val="auto"/>
        </w:rPr>
        <w:t>2/3</w:t>
      </w:r>
      <w:r>
        <w:rPr>
          <w:rFonts w:ascii="Arial" w:cs="Arial" w:eastAsia="Arial" w:hAnsi="Arial"/>
          <w:sz w:val="16"/>
          <w:szCs w:val="16"/>
          <w:color w:val="auto"/>
        </w:rPr>
        <w:t>%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These foregoing provisions could make it more difficult for a third party to acquire us, even if doing so would be a benefit to our shareholders.</w:t>
      </w:r>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the approximate square footage of our significant owned and leased facilities as of January 30, 2016:</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7"/>
              </w:rPr>
              <w:t>Locations</w:t>
            </w:r>
          </w:p>
        </w:tc>
        <w:tc>
          <w:tcPr>
            <w:tcW w:w="560" w:type="dxa"/>
            <w:vAlign w:val="bottom"/>
            <w:vMerge w:val="restart"/>
          </w:tcPr>
          <w:p>
            <w:pPr>
              <w:spacing w:after="0"/>
              <w:rPr>
                <w:sz w:val="14"/>
                <w:szCs w:val="14"/>
                <w:color w:val="auto"/>
              </w:rPr>
            </w:pPr>
          </w:p>
        </w:tc>
        <w:tc>
          <w:tcPr>
            <w:tcW w:w="1640" w:type="dxa"/>
            <w:vAlign w:val="bottom"/>
          </w:tcPr>
          <w:p>
            <w:pPr>
              <w:spacing w:after="0"/>
              <w:rPr>
                <w:sz w:val="14"/>
                <w:szCs w:val="14"/>
                <w:color w:val="auto"/>
              </w:rPr>
            </w:pPr>
          </w:p>
        </w:tc>
        <w:tc>
          <w:tcPr>
            <w:tcW w:w="5780" w:type="dxa"/>
            <w:vAlign w:val="bottom"/>
            <w:gridSpan w:val="2"/>
            <w:vMerge w:val="restart"/>
          </w:tcPr>
          <w:p>
            <w:pPr>
              <w:jc w:val="center"/>
              <w:ind w:right="540"/>
              <w:spacing w:after="0"/>
              <w:rPr>
                <w:sz w:val="20"/>
                <w:szCs w:val="20"/>
                <w:color w:val="auto"/>
              </w:rPr>
            </w:pPr>
            <w:r>
              <w:rPr>
                <w:rFonts w:ascii="Arial" w:cs="Arial" w:eastAsia="Arial" w:hAnsi="Arial"/>
                <w:sz w:val="14"/>
                <w:szCs w:val="14"/>
                <w:b w:val="1"/>
                <w:bCs w:val="1"/>
                <w:color w:val="auto"/>
                <w:w w:val="88"/>
              </w:rPr>
              <w:t>Primary Use</w:t>
            </w:r>
          </w:p>
        </w:tc>
        <w:tc>
          <w:tcPr>
            <w:tcW w:w="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60" w:type="dxa"/>
            <w:vAlign w:val="bottom"/>
            <w:gridSpan w:val="3"/>
          </w:tcPr>
          <w:p>
            <w:pPr>
              <w:ind w:left="20"/>
              <w:spacing w:after="0"/>
              <w:rPr>
                <w:sz w:val="20"/>
                <w:szCs w:val="20"/>
                <w:color w:val="auto"/>
              </w:rPr>
            </w:pPr>
            <w:r>
              <w:rPr>
                <w:rFonts w:ascii="Arial" w:cs="Arial" w:eastAsia="Arial" w:hAnsi="Arial"/>
                <w:sz w:val="14"/>
                <w:szCs w:val="14"/>
                <w:b w:val="1"/>
                <w:bCs w:val="1"/>
                <w:color w:val="auto"/>
              </w:rPr>
              <w:t>(Square feet)</w:t>
            </w:r>
          </w:p>
        </w:tc>
        <w:tc>
          <w:tcPr>
            <w:tcW w:w="0" w:type="dxa"/>
            <w:vAlign w:val="bottom"/>
          </w:tcPr>
          <w:p>
            <w:pPr>
              <w:spacing w:after="0"/>
              <w:rPr>
                <w:sz w:val="1"/>
                <w:szCs w:val="1"/>
                <w:color w:val="auto"/>
              </w:rPr>
            </w:pPr>
          </w:p>
        </w:tc>
      </w:tr>
      <w:tr>
        <w:trPr>
          <w:trHeight w:val="149"/>
        </w:trPr>
        <w:tc>
          <w:tcPr>
            <w:tcW w:w="600" w:type="dxa"/>
            <w:vAlign w:val="bottom"/>
            <w:tcBorders>
              <w:bottom w:val="single" w:sz="8" w:color="auto"/>
            </w:tcBorders>
            <w:vMerge w:val="continue"/>
          </w:tcPr>
          <w:p>
            <w:pPr>
              <w:spacing w:after="0"/>
              <w:rPr>
                <w:sz w:val="12"/>
                <w:szCs w:val="12"/>
                <w:color w:val="auto"/>
              </w:rPr>
            </w:pPr>
          </w:p>
        </w:tc>
        <w:tc>
          <w:tcPr>
            <w:tcW w:w="560" w:type="dxa"/>
            <w:vAlign w:val="bottom"/>
            <w:vMerge w:val="continue"/>
          </w:tcPr>
          <w:p>
            <w:pPr>
              <w:spacing w:after="0"/>
              <w:rPr>
                <w:sz w:val="12"/>
                <w:szCs w:val="12"/>
                <w:color w:val="auto"/>
              </w:rPr>
            </w:pPr>
          </w:p>
        </w:tc>
        <w:tc>
          <w:tcPr>
            <w:tcW w:w="1640" w:type="dxa"/>
            <w:vAlign w:val="bottom"/>
          </w:tcPr>
          <w:p>
            <w:pPr>
              <w:spacing w:after="0"/>
              <w:rPr>
                <w:sz w:val="12"/>
                <w:szCs w:val="12"/>
                <w:color w:val="auto"/>
              </w:rPr>
            </w:pPr>
          </w:p>
        </w:tc>
        <w:tc>
          <w:tcPr>
            <w:tcW w:w="5780" w:type="dxa"/>
            <w:vAlign w:val="bottom"/>
            <w:gridSpan w:val="2"/>
            <w:vMerge w:val="continue"/>
          </w:tcPr>
          <w:p>
            <w:pPr>
              <w:spacing w:after="0"/>
              <w:rPr>
                <w:sz w:val="12"/>
                <w:szCs w:val="12"/>
                <w:color w:val="auto"/>
              </w:rPr>
            </w:pPr>
          </w:p>
        </w:tc>
        <w:tc>
          <w:tcPr>
            <w:tcW w:w="980" w:type="dxa"/>
            <w:vAlign w:val="bottom"/>
            <w:tcBorders>
              <w:top w:val="single" w:sz="8" w:color="auto"/>
            </w:tcBorders>
            <w:gridSpan w:val="2"/>
          </w:tcPr>
          <w:p>
            <w:pPr>
              <w:jc w:val="right"/>
              <w:ind w:right="20"/>
              <w:spacing w:after="0" w:line="129" w:lineRule="exact"/>
              <w:rPr>
                <w:sz w:val="20"/>
                <w:szCs w:val="20"/>
                <w:color w:val="auto"/>
              </w:rPr>
            </w:pPr>
            <w:r>
              <w:rPr>
                <w:rFonts w:ascii="Arial" w:cs="Arial" w:eastAsia="Arial" w:hAnsi="Arial"/>
                <w:sz w:val="14"/>
                <w:szCs w:val="14"/>
                <w:b w:val="1"/>
                <w:bCs w:val="1"/>
                <w:color w:val="auto"/>
                <w:w w:val="85"/>
              </w:rPr>
              <w:t>Owned Facilities</w:t>
            </w:r>
          </w:p>
        </w:tc>
        <w:tc>
          <w:tcPr>
            <w:tcW w:w="620" w:type="dxa"/>
            <w:vAlign w:val="bottom"/>
            <w:tcBorders>
              <w:top w:val="single" w:sz="8" w:color="auto"/>
            </w:tcBorders>
          </w:tcPr>
          <w:p>
            <w:pPr>
              <w:spacing w:after="0"/>
              <w:rPr>
                <w:sz w:val="12"/>
                <w:szCs w:val="12"/>
                <w:color w:val="auto"/>
              </w:rPr>
            </w:pPr>
          </w:p>
        </w:tc>
        <w:tc>
          <w:tcPr>
            <w:tcW w:w="11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Leased Facilities (1)</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5"/>
        </w:trPr>
        <w:tc>
          <w:tcPr>
            <w:tcW w:w="1160" w:type="dxa"/>
            <w:vAlign w:val="bottom"/>
            <w:tcBorders>
              <w:top w:val="single" w:sz="8" w:color="CCEEFF"/>
            </w:tcBorders>
            <w:gridSpan w:val="2"/>
            <w:shd w:val="clear" w:color="auto" w:fill="CCEEFF"/>
          </w:tcPr>
          <w:p>
            <w:pPr>
              <w:spacing w:after="0" w:line="195" w:lineRule="exact"/>
              <w:rPr>
                <w:sz w:val="20"/>
                <w:szCs w:val="20"/>
                <w:color w:val="auto"/>
              </w:rPr>
            </w:pPr>
            <w:r>
              <w:rPr>
                <w:rFonts w:ascii="Arial" w:cs="Arial" w:eastAsia="Arial" w:hAnsi="Arial"/>
                <w:sz w:val="18"/>
                <w:szCs w:val="18"/>
                <w:color w:val="auto"/>
              </w:rPr>
              <w:t>United States</w:t>
            </w:r>
          </w:p>
        </w:tc>
        <w:tc>
          <w:tcPr>
            <w:tcW w:w="1640" w:type="dxa"/>
            <w:vAlign w:val="bottom"/>
            <w:tcBorders>
              <w:top w:val="single" w:sz="8" w:color="CCEEFF"/>
            </w:tcBorders>
            <w:shd w:val="clear" w:color="auto" w:fill="CCEEFF"/>
          </w:tcPr>
          <w:p>
            <w:pPr>
              <w:spacing w:after="0"/>
              <w:rPr>
                <w:sz w:val="16"/>
                <w:szCs w:val="16"/>
                <w:color w:val="auto"/>
              </w:rPr>
            </w:pPr>
          </w:p>
        </w:tc>
        <w:tc>
          <w:tcPr>
            <w:tcW w:w="524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w w:val="89"/>
              </w:rPr>
              <w:t>Headquarters in Santa Clara, California: Research and design, sales and</w:t>
            </w:r>
          </w:p>
        </w:tc>
        <w:tc>
          <w:tcPr>
            <w:tcW w:w="540" w:type="dxa"/>
            <w:vAlign w:val="bottom"/>
            <w:tcBorders>
              <w:top w:val="single" w:sz="8" w:color="CCEEFF"/>
            </w:tcBorders>
            <w:shd w:val="clear" w:color="auto" w:fill="CCEEFF"/>
          </w:tcPr>
          <w:p>
            <w:pPr>
              <w:spacing w:after="0"/>
              <w:rPr>
                <w:sz w:val="16"/>
                <w:szCs w:val="16"/>
                <w:color w:val="auto"/>
              </w:rPr>
            </w:pPr>
          </w:p>
        </w:tc>
        <w:tc>
          <w:tcPr>
            <w:tcW w:w="960" w:type="dxa"/>
            <w:vAlign w:val="bottom"/>
            <w:tcBorders>
              <w:top w:val="single" w:sz="8" w:color="auto"/>
            </w:tcBorders>
            <w:shd w:val="clear" w:color="auto" w:fill="CCEEFF"/>
          </w:tcPr>
          <w:p>
            <w:pPr>
              <w:spacing w:after="0"/>
              <w:rPr>
                <w:sz w:val="16"/>
                <w:szCs w:val="16"/>
                <w:color w:val="auto"/>
              </w:rPr>
            </w:pPr>
          </w:p>
        </w:tc>
        <w:tc>
          <w:tcPr>
            <w:tcW w:w="20" w:type="dxa"/>
            <w:vAlign w:val="bottom"/>
            <w:tcBorders>
              <w:top w:val="single" w:sz="8" w:color="CCEEFF"/>
            </w:tcBorders>
            <w:shd w:val="clear" w:color="auto" w:fill="CCEEFF"/>
          </w:tcPr>
          <w:p>
            <w:pPr>
              <w:spacing w:after="0"/>
              <w:rPr>
                <w:sz w:val="16"/>
                <w:szCs w:val="16"/>
                <w:color w:val="auto"/>
              </w:rPr>
            </w:pPr>
          </w:p>
        </w:tc>
        <w:tc>
          <w:tcPr>
            <w:tcW w:w="620" w:type="dxa"/>
            <w:vAlign w:val="bottom"/>
            <w:tcBorders>
              <w:top w:val="single" w:sz="8" w:color="CCEEFF"/>
            </w:tcBorders>
            <w:shd w:val="clear" w:color="auto" w:fill="CCEEFF"/>
          </w:tcPr>
          <w:p>
            <w:pPr>
              <w:spacing w:after="0"/>
              <w:rPr>
                <w:sz w:val="16"/>
                <w:szCs w:val="16"/>
                <w:color w:val="auto"/>
              </w:rPr>
            </w:pPr>
          </w:p>
        </w:tc>
        <w:tc>
          <w:tcPr>
            <w:tcW w:w="114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600" w:type="dxa"/>
            <w:vAlign w:val="bottom"/>
            <w:shd w:val="clear" w:color="auto" w:fill="CCEEFF"/>
          </w:tcPr>
          <w:p>
            <w:pPr>
              <w:spacing w:after="0"/>
              <w:rPr>
                <w:sz w:val="19"/>
                <w:szCs w:val="19"/>
                <w:color w:val="auto"/>
              </w:rPr>
            </w:pPr>
          </w:p>
        </w:tc>
        <w:tc>
          <w:tcPr>
            <w:tcW w:w="560" w:type="dxa"/>
            <w:vAlign w:val="bottom"/>
            <w:shd w:val="clear" w:color="auto" w:fill="CCEEFF"/>
          </w:tcPr>
          <w:p>
            <w:pPr>
              <w:spacing w:after="0"/>
              <w:rPr>
                <w:sz w:val="19"/>
                <w:szCs w:val="19"/>
                <w:color w:val="auto"/>
              </w:rPr>
            </w:pPr>
          </w:p>
        </w:tc>
        <w:tc>
          <w:tcPr>
            <w:tcW w:w="7420" w:type="dxa"/>
            <w:vAlign w:val="bottom"/>
            <w:gridSpan w:val="3"/>
            <w:shd w:val="clear" w:color="auto" w:fill="CCEEFF"/>
          </w:tcPr>
          <w:p>
            <w:pPr>
              <w:ind w:left="1640"/>
              <w:spacing w:after="0"/>
              <w:rPr>
                <w:sz w:val="20"/>
                <w:szCs w:val="20"/>
                <w:color w:val="auto"/>
              </w:rPr>
            </w:pPr>
            <w:r>
              <w:rPr>
                <w:rFonts w:ascii="Arial" w:cs="Arial" w:eastAsia="Arial" w:hAnsi="Arial"/>
                <w:sz w:val="18"/>
                <w:szCs w:val="18"/>
                <w:color w:val="auto"/>
              </w:rPr>
              <w:t>marketing, administration and operations</w:t>
            </w: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993,000</w:t>
            </w:r>
          </w:p>
        </w:tc>
        <w:tc>
          <w:tcPr>
            <w:tcW w:w="1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230,000</w:t>
            </w: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60" w:type="dxa"/>
            <w:vAlign w:val="bottom"/>
            <w:gridSpan w:val="2"/>
          </w:tcPr>
          <w:p>
            <w:pPr>
              <w:spacing w:after="0"/>
              <w:rPr>
                <w:sz w:val="20"/>
                <w:szCs w:val="20"/>
                <w:color w:val="auto"/>
              </w:rPr>
            </w:pPr>
            <w:r>
              <w:rPr>
                <w:rFonts w:ascii="Arial" w:cs="Arial" w:eastAsia="Arial" w:hAnsi="Arial"/>
                <w:sz w:val="18"/>
                <w:szCs w:val="18"/>
                <w:color w:val="auto"/>
              </w:rPr>
              <w:t>China</w:t>
            </w:r>
          </w:p>
        </w:tc>
        <w:tc>
          <w:tcPr>
            <w:tcW w:w="7420" w:type="dxa"/>
            <w:vAlign w:val="bottom"/>
            <w:gridSpan w:val="3"/>
          </w:tcPr>
          <w:p>
            <w:pPr>
              <w:ind w:left="1640"/>
              <w:spacing w:after="0"/>
              <w:rPr>
                <w:sz w:val="20"/>
                <w:szCs w:val="20"/>
                <w:color w:val="auto"/>
              </w:rPr>
            </w:pPr>
            <w:r>
              <w:rPr>
                <w:rFonts w:ascii="Arial" w:cs="Arial" w:eastAsia="Arial" w:hAnsi="Arial"/>
                <w:sz w:val="18"/>
                <w:szCs w:val="18"/>
                <w:color w:val="auto"/>
              </w:rPr>
              <w:t>Research and design, and sales and marketing</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115,000</w:t>
            </w:r>
          </w:p>
        </w:tc>
        <w:tc>
          <w:tcPr>
            <w:tcW w:w="1760" w:type="dxa"/>
            <w:vAlign w:val="bottom"/>
            <w:gridSpan w:val="2"/>
          </w:tcPr>
          <w:p>
            <w:pPr>
              <w:jc w:val="right"/>
              <w:spacing w:after="0"/>
              <w:rPr>
                <w:sz w:val="20"/>
                <w:szCs w:val="20"/>
                <w:color w:val="auto"/>
              </w:rPr>
            </w:pPr>
            <w:r>
              <w:rPr>
                <w:rFonts w:ascii="Arial" w:cs="Arial" w:eastAsia="Arial" w:hAnsi="Arial"/>
                <w:sz w:val="18"/>
                <w:szCs w:val="18"/>
                <w:color w:val="auto"/>
              </w:rPr>
              <w:t>227,000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Singapore</w:t>
            </w:r>
          </w:p>
        </w:tc>
        <w:tc>
          <w:tcPr>
            <w:tcW w:w="7420" w:type="dxa"/>
            <w:vAlign w:val="bottom"/>
            <w:gridSpan w:val="3"/>
            <w:shd w:val="clear" w:color="auto" w:fill="CCEEFF"/>
          </w:tcPr>
          <w:p>
            <w:pPr>
              <w:ind w:left="1640"/>
              <w:spacing w:after="0"/>
              <w:rPr>
                <w:sz w:val="20"/>
                <w:szCs w:val="20"/>
                <w:color w:val="auto"/>
              </w:rPr>
            </w:pPr>
            <w:r>
              <w:rPr>
                <w:rFonts w:ascii="Arial" w:cs="Arial" w:eastAsia="Arial" w:hAnsi="Arial"/>
                <w:sz w:val="18"/>
                <w:szCs w:val="18"/>
                <w:color w:val="auto"/>
              </w:rPr>
              <w:t>Operations, and research and design</w:t>
            </w: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340,000</w:t>
            </w:r>
          </w:p>
        </w:tc>
        <w:tc>
          <w:tcPr>
            <w:tcW w:w="62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160" w:type="dxa"/>
            <w:vAlign w:val="bottom"/>
            <w:gridSpan w:val="2"/>
          </w:tcPr>
          <w:p>
            <w:pPr>
              <w:spacing w:after="0"/>
              <w:rPr>
                <w:sz w:val="20"/>
                <w:szCs w:val="20"/>
                <w:color w:val="auto"/>
              </w:rPr>
            </w:pPr>
            <w:r>
              <w:rPr>
                <w:rFonts w:ascii="Arial" w:cs="Arial" w:eastAsia="Arial" w:hAnsi="Arial"/>
                <w:sz w:val="18"/>
                <w:szCs w:val="18"/>
                <w:color w:val="auto"/>
              </w:rPr>
              <w:t>Switzerland</w:t>
            </w:r>
          </w:p>
        </w:tc>
        <w:tc>
          <w:tcPr>
            <w:tcW w:w="7420" w:type="dxa"/>
            <w:vAlign w:val="bottom"/>
            <w:gridSpan w:val="3"/>
          </w:tcPr>
          <w:p>
            <w:pPr>
              <w:ind w:left="1640"/>
              <w:spacing w:after="0"/>
              <w:rPr>
                <w:sz w:val="20"/>
                <w:szCs w:val="20"/>
                <w:color w:val="auto"/>
              </w:rPr>
            </w:pPr>
            <w:r>
              <w:rPr>
                <w:rFonts w:ascii="Arial" w:cs="Arial" w:eastAsia="Arial" w:hAnsi="Arial"/>
                <w:sz w:val="18"/>
                <w:szCs w:val="18"/>
                <w:color w:val="auto"/>
              </w:rPr>
              <w:t>Research and design</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26,000</w:t>
            </w:r>
          </w:p>
        </w:tc>
        <w:tc>
          <w:tcPr>
            <w:tcW w:w="620" w:type="dxa"/>
            <w:vAlign w:val="bottom"/>
          </w:tcPr>
          <w:p>
            <w:pPr>
              <w:spacing w:after="0"/>
              <w:rPr>
                <w:sz w:val="18"/>
                <w:szCs w:val="18"/>
                <w:color w:val="auto"/>
              </w:rPr>
            </w:pPr>
          </w:p>
        </w:tc>
        <w:tc>
          <w:tcPr>
            <w:tcW w:w="124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Israel</w:t>
            </w:r>
          </w:p>
        </w:tc>
        <w:tc>
          <w:tcPr>
            <w:tcW w:w="7420" w:type="dxa"/>
            <w:vAlign w:val="bottom"/>
            <w:gridSpan w:val="3"/>
            <w:shd w:val="clear" w:color="auto" w:fill="CCEEFF"/>
          </w:tcPr>
          <w:p>
            <w:pPr>
              <w:ind w:left="1640"/>
              <w:spacing w:after="0"/>
              <w:rPr>
                <w:sz w:val="20"/>
                <w:szCs w:val="20"/>
                <w:color w:val="auto"/>
              </w:rPr>
            </w:pPr>
            <w:r>
              <w:rPr>
                <w:rFonts w:ascii="Arial" w:cs="Arial" w:eastAsia="Arial" w:hAnsi="Arial"/>
                <w:sz w:val="18"/>
                <w:szCs w:val="18"/>
                <w:color w:val="auto"/>
              </w:rPr>
              <w:t>Research and design</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5780" w:type="dxa"/>
            <w:vAlign w:val="bottom"/>
            <w:gridSpan w:val="2"/>
          </w:tcPr>
          <w:p>
            <w:pPr>
              <w:jc w:val="center"/>
              <w:ind w:right="520"/>
              <w:spacing w:after="0"/>
              <w:rPr>
                <w:sz w:val="20"/>
                <w:szCs w:val="20"/>
                <w:color w:val="auto"/>
              </w:rPr>
            </w:pPr>
            <w:r>
              <w:rPr>
                <w:rFonts w:ascii="Arial" w:cs="Arial" w:eastAsia="Arial" w:hAnsi="Arial"/>
                <w:sz w:val="18"/>
                <w:szCs w:val="18"/>
                <w:b w:val="1"/>
                <w:bCs w:val="1"/>
                <w:color w:val="auto"/>
                <w:w w:val="88"/>
              </w:rPr>
              <w:t>Total</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1,474,000</w:t>
            </w:r>
          </w:p>
        </w:tc>
        <w:tc>
          <w:tcPr>
            <w:tcW w:w="20" w:type="dxa"/>
            <w:vAlign w:val="bottom"/>
            <w:tcBorders>
              <w:bottom w:val="single" w:sz="8" w:color="auto"/>
            </w:tcBorders>
          </w:tcPr>
          <w:p>
            <w:pPr>
              <w:spacing w:after="0"/>
              <w:rPr>
                <w:sz w:val="19"/>
                <w:szCs w:val="19"/>
                <w:color w:val="auto"/>
              </w:rPr>
            </w:pPr>
          </w:p>
        </w:tc>
        <w:tc>
          <w:tcPr>
            <w:tcW w:w="620" w:type="dxa"/>
            <w:vAlign w:val="bottom"/>
          </w:tcPr>
          <w:p>
            <w:pPr>
              <w:spacing w:after="0"/>
              <w:rPr>
                <w:sz w:val="19"/>
                <w:szCs w:val="19"/>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802,000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600" w:type="dxa"/>
            <w:vAlign w:val="bottom"/>
            <w:tcBorders>
              <w:bottom w:val="single" w:sz="8" w:color="auto"/>
            </w:tcBorders>
          </w:tcPr>
          <w:p>
            <w:pPr>
              <w:spacing w:after="0"/>
              <w:rPr>
                <w:sz w:val="8"/>
                <w:szCs w:val="8"/>
                <w:color w:val="auto"/>
              </w:rPr>
            </w:pPr>
          </w:p>
        </w:tc>
        <w:tc>
          <w:tcPr>
            <w:tcW w:w="560" w:type="dxa"/>
            <w:vAlign w:val="bottom"/>
            <w:tcBorders>
              <w:bottom w:val="single" w:sz="8" w:color="auto"/>
            </w:tcBorders>
          </w:tcPr>
          <w:p>
            <w:pPr>
              <w:spacing w:after="0"/>
              <w:rPr>
                <w:sz w:val="8"/>
                <w:szCs w:val="8"/>
                <w:color w:val="auto"/>
              </w:rPr>
            </w:pPr>
          </w:p>
        </w:tc>
        <w:tc>
          <w:tcPr>
            <w:tcW w:w="1640" w:type="dxa"/>
            <w:vAlign w:val="bottom"/>
          </w:tcPr>
          <w:p>
            <w:pPr>
              <w:spacing w:after="0"/>
              <w:rPr>
                <w:sz w:val="8"/>
                <w:szCs w:val="8"/>
                <w:color w:val="auto"/>
              </w:rPr>
            </w:pPr>
          </w:p>
        </w:tc>
        <w:tc>
          <w:tcPr>
            <w:tcW w:w="5240" w:type="dxa"/>
            <w:vAlign w:val="bottom"/>
          </w:tcPr>
          <w:p>
            <w:pPr>
              <w:spacing w:after="0"/>
              <w:rPr>
                <w:sz w:val="8"/>
                <w:szCs w:val="8"/>
                <w:color w:val="auto"/>
              </w:rPr>
            </w:pPr>
          </w:p>
        </w:tc>
        <w:tc>
          <w:tcPr>
            <w:tcW w:w="540" w:type="dxa"/>
            <w:vAlign w:val="bottom"/>
          </w:tcPr>
          <w:p>
            <w:pPr>
              <w:spacing w:after="0"/>
              <w:rPr>
                <w:sz w:val="8"/>
                <w:szCs w:val="8"/>
                <w:color w:val="auto"/>
              </w:rPr>
            </w:pPr>
          </w:p>
        </w:tc>
        <w:tc>
          <w:tcPr>
            <w:tcW w:w="960" w:type="dxa"/>
            <w:vAlign w:val="bottom"/>
          </w:tcPr>
          <w:p>
            <w:pPr>
              <w:spacing w:after="0"/>
              <w:rPr>
                <w:sz w:val="8"/>
                <w:szCs w:val="8"/>
                <w:color w:val="auto"/>
              </w:rPr>
            </w:pPr>
          </w:p>
        </w:tc>
        <w:tc>
          <w:tcPr>
            <w:tcW w:w="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hanging="452"/>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Lease terms expire in various years from 2016 through 2021.</w:t>
      </w:r>
    </w:p>
    <w:p>
      <w:pPr>
        <w:spacing w:after="0" w:line="171"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We also lease smaller facilities in Germany, India, Italy, Japan, Malaysia, South Korea, Spain and Taiwan, which are occupied by administrative, sales, design and field application personnel. Based upon our estimates of future hiring, we believe that our current facilities in most locations will be adequate to meet our requirements at least through the next fiscal year.</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information set forth under “Note 10 — Commitments and Contingencies” in our Notes to the Consolidated Financial Statements set forth in Part II, Item 8 of this Annual Report on Form 10-K is incorporated herein by reference. For additional discussion of certain risks associated with legal proceedings, please see Part I, Item 1A, “Risk Factors” above.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Mine Safety Disclosures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12" w:lineRule="exact"/>
        <w:rPr>
          <w:sz w:val="20"/>
          <w:szCs w:val="20"/>
          <w:color w:val="auto"/>
        </w:rPr>
      </w:pPr>
    </w:p>
    <w:p>
      <w:pPr>
        <w:ind w:right="2220"/>
        <w:spacing w:after="0" w:line="347" w:lineRule="auto"/>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Shareholder Matters and Issuer Purchases of Equity Securities</w:t>
      </w:r>
      <w:r>
        <w:rPr>
          <w:rFonts w:ascii="Arial" w:cs="Arial" w:eastAsia="Arial" w:hAnsi="Arial"/>
          <w:sz w:val="18"/>
          <w:szCs w:val="18"/>
          <w:b w:val="1"/>
          <w:bCs w:val="1"/>
          <w:color w:val="auto"/>
        </w:rPr>
        <w:t xml:space="preserve"> Market Information</w:t>
      </w:r>
    </w:p>
    <w:p>
      <w:pPr>
        <w:spacing w:after="0" w:line="2"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For fiscal 2016 and fiscal 2015, the following table shows for the periods indicated the high and low sales prices for our common shares on the NASDAQ Global Select Market.</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40" w:type="dxa"/>
            <w:vAlign w:val="bottom"/>
            <w:gridSpan w:val="6"/>
          </w:tcPr>
          <w:p>
            <w:pPr>
              <w:jc w:val="right"/>
              <w:ind w:right="800"/>
              <w:spacing w:after="0"/>
              <w:rPr>
                <w:sz w:val="20"/>
                <w:szCs w:val="20"/>
                <w:color w:val="auto"/>
              </w:rPr>
            </w:pPr>
            <w:r>
              <w:rPr>
                <w:rFonts w:ascii="Arial" w:cs="Arial" w:eastAsia="Arial" w:hAnsi="Arial"/>
                <w:sz w:val="14"/>
                <w:szCs w:val="14"/>
                <w:b w:val="1"/>
                <w:bCs w:val="1"/>
                <w:color w:val="auto"/>
              </w:rPr>
              <w:t>Fiscal 2016</w:t>
            </w:r>
          </w:p>
        </w:tc>
        <w:tc>
          <w:tcPr>
            <w:tcW w:w="1520" w:type="dxa"/>
            <w:vAlign w:val="bottom"/>
            <w:gridSpan w:val="4"/>
          </w:tcPr>
          <w:p>
            <w:pPr>
              <w:ind w:left="400"/>
              <w:spacing w:after="0"/>
              <w:rPr>
                <w:sz w:val="20"/>
                <w:szCs w:val="20"/>
                <w:color w:val="auto"/>
              </w:rPr>
            </w:pPr>
            <w:r>
              <w:rPr>
                <w:rFonts w:ascii="Arial" w:cs="Arial" w:eastAsia="Arial" w:hAnsi="Arial"/>
                <w:sz w:val="14"/>
                <w:szCs w:val="14"/>
                <w:b w:val="1"/>
                <w:bCs w:val="1"/>
                <w:color w:val="auto"/>
              </w:rPr>
              <w:t>Fiscal 2015</w:t>
            </w:r>
          </w:p>
        </w:tc>
      </w:tr>
      <w:tr>
        <w:trPr>
          <w:trHeight w:val="142"/>
        </w:trPr>
        <w:tc>
          <w:tcPr>
            <w:tcW w:w="458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rPr>
              <w:t>High</w:t>
            </w:r>
          </w:p>
        </w:tc>
        <w:tc>
          <w:tcPr>
            <w:tcW w:w="2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420" w:type="dxa"/>
            <w:vAlign w:val="bottom"/>
          </w:tcPr>
          <w:p>
            <w:pPr>
              <w:spacing w:after="0"/>
              <w:rPr>
                <w:sz w:val="12"/>
                <w:szCs w:val="12"/>
                <w:color w:val="auto"/>
              </w:rPr>
            </w:pPr>
          </w:p>
        </w:tc>
        <w:tc>
          <w:tcPr>
            <w:tcW w:w="920" w:type="dxa"/>
            <w:vAlign w:val="bottom"/>
            <w:tcBorders>
              <w:top w:val="single" w:sz="8" w:color="auto"/>
            </w:tcBorders>
            <w:gridSpan w:val="2"/>
          </w:tcPr>
          <w:p>
            <w:pPr>
              <w:jc w:val="center"/>
              <w:ind w:right="400"/>
              <w:spacing w:after="0" w:line="142" w:lineRule="exact"/>
              <w:rPr>
                <w:sz w:val="20"/>
                <w:szCs w:val="20"/>
                <w:color w:val="auto"/>
              </w:rPr>
            </w:pPr>
            <w:r>
              <w:rPr>
                <w:rFonts w:ascii="Arial" w:cs="Arial" w:eastAsia="Arial" w:hAnsi="Arial"/>
                <w:sz w:val="14"/>
                <w:szCs w:val="14"/>
                <w:b w:val="1"/>
                <w:bCs w:val="1"/>
                <w:color w:val="auto"/>
                <w:w w:val="89"/>
              </w:rPr>
              <w:t>High</w:t>
            </w:r>
          </w:p>
        </w:tc>
        <w:tc>
          <w:tcPr>
            <w:tcW w:w="5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2"/>
              </w:rPr>
              <w:t>Low</w:t>
            </w:r>
          </w:p>
        </w:tc>
        <w:tc>
          <w:tcPr>
            <w:tcW w:w="100" w:type="dxa"/>
            <w:vAlign w:val="bottom"/>
          </w:tcPr>
          <w:p>
            <w:pPr>
              <w:spacing w:after="0"/>
              <w:rPr>
                <w:sz w:val="12"/>
                <w:szCs w:val="12"/>
                <w:color w:val="auto"/>
              </w:rPr>
            </w:pPr>
          </w:p>
        </w:tc>
      </w:tr>
      <w:tr>
        <w:trPr>
          <w:trHeight w:val="210"/>
        </w:trPr>
        <w:tc>
          <w:tcPr>
            <w:tcW w:w="45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First Quarter</w:t>
            </w:r>
          </w:p>
        </w:tc>
        <w:tc>
          <w:tcPr>
            <w:tcW w:w="35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16.78</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13.71</w:t>
            </w:r>
          </w:p>
        </w:tc>
        <w:tc>
          <w:tcPr>
            <w:tcW w:w="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$16.65</w:t>
            </w:r>
          </w:p>
        </w:tc>
        <w:tc>
          <w:tcPr>
            <w:tcW w:w="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$14.33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Second Quarter</w:t>
            </w:r>
          </w:p>
        </w:tc>
        <w:tc>
          <w:tcPr>
            <w:tcW w:w="3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200"/>
              <w:spacing w:after="0"/>
              <w:rPr>
                <w:sz w:val="20"/>
                <w:szCs w:val="20"/>
                <w:color w:val="auto"/>
              </w:rPr>
            </w:pPr>
            <w:r>
              <w:rPr>
                <w:rFonts w:ascii="Arial" w:cs="Arial" w:eastAsia="Arial" w:hAnsi="Arial"/>
                <w:sz w:val="18"/>
                <w:szCs w:val="18"/>
                <w:color w:val="auto"/>
                <w:w w:val="88"/>
              </w:rPr>
              <w:t>14.73</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420"/>
              <w:spacing w:after="0"/>
              <w:rPr>
                <w:sz w:val="20"/>
                <w:szCs w:val="20"/>
                <w:color w:val="auto"/>
              </w:rPr>
            </w:pPr>
            <w:r>
              <w:rPr>
                <w:rFonts w:ascii="Arial" w:cs="Arial" w:eastAsia="Arial" w:hAnsi="Arial"/>
                <w:sz w:val="18"/>
                <w:szCs w:val="18"/>
                <w:color w:val="auto"/>
                <w:w w:val="84"/>
              </w:rPr>
              <w:t>11.95</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$16.09</w:t>
            </w:r>
          </w:p>
        </w:tc>
        <w:tc>
          <w:tcPr>
            <w:tcW w:w="420" w:type="dxa"/>
            <w:vAlign w:val="bottom"/>
          </w:tcPr>
          <w:p>
            <w:pPr>
              <w:spacing w:after="0"/>
              <w:rPr>
                <w:sz w:val="18"/>
                <w:szCs w:val="18"/>
                <w:color w:val="auto"/>
              </w:rPr>
            </w:pP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$13.10</w:t>
            </w:r>
          </w:p>
        </w:tc>
        <w:tc>
          <w:tcPr>
            <w:tcW w:w="100" w:type="dxa"/>
            <w:vAlign w:val="bottom"/>
          </w:tcPr>
          <w:p>
            <w:pPr>
              <w:spacing w:after="0"/>
              <w:rPr>
                <w:sz w:val="18"/>
                <w:szCs w:val="18"/>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3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8"/>
              </w:rPr>
              <w:t>13.35</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7.55</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$14.25</w:t>
            </w:r>
          </w:p>
        </w:tc>
        <w:tc>
          <w:tcPr>
            <w:tcW w:w="420" w:type="dxa"/>
            <w:vAlign w:val="bottom"/>
            <w:shd w:val="clear" w:color="auto" w:fill="CCEEFF"/>
          </w:tcPr>
          <w:p>
            <w:pPr>
              <w:spacing w:after="0"/>
              <w:rPr>
                <w:sz w:val="18"/>
                <w:szCs w:val="18"/>
                <w:color w:val="auto"/>
              </w:rPr>
            </w:pP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$ 11.65</w:t>
            </w:r>
          </w:p>
        </w:tc>
        <w:tc>
          <w:tcPr>
            <w:tcW w:w="100" w:type="dxa"/>
            <w:vAlign w:val="bottom"/>
            <w:shd w:val="clear" w:color="auto" w:fill="CCEEFF"/>
          </w:tcPr>
          <w:p>
            <w:pPr>
              <w:spacing w:after="0"/>
              <w:rPr>
                <w:sz w:val="18"/>
                <w:szCs w:val="18"/>
                <w:color w:val="auto"/>
              </w:rPr>
            </w:pP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Fourth Quarter</w:t>
            </w:r>
          </w:p>
        </w:tc>
        <w:tc>
          <w:tcPr>
            <w:tcW w:w="3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200"/>
              <w:spacing w:after="0"/>
              <w:rPr>
                <w:sz w:val="20"/>
                <w:szCs w:val="20"/>
                <w:color w:val="auto"/>
              </w:rPr>
            </w:pPr>
            <w:r>
              <w:rPr>
                <w:rFonts w:ascii="Arial" w:cs="Arial" w:eastAsia="Arial" w:hAnsi="Arial"/>
                <w:sz w:val="18"/>
                <w:szCs w:val="18"/>
                <w:color w:val="auto"/>
              </w:rPr>
              <w:t>9.62</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420"/>
              <w:spacing w:after="0"/>
              <w:rPr>
                <w:sz w:val="20"/>
                <w:szCs w:val="20"/>
                <w:color w:val="auto"/>
              </w:rPr>
            </w:pPr>
            <w:r>
              <w:rPr>
                <w:rFonts w:ascii="Arial" w:cs="Arial" w:eastAsia="Arial" w:hAnsi="Arial"/>
                <w:sz w:val="18"/>
                <w:szCs w:val="18"/>
                <w:color w:val="auto"/>
              </w:rPr>
              <w:t>7.40</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$16.19</w:t>
            </w:r>
          </w:p>
        </w:tc>
        <w:tc>
          <w:tcPr>
            <w:tcW w:w="420" w:type="dxa"/>
            <w:vAlign w:val="bottom"/>
          </w:tcPr>
          <w:p>
            <w:pPr>
              <w:spacing w:after="0"/>
              <w:rPr>
                <w:sz w:val="19"/>
                <w:szCs w:val="19"/>
                <w:color w:val="auto"/>
              </w:rPr>
            </w:pP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$12.76</w:t>
            </w:r>
          </w:p>
        </w:tc>
        <w:tc>
          <w:tcPr>
            <w:tcW w:w="100" w:type="dxa"/>
            <w:vAlign w:val="bottom"/>
          </w:tcPr>
          <w:p>
            <w:pPr>
              <w:spacing w:after="0"/>
              <w:rPr>
                <w:sz w:val="19"/>
                <w:szCs w:val="19"/>
                <w:color w:val="auto"/>
              </w:rPr>
            </w:pPr>
          </w:p>
        </w:tc>
      </w:tr>
    </w:tbl>
    <w:p>
      <w:pPr>
        <w:spacing w:after="0" w:line="147"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As of July 11, 2016, the approximate number of record holders of our common shares was 131 (not including beneficial owners of stock held in street name).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32"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January 29, 2011 through January 30, 2016. The graph compares a $100 investment on January 29, 2011 in our common share with a $100 investment on January 31, 2011 in each index and assumes that any dividends were reinvested.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121920</wp:posOffset>
            </wp:positionV>
            <wp:extent cx="4776470" cy="427101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4776470" cy="42710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3300" w:type="dxa"/>
            <w:vAlign w:val="bottom"/>
            <w:gridSpan w:val="2"/>
          </w:tcPr>
          <w:p>
            <w:pPr>
              <w:ind w:left="2800"/>
              <w:spacing w:after="0"/>
              <w:rPr>
                <w:sz w:val="20"/>
                <w:szCs w:val="20"/>
                <w:color w:val="auto"/>
              </w:rPr>
            </w:pPr>
            <w:r>
              <w:rPr>
                <w:rFonts w:ascii="Arial" w:cs="Arial" w:eastAsia="Arial" w:hAnsi="Arial"/>
                <w:sz w:val="14"/>
                <w:szCs w:val="14"/>
                <w:b w:val="1"/>
                <w:bCs w:val="1"/>
                <w:color w:val="auto"/>
              </w:rPr>
              <w:t>1/29/11</w:t>
            </w:r>
          </w:p>
        </w:tc>
        <w:tc>
          <w:tcPr>
            <w:tcW w:w="2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rPr>
              <w:t>1/28/12</w:t>
            </w:r>
          </w:p>
        </w:tc>
        <w:tc>
          <w:tcPr>
            <w:tcW w:w="200" w:type="dxa"/>
            <w:vAlign w:val="bottom"/>
          </w:tcPr>
          <w:p>
            <w:pPr>
              <w:spacing w:after="0"/>
              <w:rPr>
                <w:sz w:val="14"/>
                <w:szCs w:val="14"/>
                <w:color w:val="auto"/>
              </w:rPr>
            </w:pPr>
          </w:p>
        </w:tc>
        <w:tc>
          <w:tcPr>
            <w:tcW w:w="580" w:type="dxa"/>
            <w:vAlign w:val="bottom"/>
          </w:tcPr>
          <w:p>
            <w:pPr>
              <w:jc w:val="right"/>
              <w:ind w:right="37"/>
              <w:spacing w:after="0"/>
              <w:rPr>
                <w:sz w:val="20"/>
                <w:szCs w:val="20"/>
                <w:color w:val="auto"/>
              </w:rPr>
            </w:pPr>
            <w:r>
              <w:rPr>
                <w:rFonts w:ascii="Arial" w:cs="Arial" w:eastAsia="Arial" w:hAnsi="Arial"/>
                <w:sz w:val="14"/>
                <w:szCs w:val="14"/>
                <w:b w:val="1"/>
                <w:bCs w:val="1"/>
                <w:color w:val="auto"/>
              </w:rPr>
              <w:t>2/2/13</w:t>
            </w:r>
          </w:p>
        </w:tc>
        <w:tc>
          <w:tcPr>
            <w:tcW w:w="200" w:type="dxa"/>
            <w:vAlign w:val="bottom"/>
          </w:tcPr>
          <w:p>
            <w:pPr>
              <w:spacing w:after="0"/>
              <w:rPr>
                <w:sz w:val="14"/>
                <w:szCs w:val="14"/>
                <w:color w:val="auto"/>
              </w:rPr>
            </w:pPr>
          </w:p>
        </w:tc>
        <w:tc>
          <w:tcPr>
            <w:tcW w:w="600" w:type="dxa"/>
            <w:vAlign w:val="bottom"/>
          </w:tcPr>
          <w:p>
            <w:pPr>
              <w:jc w:val="right"/>
              <w:ind w:right="37"/>
              <w:spacing w:after="0"/>
              <w:rPr>
                <w:sz w:val="20"/>
                <w:szCs w:val="20"/>
                <w:color w:val="auto"/>
              </w:rPr>
            </w:pPr>
            <w:r>
              <w:rPr>
                <w:rFonts w:ascii="Arial" w:cs="Arial" w:eastAsia="Arial" w:hAnsi="Arial"/>
                <w:sz w:val="14"/>
                <w:szCs w:val="14"/>
                <w:b w:val="1"/>
                <w:bCs w:val="1"/>
                <w:color w:val="auto"/>
              </w:rPr>
              <w:t>2/1/14</w:t>
            </w:r>
          </w:p>
        </w:tc>
        <w:tc>
          <w:tcPr>
            <w:tcW w:w="200" w:type="dxa"/>
            <w:vAlign w:val="bottom"/>
          </w:tcPr>
          <w:p>
            <w:pPr>
              <w:spacing w:after="0"/>
              <w:rPr>
                <w:sz w:val="14"/>
                <w:szCs w:val="14"/>
                <w:color w:val="auto"/>
              </w:rPr>
            </w:pPr>
          </w:p>
        </w:tc>
        <w:tc>
          <w:tcPr>
            <w:tcW w:w="600" w:type="dxa"/>
            <w:vAlign w:val="bottom"/>
          </w:tcPr>
          <w:p>
            <w:pPr>
              <w:jc w:val="right"/>
              <w:ind w:right="17"/>
              <w:spacing w:after="0"/>
              <w:rPr>
                <w:sz w:val="20"/>
                <w:szCs w:val="20"/>
                <w:color w:val="auto"/>
              </w:rPr>
            </w:pPr>
            <w:r>
              <w:rPr>
                <w:rFonts w:ascii="Arial" w:cs="Arial" w:eastAsia="Arial" w:hAnsi="Arial"/>
                <w:sz w:val="14"/>
                <w:szCs w:val="14"/>
                <w:b w:val="1"/>
                <w:bCs w:val="1"/>
                <w:color w:val="auto"/>
              </w:rPr>
              <w:t>1/31/15</w:t>
            </w:r>
          </w:p>
        </w:tc>
        <w:tc>
          <w:tcPr>
            <w:tcW w:w="220" w:type="dxa"/>
            <w:vAlign w:val="bottom"/>
          </w:tcPr>
          <w:p>
            <w:pPr>
              <w:spacing w:after="0"/>
              <w:rPr>
                <w:sz w:val="14"/>
                <w:szCs w:val="14"/>
                <w:color w:val="auto"/>
              </w:rPr>
            </w:pPr>
          </w:p>
        </w:tc>
        <w:tc>
          <w:tcPr>
            <w:tcW w:w="600" w:type="dxa"/>
            <w:vAlign w:val="bottom"/>
          </w:tcPr>
          <w:p>
            <w:pPr>
              <w:jc w:val="right"/>
              <w:ind w:right="17"/>
              <w:spacing w:after="0"/>
              <w:rPr>
                <w:sz w:val="20"/>
                <w:szCs w:val="20"/>
                <w:color w:val="auto"/>
              </w:rPr>
            </w:pPr>
            <w:r>
              <w:rPr>
                <w:rFonts w:ascii="Arial" w:cs="Arial" w:eastAsia="Arial" w:hAnsi="Arial"/>
                <w:sz w:val="14"/>
                <w:szCs w:val="14"/>
                <w:b w:val="1"/>
                <w:bCs w:val="1"/>
                <w:color w:val="auto"/>
              </w:rPr>
              <w:t>1/30/16</w:t>
            </w:r>
          </w:p>
        </w:tc>
        <w:tc>
          <w:tcPr>
            <w:tcW w:w="120" w:type="dxa"/>
            <w:vAlign w:val="bottom"/>
          </w:tcPr>
          <w:p>
            <w:pPr>
              <w:spacing w:after="0"/>
              <w:rPr>
                <w:sz w:val="14"/>
                <w:szCs w:val="14"/>
                <w:color w:val="auto"/>
              </w:rPr>
            </w:pPr>
          </w:p>
        </w:tc>
      </w:tr>
      <w:tr>
        <w:trPr>
          <w:trHeight w:val="210"/>
        </w:trPr>
        <w:tc>
          <w:tcPr>
            <w:tcW w:w="4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Marvell Technology Group Ltd.</w:t>
            </w:r>
          </w:p>
        </w:tc>
        <w:tc>
          <w:tcPr>
            <w:tcW w:w="27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100.00</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82.41</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50.49</w:t>
            </w:r>
          </w:p>
        </w:tc>
        <w:tc>
          <w:tcPr>
            <w:tcW w:w="20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80.94</w:t>
            </w:r>
          </w:p>
        </w:tc>
        <w:tc>
          <w:tcPr>
            <w:tcW w:w="20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85.34</w:t>
            </w:r>
          </w:p>
        </w:tc>
        <w:tc>
          <w:tcPr>
            <w:tcW w:w="2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49.83</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4020" w:type="dxa"/>
            <w:vAlign w:val="bottom"/>
          </w:tcPr>
          <w:p>
            <w:pPr>
              <w:spacing w:after="0"/>
              <w:rPr>
                <w:sz w:val="20"/>
                <w:szCs w:val="20"/>
                <w:color w:val="auto"/>
              </w:rPr>
            </w:pPr>
            <w:r>
              <w:rPr>
                <w:rFonts w:ascii="Arial" w:cs="Arial" w:eastAsia="Arial" w:hAnsi="Arial"/>
                <w:sz w:val="18"/>
                <w:szCs w:val="18"/>
                <w:b w:val="1"/>
                <w:bCs w:val="1"/>
                <w:color w:val="auto"/>
              </w:rPr>
              <w:t>S&amp;P 500</w:t>
            </w:r>
          </w:p>
        </w:tc>
        <w:tc>
          <w:tcPr>
            <w:tcW w:w="3500" w:type="dxa"/>
            <w:vAlign w:val="bottom"/>
            <w:gridSpan w:val="3"/>
          </w:tcPr>
          <w:p>
            <w:pPr>
              <w:ind w:left="2820"/>
              <w:spacing w:after="0"/>
              <w:rPr>
                <w:sz w:val="20"/>
                <w:szCs w:val="20"/>
                <w:color w:val="auto"/>
              </w:rPr>
            </w:pPr>
            <w:r>
              <w:rPr>
                <w:rFonts w:ascii="Arial" w:cs="Arial" w:eastAsia="Arial" w:hAnsi="Arial"/>
                <w:sz w:val="18"/>
                <w:szCs w:val="18"/>
                <w:b w:val="1"/>
                <w:bCs w:val="1"/>
                <w:color w:val="auto"/>
              </w:rPr>
              <w:t>100.00</w:t>
            </w:r>
          </w:p>
        </w:tc>
        <w:tc>
          <w:tcPr>
            <w:tcW w:w="580" w:type="dxa"/>
            <w:vAlign w:val="bottom"/>
          </w:tcPr>
          <w:p>
            <w:pPr>
              <w:jc w:val="right"/>
              <w:spacing w:after="0"/>
              <w:rPr>
                <w:sz w:val="20"/>
                <w:szCs w:val="20"/>
                <w:color w:val="auto"/>
              </w:rPr>
            </w:pPr>
            <w:r>
              <w:rPr>
                <w:rFonts w:ascii="Arial" w:cs="Arial" w:eastAsia="Arial" w:hAnsi="Arial"/>
                <w:sz w:val="18"/>
                <w:szCs w:val="18"/>
                <w:b w:val="1"/>
                <w:bCs w:val="1"/>
                <w:color w:val="auto"/>
              </w:rPr>
              <w:t>104.22</w:t>
            </w:r>
          </w:p>
        </w:tc>
        <w:tc>
          <w:tcPr>
            <w:tcW w:w="2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b w:val="1"/>
                <w:bCs w:val="1"/>
                <w:color w:val="auto"/>
              </w:rPr>
              <w:t>121.71</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b w:val="1"/>
                <w:bCs w:val="1"/>
                <w:color w:val="auto"/>
              </w:rPr>
              <w:t>147.89</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b w:val="1"/>
                <w:bCs w:val="1"/>
                <w:color w:val="auto"/>
              </w:rPr>
              <w:t>168.93</w:t>
            </w:r>
          </w:p>
        </w:tc>
        <w:tc>
          <w:tcPr>
            <w:tcW w:w="600" w:type="dxa"/>
            <w:vAlign w:val="bottom"/>
          </w:tcPr>
          <w:p>
            <w:pPr>
              <w:jc w:val="right"/>
              <w:spacing w:after="0"/>
              <w:rPr>
                <w:sz w:val="20"/>
                <w:szCs w:val="20"/>
                <w:color w:val="auto"/>
              </w:rPr>
            </w:pPr>
            <w:r>
              <w:rPr>
                <w:rFonts w:ascii="Arial" w:cs="Arial" w:eastAsia="Arial" w:hAnsi="Arial"/>
                <w:sz w:val="18"/>
                <w:szCs w:val="18"/>
                <w:b w:val="1"/>
                <w:bCs w:val="1"/>
                <w:color w:val="auto"/>
              </w:rPr>
              <w:t>167.81</w:t>
            </w:r>
          </w:p>
        </w:tc>
        <w:tc>
          <w:tcPr>
            <w:tcW w:w="120" w:type="dxa"/>
            <w:vAlign w:val="bottom"/>
          </w:tcPr>
          <w:p>
            <w:pPr>
              <w:spacing w:after="0"/>
              <w:rPr>
                <w:sz w:val="18"/>
                <w:szCs w:val="18"/>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PHLX Semiconductor</w:t>
            </w:r>
          </w:p>
        </w:tc>
        <w:tc>
          <w:tcPr>
            <w:tcW w:w="3500" w:type="dxa"/>
            <w:vAlign w:val="bottom"/>
            <w:gridSpan w:val="3"/>
            <w:shd w:val="clear" w:color="auto" w:fill="CCEEFF"/>
          </w:tcPr>
          <w:p>
            <w:pPr>
              <w:ind w:left="2820"/>
              <w:spacing w:after="0"/>
              <w:rPr>
                <w:sz w:val="20"/>
                <w:szCs w:val="20"/>
                <w:color w:val="auto"/>
              </w:rPr>
            </w:pPr>
            <w:r>
              <w:rPr>
                <w:rFonts w:ascii="Arial" w:cs="Arial" w:eastAsia="Arial" w:hAnsi="Arial"/>
                <w:sz w:val="18"/>
                <w:szCs w:val="18"/>
                <w:b w:val="1"/>
                <w:bCs w:val="1"/>
                <w:color w:val="auto"/>
              </w:rPr>
              <w:t>100.00</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105.96</w:t>
            </w: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114.50</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138.52</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b w:val="1"/>
                <w:bCs w:val="1"/>
                <w:color w:val="auto"/>
              </w:rPr>
              <w:t>170.56</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157.20</w:t>
            </w:r>
          </w:p>
        </w:tc>
        <w:tc>
          <w:tcPr>
            <w:tcW w:w="120" w:type="dxa"/>
            <w:vAlign w:val="bottom"/>
            <w:shd w:val="clear" w:color="auto" w:fill="CCEEFF"/>
          </w:tcPr>
          <w:p>
            <w:pPr>
              <w:spacing w:after="0"/>
              <w:rPr>
                <w:sz w:val="18"/>
                <w:szCs w:val="18"/>
                <w:color w:val="auto"/>
              </w:rPr>
            </w:pPr>
          </w:p>
        </w:tc>
      </w:tr>
      <w:tr>
        <w:trPr>
          <w:trHeight w:val="363"/>
        </w:trPr>
        <w:tc>
          <w:tcPr>
            <w:tcW w:w="4020" w:type="dxa"/>
            <w:vAlign w:val="bottom"/>
          </w:tcPr>
          <w:p>
            <w:pPr>
              <w:spacing w:after="0"/>
              <w:rPr>
                <w:sz w:val="24"/>
                <w:szCs w:val="24"/>
                <w:color w:val="auto"/>
              </w:rPr>
            </w:pPr>
          </w:p>
        </w:tc>
        <w:tc>
          <w:tcPr>
            <w:tcW w:w="2720" w:type="dxa"/>
            <w:vAlign w:val="bottom"/>
          </w:tcPr>
          <w:p>
            <w:pPr>
              <w:jc w:val="right"/>
              <w:ind w:right="857"/>
              <w:spacing w:after="0"/>
              <w:rPr>
                <w:sz w:val="20"/>
                <w:szCs w:val="20"/>
                <w:color w:val="auto"/>
              </w:rPr>
            </w:pPr>
            <w:r>
              <w:rPr>
                <w:rFonts w:ascii="Arial" w:cs="Arial" w:eastAsia="Arial" w:hAnsi="Arial"/>
                <w:sz w:val="18"/>
                <w:szCs w:val="18"/>
                <w:color w:val="auto"/>
              </w:rPr>
              <w:t>34</w:t>
            </w: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96"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Our board of directors declared quarterly cash dividends of $0.06 per share payable to holders of our common shares in each quarter of fiscal 2016, fiscal 2015, and fiscal 2014. As a result, we paid total cash dividends of $122.8 million in both fiscal 2016 and 2015, and $119.4 million in fiscal 2014.</w:t>
      </w:r>
    </w:p>
    <w:p>
      <w:pPr>
        <w:spacing w:after="0" w:line="85"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and its shareholders, the Company’s results of operations, cash balances and future cash requirements, financial condition, statutory requirements under Bermuda law and other factors that the Company’s board of directors may deem relevant. The Company’s dividend payments may change from time to time, and we cannot provide assurance that we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common shares repurchased during the three months ended January 30, 2016.</w:t>
      </w:r>
    </w:p>
    <w:p>
      <w:pPr>
        <w:spacing w:after="0" w:line="171" w:lineRule="exact"/>
        <w:rPr>
          <w:sz w:val="20"/>
          <w:szCs w:val="20"/>
          <w:color w:val="auto"/>
        </w:rPr>
      </w:pPr>
    </w:p>
    <w:p>
      <w:pPr>
        <w:ind w:right="40" w:firstLine="456"/>
        <w:spacing w:after="0" w:line="314" w:lineRule="auto"/>
        <w:rPr>
          <w:sz w:val="20"/>
          <w:szCs w:val="20"/>
          <w:color w:val="auto"/>
        </w:rPr>
      </w:pPr>
      <w:r>
        <w:rPr>
          <w:rFonts w:ascii="Arial" w:cs="Arial" w:eastAsia="Arial" w:hAnsi="Arial"/>
          <w:sz w:val="15"/>
          <w:szCs w:val="15"/>
          <w:color w:val="auto"/>
        </w:rPr>
        <w:t>In August 2010, our board of directors initially authorized our current share repurchase program to repurchase up to $500 million of our outstanding common shares. Our board of directors authorized an additional $1.5 billion in fiscal 2012, $1.0 billion in fiscal 2013 and $250 million in fiscal 2015 to be used to repurchase our common shares under the share repurchase program for a total available under the program of $3.25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05"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As of January 30, 2016, a total 241.6 million shares have been repurchased to date under the Company’s share repurchase program for a total $3.1 billion in cash and $182.6 million was available for future share repurchases. The Company has made no share repurchases since August 24, 2015.</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14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w w:val="93"/>
              </w:rPr>
              <w:t>January 30,</w:t>
            </w:r>
          </w:p>
        </w:tc>
        <w:tc>
          <w:tcPr>
            <w:tcW w:w="98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0"/>
              </w:rPr>
              <w:t>January 31,</w:t>
            </w:r>
          </w:p>
        </w:tc>
        <w:tc>
          <w:tcPr>
            <w:tcW w:w="16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February 1,</w:t>
            </w:r>
          </w:p>
        </w:tc>
        <w:tc>
          <w:tcPr>
            <w:tcW w:w="300" w:type="dxa"/>
            <w:vAlign w:val="bottom"/>
          </w:tcPr>
          <w:p>
            <w:pPr>
              <w:spacing w:after="0"/>
              <w:rPr>
                <w:sz w:val="14"/>
                <w:szCs w:val="14"/>
                <w:color w:val="auto"/>
              </w:rPr>
            </w:pPr>
          </w:p>
        </w:tc>
        <w:tc>
          <w:tcPr>
            <w:tcW w:w="840" w:type="dxa"/>
            <w:vAlign w:val="bottom"/>
            <w:gridSpan w:val="2"/>
          </w:tcPr>
          <w:p>
            <w:pPr>
              <w:jc w:val="right"/>
              <w:spacing w:after="0"/>
              <w:rPr>
                <w:sz w:val="20"/>
                <w:szCs w:val="20"/>
                <w:color w:val="auto"/>
              </w:rPr>
            </w:pPr>
            <w:r>
              <w:rPr>
                <w:rFonts w:ascii="Arial" w:cs="Arial" w:eastAsia="Arial" w:hAnsi="Arial"/>
                <w:sz w:val="14"/>
                <w:szCs w:val="14"/>
                <w:b w:val="1"/>
                <w:bCs w:val="1"/>
                <w:color w:val="auto"/>
                <w:w w:val="97"/>
              </w:rPr>
              <w:t>February 2,</w:t>
            </w:r>
          </w:p>
        </w:tc>
        <w:tc>
          <w:tcPr>
            <w:tcW w:w="300" w:type="dxa"/>
            <w:vAlign w:val="bottom"/>
          </w:tcPr>
          <w:p>
            <w:pPr>
              <w:spacing w:after="0"/>
              <w:rPr>
                <w:sz w:val="14"/>
                <w:szCs w:val="14"/>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5"/>
              </w:rPr>
              <w:t>January 28,</w:t>
            </w: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9"/>
              </w:rPr>
              <w:t>2016 (1)</w:t>
            </w: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2015 (2)</w:t>
            </w:r>
          </w:p>
        </w:tc>
        <w:tc>
          <w:tcPr>
            <w:tcW w:w="1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2014 (3)</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5"/>
              </w:rPr>
              <w:t>2013 (4)</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9"/>
              </w:rPr>
              <w:t>2012 (5)</w:t>
            </w:r>
          </w:p>
        </w:tc>
        <w:tc>
          <w:tcPr>
            <w:tcW w:w="10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560" w:type="dxa"/>
            <w:vAlign w:val="bottom"/>
            <w:gridSpan w:val="13"/>
          </w:tcPr>
          <w:p>
            <w:pPr>
              <w:jc w:val="right"/>
              <w:spacing w:after="0" w:line="142" w:lineRule="exact"/>
              <w:rPr>
                <w:sz w:val="20"/>
                <w:szCs w:val="20"/>
                <w:color w:val="auto"/>
              </w:rPr>
            </w:pPr>
            <w:r>
              <w:rPr>
                <w:rFonts w:ascii="Arial" w:cs="Arial" w:eastAsia="Arial" w:hAnsi="Arial"/>
                <w:sz w:val="14"/>
                <w:szCs w:val="14"/>
                <w:b w:val="1"/>
                <w:bCs w:val="1"/>
                <w:color w:val="auto"/>
                <w:w w:val="99"/>
              </w:rPr>
              <w:t>(in thousands, except per share amounts and number of employees)</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Statements of Operations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revenue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2,725,828</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3,706,963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3,404,400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3,168,630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3,393,040</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1,494,736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1,843,706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1,663,730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1,493,497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1,465,805</w:t>
            </w:r>
          </w:p>
        </w:tc>
      </w:tr>
      <w:tr>
        <w:trPr>
          <w:trHeight w:val="216"/>
        </w:trPr>
        <w:tc>
          <w:tcPr>
            <w:tcW w:w="20" w:type="dxa"/>
            <w:vAlign w:val="bottom"/>
          </w:tcPr>
          <w:p>
            <w:pPr>
              <w:spacing w:after="0"/>
              <w:rPr>
                <w:sz w:val="18"/>
                <w:szCs w:val="18"/>
                <w:color w:val="auto"/>
              </w:rPr>
            </w:pPr>
          </w:p>
        </w:tc>
        <w:tc>
          <w:tcPr>
            <w:tcW w:w="59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1,054,257</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1,158,810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1,153,999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1,057,398</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1,012,950</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(816,739)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408,819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280,691</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294,657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604,146</w:t>
            </w:r>
          </w:p>
        </w:tc>
      </w:tr>
      <w:tr>
        <w:trPr>
          <w:trHeight w:val="223"/>
        </w:trPr>
        <w:tc>
          <w:tcPr>
            <w:tcW w:w="20" w:type="dxa"/>
            <w:vAlign w:val="bottom"/>
          </w:tcPr>
          <w:p>
            <w:pPr>
              <w:spacing w:after="0"/>
              <w:rPr>
                <w:sz w:val="19"/>
                <w:szCs w:val="19"/>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income (loss)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w w:val="98"/>
              </w:rPr>
              <w:t>(811,400)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435,346</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315,320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306,585</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615,091</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w:t>
            </w: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Basic</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(1.59)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0.85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0.64</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0.55</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1.01</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(1.59)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0.84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0.63</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0.99</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Weighted average shares: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510,945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511,089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496,518</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555,310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607,857</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Diluted</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510,945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520,760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504,413</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563,123</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623,268</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2,282,749</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2,529,555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1,969,405</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1,918,990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2,246,498</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1,692,841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2,706,644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2,187,914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1,977,458</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2,489,407</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5,442,127</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5,884,387</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5,451,010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5,261,764</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5,767,619</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4,140,123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5,146,089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4,675,910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4,484,595</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5,014,018</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b w:val="1"/>
                <w:bCs w:val="1"/>
                <w:color w:val="auto"/>
              </w:rPr>
              <w:t>Other Data:</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Cash dividends declared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22"/>
        </w:trPr>
        <w:tc>
          <w:tcPr>
            <w:tcW w:w="20" w:type="dxa"/>
            <w:vAlign w:val="bottom"/>
          </w:tcPr>
          <w:p>
            <w:pPr>
              <w:spacing w:after="0"/>
              <w:rPr>
                <w:sz w:val="19"/>
                <w:szCs w:val="19"/>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Number of employees</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5,437</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7,163</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7,355</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7,259</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6,970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20" w:hanging="452"/>
        <w:spacing w:after="0" w:line="283" w:lineRule="auto"/>
        <w:tabs>
          <w:tab w:leader="none" w:pos="4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Fiscal 2016 includes $751.4 million of charges for litigation matters recognized by the Company including a charge of $736.0 million related to the $750 million settlement reached with CMU (see “Note 15 —Subsequent Events” in the Notes to the Consolidated Financial Statements set forth in Part II, Item 8 of this Annual Report on Form 10-K) and certain other pending litigation,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our Board of Directors of $15.4 million to Dr. Sehat Sutardja (see “Note 14 — Related Party Transactions” in the Notes to the Consolidated Financial Statements set forth in Part II, Item 8 of this Annual Report on Form 10-K) and $11.4 million of costs for the surety bonds related to the litigation with CMU.</w:t>
      </w:r>
    </w:p>
    <w:p>
      <w:pPr>
        <w:ind w:left="460" w:right="480" w:hanging="452"/>
        <w:spacing w:after="0" w:line="250"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Fiscal 2015 includes $13.8 million of restructuring and other related charges that include $3.4 million for the write-off of in-process research and development (“IPR&amp;D”), and $3.2 million related to a loss from a contract termination, an $8.8 million gain from the sale of an investment, and $7.3 million of costs for the surety bonds related to the litigation with CMU.</w:t>
      </w:r>
    </w:p>
    <w:p>
      <w:pPr>
        <w:spacing w:after="0" w:line="1" w:lineRule="exact"/>
        <w:rPr>
          <w:rFonts w:ascii="Arial" w:cs="Arial" w:eastAsia="Arial" w:hAnsi="Arial"/>
          <w:sz w:val="18"/>
          <w:szCs w:val="18"/>
          <w:color w:val="auto"/>
        </w:rPr>
      </w:pPr>
    </w:p>
    <w:p>
      <w:pPr>
        <w:ind w:left="460" w:right="160" w:hanging="452"/>
        <w:spacing w:after="0" w:line="281" w:lineRule="auto"/>
        <w:tabs>
          <w:tab w:leader="none" w:pos="4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Fiscal 2014 includes $14.7 million for litigation settlements, an $8.1 million charge for the impairment of an intangible asset, a $7.0 million gain from the sale of a business, and $4.7 million of restructuring and other related charges. The litigation settlements do not relate to our litigation with CMU.</w:t>
      </w:r>
    </w:p>
    <w:p>
      <w:pPr>
        <w:spacing w:after="0" w:line="1" w:lineRule="exact"/>
        <w:rPr>
          <w:rFonts w:ascii="Arial" w:cs="Arial" w:eastAsia="Arial" w:hAnsi="Arial"/>
          <w:sz w:val="16"/>
          <w:szCs w:val="16"/>
          <w:color w:val="auto"/>
        </w:rPr>
      </w:pPr>
    </w:p>
    <w:p>
      <w:pPr>
        <w:ind w:left="460" w:right="160" w:hanging="452"/>
        <w:spacing w:after="0" w:line="250"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Fiscal 2013 includes $5.7 million for an expense related to an ongoing litigation matter and $4.9 million for expenses related to acquisitions in prior fiscal years.</w:t>
      </w: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Fiscal 2012 includes $6.7 million for litigation settlements and assessments of payroll taxes on employee benefits in certain jurisdictions.</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143" w:lineRule="exact"/>
        <w:rPr>
          <w:sz w:val="20"/>
          <w:szCs w:val="20"/>
          <w:color w:val="auto"/>
        </w:rPr>
      </w:pPr>
    </w:p>
    <w:p>
      <w:pPr>
        <w:ind w:right="120" w:firstLine="456"/>
        <w:spacing w:after="0" w:line="309" w:lineRule="auto"/>
        <w:rPr>
          <w:sz w:val="20"/>
          <w:szCs w:val="20"/>
          <w:color w:val="auto"/>
        </w:rPr>
      </w:pPr>
      <w:r>
        <w:rPr>
          <w:rFonts w:ascii="Arial" w:cs="Arial" w:eastAsia="Arial" w:hAnsi="Arial"/>
          <w:sz w:val="15"/>
          <w:szCs w:val="15"/>
          <w:color w:val="auto"/>
        </w:rPr>
        <w:t>We are a fabless semiconductor provider of high-performance application-specific standard products. Our core strength of expertise is the development of complex SoC and SiP devices, leveraging our extensive technology portfolio of intellectual property in the areas of analog, mixed-signal, digital signal processing, and embedded and standalone integrated circuits. The majority of our product portfolio leverages embedded central processing unit technology.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 wireless connectivity, IoT devices and multimedia solutions. Our products serve diverse applications used in carrier, metropolitan, enterprise and PC-client data communications and storage systems. Additionally, we serve the consumer electronics market for the convergence of voice, video and data applications. As a fabless integrated circuit company,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Fiscal 2016 was a challenging year for Marvell as increasing competitive dynamics in the handset market were compounded by softer demand conditions in PC and enterprise networking markets. Net revenue in fiscal 2016 was $2.7 billion and was 27% lower than net revenue of $3.7 billion in fiscal 2015. Revenues declined in all of our end markets, led by a 31% decrease in storage product sales, and a 27% decline in our mobile and wireless sales, given the downsizing of the mobile handset business and continued challenges in the PC and networking markets. We are focused on our core technologies to improve our position and growth potential in our target markets of storage, networking and wireless connectivity.</w:t>
      </w:r>
    </w:p>
    <w:p>
      <w:pPr>
        <w:spacing w:after="0" w:line="35" w:lineRule="exact"/>
        <w:rPr>
          <w:sz w:val="20"/>
          <w:szCs w:val="20"/>
          <w:color w:val="auto"/>
        </w:rPr>
      </w:pPr>
    </w:p>
    <w:p>
      <w:pPr>
        <w:ind w:left="900" w:right="20" w:hanging="325"/>
        <w:spacing w:after="0" w:line="294" w:lineRule="auto"/>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In the storage market, fiscal 2016 was a challenging year for both our HDD and SSD businesses. In HDD, our revenue was negatively affected by a meaningful decline in overall HDD unit demand throughout the year. Although we believe our overall HDD market share did not change appreciably in fiscal 2016, our dependence on mobile HDDs was detrimental to our revenue growth. In SSDs, our sales were negatively affected by a decline in demand from one of our major SSD customers due to a supply chain change at one of its large PC customers. We continue to invest in comprehensive solutions that build upon our leading market position in the storage market.</w:t>
      </w:r>
    </w:p>
    <w:p>
      <w:pPr>
        <w:spacing w:after="0" w:line="34" w:lineRule="exact"/>
        <w:rPr>
          <w:rFonts w:ascii="Arial" w:cs="Arial" w:eastAsia="Arial" w:hAnsi="Arial"/>
          <w:sz w:val="16"/>
          <w:szCs w:val="16"/>
          <w:color w:val="auto"/>
        </w:rPr>
      </w:pPr>
    </w:p>
    <w:p>
      <w:pPr>
        <w:ind w:left="900" w:right="60" w:hanging="325"/>
        <w:spacing w:after="0" w:line="259"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 the mobile market, the competitive environment in the mobile baseband market continued to intensify in fiscal 2016, placing tremendous pressure on market prices for handset SoCs and platforms. Given the deteriorating margins in this business, we announced a significant restructuring of our mobile platform business in September 2015.</w:t>
      </w:r>
    </w:p>
    <w:p>
      <w:pPr>
        <w:spacing w:after="0" w:line="59"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 the wireless connectivity market, we continue to gain momentum in enterprise routers, gaming consoles, and set top box/streaming devices with our new generation of WiFi solutions. We believe the increased bandwidth of our solutions will enable a significant upgrade cycle in enterprise, service provider and retail routers.</w:t>
      </w:r>
    </w:p>
    <w:p>
      <w:pPr>
        <w:spacing w:after="0" w:line="59" w:lineRule="exact"/>
        <w:rPr>
          <w:rFonts w:ascii="Arial" w:cs="Arial" w:eastAsia="Arial" w:hAnsi="Arial"/>
          <w:sz w:val="18"/>
          <w:szCs w:val="18"/>
          <w:color w:val="auto"/>
        </w:rPr>
      </w:pPr>
    </w:p>
    <w:p>
      <w:pPr>
        <w:ind w:left="900" w:hanging="325"/>
        <w:spacing w:after="0" w:line="256"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 the networking market, sales of our networking solutions declined from fiscal 2016 mainly due to continued soft demand for our networking products. In fiscal 2016, we focused our engineering and marketing efforts on our core networking technologies for Ethernet switches and PHYs, and embedded networking processors. We believe these efforts will allow us to achieve design wins in enterprise, cloud/datacenter and service provider markets.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our financial position is strong and we remain committed to deliver shareholder value through our share repurchase and dividend programs.</w:t>
      </w:r>
    </w:p>
    <w:p>
      <w:pPr>
        <w:spacing w:after="0" w:line="113" w:lineRule="exact"/>
        <w:rPr>
          <w:sz w:val="20"/>
          <w:szCs w:val="20"/>
          <w:color w:val="auto"/>
        </w:rPr>
      </w:pPr>
    </w:p>
    <w:p>
      <w:pPr>
        <w:ind w:left="900" w:hanging="325"/>
        <w:spacing w:after="0"/>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Our cash, cash equivalents and short-term investments were $2.3 billion at January 30, 2016 (prior to giving effect to the settlement with CMU).</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We generated cash flow from operations of $205.4 million during fiscal 2016.</w:t>
      </w:r>
    </w:p>
    <w:p>
      <w:pPr>
        <w:spacing w:after="0" w:line="90" w:lineRule="exact"/>
        <w:rPr>
          <w:rFonts w:ascii="Arial" w:cs="Arial" w:eastAsia="Arial" w:hAnsi="Arial"/>
          <w:sz w:val="18"/>
          <w:szCs w:val="18"/>
          <w:color w:val="auto"/>
        </w:rPr>
      </w:pPr>
    </w:p>
    <w:p>
      <w:pPr>
        <w:ind w:left="900" w:right="80" w:hanging="325"/>
        <w:spacing w:after="0" w:line="332" w:lineRule="auto"/>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We paid cash dividends of $0.24 per share for a total of $122.8 million in fiscal 2016 and subsequently, we announced a dividend of $0.06 per share in March 2016 that was paid in April 2016 and a dividend of $0.06 per share in May 2016 that was paid in July 2016.</w:t>
      </w:r>
    </w:p>
    <w:p>
      <w:pPr>
        <w:spacing w:after="0" w:line="4" w:lineRule="exact"/>
        <w:rPr>
          <w:rFonts w:ascii="Arial" w:cs="Arial" w:eastAsia="Arial" w:hAnsi="Arial"/>
          <w:sz w:val="16"/>
          <w:szCs w:val="16"/>
          <w:color w:val="auto"/>
        </w:rPr>
      </w:pPr>
    </w:p>
    <w:p>
      <w:pPr>
        <w:ind w:left="900" w:hanging="325"/>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We repurchased 19.7 million of our common shares for $260.9 million in fiscal 2016. The Company has made no share repurchases since August 24, 2015.</w:t>
      </w:r>
    </w:p>
    <w:p>
      <w:pPr>
        <w:spacing w:after="0" w:line="50" w:lineRule="exact"/>
        <w:rPr>
          <w:rFonts w:ascii="Arial" w:cs="Arial" w:eastAsia="Arial" w:hAnsi="Arial"/>
          <w:sz w:val="18"/>
          <w:szCs w:val="18"/>
          <w:color w:val="auto"/>
        </w:rPr>
      </w:pPr>
    </w:p>
    <w:p>
      <w:pPr>
        <w:ind w:left="900" w:right="40" w:hanging="325"/>
        <w:spacing w:after="0" w:line="256"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as well as payment of $750 million related to our settlement of the patent litigation with CMU.</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connection with the patent litigation action with CMU, we reached settlement with CMU in February 2016 and have agreed to pay an aggregate of $750 million (see “Note 10 — Commitments and Contingencies” and “Note 15 — Subsequent Events” in the Notes to the Consolidated Financial Statements set forth in Part II, Item 8 of this Annual Report on Form 10-K for further discussion of this matter including the charge we recorded in fiscal 2016 and other patent litigation matters).</w:t>
      </w:r>
    </w:p>
    <w:p>
      <w:pPr>
        <w:spacing w:after="0" w:line="14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customers launches a new gaming console, and these sales may taper significantly after the initial launch period.</w:t>
      </w:r>
    </w:p>
    <w:p>
      <w:pPr>
        <w:spacing w:after="0" w:line="11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Net revenue from one customer was 18%, 20% and 24% for fiscal 2016, 2015 and 2014, respectively. Net revenue from a second customer was 13%, 13% and 12% for fiscal 2016, 2015 and 2014, respectively. We had net revenue from one distributor representing 11% for fiscal 2015. No distributors accounted for 10% or greater of total net revenue in fiscal 2014 or fiscal 2016. We continuously monitor the creditworthiness of our distributors and believe these distributors’ sales to diverse end customers and geographies further serve to mitigate our exposure to credit risk.</w:t>
      </w:r>
    </w:p>
    <w:p>
      <w:pPr>
        <w:spacing w:after="0" w:line="143" w:lineRule="exact"/>
        <w:rPr>
          <w:sz w:val="20"/>
          <w:szCs w:val="20"/>
          <w:color w:val="auto"/>
        </w:rPr>
      </w:pPr>
    </w:p>
    <w:p>
      <w:pPr>
        <w:jc w:val="both"/>
        <w:ind w:right="40" w:firstLine="456"/>
        <w:spacing w:after="0" w:line="335" w:lineRule="auto"/>
        <w:rPr>
          <w:sz w:val="20"/>
          <w:szCs w:val="20"/>
          <w:color w:val="auto"/>
        </w:rPr>
      </w:pPr>
      <w:r>
        <w:rPr>
          <w:rFonts w:ascii="Arial" w:cs="Arial" w:eastAsia="Arial" w:hAnsi="Arial"/>
          <w:sz w:val="15"/>
          <w:szCs w:val="15"/>
          <w:color w:val="auto"/>
        </w:rPr>
        <w:t>Most of our sales are made to customers located outside of the United States, primarily in Asia. Sales to customers in Asia represented approximately 96% of our net revenues in each of fiscal 2016 and 2015, and 95% of our net revenue for fiscal 2014. Because many manufacturers and manufacturing subcontractors of our customers are located in Asia, we expect that most of our net revenue will continue to be represented by sales to our customers in that region.</w:t>
      </w:r>
    </w:p>
    <w:p>
      <w:pPr>
        <w:spacing w:after="0" w:line="88"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A relatively large portion of our sales have historically been made on the basis of purchase orders rather than long-term agreements.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380"/>
          </w:cols>
          <w:pgMar w:left="240" w:top="459" w:right="2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we evaluate our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we use assumptions when employing the Monte Carlo simulation and Black-Scholes valuation models to calculate the fair value of share-based awards granted.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2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recognize revenue when there is persuasive evidence of an arrangement, delivery has occurred, the fee is fixed or determinable,</w:t>
      </w:r>
      <w:r>
        <w:rPr>
          <w:rFonts w:ascii="Arial" w:cs="Arial" w:eastAsia="Arial" w:hAnsi="Arial"/>
          <w:sz w:val="18"/>
          <w:szCs w:val="18"/>
          <w:i w:val="1"/>
          <w:iCs w:val="1"/>
          <w:color w:val="auto"/>
        </w:rPr>
        <w:t xml:space="preserve"> </w:t>
      </w:r>
      <w:r>
        <w:rPr>
          <w:rFonts w:ascii="Arial" w:cs="Arial" w:eastAsia="Arial" w:hAnsi="Arial"/>
          <w:sz w:val="18"/>
          <w:szCs w:val="18"/>
          <w:color w:val="auto"/>
        </w:rPr>
        <w:t>and collection is reasonably assured.</w:t>
      </w:r>
    </w:p>
    <w:p>
      <w:pPr>
        <w:spacing w:after="0" w:line="132"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our sales are made through distributors under agreements allowing for price protection and limited rights of stock rotation on product unsold by the distributors. Although title passes to the distributor upon shipment terms and payment by our distributors is not contingent on resale of the product, product revenue on sales made through distributors with price protection and stock rotation rights are deferred until the distributors sell the product to end customers. Deferred revenue less the related cost of the inventories is reported as deferred income. We do not believe that there is any significant exposure related to impairment of deferred cost of sales, as our historical returns have been minimal and inventory turnover for our distributors generally ranges from 60 to 90 days. Our sales to direct customers are made primarily pursuant to standard purchase orders for delivery of products.</w:t>
      </w:r>
    </w:p>
    <w:p>
      <w:pPr>
        <w:spacing w:after="0" w:line="118"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8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In addition, payments to our customers, in cases where products with potential quality issues are not returned to us and the related quality issue can otherwise not be verified, or where the amount of the payment is not sufficiently supported by the fair value of the quality issue, may be recorded as a reduction of revenue. Actual returns could differ from these estimates. We account for rebates by recording reductions to revenue in the same period that the related revenue is recorded. The amount of these reductions is based upon the terms agreed to with the customers.</w:t>
      </w:r>
    </w:p>
    <w:p>
      <w:pPr>
        <w:spacing w:after="0" w:line="144"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Share-Based Compensation. </w:t>
      </w:r>
      <w:r>
        <w:rPr>
          <w:rFonts w:ascii="Arial" w:cs="Arial" w:eastAsia="Arial" w:hAnsi="Arial"/>
          <w:sz w:val="18"/>
          <w:szCs w:val="18"/>
          <w:color w:val="auto"/>
        </w:rPr>
        <w:t>We measure our share-based compensation at the grant date, based on the fair value of the award, and recognize expense</w:t>
      </w:r>
      <w:r>
        <w:rPr>
          <w:rFonts w:ascii="Arial" w:cs="Arial" w:eastAsia="Arial" w:hAnsi="Arial"/>
          <w:sz w:val="18"/>
          <w:szCs w:val="18"/>
          <w:i w:val="1"/>
          <w:iCs w:val="1"/>
          <w:color w:val="auto"/>
        </w:rPr>
        <w:t xml:space="preserve"> </w:t>
      </w:r>
      <w:r>
        <w:rPr>
          <w:rFonts w:ascii="Arial" w:cs="Arial" w:eastAsia="Arial" w:hAnsi="Arial"/>
          <w:sz w:val="18"/>
          <w:szCs w:val="18"/>
          <w:color w:val="auto"/>
        </w:rPr>
        <w:t>over the requisite service period. We amortize share-based compensation expense for time-based awards under the straight-line attribution method over the vesting period, which is generally four years for annual grants to employees and five years for new hire grants. Performance-based awards are amortized using the accelerated method.</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20" w:firstLine="456"/>
        <w:spacing w:after="0" w:line="323" w:lineRule="auto"/>
        <w:rPr>
          <w:sz w:val="20"/>
          <w:szCs w:val="20"/>
          <w:color w:val="auto"/>
        </w:rPr>
      </w:pPr>
      <w:r>
        <w:rPr>
          <w:rFonts w:ascii="Arial" w:cs="Arial" w:eastAsia="Arial" w:hAnsi="Arial"/>
          <w:sz w:val="15"/>
          <w:szCs w:val="15"/>
          <w:color w:val="auto"/>
        </w:rPr>
        <w:t>We estimate the fair value of time-based stock option and stock purchase awards on the date of grant using the Black Scholes option-pricing model. The fair value of market-based stock option awards is estimated on the date of grant using a Monte Carlo simulation model. The value of the portion of the awards that is ultimately expected to vest is recognized as expense over the requisite service periods. The Black-Scholes and Monte Carlo models incorporate various highly subjective assumptions including expected term of awards, expected future stock price volatility, expected dividend yield and risk-free interest rate.</w:t>
      </w:r>
    </w:p>
    <w:p>
      <w:pPr>
        <w:spacing w:after="0" w:line="98"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 developing estimates used to calculate assumptions, we establish the expected term for employee options, as well as expected forfeiture rates, based on the historical settlement experience and after giving consideration to vesting schedules. Assumptions for stock option exercises and pre-vesting terminations of stock options were stratified by two employee groups and one employee/non-employee group with sufficiently distinct behavior patterns. Expected volatility was developed based on an equally weighted combination of historical stock price volatility and implied volatility derived from traded options on our stock in the marketplace. The expected dividend yield is calculated by dividing annualized dividend payments by the closing stock price on the grant date of the option.</w:t>
      </w:r>
    </w:p>
    <w:p>
      <w:pPr>
        <w:spacing w:after="0" w:line="116"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fair value of each restricted stock unit is estimated based on the market price of the Company’s common shares on the date of grant less the expected dividend yield. Additionally, for certain of our performance-based awards, we must make subjective assumptions regarding the likelihood that the related performance metrics will be met. These assumptions are based on various revenue and operating performance criteria. Changes in our actual performance could cause a significant adjustment in future periods for these performance-based awards.</w:t>
      </w:r>
    </w:p>
    <w:p>
      <w:pPr>
        <w:spacing w:after="0" w:line="113"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Share-based compensation expense is recorded net of estimated forfeitures such that expense is recorded only for those share-based awards that are expected to vest. Previously recognized expense is reversed for the portion of awards forfeited prior to vesting as and when forfeitures occurred. Forfeitures are estimated at the time of grant and revised, if necessary, in subsequent periods if actual forfeitures differ from initial estimates. Assumptions for forfeitures are stratified by employee groups with sufficiently distinct behavior patterns. Changes in the estimated forfeiture rate can have a significant effect on reported share-based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 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could be affected by changes in the estimated forfeiture rate and may differ significantly from amounts recognized in the current period and/or our forecasts.</w:t>
      </w:r>
    </w:p>
    <w:p>
      <w:pPr>
        <w:spacing w:after="0" w:line="123"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i w:val="1"/>
          <w:iCs w:val="1"/>
          <w:color w:val="auto"/>
        </w:rPr>
        <w:t xml:space="preserve">Accounting for Income Taxes. </w:t>
      </w:r>
      <w:r>
        <w:rPr>
          <w:rFonts w:ascii="Arial" w:cs="Arial" w:eastAsia="Arial" w:hAnsi="Arial"/>
          <w:sz w:val="16"/>
          <w:szCs w:val="16"/>
          <w:color w:val="auto"/>
        </w:rPr>
        <w:t>We estimate our income taxes in each of the jurisdictions in which we operate. This process involves estimating our actual</w:t>
      </w:r>
      <w:r>
        <w:rPr>
          <w:rFonts w:ascii="Arial" w:cs="Arial" w:eastAsia="Arial" w:hAnsi="Arial"/>
          <w:sz w:val="16"/>
          <w:szCs w:val="16"/>
          <w:i w:val="1"/>
          <w:iCs w:val="1"/>
          <w:color w:val="auto"/>
        </w:rPr>
        <w:t xml:space="preserve"> </w:t>
      </w:r>
      <w:r>
        <w:rPr>
          <w:rFonts w:ascii="Arial" w:cs="Arial" w:eastAsia="Arial" w:hAnsi="Arial"/>
          <w:sz w:val="16"/>
          <w:szCs w:val="16"/>
          <w:color w:val="auto"/>
        </w:rPr>
        <w:t>tax exposure together with assessing temporary differences resulting from the differing treatment of certain items for tax return and financial statement purposes. These differences result in deferred tax assets and liabilities, which are included within our consolidated balance sheets.</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14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Evaluating the need for an amount of a valuation allowance for deferred tax assets often requires judgment and analysis of all the positive and negative evidence available, including cumulative losses in recent years and projected future taxable income, to determine whether all or some portion of the deferred tax assets will not be</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80"/>
          </w:cols>
          <w:pgMar w:left="240" w:top="459" w:right="2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80"/>
        <w:spacing w:after="0" w:line="298" w:lineRule="auto"/>
        <w:rPr>
          <w:sz w:val="20"/>
          <w:szCs w:val="20"/>
          <w:color w:val="auto"/>
        </w:rPr>
      </w:pPr>
      <w:r>
        <w:rPr>
          <w:rFonts w:ascii="Arial" w:cs="Arial" w:eastAsia="Arial" w:hAnsi="Arial"/>
          <w:sz w:val="16"/>
          <w:szCs w:val="16"/>
          <w:color w:val="auto"/>
        </w:rPr>
        <w:t>realized. Using available evidence and judgment, we establish a valuation allowance for deferred tax assets, when it is determined that it is more likely than not that they will not be realized. Valuation allowances have been provided primarily against the U.S. research and development credits. Valuation allowances have also been provided against certain acquired operating losses, and the deferred tax assets of a foreign subsidiary. A change in the assessment of the realization of deferred tax assets may materially impact our tax provision in the period in which a change of assessment occurs.</w:t>
      </w:r>
    </w:p>
    <w:p>
      <w:pPr>
        <w:spacing w:after="0" w:line="113"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the application of GAAP and complex tax laws. We believe we have adequately provided for in our financial statements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China, Israel, Singapore, Switzerland and the United States.</w:t>
      </w:r>
    </w:p>
    <w:p>
      <w:pPr>
        <w:spacing w:after="0" w:line="120"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85"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i w:val="1"/>
          <w:iCs w:val="1"/>
          <w:color w:val="auto"/>
        </w:rPr>
        <w:t xml:space="preserve">Inventories. </w:t>
      </w:r>
      <w:r>
        <w:rPr>
          <w:rFonts w:ascii="Arial" w:cs="Arial" w:eastAsia="Arial" w:hAnsi="Arial"/>
          <w:sz w:val="16"/>
          <w:szCs w:val="16"/>
          <w:color w:val="auto"/>
        </w:rPr>
        <w:t>We value our inventory at the lower of cost or market, cost being determined under the first-in, first-out method. We regularly review</w:t>
      </w:r>
      <w:r>
        <w:rPr>
          <w:rFonts w:ascii="Arial" w:cs="Arial" w:eastAsia="Arial" w:hAnsi="Arial"/>
          <w:sz w:val="16"/>
          <w:szCs w:val="16"/>
          <w:i w:val="1"/>
          <w:iCs w:val="1"/>
          <w:color w:val="auto"/>
        </w:rPr>
        <w:t xml:space="preserve"> </w:t>
      </w:r>
      <w:r>
        <w:rPr>
          <w:rFonts w:ascii="Arial" w:cs="Arial" w:eastAsia="Arial" w:hAnsi="Arial"/>
          <w:sz w:val="16"/>
          <w:szCs w:val="16"/>
          <w:color w:val="auto"/>
        </w:rPr>
        <w:t>inventory quantities on hand and record a reduction to the total carrying value of our inventory for any difference between cost and estimated market value of inventory that is determined to be excess, obsolete or unsellable inventory based primarily on our estimated forecast of product demand and production requirements.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reduction to the total carrying value of our inventory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color w:val="auto"/>
        </w:rPr>
        <w:t>future product demand, any significant unanticipated changes in demand or technological developments could have a significant impact on the value of our inventory and our results of operations.</w:t>
      </w:r>
    </w:p>
    <w:p>
      <w:pPr>
        <w:spacing w:after="0" w:line="132"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59" w:lineRule="exact"/>
        <w:rPr>
          <w:sz w:val="20"/>
          <w:szCs w:val="20"/>
          <w:color w:val="auto"/>
        </w:rPr>
      </w:pPr>
    </w:p>
    <w:p>
      <w:pPr>
        <w:ind w:left="900" w:hanging="325"/>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90" w:lineRule="exact"/>
        <w:rPr>
          <w:rFonts w:ascii="Arial" w:cs="Arial" w:eastAsia="Arial" w:hAnsi="Arial"/>
          <w:sz w:val="18"/>
          <w:szCs w:val="18"/>
          <w:color w:val="auto"/>
        </w:rPr>
      </w:pPr>
    </w:p>
    <w:p>
      <w:pPr>
        <w:ind w:left="900" w:right="100" w:hanging="325"/>
        <w:spacing w:after="0" w:line="268"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2"/>
        </w:numPr>
        <w:rPr>
          <w:rFonts w:ascii="Arial" w:cs="Arial" w:eastAsia="Arial" w:hAnsi="Arial"/>
          <w:sz w:val="16"/>
          <w:szCs w:val="16"/>
          <w:color w:val="auto"/>
        </w:rPr>
      </w:pPr>
      <w:r>
        <w:rPr>
          <w:rFonts w:ascii="Arial" w:cs="Arial" w:eastAsia="Arial" w:hAnsi="Arial"/>
          <w:sz w:val="16"/>
          <w:szCs w:val="16"/>
          <w:color w:val="auto"/>
        </w:rPr>
        <w:t>current expectation that the asset will more likely than not be sold or disposed of significantly before the end of its estimated useful life.</w:t>
      </w:r>
    </w:p>
    <w:p>
      <w:pPr>
        <w:spacing w:after="0" w:line="194"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13"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As of January 30, 2016, we had a total of $18.0 million in acquired intangible assets. In fiscal 2016, we recorded charges of $0.3 million to write off core technology due to our decision to discontinue the related development project and $0.3 million to write off a trade name that we no longer intend to market. In fiscal 2015, we recorded a charge of $3.4 million to write off IPR&amp;D related to a project that was discontinued. In fiscal 2014, we recorded a charge of $8.1 million for the impairment of an acquired intangible asset.</w:t>
      </w:r>
    </w:p>
    <w:p>
      <w:pPr>
        <w:spacing w:after="0" w:line="14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Goodwill. </w:t>
      </w:r>
      <w:r>
        <w:rPr>
          <w:rFonts w:ascii="Arial" w:cs="Arial" w:eastAsia="Arial" w:hAnsi="Arial"/>
          <w:sz w:val="16"/>
          <w:szCs w:val="16"/>
          <w:color w:val="auto"/>
        </w:rPr>
        <w:t>We record goodwill when the consideration paid for a business acquisition exceeds the fair value of net tangible and intangible assets acquired.</w:t>
      </w:r>
      <w:r>
        <w:rPr>
          <w:rFonts w:ascii="Arial" w:cs="Arial" w:eastAsia="Arial" w:hAnsi="Arial"/>
          <w:sz w:val="16"/>
          <w:szCs w:val="16"/>
          <w:i w:val="1"/>
          <w:iCs w:val="1"/>
          <w:color w:val="auto"/>
        </w:rPr>
        <w:t xml:space="preserve"> </w:t>
      </w:r>
      <w:r>
        <w:rPr>
          <w:rFonts w:ascii="Arial" w:cs="Arial" w:eastAsia="Arial" w:hAnsi="Arial"/>
          <w:sz w:val="16"/>
          <w:szCs w:val="16"/>
          <w:color w:val="auto"/>
        </w:rPr>
        <w:t>We review goodwill for impairment annually on the last business day of our fiscal fourth quarter and whenever events or changes in circumstances indicate the carrying amount of goodwill may not be recoverable. We have identified that our business operates as a single operating segment which can further be divided into two components; Storage, and Smart Networked Devices and Solutions. Management concluded that goodwill is recoverable from these two components working jointly due to a fact pattern demonstrating significant sharing of assets, corporate resources, and benefits from common research and development. The two components also exhibit similar economic characteristics. Accordingly, management concluded that these two components should be aggregated into a single reporting unit for purposes of testing goodwill impairment.</w:t>
      </w:r>
    </w:p>
    <w:p>
      <w:pPr>
        <w:spacing w:after="0" w:line="118"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When testing goodwill for impairment, we first assess qualitative factors to determine whether it is more likely than not that the fair value of a reporting unit is less than its carrying value. Factors we consider important which could trigger a goodwill impairment review include;</w:t>
      </w:r>
    </w:p>
    <w:p>
      <w:pPr>
        <w:spacing w:after="0" w:line="4" w:lineRule="exact"/>
        <w:rPr>
          <w:sz w:val="20"/>
          <w:szCs w:val="20"/>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380"/>
          </w:cols>
          <w:pgMar w:left="240" w:top="459" w:right="27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If we conclude that it is more likely than not that the fair value of a reporting unit is less than its carrying amount or if we note multiple qualitative factors indicating potential impairment, then a two-step quantitative impairment test is performed. The first step requires comparing the fair value of the reporting unit to its net book value, including goodwill. A potential impairment exists if the fair value of the reporting unit is lower than its net book value. Determining the fair value of a reporting unit involves the use of significant estimates and assumptions. Our goodwill impairment test uses a weighting of the income method and the market method to estimate a reporting unit’s fair value. The income method is based on a discounted future cash flow approach that uses the following assumptions and inputs: revenue based on assumed market segment growth rates and our assumed market segment share, estimated costs, and appropriate discount rates based on our weighted average cost of capital as determined by considering the observable weighted average cost of capital of comparable companies. The market method is based on quoted prices of our shares as well as an implied control premium (the excess of the reporting unit’s fair value over Marvell’s market capitalization). We evaluate the control premium by comparing it to observable control premiums from recent comparable market acquisition transactions.</w:t>
      </w:r>
    </w:p>
    <w:p>
      <w:pPr>
        <w:spacing w:after="0" w:line="12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second step of the process is only performed if a potential impairment exists, and it involves determining the implied fair value of the reporting unit’s goodwill and comparing it to the carrying value of goodwill. If the carrying value of goodwill were to exceed its implied fair value, then the Company will record a charge for the amount of impairment in the fiscal quarter in which the determination is made.</w:t>
      </w:r>
    </w:p>
    <w:p>
      <w:pPr>
        <w:spacing w:after="0" w:line="140"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On the last day of the third quarter of fiscal 2016, the Company performed an impairment assessment for testing goodwill due to certain events and circumstances management considered could be factors that could trigger a goodwill impairment. These factors included the Federal Circuit panel’s decision in August 2015 related to the CMU litigation (see “Note 10 — Commitments and Contingencies” in the Notes to the Consolidated Financial Statements set forth in Part II, Item 8 of this Annual Report on Form 10-K), the Company’s decision to significantly restructure its mobile platform business announced in September 2015 (see “Note 8 — Restructuring and Other Related Charges” in the Notes to the Consolidated Financial Statements set forth in Part II, Item 8 of this Annual Report on Form 10-K) and a significant decline in the Company’s stock price during fiscal 2016. Our goodwill impairment analysis did not result in any impairment charges. The excess of fair value over carrying amount for our reporting unit approximated 36% of its carrying amount. Our annual goodwill impairment analysis, which we performed as of the last day of the fourth quarter of fiscal 2016, also did not result in any impairment charges since the excess of fair value over carrying amount for our reporting unit approximated 41% of its carrying amount.</w:t>
      </w:r>
    </w:p>
    <w:p>
      <w:pPr>
        <w:spacing w:after="0" w:line="12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 or</w:t>
      </w:r>
      <w:r>
        <w:rPr>
          <w:rFonts w:ascii="Arial" w:cs="Arial" w:eastAsia="Arial" w:hAnsi="Arial"/>
          <w:sz w:val="16"/>
          <w:szCs w:val="16"/>
          <w:i w:val="1"/>
          <w:iCs w:val="1"/>
          <w:color w:val="auto"/>
        </w:rPr>
        <w:t xml:space="preserve"> </w:t>
      </w:r>
      <w:r>
        <w:rPr>
          <w:rFonts w:ascii="Arial" w:cs="Arial" w:eastAsia="Arial" w:hAnsi="Arial"/>
          <w:sz w:val="16"/>
          <w:szCs w:val="16"/>
          <w:color w:val="auto"/>
        </w:rPr>
        <w:t>other third-party assertions will be resolved without costly litigation, in a manner that does not adversely impact our financial position, results of operations or cash flows or without requiring royalty payments in the future, which may adversely impact gross margins. We record a liability when it is probable that a loss has been incurred and the amount can be reasonably estimated. In determining the probability of a loss and consequently, determining a reasonable estimate, management is required to use significant judgment. Given the uncertainties associated with any litigation, the actual outcome can be different than our estimates and could adversely affect our results of operations, financial position and cash flows.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540" w:type="dxa"/>
            <w:vAlign w:val="bottom"/>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660" w:type="dxa"/>
            <w:vAlign w:val="bottom"/>
            <w:tcBorders>
              <w:bottom w:val="single" w:sz="8" w:color="auto"/>
            </w:tcBorders>
            <w:gridSpan w:val="4"/>
          </w:tcPr>
          <w:p>
            <w:pPr>
              <w:ind w:left="180"/>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540" w:type="dxa"/>
            <w:vAlign w:val="bottom"/>
          </w:tcPr>
          <w:p>
            <w:pPr>
              <w:spacing w:after="0"/>
              <w:rPr>
                <w:sz w:val="11"/>
                <w:szCs w:val="11"/>
                <w:color w:val="auto"/>
              </w:rPr>
            </w:pPr>
          </w:p>
        </w:tc>
        <w:tc>
          <w:tcPr>
            <w:tcW w:w="1300" w:type="dxa"/>
            <w:vAlign w:val="bottom"/>
            <w:gridSpan w:val="3"/>
          </w:tcPr>
          <w:p>
            <w:pPr>
              <w:jc w:val="right"/>
              <w:ind w:right="552"/>
              <w:spacing w:after="0" w:line="129" w:lineRule="exact"/>
              <w:rPr>
                <w:sz w:val="20"/>
                <w:szCs w:val="20"/>
                <w:color w:val="auto"/>
              </w:rPr>
            </w:pPr>
            <w:r>
              <w:rPr>
                <w:rFonts w:ascii="Arial" w:cs="Arial" w:eastAsia="Arial" w:hAnsi="Arial"/>
                <w:sz w:val="14"/>
                <w:szCs w:val="14"/>
                <w:b w:val="1"/>
                <w:bCs w:val="1"/>
                <w:color w:val="auto"/>
                <w:w w:val="85"/>
              </w:rPr>
              <w:t>January 30,</w:t>
            </w:r>
          </w:p>
        </w:tc>
        <w:tc>
          <w:tcPr>
            <w:tcW w:w="220" w:type="dxa"/>
            <w:vAlign w:val="bottom"/>
          </w:tcPr>
          <w:p>
            <w:pPr>
              <w:spacing w:after="0"/>
              <w:rPr>
                <w:sz w:val="11"/>
                <w:szCs w:val="11"/>
                <w:color w:val="auto"/>
              </w:rPr>
            </w:pPr>
          </w:p>
        </w:tc>
        <w:tc>
          <w:tcPr>
            <w:tcW w:w="14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5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2"/>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6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2015</w:t>
            </w:r>
          </w:p>
        </w:tc>
        <w:tc>
          <w:tcPr>
            <w:tcW w:w="26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2014</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5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300" w:type="dxa"/>
            <w:vAlign w:val="bottom"/>
            <w:gridSpan w:val="3"/>
            <w:shd w:val="clear" w:color="auto" w:fill="CCEEFF"/>
          </w:tcPr>
          <w:p>
            <w:pPr>
              <w:jc w:val="right"/>
              <w:ind w:right="392"/>
              <w:spacing w:after="0"/>
              <w:rPr>
                <w:sz w:val="20"/>
                <w:szCs w:val="20"/>
                <w:color w:val="auto"/>
              </w:rPr>
            </w:pPr>
            <w:r>
              <w:rPr>
                <w:rFonts w:ascii="Arial" w:cs="Arial" w:eastAsia="Arial" w:hAnsi="Arial"/>
                <w:sz w:val="18"/>
                <w:szCs w:val="18"/>
                <w:color w:val="auto"/>
              </w:rPr>
              <w:t>100.0%</w:t>
            </w:r>
          </w:p>
        </w:tc>
        <w:tc>
          <w:tcPr>
            <w:tcW w:w="2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100.0%</w:t>
            </w:r>
          </w:p>
        </w:tc>
        <w:tc>
          <w:tcPr>
            <w:tcW w:w="5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54.8</w:t>
            </w:r>
          </w:p>
        </w:tc>
        <w:tc>
          <w:tcPr>
            <w:tcW w:w="6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49.7</w:t>
            </w:r>
          </w:p>
        </w:tc>
        <w:tc>
          <w:tcPr>
            <w:tcW w:w="2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38.7</w:t>
            </w:r>
          </w:p>
        </w:tc>
        <w:tc>
          <w:tcPr>
            <w:tcW w:w="62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31.2</w:t>
            </w: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6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2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62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3.4</w:t>
            </w: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Carnegie Mellon University litigation settlement</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24.0</w:t>
            </w: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40" w:type="dxa"/>
            <w:vAlign w:val="bottom"/>
            <w:gridSpan w:val="3"/>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tcPr>
          <w:p>
            <w:pPr>
              <w:ind w:left="420"/>
              <w:spacing w:after="0"/>
              <w:rPr>
                <w:sz w:val="20"/>
                <w:szCs w:val="20"/>
                <w:color w:val="auto"/>
              </w:rPr>
            </w:pPr>
            <w:r>
              <w:rPr>
                <w:rFonts w:ascii="Arial" w:cs="Arial" w:eastAsia="Arial" w:hAnsi="Arial"/>
                <w:sz w:val="18"/>
                <w:szCs w:val="18"/>
                <w:color w:val="auto"/>
              </w:rPr>
              <w:t>Restructuring and other related charges</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62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700" w:type="dxa"/>
            <w:vAlign w:val="bottom"/>
            <w:tcBorders>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54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130.0</w:t>
            </w:r>
          </w:p>
        </w:tc>
        <w:tc>
          <w:tcPr>
            <w:tcW w:w="6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89.0</w:t>
            </w:r>
          </w:p>
        </w:tc>
        <w:tc>
          <w:tcPr>
            <w:tcW w:w="2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91.8</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300" w:type="dxa"/>
            <w:vAlign w:val="bottom"/>
            <w:gridSpan w:val="3"/>
            <w:shd w:val="clear" w:color="auto" w:fill="CCEEFF"/>
          </w:tcPr>
          <w:p>
            <w:pPr>
              <w:jc w:val="right"/>
              <w:ind w:right="492"/>
              <w:spacing w:after="0"/>
              <w:rPr>
                <w:sz w:val="20"/>
                <w:szCs w:val="20"/>
                <w:color w:val="auto"/>
              </w:rPr>
            </w:pPr>
            <w:r>
              <w:rPr>
                <w:rFonts w:ascii="Arial" w:cs="Arial" w:eastAsia="Arial" w:hAnsi="Arial"/>
                <w:sz w:val="18"/>
                <w:szCs w:val="18"/>
                <w:color w:val="auto"/>
              </w:rPr>
              <w:t>(30.0)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w:t>
            </w:r>
          </w:p>
        </w:tc>
        <w:tc>
          <w:tcPr>
            <w:tcW w:w="2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5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0.7</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w:t>
            </w: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300" w:type="dxa"/>
            <w:vAlign w:val="bottom"/>
            <w:gridSpan w:val="3"/>
            <w:shd w:val="clear" w:color="auto" w:fill="CCEEFF"/>
          </w:tcPr>
          <w:p>
            <w:pPr>
              <w:jc w:val="right"/>
              <w:ind w:right="492"/>
              <w:spacing w:after="0"/>
              <w:rPr>
                <w:sz w:val="20"/>
                <w:szCs w:val="20"/>
                <w:color w:val="auto"/>
              </w:rPr>
            </w:pPr>
            <w:r>
              <w:rPr>
                <w:rFonts w:ascii="Arial" w:cs="Arial" w:eastAsia="Arial" w:hAnsi="Arial"/>
                <w:sz w:val="18"/>
                <w:szCs w:val="18"/>
                <w:color w:val="auto"/>
              </w:rPr>
              <w:t>(29.3)</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11.6</w:t>
            </w:r>
          </w:p>
        </w:tc>
        <w:tc>
          <w:tcPr>
            <w:tcW w:w="2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0.5</w:t>
            </w: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(0.1)</w:t>
            </w:r>
          </w:p>
        </w:tc>
        <w:tc>
          <w:tcPr>
            <w:tcW w:w="5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54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500" w:type="dxa"/>
            <w:vAlign w:val="bottom"/>
          </w:tcPr>
          <w:p>
            <w:pPr>
              <w:spacing w:after="0"/>
              <w:rPr>
                <w:sz w:val="2"/>
                <w:szCs w:val="2"/>
                <w:color w:val="auto"/>
              </w:rPr>
            </w:pPr>
          </w:p>
        </w:tc>
        <w:tc>
          <w:tcPr>
            <w:tcW w:w="70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300" w:type="dxa"/>
            <w:vAlign w:val="bottom"/>
            <w:gridSpan w:val="3"/>
            <w:shd w:val="clear" w:color="auto" w:fill="CCEEFF"/>
          </w:tcPr>
          <w:p>
            <w:pPr>
              <w:jc w:val="right"/>
              <w:ind w:right="332"/>
              <w:spacing w:after="0"/>
              <w:rPr>
                <w:sz w:val="20"/>
                <w:szCs w:val="20"/>
                <w:color w:val="auto"/>
              </w:rPr>
            </w:pPr>
            <w:r>
              <w:rPr>
                <w:rFonts w:ascii="Arial" w:cs="Arial" w:eastAsia="Arial" w:hAnsi="Arial"/>
                <w:sz w:val="18"/>
                <w:szCs w:val="18"/>
                <w:color w:val="auto"/>
              </w:rPr>
              <w:t>(29.8)%</w:t>
            </w:r>
          </w:p>
        </w:tc>
        <w:tc>
          <w:tcPr>
            <w:tcW w:w="116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11.7%</w:t>
            </w:r>
          </w:p>
        </w:tc>
        <w:tc>
          <w:tcPr>
            <w:tcW w:w="5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54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January 30, 2016 and January 31, 2015</w:t>
            </w:r>
          </w:p>
        </w:tc>
        <w:tc>
          <w:tcPr>
            <w:tcW w:w="3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20" w:type="dxa"/>
            <w:vAlign w:val="bottom"/>
          </w:tcPr>
          <w:p>
            <w:pPr>
              <w:spacing w:after="0"/>
              <w:rPr>
                <w:sz w:val="24"/>
                <w:szCs w:val="24"/>
                <w:color w:val="auto"/>
              </w:rPr>
            </w:pPr>
          </w:p>
        </w:tc>
        <w:tc>
          <w:tcPr>
            <w:tcW w:w="7540" w:type="dxa"/>
            <w:vAlign w:val="bottom"/>
            <w:vMerge w:val="continue"/>
          </w:tcPr>
          <w:p>
            <w:pPr>
              <w:spacing w:after="0"/>
              <w:rPr>
                <w:sz w:val="24"/>
                <w:szCs w:val="24"/>
                <w:color w:val="auto"/>
              </w:rPr>
            </w:pP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754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80" w:type="dxa"/>
            <w:vAlign w:val="bottom"/>
            <w:gridSpan w:val="5"/>
          </w:tcPr>
          <w:p>
            <w:pPr>
              <w:ind w:left="380"/>
              <w:spacing w:after="0"/>
              <w:rPr>
                <w:sz w:val="20"/>
                <w:szCs w:val="20"/>
                <w:color w:val="auto"/>
              </w:rPr>
            </w:pPr>
            <w:r>
              <w:rPr>
                <w:rFonts w:ascii="Arial" w:cs="Arial" w:eastAsia="Arial" w:hAnsi="Arial"/>
                <w:sz w:val="14"/>
                <w:szCs w:val="14"/>
                <w:b w:val="1"/>
                <w:bCs w:val="1"/>
                <w:color w:val="auto"/>
              </w:rPr>
              <w:t>Year Ended</w:t>
            </w:r>
          </w:p>
        </w:tc>
        <w:tc>
          <w:tcPr>
            <w:tcW w:w="90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5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152"/>
              <w:spacing w:after="0" w:line="129" w:lineRule="exact"/>
              <w:rPr>
                <w:sz w:val="20"/>
                <w:szCs w:val="20"/>
                <w:color w:val="auto"/>
              </w:rPr>
            </w:pPr>
            <w:r>
              <w:rPr>
                <w:rFonts w:ascii="Arial" w:cs="Arial" w:eastAsia="Arial" w:hAnsi="Arial"/>
                <w:sz w:val="14"/>
                <w:szCs w:val="14"/>
                <w:b w:val="1"/>
                <w:bCs w:val="1"/>
                <w:color w:val="auto"/>
                <w:w w:val="93"/>
              </w:rPr>
              <w:t>January 30,</w:t>
            </w:r>
          </w:p>
        </w:tc>
        <w:tc>
          <w:tcPr>
            <w:tcW w:w="22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gridSpan w:val="2"/>
          </w:tcPr>
          <w:p>
            <w:pPr>
              <w:jc w:val="right"/>
              <w:ind w:right="60"/>
              <w:spacing w:after="0" w:line="129" w:lineRule="exact"/>
              <w:rPr>
                <w:sz w:val="20"/>
                <w:szCs w:val="20"/>
                <w:color w:val="auto"/>
              </w:rPr>
            </w:pPr>
            <w:r>
              <w:rPr>
                <w:rFonts w:ascii="Arial" w:cs="Arial" w:eastAsia="Arial" w:hAnsi="Arial"/>
                <w:sz w:val="14"/>
                <w:szCs w:val="14"/>
                <w:b w:val="1"/>
                <w:bCs w:val="1"/>
                <w:color w:val="auto"/>
              </w:rPr>
              <w:t>January 31,</w:t>
            </w:r>
          </w:p>
        </w:tc>
        <w:tc>
          <w:tcPr>
            <w:tcW w:w="50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540" w:type="dxa"/>
            <w:vAlign w:val="bottom"/>
          </w:tcPr>
          <w:p>
            <w:pPr>
              <w:spacing w:after="0"/>
              <w:rPr>
                <w:sz w:val="14"/>
                <w:szCs w:val="14"/>
                <w:color w:val="auto"/>
              </w:rPr>
            </w:pPr>
          </w:p>
        </w:tc>
        <w:tc>
          <w:tcPr>
            <w:tcW w:w="1300" w:type="dxa"/>
            <w:vAlign w:val="bottom"/>
            <w:gridSpan w:val="3"/>
          </w:tcPr>
          <w:p>
            <w:pPr>
              <w:jc w:val="right"/>
              <w:ind w:right="372"/>
              <w:spacing w:after="0"/>
              <w:rPr>
                <w:sz w:val="20"/>
                <w:szCs w:val="20"/>
                <w:color w:val="auto"/>
              </w:rPr>
            </w:pPr>
            <w:r>
              <w:rPr>
                <w:rFonts w:ascii="Arial" w:cs="Arial" w:eastAsia="Arial" w:hAnsi="Arial"/>
                <w:sz w:val="14"/>
                <w:szCs w:val="14"/>
                <w:b w:val="1"/>
                <w:bCs w:val="1"/>
                <w:color w:val="auto"/>
              </w:rPr>
              <w:t>2016</w:t>
            </w:r>
          </w:p>
        </w:tc>
        <w:tc>
          <w:tcPr>
            <w:tcW w:w="90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2015</w:t>
            </w: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9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5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2280" w:type="dxa"/>
            <w:vAlign w:val="bottom"/>
            <w:tcBorders>
              <w:top w:val="single" w:sz="8" w:color="auto"/>
            </w:tcBorders>
            <w:gridSpan w:val="5"/>
          </w:tcPr>
          <w:p>
            <w:pPr>
              <w:ind w:left="340"/>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300" w:type="dxa"/>
            <w:vAlign w:val="bottom"/>
            <w:gridSpan w:val="3"/>
            <w:shd w:val="clear" w:color="auto" w:fill="CCEEFF"/>
          </w:tcPr>
          <w:p>
            <w:pPr>
              <w:jc w:val="right"/>
              <w:ind w:right="92"/>
              <w:spacing w:after="0"/>
              <w:rPr>
                <w:sz w:val="20"/>
                <w:szCs w:val="20"/>
                <w:color w:val="auto"/>
              </w:rPr>
            </w:pPr>
            <w:r>
              <w:rPr>
                <w:rFonts w:ascii="Arial" w:cs="Arial" w:eastAsia="Arial" w:hAnsi="Arial"/>
                <w:sz w:val="18"/>
                <w:szCs w:val="18"/>
                <w:color w:val="auto"/>
              </w:rPr>
              <w:t>$2,725,828</w:t>
            </w: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$3,706,963</w:t>
            </w:r>
          </w:p>
        </w:tc>
        <w:tc>
          <w:tcPr>
            <w:tcW w:w="5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(26.5)%</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Net revenue is gross revenue, net of accruals for estimated sales returns and rebates. Our net revenue for fiscal 2016 decreased by $981.1 million compared to net revenue for fiscal 2015. The decrease was due to overall lower sales of products to customers in all of our end markets. The decrease in net revenue was further affected by lower sales of products for the storage market due to weaker than expected demand from customers in general, as economic conditions weakened overall in the semiconductor industry. Unit shipments were 18% lower combined with a 10% decline in average selling prices in fiscal 2016 compared to fiscal 2015, which resulted in an overall decline of 27%.</w:t>
      </w:r>
    </w:p>
    <w:p>
      <w:pPr>
        <w:spacing w:after="0" w:line="143"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From time to time, our customers agreed to take shipments in an earlier fiscal quarter than the fiscal quarter they originally requested delivery. When such agreement would not have occurred but for the request made by Marvell, we refer to such transactions internally as “pull-ins.” Pull-in sales increased compared to historical levels beginning in the fourth quarter of fiscal 2015 and returned to historical levels in the third quarter of fiscal 2016. Net revenue in fiscal 2016 related to pull-in sales for shipments taken early by our customers were approximately 9% and 11% of net revenue in the first and second quarters of fiscal 2016, respectively, and declined to less than 1% of net revenue in both the third and fourth quarters of fiscal 2016. This compares to net revenue in fiscal 2015 related to pull-in sales for shipments taken early by our customers, which were less than 1% in each of the first and second quarters of fiscal 2015, 1% in the third quarter of fiscal 2015 and increased to 3% in the fourth quarter of fiscal 2015. Customer concessions related to these pull-in transactions, if any, were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recorded in the same period in which the revenue was recognized. Beginning in fiscal 2017, our policy is not to engage in pull-in transactions and we therefore do not expect them to have any meaningful impact on our net revenue in future periods.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2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2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3"/>
              </w:rPr>
              <w:t>January 30,</w:t>
            </w:r>
          </w:p>
        </w:tc>
        <w:tc>
          <w:tcPr>
            <w:tcW w:w="8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62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20" w:type="dxa"/>
            <w:vAlign w:val="bottom"/>
          </w:tcPr>
          <w:p>
            <w:pPr>
              <w:spacing w:after="0"/>
              <w:rPr>
                <w:sz w:val="14"/>
                <w:szCs w:val="14"/>
                <w:color w:val="auto"/>
              </w:rPr>
            </w:pPr>
          </w:p>
        </w:tc>
        <w:tc>
          <w:tcPr>
            <w:tcW w:w="1500" w:type="dxa"/>
            <w:vAlign w:val="bottom"/>
          </w:tcPr>
          <w:p>
            <w:pPr>
              <w:jc w:val="right"/>
              <w:ind w:right="886"/>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2015</w:t>
            </w:r>
          </w:p>
        </w:tc>
        <w:tc>
          <w:tcPr>
            <w:tcW w:w="620" w:type="dxa"/>
            <w:vAlign w:val="bottom"/>
          </w:tcPr>
          <w:p>
            <w:pPr>
              <w:spacing w:after="0"/>
              <w:rPr>
                <w:sz w:val="14"/>
                <w:szCs w:val="14"/>
                <w:color w:val="auto"/>
              </w:rPr>
            </w:pPr>
          </w:p>
        </w:tc>
        <w:tc>
          <w:tcPr>
            <w:tcW w:w="9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7520" w:type="dxa"/>
            <w:vAlign w:val="bottom"/>
          </w:tcPr>
          <w:p>
            <w:pPr>
              <w:spacing w:after="0"/>
              <w:rPr>
                <w:sz w:val="12"/>
                <w:szCs w:val="12"/>
                <w:color w:val="auto"/>
              </w:rPr>
            </w:pPr>
          </w:p>
        </w:tc>
        <w:tc>
          <w:tcPr>
            <w:tcW w:w="2920" w:type="dxa"/>
            <w:vAlign w:val="bottom"/>
            <w:tcBorders>
              <w:top w:val="single" w:sz="8" w:color="auto"/>
            </w:tcBorders>
            <w:gridSpan w:val="3"/>
          </w:tcPr>
          <w:p>
            <w:pPr>
              <w:jc w:val="right"/>
              <w:ind w:right="12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shd w:val="clear" w:color="auto" w:fill="CCEEFF"/>
          </w:tcPr>
          <w:p>
            <w:pPr>
              <w:jc w:val="right"/>
              <w:ind w:right="626"/>
              <w:spacing w:after="0"/>
              <w:rPr>
                <w:sz w:val="20"/>
                <w:szCs w:val="20"/>
                <w:color w:val="auto"/>
              </w:rPr>
            </w:pPr>
            <w:r>
              <w:rPr>
                <w:rFonts w:ascii="Arial" w:cs="Arial" w:eastAsia="Arial" w:hAnsi="Arial"/>
                <w:sz w:val="18"/>
                <w:szCs w:val="18"/>
                <w:color w:val="auto"/>
                <w:w w:val="86"/>
              </w:rPr>
              <w:t>$1,494,736</w:t>
            </w:r>
          </w:p>
        </w:tc>
        <w:tc>
          <w:tcPr>
            <w:tcW w:w="14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86"/>
              </w:rPr>
              <w:t>$1,843,706</w:t>
            </w: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(18.9)%</w:t>
            </w:r>
          </w:p>
        </w:tc>
        <w:tc>
          <w:tcPr>
            <w:tcW w:w="0" w:type="dxa"/>
            <w:vAlign w:val="bottom"/>
          </w:tcPr>
          <w:p>
            <w:pPr>
              <w:spacing w:after="0"/>
              <w:rPr>
                <w:sz w:val="1"/>
                <w:szCs w:val="1"/>
                <w:color w:val="auto"/>
              </w:rPr>
            </w:pPr>
          </w:p>
        </w:tc>
      </w:tr>
      <w:tr>
        <w:trPr>
          <w:trHeight w:val="222"/>
        </w:trPr>
        <w:tc>
          <w:tcPr>
            <w:tcW w:w="752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54.8%</w:t>
            </w:r>
          </w:p>
        </w:tc>
        <w:tc>
          <w:tcPr>
            <w:tcW w:w="1420" w:type="dxa"/>
            <w:vAlign w:val="bottom"/>
            <w:gridSpan w:val="2"/>
          </w:tcPr>
          <w:p>
            <w:pPr>
              <w:jc w:val="right"/>
              <w:ind w:right="460"/>
              <w:spacing w:after="0"/>
              <w:rPr>
                <w:sz w:val="20"/>
                <w:szCs w:val="20"/>
                <w:color w:val="auto"/>
              </w:rPr>
            </w:pPr>
            <w:r>
              <w:rPr>
                <w:rFonts w:ascii="Arial" w:cs="Arial" w:eastAsia="Arial" w:hAnsi="Arial"/>
                <w:sz w:val="18"/>
                <w:szCs w:val="18"/>
                <w:color w:val="auto"/>
              </w:rPr>
              <w:t>49.7%</w:t>
            </w:r>
          </w:p>
        </w:tc>
        <w:tc>
          <w:tcPr>
            <w:tcW w:w="7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Cost of goods sold as a percentage of net revenue was higher in fiscal 2016 due to a shift in the mix of our revenue, particularly in the first half of fiscal 2016, towards our mobile and wireless products which have a higher average cost of goods sold as a percentage of revenue. In addition, cost of goods sold in fiscal 2016 includes higher inventory write downs due to lower than expected demand for our mobile related products. Cost of goods sold in fiscal 2016 also includes a $81.3 million charge for the litigation settlement with CMU. For further discussion related to the settlement with CMU (see ”Note 10 — Commitments and Contingencies” and “Note 15 — Subsequent Events” in the Notes to the Consolidated Financial Statements set forth in Part II, Item 8 of this Annual Report on Form 10-K).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4"/>
          </w:tcPr>
          <w:p>
            <w:pPr>
              <w:ind w:left="480"/>
              <w:spacing w:after="0"/>
              <w:rPr>
                <w:sz w:val="20"/>
                <w:szCs w:val="20"/>
                <w:color w:val="auto"/>
              </w:rPr>
            </w:pPr>
            <w:r>
              <w:rPr>
                <w:rFonts w:ascii="Arial" w:cs="Arial" w:eastAsia="Arial" w:hAnsi="Arial"/>
                <w:sz w:val="14"/>
                <w:szCs w:val="14"/>
                <w:b w:val="1"/>
                <w:bCs w:val="1"/>
                <w:color w:val="auto"/>
                <w:w w:val="85"/>
              </w:rPr>
              <w:t>Year Ended</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700" w:type="dxa"/>
            <w:vAlign w:val="bottom"/>
          </w:tcPr>
          <w:p>
            <w:pPr>
              <w:spacing w:after="0"/>
              <w:rPr>
                <w:sz w:val="11"/>
                <w:szCs w:val="11"/>
                <w:color w:val="auto"/>
              </w:rPr>
            </w:pPr>
          </w:p>
        </w:tc>
        <w:tc>
          <w:tcPr>
            <w:tcW w:w="3780" w:type="dxa"/>
            <w:vAlign w:val="bottom"/>
          </w:tcPr>
          <w:p>
            <w:pPr>
              <w:spacing w:after="0"/>
              <w:rPr>
                <w:sz w:val="11"/>
                <w:szCs w:val="11"/>
                <w:color w:val="auto"/>
              </w:rPr>
            </w:pPr>
          </w:p>
        </w:tc>
        <w:tc>
          <w:tcPr>
            <w:tcW w:w="9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20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2016</w:t>
            </w: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5700" w:type="dxa"/>
            <w:vAlign w:val="bottom"/>
          </w:tcPr>
          <w:p>
            <w:pPr>
              <w:spacing w:after="0"/>
              <w:rPr>
                <w:sz w:val="12"/>
                <w:szCs w:val="12"/>
                <w:color w:val="auto"/>
              </w:rPr>
            </w:pPr>
          </w:p>
        </w:tc>
        <w:tc>
          <w:tcPr>
            <w:tcW w:w="3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40" w:type="dxa"/>
            <w:vAlign w:val="bottom"/>
            <w:gridSpan w:val="5"/>
          </w:tcPr>
          <w:p>
            <w:pPr>
              <w:jc w:val="right"/>
              <w:ind w:right="436"/>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7,916</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7,972</w:t>
            </w:r>
          </w:p>
        </w:tc>
      </w:tr>
      <w:tr>
        <w:trPr>
          <w:trHeight w:val="216"/>
        </w:trPr>
        <w:tc>
          <w:tcPr>
            <w:tcW w:w="57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98,792</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94,432</w:t>
            </w: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11,106</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11,469</w:t>
            </w:r>
          </w:p>
        </w:tc>
      </w:tr>
      <w:tr>
        <w:trPr>
          <w:trHeight w:val="223"/>
        </w:trPr>
        <w:tc>
          <w:tcPr>
            <w:tcW w:w="57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15,965</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23,373</w:t>
            </w:r>
          </w:p>
        </w:tc>
        <w:tc>
          <w:tcPr>
            <w:tcW w:w="100" w:type="dxa"/>
            <w:vAlign w:val="bottom"/>
          </w:tcPr>
          <w:p>
            <w:pPr>
              <w:spacing w:after="0"/>
              <w:rPr>
                <w:sz w:val="19"/>
                <w:szCs w:val="19"/>
                <w:color w:val="auto"/>
              </w:rPr>
            </w:pPr>
          </w:p>
        </w:tc>
      </w:tr>
      <w:tr>
        <w:trPr>
          <w:trHeight w:val="216"/>
        </w:trPr>
        <w:tc>
          <w:tcPr>
            <w:tcW w:w="5700" w:type="dxa"/>
            <w:vAlign w:val="bottom"/>
            <w:shd w:val="clear" w:color="auto" w:fill="CCEEFF"/>
          </w:tcPr>
          <w:p>
            <w:pPr>
              <w:spacing w:after="0"/>
              <w:rPr>
                <w:sz w:val="18"/>
                <w:szCs w:val="18"/>
                <w:color w:val="auto"/>
              </w:rPr>
            </w:pP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133,779</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137,246</w:t>
            </w:r>
          </w:p>
        </w:tc>
      </w:tr>
      <w:tr>
        <w:trPr>
          <w:trHeight w:val="20"/>
        </w:trPr>
        <w:tc>
          <w:tcPr>
            <w:tcW w:w="5700" w:type="dxa"/>
            <w:vAlign w:val="bottom"/>
          </w:tcPr>
          <w:p>
            <w:pPr>
              <w:spacing w:after="0" w:line="20" w:lineRule="exact"/>
              <w:rPr>
                <w:sz w:val="1"/>
                <w:szCs w:val="1"/>
                <w:color w:val="auto"/>
              </w:rPr>
            </w:pPr>
          </w:p>
        </w:tc>
        <w:tc>
          <w:tcPr>
            <w:tcW w:w="3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40" w:firstLine="456"/>
        <w:spacing w:after="0" w:line="318" w:lineRule="auto"/>
        <w:rPr>
          <w:sz w:val="20"/>
          <w:szCs w:val="20"/>
          <w:color w:val="auto"/>
        </w:rPr>
      </w:pPr>
      <w:r>
        <w:rPr>
          <w:rFonts w:ascii="Arial" w:cs="Arial" w:eastAsia="Arial" w:hAnsi="Arial"/>
          <w:sz w:val="15"/>
          <w:szCs w:val="15"/>
          <w:color w:val="auto"/>
        </w:rPr>
        <w:t>Share-based compensation expense decreased by $3.5 million in fiscal 2016 compared to fiscal 2015. The decrease is mainly the result of the reversal of previously recognized expenses associated with unvested equity awards that were cancelled as a result of the termination of employees affected by the restructuring of our mobile platform business. Share-based compensation expense was also lower since the financial goals related to performance-based equity awards granted in fiscal 2016 to our executive officers were not achieved and the related share-based compensation expense was adjusted accordingly. These decreases were partially offset by higher share-based compensation expense in fiscal 2016 from more restricted stock awards than in fiscal 2015.</w:t>
      </w:r>
    </w:p>
    <w:p>
      <w:pPr>
        <w:spacing w:after="0" w:line="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3"/>
          </w:tcPr>
          <w:p>
            <w:pPr>
              <w:ind w:left="540"/>
              <w:spacing w:after="0"/>
              <w:rPr>
                <w:sz w:val="20"/>
                <w:szCs w:val="20"/>
                <w:color w:val="auto"/>
              </w:rPr>
            </w:pPr>
            <w:r>
              <w:rPr>
                <w:rFonts w:ascii="Arial" w:cs="Arial" w:eastAsia="Arial" w:hAnsi="Arial"/>
                <w:sz w:val="14"/>
                <w:szCs w:val="14"/>
                <w:b w:val="1"/>
                <w:bCs w:val="1"/>
                <w:color w:val="auto"/>
              </w:rPr>
              <w:t>Year Ended</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93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30,</w:t>
            </w:r>
          </w:p>
        </w:tc>
        <w:tc>
          <w:tcPr>
            <w:tcW w:w="660" w:type="dxa"/>
            <w:vAlign w:val="bottom"/>
          </w:tcPr>
          <w:p>
            <w:pPr>
              <w:spacing w:after="0"/>
              <w:rPr>
                <w:sz w:val="11"/>
                <w:szCs w:val="11"/>
                <w:color w:val="auto"/>
              </w:rPr>
            </w:pPr>
          </w:p>
        </w:tc>
        <w:tc>
          <w:tcPr>
            <w:tcW w:w="6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January 31,</w:t>
            </w:r>
          </w:p>
        </w:tc>
        <w:tc>
          <w:tcPr>
            <w:tcW w:w="100" w:type="dxa"/>
            <w:vAlign w:val="bottom"/>
          </w:tcPr>
          <w:p>
            <w:pPr>
              <w:spacing w:after="0"/>
              <w:rPr>
                <w:sz w:val="11"/>
                <w:szCs w:val="11"/>
                <w:color w:val="auto"/>
              </w:rPr>
            </w:pPr>
          </w:p>
        </w:tc>
      </w:tr>
      <w:tr>
        <w:trPr>
          <w:trHeight w:val="161"/>
        </w:trPr>
        <w:tc>
          <w:tcPr>
            <w:tcW w:w="9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2016</w:t>
            </w:r>
          </w:p>
        </w:tc>
        <w:tc>
          <w:tcPr>
            <w:tcW w:w="6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9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40" w:type="dxa"/>
            <w:vAlign w:val="bottom"/>
            <w:gridSpan w:val="3"/>
          </w:tcPr>
          <w:p>
            <w:pPr>
              <w:jc w:val="right"/>
              <w:spacing w:after="0" w:line="142" w:lineRule="exact"/>
              <w:rPr>
                <w:sz w:val="20"/>
                <w:szCs w:val="20"/>
                <w:color w:val="auto"/>
              </w:rPr>
            </w:pPr>
            <w:r>
              <w:rPr>
                <w:rFonts w:ascii="Arial" w:cs="Arial" w:eastAsia="Arial" w:hAnsi="Arial"/>
                <w:sz w:val="14"/>
                <w:szCs w:val="14"/>
                <w:b w:val="1"/>
                <w:bCs w:val="1"/>
                <w:color w:val="auto"/>
              </w:rPr>
              <w:t>(in thousands)</w:t>
            </w: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93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3"/>
              </w:rPr>
              <w:t>10,292</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r>
      <w:tr>
        <w:trPr>
          <w:trHeight w:val="216"/>
        </w:trPr>
        <w:tc>
          <w:tcPr>
            <w:tcW w:w="9300" w:type="dxa"/>
            <w:vAlign w:val="bottom"/>
          </w:tcPr>
          <w:p>
            <w:pPr>
              <w:spacing w:after="0"/>
              <w:rPr>
                <w:sz w:val="20"/>
                <w:szCs w:val="20"/>
                <w:color w:val="auto"/>
              </w:rPr>
            </w:pPr>
            <w:r>
              <w:rPr>
                <w:rFonts w:ascii="Arial" w:cs="Arial" w:eastAsia="Arial" w:hAnsi="Arial"/>
                <w:sz w:val="18"/>
                <w:szCs w:val="18"/>
                <w:color w:val="auto"/>
              </w:rPr>
              <w:t>Restructuring and other related charges</w:t>
            </w:r>
          </w:p>
        </w:tc>
        <w:tc>
          <w:tcPr>
            <w:tcW w:w="140" w:type="dxa"/>
            <w:vAlign w:val="bottom"/>
          </w:tcPr>
          <w:p>
            <w:pPr>
              <w:spacing w:after="0"/>
              <w:rPr>
                <w:sz w:val="18"/>
                <w:szCs w:val="18"/>
                <w:color w:val="auto"/>
              </w:rPr>
            </w:pPr>
          </w:p>
        </w:tc>
        <w:tc>
          <w:tcPr>
            <w:tcW w:w="540" w:type="dxa"/>
            <w:vAlign w:val="bottom"/>
          </w:tcPr>
          <w:p>
            <w:pPr>
              <w:ind w:left="60"/>
              <w:spacing w:after="0"/>
              <w:rPr>
                <w:sz w:val="20"/>
                <w:szCs w:val="20"/>
                <w:color w:val="auto"/>
              </w:rPr>
            </w:pPr>
            <w:r>
              <w:rPr>
                <w:rFonts w:ascii="Arial" w:cs="Arial" w:eastAsia="Arial" w:hAnsi="Arial"/>
                <w:sz w:val="18"/>
                <w:szCs w:val="18"/>
                <w:color w:val="auto"/>
                <w:w w:val="83"/>
              </w:rPr>
              <w:t>53,251</w:t>
            </w: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10,438</w:t>
            </w:r>
          </w:p>
        </w:tc>
        <w:tc>
          <w:tcPr>
            <w:tcW w:w="100" w:type="dxa"/>
            <w:vAlign w:val="bottom"/>
          </w:tcPr>
          <w:p>
            <w:pPr>
              <w:spacing w:after="0"/>
              <w:rPr>
                <w:sz w:val="18"/>
                <w:szCs w:val="18"/>
                <w:color w:val="auto"/>
              </w:rPr>
            </w:pPr>
          </w:p>
        </w:tc>
      </w:tr>
      <w:tr>
        <w:trPr>
          <w:trHeight w:val="216"/>
        </w:trPr>
        <w:tc>
          <w:tcPr>
            <w:tcW w:w="9300" w:type="dxa"/>
            <w:vAlign w:val="bottom"/>
            <w:shd w:val="clear" w:color="auto" w:fill="CCEEFF"/>
          </w:tcPr>
          <w:p>
            <w:pPr>
              <w:spacing w:after="0"/>
              <w:rPr>
                <w:sz w:val="20"/>
                <w:szCs w:val="20"/>
                <w:color w:val="auto"/>
              </w:rPr>
            </w:pPr>
            <w:r>
              <w:rPr>
                <w:rFonts w:ascii="Arial" w:cs="Arial" w:eastAsia="Arial" w:hAnsi="Arial"/>
                <w:sz w:val="18"/>
                <w:szCs w:val="18"/>
                <w:color w:val="auto"/>
              </w:rPr>
              <w:t>Write-off of acquired intangible assets</w:t>
            </w: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r>
      <w:tr>
        <w:trPr>
          <w:trHeight w:val="222"/>
        </w:trPr>
        <w:tc>
          <w:tcPr>
            <w:tcW w:w="93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ind w:left="60"/>
              <w:spacing w:after="0"/>
              <w:rPr>
                <w:sz w:val="20"/>
                <w:szCs w:val="20"/>
                <w:color w:val="auto"/>
              </w:rPr>
            </w:pPr>
            <w:r>
              <w:rPr>
                <w:rFonts w:ascii="Arial" w:cs="Arial" w:eastAsia="Arial" w:hAnsi="Arial"/>
                <w:sz w:val="18"/>
                <w:szCs w:val="18"/>
                <w:color w:val="auto"/>
                <w:w w:val="83"/>
              </w:rPr>
              <w:t>63,543</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13,824</w:t>
            </w:r>
          </w:p>
        </w:tc>
        <w:tc>
          <w:tcPr>
            <w:tcW w:w="100" w:type="dxa"/>
            <w:vAlign w:val="bottom"/>
          </w:tcPr>
          <w:p>
            <w:pPr>
              <w:spacing w:after="0"/>
              <w:rPr>
                <w:sz w:val="19"/>
                <w:szCs w:val="19"/>
                <w:color w:val="auto"/>
              </w:rPr>
            </w:pPr>
          </w:p>
        </w:tc>
      </w:tr>
      <w:tr>
        <w:trPr>
          <w:trHeight w:val="20"/>
        </w:trPr>
        <w:tc>
          <w:tcPr>
            <w:tcW w:w="9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We recorded a total of $63.5 million in fiscal 2016 in connection with restructuring and other related charges. The charges primarily related to the restructuring of our mobile platform business announced in September 2015 and include severance, other exit-related costs, the impairment of certain equipment and other assets, as well as the write down of inventory. In addition, we incurred additional charges in connection with our ongoing effort to streamline our business. See “Note 8 — Restructuring and Other Related Charges” in the Notes to the Consolidated Financial Statements set forth in Part II, Item 8 of this Annual Report on Form 10-K for further information.</w:t>
      </w:r>
    </w:p>
    <w:p>
      <w:pPr>
        <w:spacing w:after="0" w:line="143"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As a result of the restructuring of our mobile platform business, we expect foreseeable future savings in operating costs of approximately 5% to 10%. These savings will be partially offset by increased investment in research and development as we continue to focus our effort on high growth markets in storage, networking, wireless connectivity and multimedia.</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4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9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4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3"/>
              </w:rPr>
              <w:t>January 30,</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3"/>
              </w:rPr>
              <w:t>January 31,</w:t>
            </w:r>
          </w:p>
        </w:tc>
        <w:tc>
          <w:tcPr>
            <w:tcW w:w="60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40" w:type="dxa"/>
            <w:vAlign w:val="bottom"/>
          </w:tcPr>
          <w:p>
            <w:pPr>
              <w:spacing w:after="0"/>
              <w:rPr>
                <w:sz w:val="14"/>
                <w:szCs w:val="14"/>
                <w:color w:val="auto"/>
              </w:rPr>
            </w:pPr>
          </w:p>
        </w:tc>
        <w:tc>
          <w:tcPr>
            <w:tcW w:w="1500" w:type="dxa"/>
            <w:vAlign w:val="bottom"/>
          </w:tcPr>
          <w:p>
            <w:pPr>
              <w:jc w:val="right"/>
              <w:ind w:right="886"/>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2015</w:t>
            </w:r>
          </w:p>
        </w:tc>
        <w:tc>
          <w:tcPr>
            <w:tcW w:w="600" w:type="dxa"/>
            <w:vAlign w:val="bottom"/>
          </w:tcPr>
          <w:p>
            <w:pPr>
              <w:spacing w:after="0"/>
              <w:rPr>
                <w:sz w:val="14"/>
                <w:szCs w:val="14"/>
                <w:color w:val="auto"/>
              </w:rPr>
            </w:pPr>
          </w:p>
        </w:tc>
        <w:tc>
          <w:tcPr>
            <w:tcW w:w="9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7540" w:type="dxa"/>
            <w:vAlign w:val="bottom"/>
          </w:tcPr>
          <w:p>
            <w:pPr>
              <w:spacing w:after="0"/>
              <w:rPr>
                <w:sz w:val="12"/>
                <w:szCs w:val="12"/>
                <w:color w:val="auto"/>
              </w:rPr>
            </w:pPr>
          </w:p>
        </w:tc>
        <w:tc>
          <w:tcPr>
            <w:tcW w:w="290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jc w:val="right"/>
              <w:ind w:right="626"/>
              <w:spacing w:after="0"/>
              <w:rPr>
                <w:sz w:val="20"/>
                <w:szCs w:val="20"/>
                <w:color w:val="auto"/>
              </w:rPr>
            </w:pPr>
            <w:r>
              <w:rPr>
                <w:rFonts w:ascii="Arial" w:cs="Arial" w:eastAsia="Arial" w:hAnsi="Arial"/>
                <w:sz w:val="18"/>
                <w:szCs w:val="18"/>
                <w:color w:val="auto"/>
                <w:w w:val="86"/>
              </w:rPr>
              <w:t>$1,054,257</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$1,158,810</w:t>
            </w:r>
          </w:p>
        </w:tc>
        <w:tc>
          <w:tcPr>
            <w:tcW w:w="6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22"/>
        </w:trPr>
        <w:tc>
          <w:tcPr>
            <w:tcW w:w="754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38.7%</w:t>
            </w:r>
          </w:p>
        </w:tc>
        <w:tc>
          <w:tcPr>
            <w:tcW w:w="1400" w:type="dxa"/>
            <w:vAlign w:val="bottom"/>
            <w:gridSpan w:val="2"/>
          </w:tcPr>
          <w:p>
            <w:pPr>
              <w:jc w:val="right"/>
              <w:ind w:right="460"/>
              <w:spacing w:after="0"/>
              <w:rPr>
                <w:sz w:val="20"/>
                <w:szCs w:val="20"/>
                <w:color w:val="auto"/>
              </w:rPr>
            </w:pPr>
            <w:r>
              <w:rPr>
                <w:rFonts w:ascii="Arial" w:cs="Arial" w:eastAsia="Arial" w:hAnsi="Arial"/>
                <w:sz w:val="18"/>
                <w:szCs w:val="18"/>
                <w:color w:val="auto"/>
              </w:rPr>
              <w:t>31.2%</w:t>
            </w:r>
          </w:p>
        </w:tc>
        <w:tc>
          <w:tcPr>
            <w:tcW w:w="7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Research and development expense decreased by $104.6 million in fiscal 2016 compared to fiscal 2015. The decrease was primarily attributable to $85.5 million of lower personnel-related costs primarily associated with headcount reductions in Israel and certain other locations in connection with our efforts to streamline our operations in the fiscal 2015 and in the first half of fiscal 2016. In addition, we had a reduction in depreciation and amortization expense of $9.3 million, lower costs for professional services of $9.4 million and lower costs for third-party vendors of $5.1 million.</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4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640" w:type="dxa"/>
            <w:vAlign w:val="bottom"/>
          </w:tcPr>
          <w:p>
            <w:pPr>
              <w:spacing w:after="0"/>
              <w:rPr>
                <w:sz w:val="11"/>
                <w:szCs w:val="11"/>
                <w:color w:val="auto"/>
              </w:rPr>
            </w:pPr>
          </w:p>
        </w:tc>
        <w:tc>
          <w:tcPr>
            <w:tcW w:w="310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68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40" w:type="dxa"/>
            <w:vAlign w:val="bottom"/>
          </w:tcPr>
          <w:p>
            <w:pPr>
              <w:spacing w:after="0"/>
              <w:rPr>
                <w:sz w:val="14"/>
                <w:szCs w:val="14"/>
                <w:color w:val="auto"/>
              </w:rPr>
            </w:pPr>
          </w:p>
        </w:tc>
        <w:tc>
          <w:tcPr>
            <w:tcW w:w="448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2016</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68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464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276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44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$ 128,780</w:t>
            </w:r>
          </w:p>
        </w:tc>
        <w:tc>
          <w:tcPr>
            <w:tcW w:w="13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w w:val="84"/>
              </w:rPr>
              <w:t>$ 143,952</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222"/>
        </w:trPr>
        <w:tc>
          <w:tcPr>
            <w:tcW w:w="4640" w:type="dxa"/>
            <w:vAlign w:val="bottom"/>
          </w:tcPr>
          <w:p>
            <w:pPr>
              <w:spacing w:after="0"/>
              <w:rPr>
                <w:sz w:val="20"/>
                <w:szCs w:val="20"/>
                <w:color w:val="auto"/>
              </w:rPr>
            </w:pPr>
            <w:r>
              <w:rPr>
                <w:rFonts w:ascii="Arial" w:cs="Arial" w:eastAsia="Arial" w:hAnsi="Arial"/>
                <w:sz w:val="18"/>
                <w:szCs w:val="18"/>
                <w:color w:val="auto"/>
              </w:rPr>
              <w:t>% of net revenue</w:t>
            </w:r>
          </w:p>
        </w:tc>
        <w:tc>
          <w:tcPr>
            <w:tcW w:w="4480" w:type="dxa"/>
            <w:vAlign w:val="bottom"/>
            <w:gridSpan w:val="2"/>
          </w:tcPr>
          <w:p>
            <w:pPr>
              <w:jc w:val="right"/>
              <w:ind w:right="492"/>
              <w:spacing w:after="0"/>
              <w:rPr>
                <w:sz w:val="20"/>
                <w:szCs w:val="20"/>
                <w:color w:val="auto"/>
              </w:rPr>
            </w:pPr>
            <w:r>
              <w:rPr>
                <w:rFonts w:ascii="Arial" w:cs="Arial" w:eastAsia="Arial" w:hAnsi="Arial"/>
                <w:sz w:val="18"/>
                <w:szCs w:val="18"/>
                <w:color w:val="auto"/>
              </w:rPr>
              <w:t>4.7%</w:t>
            </w:r>
          </w:p>
        </w:tc>
        <w:tc>
          <w:tcPr>
            <w:tcW w:w="1380" w:type="dxa"/>
            <w:vAlign w:val="bottom"/>
            <w:gridSpan w:val="2"/>
          </w:tcPr>
          <w:p>
            <w:pPr>
              <w:jc w:val="right"/>
              <w:ind w:right="520"/>
              <w:spacing w:after="0"/>
              <w:rPr>
                <w:sz w:val="20"/>
                <w:szCs w:val="20"/>
                <w:color w:val="auto"/>
              </w:rPr>
            </w:pPr>
            <w:r>
              <w:rPr>
                <w:rFonts w:ascii="Arial" w:cs="Arial" w:eastAsia="Arial" w:hAnsi="Arial"/>
                <w:sz w:val="18"/>
                <w:szCs w:val="18"/>
                <w:color w:val="auto"/>
              </w:rPr>
              <w:t>3.9%</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Selling and marketing expense decreased by $15.2 million in fiscal 2016 compared to fiscal 2015. The decrease was primarily attributable to lower personnel-related costs of $7.7 million due to lower headcount. The decrease also reflected decreases of $4.0 million of marketing communications expenses and $0.4 million from lower sales commissions due to lower commissionable sales.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88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84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140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66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40" w:type="dxa"/>
            <w:vAlign w:val="bottom"/>
          </w:tcPr>
          <w:p>
            <w:pPr>
              <w:spacing w:after="0"/>
              <w:rPr>
                <w:sz w:val="14"/>
                <w:szCs w:val="14"/>
                <w:color w:val="auto"/>
              </w:rPr>
            </w:pPr>
          </w:p>
        </w:tc>
        <w:tc>
          <w:tcPr>
            <w:tcW w:w="4340" w:type="dxa"/>
            <w:vAlign w:val="bottom"/>
            <w:gridSpan w:val="2"/>
          </w:tcPr>
          <w:p>
            <w:pPr>
              <w:jc w:val="right"/>
              <w:ind w:right="852"/>
              <w:spacing w:after="0"/>
              <w:rPr>
                <w:sz w:val="20"/>
                <w:szCs w:val="20"/>
                <w:color w:val="auto"/>
              </w:rPr>
            </w:pPr>
            <w:r>
              <w:rPr>
                <w:rFonts w:ascii="Arial" w:cs="Arial" w:eastAsia="Arial" w:hAnsi="Arial"/>
                <w:sz w:val="14"/>
                <w:szCs w:val="14"/>
                <w:b w:val="1"/>
                <w:bCs w:val="1"/>
                <w:color w:val="auto"/>
              </w:rPr>
              <w:t>2016</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660" w:type="dxa"/>
            <w:vAlign w:val="bottom"/>
          </w:tcPr>
          <w:p>
            <w:pPr>
              <w:spacing w:after="0"/>
              <w:rPr>
                <w:sz w:val="14"/>
                <w:szCs w:val="14"/>
                <w:color w:val="auto"/>
              </w:rPr>
            </w:pPr>
          </w:p>
        </w:tc>
        <w:tc>
          <w:tcPr>
            <w:tcW w:w="88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484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76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434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$ 146,128</w:t>
            </w:r>
          </w:p>
        </w:tc>
        <w:tc>
          <w:tcPr>
            <w:tcW w:w="13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84"/>
              </w:rPr>
              <w:t>$ 124,841</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17.1%</w:t>
            </w:r>
          </w:p>
        </w:tc>
        <w:tc>
          <w:tcPr>
            <w:tcW w:w="0" w:type="dxa"/>
            <w:vAlign w:val="bottom"/>
          </w:tcPr>
          <w:p>
            <w:pPr>
              <w:spacing w:after="0"/>
              <w:rPr>
                <w:sz w:val="1"/>
                <w:szCs w:val="1"/>
                <w:color w:val="auto"/>
              </w:rPr>
            </w:pPr>
          </w:p>
        </w:tc>
      </w:tr>
      <w:tr>
        <w:trPr>
          <w:trHeight w:val="222"/>
        </w:trPr>
        <w:tc>
          <w:tcPr>
            <w:tcW w:w="4840" w:type="dxa"/>
            <w:vAlign w:val="bottom"/>
          </w:tcPr>
          <w:p>
            <w:pPr>
              <w:spacing w:after="0"/>
              <w:rPr>
                <w:sz w:val="20"/>
                <w:szCs w:val="20"/>
                <w:color w:val="auto"/>
              </w:rPr>
            </w:pPr>
            <w:r>
              <w:rPr>
                <w:rFonts w:ascii="Arial" w:cs="Arial" w:eastAsia="Arial" w:hAnsi="Arial"/>
                <w:sz w:val="18"/>
                <w:szCs w:val="18"/>
                <w:color w:val="auto"/>
              </w:rPr>
              <w:t>% of net revenue</w:t>
            </w:r>
          </w:p>
        </w:tc>
        <w:tc>
          <w:tcPr>
            <w:tcW w:w="4340" w:type="dxa"/>
            <w:vAlign w:val="bottom"/>
            <w:gridSpan w:val="2"/>
          </w:tcPr>
          <w:p>
            <w:pPr>
              <w:jc w:val="right"/>
              <w:ind w:right="492"/>
              <w:spacing w:after="0"/>
              <w:rPr>
                <w:sz w:val="20"/>
                <w:szCs w:val="20"/>
                <w:color w:val="auto"/>
              </w:rPr>
            </w:pPr>
            <w:r>
              <w:rPr>
                <w:rFonts w:ascii="Arial" w:cs="Arial" w:eastAsia="Arial" w:hAnsi="Arial"/>
                <w:sz w:val="18"/>
                <w:szCs w:val="18"/>
                <w:color w:val="auto"/>
              </w:rPr>
              <w:t>5.4%</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3.4%</w:t>
            </w:r>
          </w:p>
        </w:tc>
        <w:tc>
          <w:tcPr>
            <w:tcW w:w="6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80" w:firstLine="456"/>
        <w:spacing w:after="0" w:line="283" w:lineRule="auto"/>
        <w:rPr>
          <w:sz w:val="20"/>
          <w:szCs w:val="20"/>
          <w:color w:val="auto"/>
        </w:rPr>
      </w:pPr>
      <w:r>
        <w:rPr>
          <w:rFonts w:ascii="Arial" w:cs="Arial" w:eastAsia="Arial" w:hAnsi="Arial"/>
          <w:sz w:val="16"/>
          <w:szCs w:val="16"/>
          <w:color w:val="auto"/>
        </w:rPr>
        <w:t>General and administrative expense increased by $21.3 million in fiscal 2016 compared to fiscal 2015. The increase was primarily attributable to a charge for a cash payment authorized by our Board of Directors of $15.4 million to our former Chief Executive Officer (see “Note 14 — Related Party Transactions” in the Notes to the Consolidated Financial Statements set forth in Part II, Item 8 of this Annual Report on Form 10-K), higher legal expenses of $7.7 million mainly associated with certain accounting and internal control matters that are the subject of investigations by the Securities and Exchange Commission and the U.S.</w:t>
      </w:r>
    </w:p>
    <w:p>
      <w:pPr>
        <w:spacing w:after="0" w:line="3" w:lineRule="exact"/>
        <w:rPr>
          <w:sz w:val="20"/>
          <w:szCs w:val="20"/>
          <w:color w:val="auto"/>
        </w:rPr>
      </w:pPr>
    </w:p>
    <w:p>
      <w:pPr>
        <w:ind w:right="100"/>
        <w:spacing w:after="0" w:line="295" w:lineRule="auto"/>
        <w:rPr>
          <w:sz w:val="20"/>
          <w:szCs w:val="20"/>
          <w:color w:val="auto"/>
        </w:rPr>
      </w:pPr>
      <w:r>
        <w:rPr>
          <w:rFonts w:ascii="Arial" w:cs="Arial" w:eastAsia="Arial" w:hAnsi="Arial"/>
          <w:sz w:val="16"/>
          <w:szCs w:val="16"/>
          <w:color w:val="auto"/>
        </w:rPr>
        <w:t>Attorney, and which were also investigated by the Company’s Audit Committee and $4.2 million of higher costs for the surety bond related to CMU. These increases were partially offset by $7.9 million of lower personnel-related costs due to lower headcount and lower share-based compensation expenses related to the performance-based equity awards granted to our executive officers in fiscal 2016 for which financial goals were not achieved (see “Note 12 — Shareholder’s Equity” in the Notes to the Consolidated Financial Statements set forth in Part II, Item 8 of this Annual Report on Form 10-K).</w:t>
      </w:r>
    </w:p>
    <w:p>
      <w:pPr>
        <w:spacing w:after="0" w:line="19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Carnegie Mellon University Litigation Settlement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88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58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140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31,</w:t>
            </w:r>
          </w:p>
        </w:tc>
        <w:tc>
          <w:tcPr>
            <w:tcW w:w="66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820" w:type="dxa"/>
            <w:vAlign w:val="bottom"/>
          </w:tcPr>
          <w:p>
            <w:pPr>
              <w:spacing w:after="0"/>
              <w:rPr>
                <w:sz w:val="14"/>
                <w:szCs w:val="14"/>
                <w:color w:val="auto"/>
              </w:rPr>
            </w:pPr>
          </w:p>
        </w:tc>
        <w:tc>
          <w:tcPr>
            <w:tcW w:w="3360" w:type="dxa"/>
            <w:vAlign w:val="bottom"/>
            <w:gridSpan w:val="2"/>
          </w:tcPr>
          <w:p>
            <w:pPr>
              <w:jc w:val="right"/>
              <w:ind w:right="852"/>
              <w:spacing w:after="0"/>
              <w:rPr>
                <w:sz w:val="20"/>
                <w:szCs w:val="20"/>
                <w:color w:val="auto"/>
              </w:rPr>
            </w:pPr>
            <w:r>
              <w:rPr>
                <w:rFonts w:ascii="Arial" w:cs="Arial" w:eastAsia="Arial" w:hAnsi="Arial"/>
                <w:sz w:val="14"/>
                <w:szCs w:val="14"/>
                <w:b w:val="1"/>
                <w:bCs w:val="1"/>
                <w:color w:val="auto"/>
              </w:rPr>
              <w:t>2016</w:t>
            </w:r>
          </w:p>
        </w:tc>
        <w:tc>
          <w:tcPr>
            <w:tcW w:w="160" w:type="dxa"/>
            <w:vAlign w:val="bottom"/>
          </w:tcPr>
          <w:p>
            <w:pPr>
              <w:spacing w:after="0"/>
              <w:rPr>
                <w:sz w:val="14"/>
                <w:szCs w:val="14"/>
                <w:color w:val="auto"/>
              </w:rPr>
            </w:pPr>
          </w:p>
        </w:tc>
        <w:tc>
          <w:tcPr>
            <w:tcW w:w="540" w:type="dxa"/>
            <w:vAlign w:val="bottom"/>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660" w:type="dxa"/>
            <w:vAlign w:val="bottom"/>
          </w:tcPr>
          <w:p>
            <w:pPr>
              <w:spacing w:after="0"/>
              <w:rPr>
                <w:sz w:val="14"/>
                <w:szCs w:val="14"/>
                <w:color w:val="auto"/>
              </w:rPr>
            </w:pPr>
          </w:p>
        </w:tc>
        <w:tc>
          <w:tcPr>
            <w:tcW w:w="88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5820" w:type="dxa"/>
            <w:vAlign w:val="bottom"/>
          </w:tcPr>
          <w:p>
            <w:pPr>
              <w:spacing w:after="0"/>
              <w:rPr>
                <w:sz w:val="12"/>
                <w:szCs w:val="12"/>
                <w:color w:val="auto"/>
              </w:rPr>
            </w:pPr>
          </w:p>
        </w:tc>
        <w:tc>
          <w:tcPr>
            <w:tcW w:w="1960" w:type="dxa"/>
            <w:vAlign w:val="bottom"/>
          </w:tcPr>
          <w:p>
            <w:pPr>
              <w:spacing w:after="0"/>
              <w:rPr>
                <w:sz w:val="12"/>
                <w:szCs w:val="12"/>
                <w:color w:val="auto"/>
              </w:rPr>
            </w:pPr>
          </w:p>
        </w:tc>
        <w:tc>
          <w:tcPr>
            <w:tcW w:w="2760" w:type="dxa"/>
            <w:vAlign w:val="bottom"/>
            <w:tcBorders>
              <w:top w:val="single" w:sz="8" w:color="auto"/>
            </w:tcBorders>
            <w:gridSpan w:val="4"/>
          </w:tcPr>
          <w:p>
            <w:pPr>
              <w:ind w:left="740"/>
              <w:spacing w:after="0" w:line="142" w:lineRule="exact"/>
              <w:rPr>
                <w:sz w:val="20"/>
                <w:szCs w:val="20"/>
                <w:color w:val="auto"/>
              </w:rPr>
            </w:pPr>
            <w:r>
              <w:rPr>
                <w:rFonts w:ascii="Arial" w:cs="Arial" w:eastAsia="Arial" w:hAnsi="Arial"/>
                <w:sz w:val="14"/>
                <w:szCs w:val="14"/>
                <w:b w:val="1"/>
                <w:bCs w:val="1"/>
                <w:color w:val="auto"/>
                <w:w w:val="85"/>
              </w:rPr>
              <w:t>(in thousands, except percentages)</w:t>
            </w:r>
          </w:p>
        </w:tc>
        <w:tc>
          <w:tcPr>
            <w:tcW w:w="6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Litigation settlement with Carnegie Mellon University</w:t>
            </w:r>
          </w:p>
        </w:tc>
        <w:tc>
          <w:tcPr>
            <w:tcW w:w="336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$ 654,667</w:t>
            </w:r>
          </w:p>
        </w:tc>
        <w:tc>
          <w:tcPr>
            <w:tcW w:w="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5820" w:type="dxa"/>
            <w:vAlign w:val="bottom"/>
          </w:tcPr>
          <w:p>
            <w:pPr>
              <w:ind w:left="440"/>
              <w:spacing w:after="0"/>
              <w:rPr>
                <w:sz w:val="20"/>
                <w:szCs w:val="20"/>
                <w:color w:val="auto"/>
              </w:rPr>
            </w:pPr>
            <w:r>
              <w:rPr>
                <w:rFonts w:ascii="Arial" w:cs="Arial" w:eastAsia="Arial" w:hAnsi="Arial"/>
                <w:sz w:val="18"/>
                <w:szCs w:val="18"/>
                <w:color w:val="auto"/>
              </w:rPr>
              <w:t>% of net revenue</w:t>
            </w:r>
          </w:p>
        </w:tc>
        <w:tc>
          <w:tcPr>
            <w:tcW w:w="3360" w:type="dxa"/>
            <w:vAlign w:val="bottom"/>
            <w:gridSpan w:val="2"/>
          </w:tcPr>
          <w:p>
            <w:pPr>
              <w:jc w:val="right"/>
              <w:ind w:right="492"/>
              <w:spacing w:after="0"/>
              <w:rPr>
                <w:sz w:val="20"/>
                <w:szCs w:val="20"/>
                <w:color w:val="auto"/>
              </w:rPr>
            </w:pPr>
            <w:r>
              <w:rPr>
                <w:rFonts w:ascii="Arial" w:cs="Arial" w:eastAsia="Arial" w:hAnsi="Arial"/>
                <w:sz w:val="18"/>
                <w:szCs w:val="18"/>
                <w:color w:val="auto"/>
              </w:rPr>
              <w:t>24.0%</w:t>
            </w:r>
          </w:p>
        </w:tc>
        <w:tc>
          <w:tcPr>
            <w:tcW w:w="160" w:type="dxa"/>
            <w:vAlign w:val="bottom"/>
          </w:tcPr>
          <w:p>
            <w:pPr>
              <w:spacing w:after="0"/>
              <w:rPr>
                <w:sz w:val="19"/>
                <w:szCs w:val="19"/>
                <w:color w:val="auto"/>
              </w:rPr>
            </w:pPr>
          </w:p>
        </w:tc>
        <w:tc>
          <w:tcPr>
            <w:tcW w:w="1200" w:type="dxa"/>
            <w:vAlign w:val="bottom"/>
            <w:gridSpan w:val="2"/>
          </w:tcPr>
          <w:p>
            <w:pPr>
              <w:ind w:left="280"/>
              <w:spacing w:after="0"/>
              <w:rPr>
                <w:sz w:val="20"/>
                <w:szCs w:val="20"/>
                <w:color w:val="auto"/>
              </w:rPr>
            </w:pPr>
            <w:r>
              <w:rPr>
                <w:rFonts w:ascii="Arial" w:cs="Arial" w:eastAsia="Arial" w:hAnsi="Arial"/>
                <w:sz w:val="18"/>
                <w:szCs w:val="18"/>
                <w:color w:val="auto"/>
              </w:rPr>
              <w:t>— %</w:t>
            </w:r>
          </w:p>
        </w:tc>
        <w:tc>
          <w:tcPr>
            <w:tcW w:w="6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 connection with the settlement agreement with CMU for $750 million (see “Note 10 — Commitments and Contingencies” and “Note 15 — Subsequent Events” in the Notes to the Consolidated Financial Statements set forth in Part II, Item 8 of this Annual Report on Form 10-K), $654.7 million of the settlement allocated to the mutual release of claims and covenant not to sue was recorded in operating expenses. Of the remaining $95.3 million, $81.3 million was recorded in cost of goods sold for fiscal 2016. The remaining $14.0 million will be recognized in cost of goods sold over the remaining term of the license through April 2018.</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6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586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860" w:type="dxa"/>
            <w:vAlign w:val="bottom"/>
          </w:tcPr>
          <w:p>
            <w:pPr>
              <w:spacing w:after="0"/>
              <w:rPr>
                <w:sz w:val="14"/>
                <w:szCs w:val="14"/>
                <w:color w:val="auto"/>
              </w:rPr>
            </w:pPr>
          </w:p>
        </w:tc>
        <w:tc>
          <w:tcPr>
            <w:tcW w:w="328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2016</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586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32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10,748</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  16,397</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(34.5)%</w:t>
            </w:r>
          </w:p>
        </w:tc>
        <w:tc>
          <w:tcPr>
            <w:tcW w:w="0" w:type="dxa"/>
            <w:vAlign w:val="bottom"/>
          </w:tcPr>
          <w:p>
            <w:pPr>
              <w:spacing w:after="0"/>
              <w:rPr>
                <w:sz w:val="1"/>
                <w:szCs w:val="1"/>
                <w:color w:val="auto"/>
              </w:rPr>
            </w:pPr>
          </w:p>
        </w:tc>
      </w:tr>
      <w:tr>
        <w:trPr>
          <w:trHeight w:val="222"/>
        </w:trPr>
        <w:tc>
          <w:tcPr>
            <w:tcW w:w="5860" w:type="dxa"/>
            <w:vAlign w:val="bottom"/>
          </w:tcPr>
          <w:p>
            <w:pPr>
              <w:spacing w:after="0"/>
              <w:rPr>
                <w:sz w:val="20"/>
                <w:szCs w:val="20"/>
                <w:color w:val="auto"/>
              </w:rPr>
            </w:pPr>
            <w:r>
              <w:rPr>
                <w:rFonts w:ascii="Arial" w:cs="Arial" w:eastAsia="Arial" w:hAnsi="Arial"/>
                <w:sz w:val="18"/>
                <w:szCs w:val="18"/>
                <w:color w:val="auto"/>
              </w:rPr>
              <w:t>% of net revenue</w:t>
            </w:r>
          </w:p>
        </w:tc>
        <w:tc>
          <w:tcPr>
            <w:tcW w:w="3280" w:type="dxa"/>
            <w:vAlign w:val="bottom"/>
            <w:gridSpan w:val="2"/>
          </w:tcPr>
          <w:p>
            <w:pPr>
              <w:jc w:val="right"/>
              <w:ind w:right="472"/>
              <w:spacing w:after="0"/>
              <w:rPr>
                <w:sz w:val="20"/>
                <w:szCs w:val="20"/>
                <w:color w:val="auto"/>
              </w:rPr>
            </w:pPr>
            <w:r>
              <w:rPr>
                <w:rFonts w:ascii="Arial" w:cs="Arial" w:eastAsia="Arial" w:hAnsi="Arial"/>
                <w:sz w:val="18"/>
                <w:szCs w:val="18"/>
                <w:color w:val="auto"/>
              </w:rPr>
              <w:t>0.4%</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0.5%</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Amortization and write-off of acquired intangible assets decreased by $5.6 million in fiscal 2016 compared to fiscal 2015. The decrease was due to lower amortization expense as certain intangible assets became fully amortized. In addition, fiscal 2016 included charges of $0.3 million to write off a trade name and $0.3 million to write off core technology, compared to a $3.4 million write-off of IPR&amp;D upon our decision to discontinue the related project in fiscal 2015.</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2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920" w:type="dxa"/>
            <w:vAlign w:val="bottom"/>
          </w:tcPr>
          <w:p>
            <w:pPr>
              <w:spacing w:after="0"/>
              <w:rPr>
                <w:sz w:val="11"/>
                <w:szCs w:val="11"/>
                <w:color w:val="auto"/>
              </w:rPr>
            </w:pPr>
          </w:p>
        </w:tc>
        <w:tc>
          <w:tcPr>
            <w:tcW w:w="284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920" w:type="dxa"/>
            <w:vAlign w:val="bottom"/>
          </w:tcPr>
          <w:p>
            <w:pPr>
              <w:spacing w:after="0"/>
              <w:rPr>
                <w:sz w:val="14"/>
                <w:szCs w:val="14"/>
                <w:color w:val="auto"/>
              </w:rPr>
            </w:pPr>
          </w:p>
        </w:tc>
        <w:tc>
          <w:tcPr>
            <w:tcW w:w="422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2016</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4920" w:type="dxa"/>
            <w:vAlign w:val="bottom"/>
          </w:tcPr>
          <w:p>
            <w:pPr>
              <w:spacing w:after="0"/>
              <w:rPr>
                <w:sz w:val="12"/>
                <w:szCs w:val="12"/>
                <w:color w:val="auto"/>
              </w:rPr>
            </w:pPr>
          </w:p>
        </w:tc>
        <w:tc>
          <w:tcPr>
            <w:tcW w:w="284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422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17,685</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  23,334</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(24.2)%</w:t>
            </w:r>
          </w:p>
        </w:tc>
        <w:tc>
          <w:tcPr>
            <w:tcW w:w="0" w:type="dxa"/>
            <w:vAlign w:val="bottom"/>
          </w:tcPr>
          <w:p>
            <w:pPr>
              <w:spacing w:after="0"/>
              <w:rPr>
                <w:sz w:val="1"/>
                <w:szCs w:val="1"/>
                <w:color w:val="auto"/>
              </w:rPr>
            </w:pPr>
          </w:p>
        </w:tc>
      </w:tr>
      <w:tr>
        <w:trPr>
          <w:trHeight w:val="222"/>
        </w:trPr>
        <w:tc>
          <w:tcPr>
            <w:tcW w:w="4920" w:type="dxa"/>
            <w:vAlign w:val="bottom"/>
          </w:tcPr>
          <w:p>
            <w:pPr>
              <w:spacing w:after="0"/>
              <w:rPr>
                <w:sz w:val="20"/>
                <w:szCs w:val="20"/>
                <w:color w:val="auto"/>
              </w:rPr>
            </w:pPr>
            <w:r>
              <w:rPr>
                <w:rFonts w:ascii="Arial" w:cs="Arial" w:eastAsia="Arial" w:hAnsi="Arial"/>
                <w:sz w:val="18"/>
                <w:szCs w:val="18"/>
                <w:color w:val="auto"/>
              </w:rPr>
              <w:t>% of net revenue</w:t>
            </w:r>
          </w:p>
        </w:tc>
        <w:tc>
          <w:tcPr>
            <w:tcW w:w="4220" w:type="dxa"/>
            <w:vAlign w:val="bottom"/>
            <w:gridSpan w:val="2"/>
          </w:tcPr>
          <w:p>
            <w:pPr>
              <w:jc w:val="right"/>
              <w:ind w:right="472"/>
              <w:spacing w:after="0"/>
              <w:rPr>
                <w:sz w:val="20"/>
                <w:szCs w:val="20"/>
                <w:color w:val="auto"/>
              </w:rPr>
            </w:pPr>
            <w:r>
              <w:rPr>
                <w:rFonts w:ascii="Arial" w:cs="Arial" w:eastAsia="Arial" w:hAnsi="Arial"/>
                <w:sz w:val="18"/>
                <w:szCs w:val="18"/>
                <w:color w:val="auto"/>
              </w:rPr>
              <w:t>0.7%</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0.6%</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Interest and other income, net, decreased by $5.6 million in fiscal 2016 compared to fiscal 2015. The decrease was mainly due to a $3.0 million loss due to the write-off of an equity investment and a $1.2 million impairment loss on our auction rate securities, compared to an $8.8 million gain from the sale of an investment in fiscal 2015. The decrease was partially offset by the recognition of foreign currency gains, which were $4.8 million higher in fiscal 2016 compared to fiscal 2015 due to revaluation of our foreign currency denominated tax liabilities and releases of previously accumulated liabilities, and the increase in interest income from higher rate of return as well as higher average cash and investment balances.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68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5120" w:type="dxa"/>
            <w:vAlign w:val="bottom"/>
          </w:tcPr>
          <w:p>
            <w:pPr>
              <w:spacing w:after="0"/>
              <w:rPr>
                <w:sz w:val="11"/>
                <w:szCs w:val="11"/>
                <w:color w:val="auto"/>
              </w:rPr>
            </w:pPr>
          </w:p>
        </w:tc>
        <w:tc>
          <w:tcPr>
            <w:tcW w:w="2580" w:type="dxa"/>
            <w:vAlign w:val="bottom"/>
          </w:tcPr>
          <w:p>
            <w:pPr>
              <w:spacing w:after="0"/>
              <w:rPr>
                <w:sz w:val="11"/>
                <w:szCs w:val="11"/>
                <w:color w:val="auto"/>
              </w:rPr>
            </w:pPr>
          </w:p>
        </w:tc>
        <w:tc>
          <w:tcPr>
            <w:tcW w:w="140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8"/>
              </w:rPr>
              <w:t>January 30,</w:t>
            </w:r>
          </w:p>
        </w:tc>
        <w:tc>
          <w:tcPr>
            <w:tcW w:w="6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120" w:type="dxa"/>
            <w:vAlign w:val="bottom"/>
          </w:tcPr>
          <w:p>
            <w:pPr>
              <w:spacing w:after="0"/>
              <w:rPr>
                <w:sz w:val="14"/>
                <w:szCs w:val="14"/>
                <w:color w:val="auto"/>
              </w:rPr>
            </w:pPr>
          </w:p>
        </w:tc>
        <w:tc>
          <w:tcPr>
            <w:tcW w:w="3980" w:type="dxa"/>
            <w:vAlign w:val="bottom"/>
            <w:gridSpan w:val="2"/>
          </w:tcPr>
          <w:p>
            <w:pPr>
              <w:jc w:val="right"/>
              <w:ind w:right="852"/>
              <w:spacing w:after="0"/>
              <w:rPr>
                <w:sz w:val="20"/>
                <w:szCs w:val="20"/>
                <w:color w:val="auto"/>
              </w:rPr>
            </w:pPr>
            <w:r>
              <w:rPr>
                <w:rFonts w:ascii="Arial" w:cs="Arial" w:eastAsia="Arial" w:hAnsi="Arial"/>
                <w:sz w:val="14"/>
                <w:szCs w:val="14"/>
                <w:b w:val="1"/>
                <w:bCs w:val="1"/>
                <w:color w:val="auto"/>
              </w:rPr>
              <w:t>2016</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2015</w:t>
            </w:r>
          </w:p>
        </w:tc>
        <w:tc>
          <w:tcPr>
            <w:tcW w:w="70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2016</w:t>
            </w:r>
          </w:p>
        </w:tc>
        <w:tc>
          <w:tcPr>
            <w:tcW w:w="0" w:type="dxa"/>
            <w:vAlign w:val="bottom"/>
          </w:tcPr>
          <w:p>
            <w:pPr>
              <w:spacing w:after="0"/>
              <w:rPr>
                <w:sz w:val="1"/>
                <w:szCs w:val="1"/>
                <w:color w:val="auto"/>
              </w:rPr>
            </w:pPr>
          </w:p>
        </w:tc>
      </w:tr>
      <w:tr>
        <w:trPr>
          <w:trHeight w:val="142"/>
        </w:trPr>
        <w:tc>
          <w:tcPr>
            <w:tcW w:w="5120" w:type="dxa"/>
            <w:vAlign w:val="bottom"/>
          </w:tcPr>
          <w:p>
            <w:pPr>
              <w:spacing w:after="0"/>
              <w:rPr>
                <w:sz w:val="12"/>
                <w:szCs w:val="12"/>
                <w:color w:val="auto"/>
              </w:rPr>
            </w:pPr>
          </w:p>
        </w:tc>
        <w:tc>
          <w:tcPr>
            <w:tcW w:w="2580" w:type="dxa"/>
            <w:vAlign w:val="bottom"/>
          </w:tcPr>
          <w:p>
            <w:pPr>
              <w:spacing w:after="0"/>
              <w:rPr>
                <w:sz w:val="12"/>
                <w:szCs w:val="12"/>
                <w:color w:val="auto"/>
              </w:rPr>
            </w:pPr>
          </w:p>
        </w:tc>
        <w:tc>
          <w:tcPr>
            <w:tcW w:w="2780" w:type="dxa"/>
            <w:vAlign w:val="bottom"/>
            <w:tcBorders>
              <w:top w:val="single" w:sz="8" w:color="auto"/>
            </w:tcBorders>
            <w:gridSpan w:val="3"/>
          </w:tcPr>
          <w:p>
            <w:pPr>
              <w:jc w:val="center"/>
              <w:ind w:left="612"/>
              <w:spacing w:after="0" w:line="142" w:lineRule="exact"/>
              <w:rPr>
                <w:sz w:val="20"/>
                <w:szCs w:val="20"/>
                <w:color w:val="auto"/>
              </w:rPr>
            </w:pPr>
            <w:r>
              <w:rPr>
                <w:rFonts w:ascii="Arial" w:cs="Arial" w:eastAsia="Arial" w:hAnsi="Arial"/>
                <w:sz w:val="14"/>
                <w:szCs w:val="14"/>
                <w:b w:val="1"/>
                <w:bCs w:val="1"/>
                <w:color w:val="auto"/>
                <w:w w:val="84"/>
              </w:rPr>
              <w:t>(in thousands, except percentages)</w:t>
            </w: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9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12,346</w:t>
            </w:r>
          </w:p>
        </w:tc>
        <w:tc>
          <w:tcPr>
            <w:tcW w:w="13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93"/>
              </w:rPr>
              <w:t>$  (3,193)</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(486.7)%</w:t>
            </w:r>
          </w:p>
        </w:tc>
        <w:tc>
          <w:tcPr>
            <w:tcW w:w="0" w:type="dxa"/>
            <w:vAlign w:val="bottom"/>
          </w:tcPr>
          <w:p>
            <w:pPr>
              <w:spacing w:after="0"/>
              <w:rPr>
                <w:sz w:val="1"/>
                <w:szCs w:val="1"/>
                <w:color w:val="auto"/>
              </w:rPr>
            </w:pPr>
          </w:p>
        </w:tc>
      </w:tr>
      <w:tr>
        <w:trPr>
          <w:trHeight w:val="222"/>
        </w:trPr>
        <w:tc>
          <w:tcPr>
            <w:tcW w:w="5120" w:type="dxa"/>
            <w:vAlign w:val="bottom"/>
          </w:tcPr>
          <w:p>
            <w:pPr>
              <w:spacing w:after="0"/>
              <w:rPr>
                <w:sz w:val="20"/>
                <w:szCs w:val="20"/>
                <w:color w:val="auto"/>
              </w:rPr>
            </w:pPr>
            <w:r>
              <w:rPr>
                <w:rFonts w:ascii="Arial" w:cs="Arial" w:eastAsia="Arial" w:hAnsi="Arial"/>
                <w:sz w:val="18"/>
                <w:szCs w:val="18"/>
                <w:color w:val="auto"/>
              </w:rPr>
              <w:t>% of net revenue</w:t>
            </w:r>
          </w:p>
        </w:tc>
        <w:tc>
          <w:tcPr>
            <w:tcW w:w="3980" w:type="dxa"/>
            <w:vAlign w:val="bottom"/>
            <w:gridSpan w:val="2"/>
          </w:tcPr>
          <w:p>
            <w:pPr>
              <w:jc w:val="right"/>
              <w:ind w:right="492"/>
              <w:spacing w:after="0"/>
              <w:rPr>
                <w:sz w:val="20"/>
                <w:szCs w:val="20"/>
                <w:color w:val="auto"/>
              </w:rPr>
            </w:pPr>
            <w:r>
              <w:rPr>
                <w:rFonts w:ascii="Arial" w:cs="Arial" w:eastAsia="Arial" w:hAnsi="Arial"/>
                <w:sz w:val="18"/>
                <w:szCs w:val="18"/>
                <w:color w:val="auto"/>
              </w:rPr>
              <w:t>0.5%</w:t>
            </w:r>
          </w:p>
        </w:tc>
        <w:tc>
          <w:tcPr>
            <w:tcW w:w="1380" w:type="dxa"/>
            <w:vAlign w:val="bottom"/>
            <w:gridSpan w:val="2"/>
          </w:tcPr>
          <w:p>
            <w:pPr>
              <w:jc w:val="right"/>
              <w:ind w:right="480"/>
              <w:spacing w:after="0"/>
              <w:rPr>
                <w:sz w:val="20"/>
                <w:szCs w:val="20"/>
                <w:color w:val="auto"/>
              </w:rPr>
            </w:pPr>
            <w:r>
              <w:rPr>
                <w:rFonts w:ascii="Arial" w:cs="Arial" w:eastAsia="Arial" w:hAnsi="Arial"/>
                <w:sz w:val="18"/>
                <w:szCs w:val="18"/>
                <w:color w:val="auto"/>
              </w:rPr>
              <w:t>(0.1)%</w:t>
            </w:r>
          </w:p>
        </w:tc>
        <w:tc>
          <w:tcPr>
            <w:tcW w:w="6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had an effective tax rate of (1.5)% in fiscal 2016 compared to an effective tax rate of (0.7)% in fiscal 2015. The income tax expense for fiscal 2016 includes current income tax liability of $14.5 million, an additional tax provision of $3.1 million related to a $15.4 million payment to the Company’s former Chief Executive Officer (see “Note 14 — Related Party Transactions” in the Notes to the Consolidated Financial Statement set forth in Part II, Item 8 of this Annual Report on Form 10-K) and a $6.1 million reduction in net deferred tax assets that was primarily caused by the recognition of a valuation allowance against certain non-U.S. loss carryforwards that will not be realized in the foreseeable future. These expenses were offset by a net reduction in unrecognized tax benefits of $11.6 million that arose from the release of $20.6 million due to the settlement of a tax audit in a non-U.S. jurisdiction and the expiration of statutes of limitation in non-U.S. jurisdictions, net of a $9.0 million increase in current unrecognized tax benefits.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January 31, 2015 and February 1, 2014</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0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2780" w:type="dxa"/>
            <w:vAlign w:val="bottom"/>
            <w:gridSpan w:val="3"/>
          </w:tcPr>
          <w:p>
            <w:pPr>
              <w:ind w:left="760"/>
              <w:spacing w:after="0"/>
              <w:rPr>
                <w:sz w:val="20"/>
                <w:szCs w:val="20"/>
                <w:color w:val="auto"/>
              </w:rPr>
            </w:pPr>
            <w:r>
              <w:rPr>
                <w:rFonts w:ascii="Arial" w:cs="Arial" w:eastAsia="Arial" w:hAnsi="Arial"/>
                <w:sz w:val="14"/>
                <w:szCs w:val="14"/>
                <w:b w:val="1"/>
                <w:bCs w:val="1"/>
                <w:color w:val="auto"/>
              </w:rPr>
              <w:t>Year Ended</w:t>
            </w:r>
          </w:p>
        </w:tc>
        <w:tc>
          <w:tcPr>
            <w:tcW w:w="90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300" w:type="dxa"/>
            <w:vAlign w:val="bottom"/>
          </w:tcPr>
          <w:p>
            <w:pPr>
              <w:spacing w:after="0"/>
              <w:rPr>
                <w:sz w:val="11"/>
                <w:szCs w:val="11"/>
                <w:color w:val="auto"/>
              </w:rPr>
            </w:pPr>
          </w:p>
        </w:tc>
        <w:tc>
          <w:tcPr>
            <w:tcW w:w="3440" w:type="dxa"/>
            <w:vAlign w:val="bottom"/>
          </w:tcPr>
          <w:p>
            <w:pPr>
              <w:spacing w:after="0"/>
              <w:rPr>
                <w:sz w:val="11"/>
                <w:szCs w:val="11"/>
                <w:color w:val="auto"/>
              </w:rPr>
            </w:pPr>
          </w:p>
        </w:tc>
        <w:tc>
          <w:tcPr>
            <w:tcW w:w="110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January 31,</w:t>
            </w:r>
          </w:p>
        </w:tc>
        <w:tc>
          <w:tcPr>
            <w:tcW w:w="1120" w:type="dxa"/>
            <w:vAlign w:val="bottom"/>
            <w:tcBorders>
              <w:top w:val="single" w:sz="8" w:color="auto"/>
            </w:tcBorders>
          </w:tcPr>
          <w:p>
            <w:pPr>
              <w:ind w:left="380"/>
              <w:spacing w:after="0" w:line="129" w:lineRule="exact"/>
              <w:rPr>
                <w:sz w:val="20"/>
                <w:szCs w:val="20"/>
                <w:color w:val="auto"/>
              </w:rPr>
            </w:pPr>
            <w:r>
              <w:rPr>
                <w:rFonts w:ascii="Arial" w:cs="Arial" w:eastAsia="Arial" w:hAnsi="Arial"/>
                <w:sz w:val="14"/>
                <w:szCs w:val="14"/>
                <w:b w:val="1"/>
                <w:bCs w:val="1"/>
                <w:color w:val="auto"/>
                <w:w w:val="95"/>
              </w:rPr>
              <w:t>February 1,</w:t>
            </w:r>
          </w:p>
        </w:tc>
        <w:tc>
          <w:tcPr>
            <w:tcW w:w="56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00" w:type="dxa"/>
            <w:vAlign w:val="bottom"/>
          </w:tcPr>
          <w:p>
            <w:pPr>
              <w:spacing w:after="0"/>
              <w:rPr>
                <w:sz w:val="14"/>
                <w:szCs w:val="14"/>
                <w:color w:val="auto"/>
              </w:rPr>
            </w:pPr>
          </w:p>
        </w:tc>
        <w:tc>
          <w:tcPr>
            <w:tcW w:w="4540" w:type="dxa"/>
            <w:vAlign w:val="bottom"/>
            <w:gridSpan w:val="2"/>
          </w:tcPr>
          <w:p>
            <w:pPr>
              <w:jc w:val="right"/>
              <w:ind w:right="512"/>
              <w:spacing w:after="0"/>
              <w:rPr>
                <w:sz w:val="20"/>
                <w:szCs w:val="20"/>
                <w:color w:val="auto"/>
              </w:rPr>
            </w:pPr>
            <w:r>
              <w:rPr>
                <w:rFonts w:ascii="Arial" w:cs="Arial" w:eastAsia="Arial" w:hAnsi="Arial"/>
                <w:sz w:val="14"/>
                <w:szCs w:val="14"/>
                <w:b w:val="1"/>
                <w:bCs w:val="1"/>
                <w:color w:val="auto"/>
              </w:rPr>
              <w:t>2015</w:t>
            </w:r>
          </w:p>
        </w:tc>
        <w:tc>
          <w:tcPr>
            <w:tcW w:w="1120" w:type="dxa"/>
            <w:vAlign w:val="bottom"/>
          </w:tcPr>
          <w:p>
            <w:pPr>
              <w:jc w:val="right"/>
              <w:ind w:right="186"/>
              <w:spacing w:after="0"/>
              <w:rPr>
                <w:sz w:val="20"/>
                <w:szCs w:val="20"/>
                <w:color w:val="auto"/>
              </w:rPr>
            </w:pPr>
            <w:r>
              <w:rPr>
                <w:rFonts w:ascii="Arial" w:cs="Arial" w:eastAsia="Arial" w:hAnsi="Arial"/>
                <w:sz w:val="14"/>
                <w:szCs w:val="14"/>
                <w:b w:val="1"/>
                <w:bCs w:val="1"/>
                <w:color w:val="auto"/>
              </w:rPr>
              <w:t>2014</w:t>
            </w:r>
          </w:p>
        </w:tc>
        <w:tc>
          <w:tcPr>
            <w:tcW w:w="560" w:type="dxa"/>
            <w:vAlign w:val="bottom"/>
          </w:tcPr>
          <w:p>
            <w:pPr>
              <w:spacing w:after="0"/>
              <w:rPr>
                <w:sz w:val="14"/>
                <w:szCs w:val="14"/>
                <w:color w:val="auto"/>
              </w:rPr>
            </w:pPr>
          </w:p>
        </w:tc>
        <w:tc>
          <w:tcPr>
            <w:tcW w:w="9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30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2780" w:type="dxa"/>
            <w:vAlign w:val="bottom"/>
            <w:tcBorders>
              <w:top w:val="single" w:sz="8" w:color="auto"/>
            </w:tcBorders>
            <w:gridSpan w:val="3"/>
          </w:tcPr>
          <w:p>
            <w:pPr>
              <w:ind w:left="780"/>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54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$3,706,963</w:t>
            </w:r>
          </w:p>
        </w:tc>
        <w:tc>
          <w:tcPr>
            <w:tcW w:w="16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$3,404,400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8.9%</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60" w:firstLine="456"/>
        <w:spacing w:after="0" w:line="255" w:lineRule="auto"/>
        <w:rPr>
          <w:sz w:val="20"/>
          <w:szCs w:val="20"/>
          <w:color w:val="auto"/>
        </w:rPr>
      </w:pPr>
      <w:r>
        <w:rPr>
          <w:rFonts w:ascii="Arial" w:cs="Arial" w:eastAsia="Arial" w:hAnsi="Arial"/>
          <w:sz w:val="18"/>
          <w:szCs w:val="18"/>
          <w:color w:val="auto"/>
        </w:rPr>
        <w:t>Our net revenue for fiscal 2015 increased by $302.6 million compared to net revenue for fiscal 2014. The increase was led by sales of our mobile and wireless products, particularly in the first half of fiscal 2015, where we saw strong growth from multiple customers who launched their 4G LTE smartphones based on our solutions. In the storage market, we saw higher HDD revenue, which was mostly driven by continued growth for our 500 gigabyte per platter products and increased demand for our products used in enterprise drives at a top North America based HDD customer. Our networking revenue was up 1% in fiscal 2015 over fiscal 2014 due to higher</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demand for enterprise switches and routers. Unit shipments were 18% higher while average selling prices declined 7% in fiscal 2015 compared to fiscal 2014, which resulted in an overall increase of 9%.</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20" w:type="dxa"/>
            <w:vAlign w:val="bottom"/>
          </w:tcPr>
          <w:p>
            <w:pPr>
              <w:spacing w:after="0"/>
              <w:rPr>
                <w:sz w:val="14"/>
                <w:szCs w:val="14"/>
                <w:color w:val="auto"/>
              </w:rPr>
            </w:pPr>
          </w:p>
        </w:tc>
        <w:tc>
          <w:tcPr>
            <w:tcW w:w="9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44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1500" w:type="dxa"/>
            <w:vAlign w:val="bottom"/>
          </w:tcPr>
          <w:p>
            <w:pPr>
              <w:jc w:val="right"/>
              <w:ind w:right="692"/>
              <w:spacing w:after="0" w:line="129" w:lineRule="exact"/>
              <w:rPr>
                <w:sz w:val="20"/>
                <w:szCs w:val="20"/>
                <w:color w:val="auto"/>
              </w:rPr>
            </w:pPr>
            <w:r>
              <w:rPr>
                <w:rFonts w:ascii="Arial" w:cs="Arial" w:eastAsia="Arial" w:hAnsi="Arial"/>
                <w:sz w:val="14"/>
                <w:szCs w:val="14"/>
                <w:b w:val="1"/>
                <w:bCs w:val="1"/>
                <w:color w:val="auto"/>
                <w:w w:val="93"/>
              </w:rPr>
              <w:t>January 31,</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February 1,</w:t>
            </w:r>
          </w:p>
        </w:tc>
        <w:tc>
          <w:tcPr>
            <w:tcW w:w="62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40" w:type="dxa"/>
            <w:vAlign w:val="bottom"/>
          </w:tcPr>
          <w:p>
            <w:pPr>
              <w:spacing w:after="0"/>
              <w:rPr>
                <w:sz w:val="14"/>
                <w:szCs w:val="14"/>
                <w:color w:val="auto"/>
              </w:rPr>
            </w:pPr>
          </w:p>
        </w:tc>
        <w:tc>
          <w:tcPr>
            <w:tcW w:w="4620" w:type="dxa"/>
            <w:vAlign w:val="bottom"/>
            <w:gridSpan w:val="2"/>
          </w:tcPr>
          <w:p>
            <w:pPr>
              <w:jc w:val="right"/>
              <w:ind w:right="892"/>
              <w:spacing w:after="0"/>
              <w:rPr>
                <w:sz w:val="20"/>
                <w:szCs w:val="20"/>
                <w:color w:val="auto"/>
              </w:rPr>
            </w:pPr>
            <w:r>
              <w:rPr>
                <w:rFonts w:ascii="Arial" w:cs="Arial" w:eastAsia="Arial" w:hAnsi="Arial"/>
                <w:sz w:val="14"/>
                <w:szCs w:val="14"/>
                <w:b w:val="1"/>
                <w:bCs w:val="1"/>
                <w:color w:val="auto"/>
              </w:rPr>
              <w:t>2015</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2014</w:t>
            </w:r>
          </w:p>
        </w:tc>
        <w:tc>
          <w:tcPr>
            <w:tcW w:w="620" w:type="dxa"/>
            <w:vAlign w:val="bottom"/>
          </w:tcPr>
          <w:p>
            <w:pPr>
              <w:spacing w:after="0"/>
              <w:rPr>
                <w:sz w:val="14"/>
                <w:szCs w:val="14"/>
                <w:color w:val="auto"/>
              </w:rPr>
            </w:pPr>
          </w:p>
        </w:tc>
        <w:tc>
          <w:tcPr>
            <w:tcW w:w="9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440" w:type="dxa"/>
            <w:vAlign w:val="bottom"/>
          </w:tcPr>
          <w:p>
            <w:pPr>
              <w:spacing w:after="0"/>
              <w:rPr>
                <w:sz w:val="12"/>
                <w:szCs w:val="12"/>
                <w:color w:val="auto"/>
              </w:rPr>
            </w:pPr>
          </w:p>
        </w:tc>
        <w:tc>
          <w:tcPr>
            <w:tcW w:w="3120" w:type="dxa"/>
            <w:vAlign w:val="bottom"/>
          </w:tcPr>
          <w:p>
            <w:pPr>
              <w:spacing w:after="0"/>
              <w:rPr>
                <w:sz w:val="12"/>
                <w:szCs w:val="12"/>
                <w:color w:val="auto"/>
              </w:rPr>
            </w:pPr>
          </w:p>
        </w:tc>
        <w:tc>
          <w:tcPr>
            <w:tcW w:w="292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462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$1,843,706</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$1,663,730</w:t>
            </w:r>
          </w:p>
        </w:tc>
        <w:tc>
          <w:tcPr>
            <w:tcW w:w="6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22"/>
        </w:trPr>
        <w:tc>
          <w:tcPr>
            <w:tcW w:w="4440" w:type="dxa"/>
            <w:vAlign w:val="bottom"/>
          </w:tcPr>
          <w:p>
            <w:pPr>
              <w:spacing w:after="0"/>
              <w:rPr>
                <w:sz w:val="20"/>
                <w:szCs w:val="20"/>
                <w:color w:val="auto"/>
              </w:rPr>
            </w:pPr>
            <w:r>
              <w:rPr>
                <w:rFonts w:ascii="Arial" w:cs="Arial" w:eastAsia="Arial" w:hAnsi="Arial"/>
                <w:sz w:val="18"/>
                <w:szCs w:val="18"/>
                <w:color w:val="auto"/>
              </w:rPr>
              <w:t>% of net revenue</w:t>
            </w:r>
          </w:p>
        </w:tc>
        <w:tc>
          <w:tcPr>
            <w:tcW w:w="4620" w:type="dxa"/>
            <w:vAlign w:val="bottom"/>
            <w:gridSpan w:val="2"/>
          </w:tcPr>
          <w:p>
            <w:pPr>
              <w:jc w:val="right"/>
              <w:ind w:right="492"/>
              <w:spacing w:after="0"/>
              <w:rPr>
                <w:sz w:val="20"/>
                <w:szCs w:val="20"/>
                <w:color w:val="auto"/>
              </w:rPr>
            </w:pPr>
            <w:r>
              <w:rPr>
                <w:rFonts w:ascii="Arial" w:cs="Arial" w:eastAsia="Arial" w:hAnsi="Arial"/>
                <w:sz w:val="18"/>
                <w:szCs w:val="18"/>
                <w:color w:val="auto"/>
              </w:rPr>
              <w:t>49.7%</w:t>
            </w:r>
          </w:p>
        </w:tc>
        <w:tc>
          <w:tcPr>
            <w:tcW w:w="1420" w:type="dxa"/>
            <w:vAlign w:val="bottom"/>
            <w:gridSpan w:val="2"/>
          </w:tcPr>
          <w:p>
            <w:pPr>
              <w:jc w:val="right"/>
              <w:ind w:right="460"/>
              <w:spacing w:after="0"/>
              <w:rPr>
                <w:sz w:val="20"/>
                <w:szCs w:val="20"/>
                <w:color w:val="auto"/>
              </w:rPr>
            </w:pPr>
            <w:r>
              <w:rPr>
                <w:rFonts w:ascii="Arial" w:cs="Arial" w:eastAsia="Arial" w:hAnsi="Arial"/>
                <w:sz w:val="18"/>
                <w:szCs w:val="18"/>
                <w:color w:val="auto"/>
              </w:rPr>
              <w:t>48.9%</w:t>
            </w:r>
          </w:p>
        </w:tc>
        <w:tc>
          <w:tcPr>
            <w:tcW w:w="7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Cost of goods sold as a percentage of net revenue was higher in fiscal 2015 due to a shift in the mix of our revenue, particularly in the first half of fiscal 2015, towards our mobile and wireless products which have a higher average cost of goods sold as a percentage of revenue. In addition, we also had higher inventory write downs and increased royalty expense in fiscal 2015 compared to fiscal 2014.</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4"/>
          </w:tcPr>
          <w:p>
            <w:pPr>
              <w:ind w:left="480"/>
              <w:spacing w:after="0"/>
              <w:rPr>
                <w:sz w:val="20"/>
                <w:szCs w:val="20"/>
                <w:color w:val="auto"/>
              </w:rPr>
            </w:pPr>
            <w:r>
              <w:rPr>
                <w:rFonts w:ascii="Arial" w:cs="Arial" w:eastAsia="Arial" w:hAnsi="Arial"/>
                <w:sz w:val="14"/>
                <w:szCs w:val="14"/>
                <w:b w:val="1"/>
                <w:bCs w:val="1"/>
                <w:color w:val="auto"/>
                <w:w w:val="85"/>
              </w:rPr>
              <w:t>Year Ended</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700" w:type="dxa"/>
            <w:vAlign w:val="bottom"/>
          </w:tcPr>
          <w:p>
            <w:pPr>
              <w:spacing w:after="0"/>
              <w:rPr>
                <w:sz w:val="11"/>
                <w:szCs w:val="11"/>
                <w:color w:val="auto"/>
              </w:rPr>
            </w:pPr>
          </w:p>
        </w:tc>
        <w:tc>
          <w:tcPr>
            <w:tcW w:w="3780" w:type="dxa"/>
            <w:vAlign w:val="bottom"/>
          </w:tcPr>
          <w:p>
            <w:pPr>
              <w:spacing w:after="0"/>
              <w:rPr>
                <w:sz w:val="11"/>
                <w:szCs w:val="11"/>
                <w:color w:val="auto"/>
              </w:rPr>
            </w:pPr>
          </w:p>
        </w:tc>
        <w:tc>
          <w:tcPr>
            <w:tcW w:w="9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20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0"/>
              </w:rPr>
              <w:t>February 1,</w:t>
            </w:r>
          </w:p>
        </w:tc>
        <w:tc>
          <w:tcPr>
            <w:tcW w:w="100" w:type="dxa"/>
            <w:vAlign w:val="bottom"/>
          </w:tcPr>
          <w:p>
            <w:pPr>
              <w:spacing w:after="0"/>
              <w:rPr>
                <w:sz w:val="11"/>
                <w:szCs w:val="11"/>
                <w:color w:val="auto"/>
              </w:rPr>
            </w:pPr>
          </w:p>
        </w:tc>
      </w:t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2015</w:t>
            </w: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5700" w:type="dxa"/>
            <w:vAlign w:val="bottom"/>
          </w:tcPr>
          <w:p>
            <w:pPr>
              <w:spacing w:after="0"/>
              <w:rPr>
                <w:sz w:val="12"/>
                <w:szCs w:val="12"/>
                <w:color w:val="auto"/>
              </w:rPr>
            </w:pPr>
          </w:p>
        </w:tc>
        <w:tc>
          <w:tcPr>
            <w:tcW w:w="3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40" w:type="dxa"/>
            <w:vAlign w:val="bottom"/>
            <w:gridSpan w:val="5"/>
          </w:tcPr>
          <w:p>
            <w:pPr>
              <w:jc w:val="right"/>
              <w:ind w:right="436"/>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7,972</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8,863</w:t>
            </w:r>
          </w:p>
        </w:tc>
      </w:tr>
      <w:tr>
        <w:trPr>
          <w:trHeight w:val="216"/>
        </w:trPr>
        <w:tc>
          <w:tcPr>
            <w:tcW w:w="57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94,432</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109,432</w:t>
            </w: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11,469</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13,940</w:t>
            </w:r>
          </w:p>
        </w:tc>
      </w:tr>
      <w:tr>
        <w:trPr>
          <w:trHeight w:val="223"/>
        </w:trPr>
        <w:tc>
          <w:tcPr>
            <w:tcW w:w="57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23,373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23,638</w:t>
            </w:r>
          </w:p>
        </w:tc>
        <w:tc>
          <w:tcPr>
            <w:tcW w:w="100" w:type="dxa"/>
            <w:vAlign w:val="bottom"/>
          </w:tcPr>
          <w:p>
            <w:pPr>
              <w:spacing w:after="0"/>
              <w:rPr>
                <w:sz w:val="19"/>
                <w:szCs w:val="19"/>
                <w:color w:val="auto"/>
              </w:rPr>
            </w:pPr>
          </w:p>
        </w:tc>
      </w:tr>
      <w:tr>
        <w:trPr>
          <w:trHeight w:val="216"/>
        </w:trPr>
        <w:tc>
          <w:tcPr>
            <w:tcW w:w="5700" w:type="dxa"/>
            <w:vAlign w:val="bottom"/>
            <w:shd w:val="clear" w:color="auto" w:fill="CCEEFF"/>
          </w:tcPr>
          <w:p>
            <w:pPr>
              <w:spacing w:after="0"/>
              <w:rPr>
                <w:sz w:val="18"/>
                <w:szCs w:val="18"/>
                <w:color w:val="auto"/>
              </w:rPr>
            </w:pP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137,246</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155,873</w:t>
            </w:r>
          </w:p>
        </w:tc>
      </w:tr>
      <w:tr>
        <w:trPr>
          <w:trHeight w:val="20"/>
        </w:trPr>
        <w:tc>
          <w:tcPr>
            <w:tcW w:w="5700" w:type="dxa"/>
            <w:vAlign w:val="bottom"/>
          </w:tcPr>
          <w:p>
            <w:pPr>
              <w:spacing w:after="0" w:line="20" w:lineRule="exact"/>
              <w:rPr>
                <w:sz w:val="1"/>
                <w:szCs w:val="1"/>
                <w:color w:val="auto"/>
              </w:rPr>
            </w:pPr>
          </w:p>
        </w:tc>
        <w:tc>
          <w:tcPr>
            <w:tcW w:w="3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Share-based compensation expense decreased by $18.6 million in fiscal 2015 compared to fiscal 2014. The decrease was primarily due to lower expense related to the employee stock purchase plan. In addition, the reversal of previously recognized expense associated with unvested equity awards that were cancelled as a result of the resignation in February 2014 of our former Chief Technology Officer reduced the fiscal 2015 share-based compensation expense. These decreases were partially offset by new grants of performance-based awards in fiscal 2015 to members of senior management and to our executive officers.</w:t>
      </w:r>
    </w:p>
    <w:p>
      <w:pPr>
        <w:spacing w:after="0" w:line="17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2"/>
          </w:tcPr>
          <w:p>
            <w:pPr>
              <w:jc w:val="center"/>
              <w:ind w:right="92"/>
              <w:spacing w:after="0"/>
              <w:rPr>
                <w:sz w:val="20"/>
                <w:szCs w:val="20"/>
                <w:color w:val="auto"/>
              </w:rPr>
            </w:pPr>
            <w:r>
              <w:rPr>
                <w:rFonts w:ascii="Arial" w:cs="Arial" w:eastAsia="Arial" w:hAnsi="Arial"/>
                <w:sz w:val="14"/>
                <w:szCs w:val="14"/>
                <w:b w:val="1"/>
                <w:bCs w:val="1"/>
                <w:color w:val="auto"/>
                <w:w w:val="88"/>
              </w:rPr>
              <w:t>Year Ended</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920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74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100" w:type="dxa"/>
            <w:vAlign w:val="bottom"/>
          </w:tcPr>
          <w:p>
            <w:pPr>
              <w:spacing w:after="0"/>
              <w:rPr>
                <w:sz w:val="11"/>
                <w:szCs w:val="11"/>
                <w:color w:val="auto"/>
              </w:rPr>
            </w:pPr>
          </w:p>
        </w:tc>
      </w:tr>
      <w:tr>
        <w:trPr>
          <w:trHeight w:val="161"/>
        </w:trPr>
        <w:tc>
          <w:tcPr>
            <w:tcW w:w="9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w w:val="96"/>
              </w:rPr>
              <w:t>2015</w:t>
            </w:r>
          </w:p>
        </w:tc>
        <w:tc>
          <w:tcPr>
            <w:tcW w:w="7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9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20" w:type="dxa"/>
            <w:vAlign w:val="bottom"/>
            <w:gridSpan w:val="3"/>
          </w:tcPr>
          <w:p>
            <w:pPr>
              <w:jc w:val="center"/>
              <w:ind w:left="320"/>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9200" w:type="dxa"/>
            <w:vAlign w:val="bottom"/>
            <w:shd w:val="clear" w:color="auto" w:fill="CCEEFF"/>
          </w:tcPr>
          <w:p>
            <w:pPr>
              <w:spacing w:after="0"/>
              <w:rPr>
                <w:sz w:val="20"/>
                <w:szCs w:val="20"/>
                <w:color w:val="auto"/>
              </w:rPr>
            </w:pPr>
            <w:r>
              <w:rPr>
                <w:rFonts w:ascii="Arial" w:cs="Arial" w:eastAsia="Arial" w:hAnsi="Arial"/>
                <w:sz w:val="18"/>
                <w:szCs w:val="18"/>
                <w:color w:val="auto"/>
              </w:rPr>
              <w:t>Restructuring and other related charges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10,438</w:t>
            </w:r>
          </w:p>
        </w:tc>
        <w:tc>
          <w:tcPr>
            <w:tcW w:w="88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4,732</w:t>
            </w:r>
          </w:p>
        </w:tc>
        <w:tc>
          <w:tcPr>
            <w:tcW w:w="100" w:type="dxa"/>
            <w:vAlign w:val="bottom"/>
            <w:shd w:val="clear" w:color="auto" w:fill="CCEEFF"/>
          </w:tcPr>
          <w:p>
            <w:pPr>
              <w:spacing w:after="0"/>
              <w:rPr>
                <w:sz w:val="18"/>
                <w:szCs w:val="18"/>
                <w:color w:val="auto"/>
              </w:rPr>
            </w:pPr>
          </w:p>
        </w:tc>
      </w:tr>
      <w:tr>
        <w:trPr>
          <w:trHeight w:val="223"/>
        </w:trPr>
        <w:tc>
          <w:tcPr>
            <w:tcW w:w="920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7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9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13,824</w:t>
            </w:r>
          </w:p>
        </w:tc>
        <w:tc>
          <w:tcPr>
            <w:tcW w:w="88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4,732</w:t>
            </w:r>
          </w:p>
        </w:tc>
        <w:tc>
          <w:tcPr>
            <w:tcW w:w="100" w:type="dxa"/>
            <w:vAlign w:val="bottom"/>
            <w:shd w:val="clear" w:color="auto" w:fill="CCEEFF"/>
          </w:tcPr>
          <w:p>
            <w:pPr>
              <w:spacing w:after="0"/>
              <w:rPr>
                <w:sz w:val="18"/>
                <w:szCs w:val="18"/>
                <w:color w:val="auto"/>
              </w:rPr>
            </w:pPr>
          </w:p>
        </w:tc>
      </w:tr>
      <w:tr>
        <w:trPr>
          <w:trHeight w:val="20"/>
        </w:trPr>
        <w:tc>
          <w:tcPr>
            <w:tcW w:w="9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We recorded a total $13.8 million restructuring and other related charges in fiscal 2015, which included severance costs and other exit-related costs, primarily associated with facility closures. In addition, the charge included $3.4 million to write off an acquired intangible asset. The fiscal 2014 restructuring charge primarily related to the closure of two sites for a total cost of $4.7 million for severance and other exit-related costs. See</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“Note 8 — Restructuring and Other Related Charges” in the Notes to the Consolidated Financial Statements set forth in Part II, Item 8 of this Annual Report on Form 10-K for a more complete discussion of these restructuring charges.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92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3"/>
              </w:rPr>
              <w:t>January 31,</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February 1,</w:t>
            </w:r>
          </w:p>
        </w:tc>
        <w:tc>
          <w:tcPr>
            <w:tcW w:w="60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500" w:type="dxa"/>
            <w:vAlign w:val="bottom"/>
          </w:tcPr>
          <w:p>
            <w:pPr>
              <w:jc w:val="right"/>
              <w:ind w:right="886"/>
              <w:spacing w:after="0"/>
              <w:rPr>
                <w:sz w:val="20"/>
                <w:szCs w:val="20"/>
                <w:color w:val="auto"/>
              </w:rPr>
            </w:pPr>
            <w:r>
              <w:rPr>
                <w:rFonts w:ascii="Arial" w:cs="Arial" w:eastAsia="Arial" w:hAnsi="Arial"/>
                <w:sz w:val="14"/>
                <w:szCs w:val="14"/>
                <w:b w:val="1"/>
                <w:bCs w:val="1"/>
                <w:color w:val="auto"/>
              </w:rPr>
              <w:t>2015</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2014</w:t>
            </w:r>
          </w:p>
        </w:tc>
        <w:tc>
          <w:tcPr>
            <w:tcW w:w="600" w:type="dxa"/>
            <w:vAlign w:val="bottom"/>
          </w:tcPr>
          <w:p>
            <w:pPr>
              <w:spacing w:after="0"/>
              <w:rPr>
                <w:sz w:val="14"/>
                <w:szCs w:val="14"/>
                <w:color w:val="auto"/>
              </w:rPr>
            </w:pPr>
          </w:p>
        </w:tc>
        <w:tc>
          <w:tcPr>
            <w:tcW w:w="9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90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jc w:val="right"/>
              <w:ind w:right="626"/>
              <w:spacing w:after="0"/>
              <w:rPr>
                <w:sz w:val="20"/>
                <w:szCs w:val="20"/>
                <w:color w:val="auto"/>
              </w:rPr>
            </w:pPr>
            <w:r>
              <w:rPr>
                <w:rFonts w:ascii="Arial" w:cs="Arial" w:eastAsia="Arial" w:hAnsi="Arial"/>
                <w:sz w:val="18"/>
                <w:szCs w:val="18"/>
                <w:color w:val="auto"/>
                <w:w w:val="86"/>
              </w:rPr>
              <w:t>$1,158,810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$1,153,999</w:t>
            </w:r>
          </w:p>
        </w:tc>
        <w:tc>
          <w:tcPr>
            <w:tcW w:w="6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31.2%</w:t>
            </w:r>
          </w:p>
        </w:tc>
        <w:tc>
          <w:tcPr>
            <w:tcW w:w="1400" w:type="dxa"/>
            <w:vAlign w:val="bottom"/>
            <w:gridSpan w:val="2"/>
          </w:tcPr>
          <w:p>
            <w:pPr>
              <w:jc w:val="right"/>
              <w:ind w:right="460"/>
              <w:spacing w:after="0"/>
              <w:rPr>
                <w:sz w:val="20"/>
                <w:szCs w:val="20"/>
                <w:color w:val="auto"/>
              </w:rPr>
            </w:pPr>
            <w:r>
              <w:rPr>
                <w:rFonts w:ascii="Arial" w:cs="Arial" w:eastAsia="Arial" w:hAnsi="Arial"/>
                <w:sz w:val="18"/>
                <w:szCs w:val="18"/>
                <w:color w:val="auto"/>
              </w:rPr>
              <w:t>33.9%</w:t>
            </w: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Research and development expense increased by $4.8 million in fiscal 2015 compared to fiscal 2014. The increase was primarily attributable to $27.5 million of higher personnel-related costs primarily associated with an increase in incentive compensation expense that were partially offset by lower share-based compensation. In addition, we had $3.8 million of higher depreciation and amortization expenses. These increases were offset by $26.5 million of lower costs primarily for non-recurring engineering services due to higher reimbursement from our customers combined with efforts to closely monitor research and development spending to improve efficiencies.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660" w:type="dxa"/>
            <w:vAlign w:val="bottom"/>
          </w:tcPr>
          <w:p>
            <w:pPr>
              <w:spacing w:after="0"/>
              <w:rPr>
                <w:sz w:val="11"/>
                <w:szCs w:val="11"/>
                <w:color w:val="auto"/>
              </w:rPr>
            </w:pPr>
          </w:p>
        </w:tc>
        <w:tc>
          <w:tcPr>
            <w:tcW w:w="310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5"/>
              </w:rPr>
              <w:t>January 31,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1,</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60" w:type="dxa"/>
            <w:vAlign w:val="bottom"/>
          </w:tcPr>
          <w:p>
            <w:pPr>
              <w:spacing w:after="0"/>
              <w:rPr>
                <w:sz w:val="14"/>
                <w:szCs w:val="14"/>
                <w:color w:val="auto"/>
              </w:rPr>
            </w:pPr>
          </w:p>
        </w:tc>
        <w:tc>
          <w:tcPr>
            <w:tcW w:w="448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66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448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$ 143,952</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$ 151,903</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22"/>
        </w:trPr>
        <w:tc>
          <w:tcPr>
            <w:tcW w:w="4660" w:type="dxa"/>
            <w:vAlign w:val="bottom"/>
          </w:tcPr>
          <w:p>
            <w:pPr>
              <w:spacing w:after="0"/>
              <w:rPr>
                <w:sz w:val="20"/>
                <w:szCs w:val="20"/>
                <w:color w:val="auto"/>
              </w:rPr>
            </w:pPr>
            <w:r>
              <w:rPr>
                <w:rFonts w:ascii="Arial" w:cs="Arial" w:eastAsia="Arial" w:hAnsi="Arial"/>
                <w:sz w:val="18"/>
                <w:szCs w:val="18"/>
                <w:color w:val="auto"/>
              </w:rPr>
              <w:t>% of net revenue</w:t>
            </w:r>
          </w:p>
        </w:tc>
        <w:tc>
          <w:tcPr>
            <w:tcW w:w="4480" w:type="dxa"/>
            <w:vAlign w:val="bottom"/>
            <w:gridSpan w:val="2"/>
          </w:tcPr>
          <w:p>
            <w:pPr>
              <w:jc w:val="right"/>
              <w:ind w:right="472"/>
              <w:spacing w:after="0"/>
              <w:rPr>
                <w:sz w:val="20"/>
                <w:szCs w:val="20"/>
                <w:color w:val="auto"/>
              </w:rPr>
            </w:pPr>
            <w:r>
              <w:rPr>
                <w:rFonts w:ascii="Arial" w:cs="Arial" w:eastAsia="Arial" w:hAnsi="Arial"/>
                <w:sz w:val="18"/>
                <w:szCs w:val="18"/>
                <w:color w:val="auto"/>
              </w:rPr>
              <w:t>3.9%</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4.5%</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720" w:firstLine="456"/>
        <w:spacing w:after="0" w:line="332" w:lineRule="auto"/>
        <w:rPr>
          <w:sz w:val="20"/>
          <w:szCs w:val="20"/>
          <w:color w:val="auto"/>
        </w:rPr>
      </w:pPr>
      <w:r>
        <w:rPr>
          <w:rFonts w:ascii="Arial" w:cs="Arial" w:eastAsia="Arial" w:hAnsi="Arial"/>
          <w:sz w:val="16"/>
          <w:szCs w:val="16"/>
          <w:color w:val="auto"/>
        </w:rPr>
        <w:t>Selling and marketing expense decreased by $8.0 million in fiscal 2015 compared to fiscal 2014. The decrease was primarily attributable to lower personnel-related costs of $9.7 million due to lower headcount, which was partially offset by slightly higher marketing advertisement activities.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88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84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140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66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40" w:type="dxa"/>
            <w:vAlign w:val="bottom"/>
          </w:tcPr>
          <w:p>
            <w:pPr>
              <w:spacing w:after="0"/>
              <w:rPr>
                <w:sz w:val="14"/>
                <w:szCs w:val="14"/>
                <w:color w:val="auto"/>
              </w:rPr>
            </w:pPr>
          </w:p>
        </w:tc>
        <w:tc>
          <w:tcPr>
            <w:tcW w:w="4340" w:type="dxa"/>
            <w:vAlign w:val="bottom"/>
            <w:gridSpan w:val="2"/>
          </w:tcPr>
          <w:p>
            <w:pPr>
              <w:jc w:val="right"/>
              <w:ind w:right="85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660" w:type="dxa"/>
            <w:vAlign w:val="bottom"/>
          </w:tcPr>
          <w:p>
            <w:pPr>
              <w:spacing w:after="0"/>
              <w:rPr>
                <w:sz w:val="14"/>
                <w:szCs w:val="14"/>
                <w:color w:val="auto"/>
              </w:rPr>
            </w:pPr>
          </w:p>
        </w:tc>
        <w:tc>
          <w:tcPr>
            <w:tcW w:w="88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84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76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434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$ 124,841</w:t>
            </w:r>
          </w:p>
        </w:tc>
        <w:tc>
          <w:tcPr>
            <w:tcW w:w="13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84"/>
              </w:rPr>
              <w:t>$ 105,420</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18.4%</w:t>
            </w:r>
          </w:p>
        </w:tc>
        <w:tc>
          <w:tcPr>
            <w:tcW w:w="0" w:type="dxa"/>
            <w:vAlign w:val="bottom"/>
          </w:tcPr>
          <w:p>
            <w:pPr>
              <w:spacing w:after="0"/>
              <w:rPr>
                <w:sz w:val="1"/>
                <w:szCs w:val="1"/>
                <w:color w:val="auto"/>
              </w:rPr>
            </w:pPr>
          </w:p>
        </w:tc>
      </w:tr>
      <w:tr>
        <w:trPr>
          <w:trHeight w:val="222"/>
        </w:trPr>
        <w:tc>
          <w:tcPr>
            <w:tcW w:w="4840" w:type="dxa"/>
            <w:vAlign w:val="bottom"/>
          </w:tcPr>
          <w:p>
            <w:pPr>
              <w:spacing w:after="0"/>
              <w:rPr>
                <w:sz w:val="20"/>
                <w:szCs w:val="20"/>
                <w:color w:val="auto"/>
              </w:rPr>
            </w:pPr>
            <w:r>
              <w:rPr>
                <w:rFonts w:ascii="Arial" w:cs="Arial" w:eastAsia="Arial" w:hAnsi="Arial"/>
                <w:sz w:val="18"/>
                <w:szCs w:val="18"/>
                <w:color w:val="auto"/>
              </w:rPr>
              <w:t>% of net revenue</w:t>
            </w:r>
          </w:p>
        </w:tc>
        <w:tc>
          <w:tcPr>
            <w:tcW w:w="4340" w:type="dxa"/>
            <w:vAlign w:val="bottom"/>
            <w:gridSpan w:val="2"/>
          </w:tcPr>
          <w:p>
            <w:pPr>
              <w:jc w:val="right"/>
              <w:ind w:right="492"/>
              <w:spacing w:after="0"/>
              <w:rPr>
                <w:sz w:val="20"/>
                <w:szCs w:val="20"/>
                <w:color w:val="auto"/>
              </w:rPr>
            </w:pPr>
            <w:r>
              <w:rPr>
                <w:rFonts w:ascii="Arial" w:cs="Arial" w:eastAsia="Arial" w:hAnsi="Arial"/>
                <w:sz w:val="18"/>
                <w:szCs w:val="18"/>
                <w:color w:val="auto"/>
              </w:rPr>
              <w:t>3.4%</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3.1%</w:t>
            </w:r>
          </w:p>
        </w:tc>
        <w:tc>
          <w:tcPr>
            <w:tcW w:w="6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General and administrative expense increased by $19.4 million in fiscal 2015 compared to fiscal 2014. The increase was primarily attributable to higher legal expenses of $8.3 million for ongoing litigation matters and costs of $7.2 million associated with the surety bond to appeal the CMU judgment. Higher incentive compensation expenses of $5.0 million in fiscal 2015 also contributed to the increase in general and administrative expense.</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80" w:type="dxa"/>
            <w:vAlign w:val="bottom"/>
          </w:tcPr>
          <w:p>
            <w:pPr>
              <w:spacing w:after="0"/>
              <w:rPr>
                <w:sz w:val="14"/>
                <w:szCs w:val="14"/>
                <w:color w:val="auto"/>
              </w:rPr>
            </w:pPr>
          </w:p>
        </w:tc>
        <w:tc>
          <w:tcPr>
            <w:tcW w:w="2980" w:type="dxa"/>
            <w:vAlign w:val="bottom"/>
          </w:tcPr>
          <w:p>
            <w:pPr>
              <w:spacing w:after="0"/>
              <w:rPr>
                <w:sz w:val="14"/>
                <w:szCs w:val="14"/>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780" w:type="dxa"/>
            <w:vAlign w:val="bottom"/>
          </w:tcPr>
          <w:p>
            <w:pPr>
              <w:spacing w:after="0"/>
              <w:rPr>
                <w:sz w:val="11"/>
                <w:szCs w:val="11"/>
                <w:color w:val="auto"/>
              </w:rPr>
            </w:pPr>
          </w:p>
        </w:tc>
        <w:tc>
          <w:tcPr>
            <w:tcW w:w="2980" w:type="dxa"/>
            <w:vAlign w:val="bottom"/>
          </w:tcPr>
          <w:p>
            <w:pPr>
              <w:spacing w:after="0"/>
              <w:rPr>
                <w:sz w:val="11"/>
                <w:szCs w:val="11"/>
                <w:color w:val="auto"/>
              </w:rPr>
            </w:pPr>
          </w:p>
        </w:tc>
        <w:tc>
          <w:tcPr>
            <w:tcW w:w="138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85"/>
              </w:rPr>
              <w:t>January 31,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1,</w:t>
            </w:r>
          </w:p>
        </w:tc>
        <w:tc>
          <w:tcPr>
            <w:tcW w:w="66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80" w:type="dxa"/>
            <w:vAlign w:val="bottom"/>
          </w:tcPr>
          <w:p>
            <w:pPr>
              <w:spacing w:after="0"/>
              <w:rPr>
                <w:sz w:val="14"/>
                <w:szCs w:val="14"/>
                <w:color w:val="auto"/>
              </w:rPr>
            </w:pPr>
          </w:p>
        </w:tc>
        <w:tc>
          <w:tcPr>
            <w:tcW w:w="4360" w:type="dxa"/>
            <w:vAlign w:val="bottom"/>
            <w:gridSpan w:val="2"/>
          </w:tcPr>
          <w:p>
            <w:pPr>
              <w:jc w:val="right"/>
              <w:ind w:right="83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66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780" w:type="dxa"/>
            <w:vAlign w:val="bottom"/>
          </w:tcPr>
          <w:p>
            <w:pPr>
              <w:spacing w:after="0"/>
              <w:rPr>
                <w:sz w:val="12"/>
                <w:szCs w:val="12"/>
                <w:color w:val="auto"/>
              </w:rPr>
            </w:pPr>
          </w:p>
        </w:tc>
        <w:tc>
          <w:tcPr>
            <w:tcW w:w="2980" w:type="dxa"/>
            <w:vAlign w:val="bottom"/>
          </w:tcPr>
          <w:p>
            <w:pPr>
              <w:spacing w:after="0"/>
              <w:rPr>
                <w:sz w:val="12"/>
                <w:szCs w:val="12"/>
                <w:color w:val="auto"/>
              </w:rPr>
            </w:pPr>
          </w:p>
        </w:tc>
        <w:tc>
          <w:tcPr>
            <w:tcW w:w="274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436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rPr>
              <w:t>$  16,397</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  43,925</w:t>
            </w:r>
          </w:p>
        </w:tc>
        <w:tc>
          <w:tcPr>
            <w:tcW w:w="6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(62.7)%</w:t>
            </w:r>
          </w:p>
        </w:tc>
        <w:tc>
          <w:tcPr>
            <w:tcW w:w="0" w:type="dxa"/>
            <w:vAlign w:val="bottom"/>
          </w:tcPr>
          <w:p>
            <w:pPr>
              <w:spacing w:after="0"/>
              <w:rPr>
                <w:sz w:val="1"/>
                <w:szCs w:val="1"/>
                <w:color w:val="auto"/>
              </w:rPr>
            </w:pPr>
          </w:p>
        </w:tc>
      </w:tr>
      <w:tr>
        <w:trPr>
          <w:trHeight w:val="222"/>
        </w:trPr>
        <w:tc>
          <w:tcPr>
            <w:tcW w:w="4780" w:type="dxa"/>
            <w:vAlign w:val="bottom"/>
          </w:tcPr>
          <w:p>
            <w:pPr>
              <w:spacing w:after="0"/>
              <w:rPr>
                <w:sz w:val="20"/>
                <w:szCs w:val="20"/>
                <w:color w:val="auto"/>
              </w:rPr>
            </w:pPr>
            <w:r>
              <w:rPr>
                <w:rFonts w:ascii="Arial" w:cs="Arial" w:eastAsia="Arial" w:hAnsi="Arial"/>
                <w:sz w:val="18"/>
                <w:szCs w:val="18"/>
                <w:color w:val="auto"/>
              </w:rPr>
              <w:t>% of net revenue</w:t>
            </w:r>
          </w:p>
        </w:tc>
        <w:tc>
          <w:tcPr>
            <w:tcW w:w="4360" w:type="dxa"/>
            <w:vAlign w:val="bottom"/>
            <w:gridSpan w:val="2"/>
          </w:tcPr>
          <w:p>
            <w:pPr>
              <w:jc w:val="right"/>
              <w:ind w:right="472"/>
              <w:spacing w:after="0"/>
              <w:rPr>
                <w:sz w:val="20"/>
                <w:szCs w:val="20"/>
                <w:color w:val="auto"/>
              </w:rPr>
            </w:pPr>
            <w:r>
              <w:rPr>
                <w:rFonts w:ascii="Arial" w:cs="Arial" w:eastAsia="Arial" w:hAnsi="Arial"/>
                <w:sz w:val="18"/>
                <w:szCs w:val="18"/>
                <w:color w:val="auto"/>
              </w:rPr>
              <w:t>0.5%</w:t>
            </w:r>
          </w:p>
        </w:tc>
        <w:tc>
          <w:tcPr>
            <w:tcW w:w="1360" w:type="dxa"/>
            <w:vAlign w:val="bottom"/>
            <w:gridSpan w:val="2"/>
          </w:tcPr>
          <w:p>
            <w:pPr>
              <w:jc w:val="right"/>
              <w:ind w:right="520"/>
              <w:spacing w:after="0"/>
              <w:rPr>
                <w:sz w:val="20"/>
                <w:szCs w:val="20"/>
                <w:color w:val="auto"/>
              </w:rPr>
            </w:pPr>
            <w:r>
              <w:rPr>
                <w:rFonts w:ascii="Arial" w:cs="Arial" w:eastAsia="Arial" w:hAnsi="Arial"/>
                <w:sz w:val="18"/>
                <w:szCs w:val="18"/>
                <w:color w:val="auto"/>
              </w:rPr>
              <w:t>1.3%</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780" w:type="dxa"/>
            <w:vAlign w:val="bottom"/>
          </w:tcPr>
          <w:p>
            <w:pPr>
              <w:spacing w:after="0"/>
              <w:rPr>
                <w:sz w:val="24"/>
                <w:szCs w:val="24"/>
                <w:color w:val="auto"/>
              </w:rPr>
            </w:pPr>
          </w:p>
        </w:tc>
        <w:tc>
          <w:tcPr>
            <w:tcW w:w="2980" w:type="dxa"/>
            <w:vAlign w:val="bottom"/>
          </w:tcPr>
          <w:p>
            <w:pPr>
              <w:jc w:val="right"/>
              <w:ind w:right="1877"/>
              <w:spacing w:after="0"/>
              <w:rPr>
                <w:sz w:val="20"/>
                <w:szCs w:val="20"/>
                <w:color w:val="auto"/>
              </w:rPr>
            </w:pPr>
            <w:r>
              <w:rPr>
                <w:rFonts w:ascii="Arial" w:cs="Arial" w:eastAsia="Arial" w:hAnsi="Arial"/>
                <w:sz w:val="18"/>
                <w:szCs w:val="18"/>
                <w:color w:val="auto"/>
              </w:rPr>
              <w:t>50</w:t>
            </w:r>
          </w:p>
        </w:tc>
        <w:tc>
          <w:tcPr>
            <w:tcW w:w="1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Amortization and write-off of acquired intangible assets decreased by $27.5 million in fiscal 2015 compared to fiscal 2014. The decrease was due to a reduction in amortization expense as certain intangible assets became fully amortized. In addition, fiscal 2015 included a $3.4 million write-off of IPR&amp;D upon our decision to discontinue the related project compared to a write-off of $8.1 million for the impairment of an acquired intangible asset in fiscal 2014.</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840" w:type="dxa"/>
            <w:vAlign w:val="bottom"/>
          </w:tcPr>
          <w:p>
            <w:pPr>
              <w:spacing w:after="0"/>
              <w:rPr>
                <w:sz w:val="11"/>
                <w:szCs w:val="11"/>
                <w:color w:val="auto"/>
              </w:rPr>
            </w:pPr>
          </w:p>
        </w:tc>
        <w:tc>
          <w:tcPr>
            <w:tcW w:w="2740" w:type="dxa"/>
            <w:vAlign w:val="bottom"/>
          </w:tcPr>
          <w:p>
            <w:pPr>
              <w:spacing w:after="0"/>
              <w:rPr>
                <w:sz w:val="11"/>
                <w:szCs w:val="11"/>
                <w:color w:val="auto"/>
              </w:rPr>
            </w:pPr>
          </w:p>
        </w:tc>
        <w:tc>
          <w:tcPr>
            <w:tcW w:w="1460" w:type="dxa"/>
            <w:vAlign w:val="bottom"/>
          </w:tcPr>
          <w:p>
            <w:pPr>
              <w:jc w:val="right"/>
              <w:ind w:right="692"/>
              <w:spacing w:after="0" w:line="12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72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40" w:type="dxa"/>
            <w:vAlign w:val="bottom"/>
          </w:tcPr>
          <w:p>
            <w:pPr>
              <w:spacing w:after="0"/>
              <w:rPr>
                <w:sz w:val="14"/>
                <w:szCs w:val="14"/>
                <w:color w:val="auto"/>
              </w:rPr>
            </w:pPr>
          </w:p>
        </w:tc>
        <w:tc>
          <w:tcPr>
            <w:tcW w:w="4200" w:type="dxa"/>
            <w:vAlign w:val="bottom"/>
            <w:gridSpan w:val="2"/>
          </w:tcPr>
          <w:p>
            <w:pPr>
              <w:jc w:val="right"/>
              <w:ind w:right="912"/>
              <w:spacing w:after="0"/>
              <w:rPr>
                <w:sz w:val="20"/>
                <w:szCs w:val="20"/>
                <w:color w:val="auto"/>
              </w:rPr>
            </w:pPr>
            <w:r>
              <w:rPr>
                <w:rFonts w:ascii="Arial" w:cs="Arial" w:eastAsia="Arial" w:hAnsi="Arial"/>
                <w:sz w:val="14"/>
                <w:szCs w:val="14"/>
                <w:b w:val="1"/>
                <w:bCs w:val="1"/>
                <w:color w:val="auto"/>
              </w:rPr>
              <w:t>2015</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spacing w:after="0"/>
              <w:rPr>
                <w:sz w:val="14"/>
                <w:szCs w:val="14"/>
                <w:color w:val="auto"/>
              </w:rPr>
            </w:pPr>
          </w:p>
        </w:tc>
        <w:tc>
          <w:tcPr>
            <w:tcW w:w="9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4840" w:type="dxa"/>
            <w:vAlign w:val="bottom"/>
          </w:tcPr>
          <w:p>
            <w:pPr>
              <w:spacing w:after="0"/>
              <w:rPr>
                <w:sz w:val="12"/>
                <w:szCs w:val="12"/>
                <w:color w:val="auto"/>
              </w:rPr>
            </w:pPr>
          </w:p>
        </w:tc>
        <w:tc>
          <w:tcPr>
            <w:tcW w:w="2740" w:type="dxa"/>
            <w:vAlign w:val="bottom"/>
          </w:tcPr>
          <w:p>
            <w:pPr>
              <w:spacing w:after="0"/>
              <w:rPr>
                <w:sz w:val="12"/>
                <w:szCs w:val="12"/>
                <w:color w:val="auto"/>
              </w:rPr>
            </w:pPr>
          </w:p>
        </w:tc>
        <w:tc>
          <w:tcPr>
            <w:tcW w:w="288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4200" w:type="dxa"/>
            <w:vAlign w:val="bottom"/>
            <w:gridSpan w:val="2"/>
            <w:shd w:val="clear" w:color="auto" w:fill="CCEEFF"/>
          </w:tcPr>
          <w:p>
            <w:pPr>
              <w:jc w:val="right"/>
              <w:ind w:right="692"/>
              <w:spacing w:after="0"/>
              <w:rPr>
                <w:sz w:val="20"/>
                <w:szCs w:val="20"/>
                <w:color w:val="auto"/>
              </w:rPr>
            </w:pPr>
            <w:r>
              <w:rPr>
                <w:rFonts w:ascii="Arial" w:cs="Arial" w:eastAsia="Arial" w:hAnsi="Arial"/>
                <w:sz w:val="18"/>
                <w:szCs w:val="18"/>
                <w:color w:val="auto"/>
              </w:rPr>
              <w:t>$  23,334</w:t>
            </w: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90"/>
              </w:rPr>
              <w:t>$  25,566</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r>
        <w:trPr>
          <w:trHeight w:val="222"/>
        </w:trPr>
        <w:tc>
          <w:tcPr>
            <w:tcW w:w="4840" w:type="dxa"/>
            <w:vAlign w:val="bottom"/>
          </w:tcPr>
          <w:p>
            <w:pPr>
              <w:spacing w:after="0"/>
              <w:rPr>
                <w:sz w:val="20"/>
                <w:szCs w:val="20"/>
                <w:color w:val="auto"/>
              </w:rPr>
            </w:pPr>
            <w:r>
              <w:rPr>
                <w:rFonts w:ascii="Arial" w:cs="Arial" w:eastAsia="Arial" w:hAnsi="Arial"/>
                <w:sz w:val="18"/>
                <w:szCs w:val="18"/>
                <w:color w:val="auto"/>
              </w:rPr>
              <w:t>% of net revenue</w:t>
            </w:r>
          </w:p>
        </w:tc>
        <w:tc>
          <w:tcPr>
            <w:tcW w:w="4200" w:type="dxa"/>
            <w:vAlign w:val="bottom"/>
            <w:gridSpan w:val="2"/>
          </w:tcPr>
          <w:p>
            <w:pPr>
              <w:jc w:val="right"/>
              <w:ind w:right="552"/>
              <w:spacing w:after="0"/>
              <w:rPr>
                <w:sz w:val="20"/>
                <w:szCs w:val="20"/>
                <w:color w:val="auto"/>
              </w:rPr>
            </w:pPr>
            <w:r>
              <w:rPr>
                <w:rFonts w:ascii="Arial" w:cs="Arial" w:eastAsia="Arial" w:hAnsi="Arial"/>
                <w:sz w:val="18"/>
                <w:szCs w:val="18"/>
                <w:color w:val="auto"/>
              </w:rPr>
              <w:t>0.6%</w:t>
            </w:r>
          </w:p>
        </w:tc>
        <w:tc>
          <w:tcPr>
            <w:tcW w:w="1420" w:type="dxa"/>
            <w:vAlign w:val="bottom"/>
            <w:gridSpan w:val="2"/>
          </w:tcPr>
          <w:p>
            <w:pPr>
              <w:jc w:val="right"/>
              <w:ind w:right="560"/>
              <w:spacing w:after="0"/>
              <w:rPr>
                <w:sz w:val="20"/>
                <w:szCs w:val="20"/>
                <w:color w:val="auto"/>
              </w:rPr>
            </w:pPr>
            <w:r>
              <w:rPr>
                <w:rFonts w:ascii="Arial" w:cs="Arial" w:eastAsia="Arial" w:hAnsi="Arial"/>
                <w:sz w:val="18"/>
                <w:szCs w:val="18"/>
                <w:color w:val="auto"/>
              </w:rPr>
              <w:t>0.7%</w:t>
            </w: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Interest and other income, net, decreased by $2.2 million in fiscal 2015 compared to fiscal 2014. The decrease was primarily due to the recognition of foreign currency gains, which were $6.9 million lower in fiscal 2015 compared to fiscal 2014. Although the U.S. dollar strengthened over certain foreign currencies in which we had exposures during fiscal 2015, most of our foreign currency gains arose from the revaluation of our foreign currency denominated tax liabilities that were lower in fiscal 2015 compared to fiscal 2014. The decrease in foreign currency gains was partially offset by an increase in interest income from higher average cash and investment balances combined with an increase in other income. Other income included an $8.8 million gain from the sale of an investment in fiscal 2015 compared to a $7.0 million gain from the sale of a business in fiscal 2014.</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8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20" w:type="dxa"/>
            <w:vAlign w:val="bottom"/>
          </w:tcPr>
          <w:p>
            <w:pPr>
              <w:spacing w:after="0"/>
              <w:rPr>
                <w:sz w:val="14"/>
                <w:szCs w:val="14"/>
                <w:color w:val="auto"/>
              </w:rPr>
            </w:pPr>
          </w:p>
        </w:tc>
        <w:tc>
          <w:tcPr>
            <w:tcW w:w="100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80" w:type="dxa"/>
            <w:vAlign w:val="bottom"/>
          </w:tcPr>
          <w:p>
            <w:pPr>
              <w:spacing w:after="0"/>
              <w:rPr>
                <w:sz w:val="11"/>
                <w:szCs w:val="11"/>
                <w:color w:val="auto"/>
              </w:rPr>
            </w:pPr>
          </w:p>
        </w:tc>
        <w:tc>
          <w:tcPr>
            <w:tcW w:w="1500" w:type="dxa"/>
            <w:vAlign w:val="bottom"/>
          </w:tcPr>
          <w:p>
            <w:pPr>
              <w:jc w:val="right"/>
              <w:ind w:right="726"/>
              <w:spacing w:after="0" w:line="129" w:lineRule="exact"/>
              <w:rPr>
                <w:sz w:val="20"/>
                <w:szCs w:val="20"/>
                <w:color w:val="auto"/>
              </w:rPr>
            </w:pPr>
            <w:r>
              <w:rPr>
                <w:rFonts w:ascii="Arial" w:cs="Arial" w:eastAsia="Arial" w:hAnsi="Arial"/>
                <w:sz w:val="14"/>
                <w:szCs w:val="14"/>
                <w:b w:val="1"/>
                <w:bCs w:val="1"/>
                <w:color w:val="auto"/>
                <w:w w:val="88"/>
              </w:rPr>
              <w:t>January 31,</w:t>
            </w:r>
          </w:p>
        </w:tc>
        <w:tc>
          <w:tcPr>
            <w:tcW w:w="7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72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80" w:type="dxa"/>
            <w:vAlign w:val="bottom"/>
          </w:tcPr>
          <w:p>
            <w:pPr>
              <w:spacing w:after="0"/>
              <w:rPr>
                <w:sz w:val="14"/>
                <w:szCs w:val="14"/>
                <w:color w:val="auto"/>
              </w:rPr>
            </w:pPr>
          </w:p>
        </w:tc>
        <w:tc>
          <w:tcPr>
            <w:tcW w:w="1500" w:type="dxa"/>
            <w:vAlign w:val="bottom"/>
          </w:tcPr>
          <w:p>
            <w:pPr>
              <w:jc w:val="right"/>
              <w:ind w:right="946"/>
              <w:spacing w:after="0"/>
              <w:rPr>
                <w:sz w:val="20"/>
                <w:szCs w:val="20"/>
                <w:color w:val="auto"/>
              </w:rPr>
            </w:pPr>
            <w:r>
              <w:rPr>
                <w:rFonts w:ascii="Arial" w:cs="Arial" w:eastAsia="Arial" w:hAnsi="Arial"/>
                <w:sz w:val="14"/>
                <w:szCs w:val="14"/>
                <w:b w:val="1"/>
                <w:bCs w:val="1"/>
                <w:color w:val="auto"/>
              </w:rPr>
              <w:t>2015</w:t>
            </w:r>
          </w:p>
        </w:tc>
        <w:tc>
          <w:tcPr>
            <w:tcW w:w="7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spacing w:after="0"/>
              <w:rPr>
                <w:sz w:val="14"/>
                <w:szCs w:val="14"/>
                <w:color w:val="auto"/>
              </w:rPr>
            </w:pPr>
          </w:p>
        </w:tc>
        <w:tc>
          <w:tcPr>
            <w:tcW w:w="10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2015</w:t>
            </w:r>
          </w:p>
        </w:tc>
        <w:tc>
          <w:tcPr>
            <w:tcW w:w="0" w:type="dxa"/>
            <w:vAlign w:val="bottom"/>
          </w:tcPr>
          <w:p>
            <w:pPr>
              <w:spacing w:after="0"/>
              <w:rPr>
                <w:sz w:val="1"/>
                <w:szCs w:val="1"/>
                <w:color w:val="auto"/>
              </w:rPr>
            </w:pPr>
          </w:p>
        </w:tc>
      </w:tr>
      <w:tr>
        <w:trPr>
          <w:trHeight w:val="142"/>
        </w:trPr>
        <w:tc>
          <w:tcPr>
            <w:tcW w:w="7480" w:type="dxa"/>
            <w:vAlign w:val="bottom"/>
          </w:tcPr>
          <w:p>
            <w:pPr>
              <w:spacing w:after="0"/>
              <w:rPr>
                <w:sz w:val="12"/>
                <w:szCs w:val="12"/>
                <w:color w:val="auto"/>
              </w:rPr>
            </w:pPr>
          </w:p>
        </w:tc>
        <w:tc>
          <w:tcPr>
            <w:tcW w:w="294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Benefit for income taxes</w:t>
            </w:r>
          </w:p>
        </w:tc>
        <w:tc>
          <w:tcPr>
            <w:tcW w:w="1500" w:type="dxa"/>
            <w:vAlign w:val="bottom"/>
            <w:shd w:val="clear" w:color="auto" w:fill="CCEEFF"/>
          </w:tcPr>
          <w:p>
            <w:pPr>
              <w:jc w:val="right"/>
              <w:ind w:right="666"/>
              <w:spacing w:after="0"/>
              <w:rPr>
                <w:sz w:val="20"/>
                <w:szCs w:val="20"/>
                <w:color w:val="auto"/>
              </w:rPr>
            </w:pPr>
            <w:r>
              <w:rPr>
                <w:rFonts w:ascii="Arial" w:cs="Arial" w:eastAsia="Arial" w:hAnsi="Arial"/>
                <w:sz w:val="18"/>
                <w:szCs w:val="18"/>
                <w:color w:val="auto"/>
                <w:w w:val="95"/>
              </w:rPr>
              <w:t>$  (3,193)</w:t>
            </w:r>
          </w:p>
        </w:tc>
        <w:tc>
          <w:tcPr>
            <w:tcW w:w="14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98"/>
              </w:rPr>
              <w:t>$  (9,063)</w:t>
            </w: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(64.8)%</w:t>
            </w:r>
          </w:p>
        </w:tc>
        <w:tc>
          <w:tcPr>
            <w:tcW w:w="0" w:type="dxa"/>
            <w:vAlign w:val="bottom"/>
          </w:tcPr>
          <w:p>
            <w:pPr>
              <w:spacing w:after="0"/>
              <w:rPr>
                <w:sz w:val="1"/>
                <w:szCs w:val="1"/>
                <w:color w:val="auto"/>
              </w:rPr>
            </w:pPr>
          </w:p>
        </w:tc>
      </w:tr>
      <w:tr>
        <w:trPr>
          <w:trHeight w:val="222"/>
        </w:trPr>
        <w:tc>
          <w:tcPr>
            <w:tcW w:w="748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526"/>
              <w:spacing w:after="0"/>
              <w:rPr>
                <w:sz w:val="20"/>
                <w:szCs w:val="20"/>
                <w:color w:val="auto"/>
              </w:rPr>
            </w:pPr>
            <w:r>
              <w:rPr>
                <w:rFonts w:ascii="Arial" w:cs="Arial" w:eastAsia="Arial" w:hAnsi="Arial"/>
                <w:sz w:val="18"/>
                <w:szCs w:val="18"/>
                <w:color w:val="auto"/>
              </w:rPr>
              <w:t>(0.1)%</w:t>
            </w:r>
          </w:p>
        </w:tc>
        <w:tc>
          <w:tcPr>
            <w:tcW w:w="1440" w:type="dxa"/>
            <w:vAlign w:val="bottom"/>
            <w:gridSpan w:val="2"/>
          </w:tcPr>
          <w:p>
            <w:pPr>
              <w:jc w:val="right"/>
              <w:ind w:right="520"/>
              <w:spacing w:after="0"/>
              <w:rPr>
                <w:sz w:val="20"/>
                <w:szCs w:val="20"/>
                <w:color w:val="auto"/>
              </w:rPr>
            </w:pPr>
            <w:r>
              <w:rPr>
                <w:rFonts w:ascii="Arial" w:cs="Arial" w:eastAsia="Arial" w:hAnsi="Arial"/>
                <w:sz w:val="18"/>
                <w:szCs w:val="18"/>
                <w:color w:val="auto"/>
              </w:rPr>
              <w:t>(0.3)%</w:t>
            </w:r>
          </w:p>
        </w:tc>
        <w:tc>
          <w:tcPr>
            <w:tcW w:w="7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had income tax benefits of 0.7% in fiscal 2015 compared to 3.0% in fiscal 2014. The income tax benefit for fiscal 2015 included the current income tax liability of $17.4 million, plus a $7.4 million increase in current unrecognized tax benefits in non-U.S. jurisdictions. These charges were offset by a reduction in unrecognized tax benefits that arose from the release of $16.4 million due to the expiration of statutes of limitation and a $12.9 million increase in net deferred tax assets. The increase in net deferred tax assets was mostly due to an increase in the Singapore deferred tax assets since we re-negotiated with the Singapore government and in fiscal 2015, they extended the DEI until June 2019. See “Note 9 — Income Taxes” in our Notes to the Consolidated Financial Statements set forth in Part II, Item 8 of this Annual Report on Form 10-K for further information.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Our principal source of liquidity as of January 30, 2016 consisted of approximately $2.3 billion of cash, cash equivalents and short-term investments (prior to giving effect to the settlement with CMU), of which approximately $830 million was held by foreign subsidiaries (outside Bermuda). Approximately $620 million of this amount held by foreign subsidiaries is related to undistributed earnings, which have been indefinitely reinvested outside of Bermuda. These funds are primarily held in China, Israel, Singapore, the United States and Switzerland. We have plans to use such amounts to fund various activities outside of Bermuda including working capital requirements, capital expenditures for expansion, funding of future acquisitions, or other financing</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activities. If such funds were needed by the parent company in Bermuda or if the amounts were otherwise no longer considered indefinitely reinvested, we would incur a tax expense of approximately $200 million.</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as well as payment of $750 million related to our settlement of the patent litigation with CMU.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w:t>
      </w:r>
    </w:p>
    <w:p>
      <w:pPr>
        <w:spacing w:after="0" w:line="118"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On March 16, 2016, we announced that our board of directors declared a cash dividend of $0.06 per share that was paid on April 22, 2016 to shareholders of record as of March 29, 2016 and, on May 18, 2016, we announced that our board of directors declared a cash dividend of $0.06 per share that was paid on July 12, 2016 to shareholders of record as of June 14, 2016.</w:t>
      </w:r>
    </w:p>
    <w:p>
      <w:pPr>
        <w:spacing w:after="0" w:line="140"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Future payment of a regular quarterly cash dividend on our common shares will be subject to, among other things, the best interests of the Company and our shareholders, our results of operations, cash balances and future cash requirements, financial condition, statutory requirements under Bermuda law and other factors that our board of directors may deem relevant. Our dividend payments may change from time to time, and we cannot provide assurance that we will continue to declare dividends at all or in any particular amounts. In addition, developments in ongoing litigation could affect the our ability to make a dividend payment on a declared payment date until such time as we can meet statutory requirements under Bermuda law.</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Net cash provided by operating activities was $205.4 million for fiscal 2016 compared to $728.9 million for fiscal 2015 and $448.0 million for fiscal 2014. The cash inflows from operations for fiscal 2016 were primarily due to $811.4 million of net loss adjusted for $282.6 million of non-cash items and working capital changes of $734.2 million. The change in working capital was primarily driven by a decrease in accounts receivable due to improved collections and a decrease in inventories, combined with an increase in accrued liabilities and the accrued litigation settlement with CMU. The positive effect on working capital was partially offset by decreases in accounts payable due to the timing of payments and accrued compensation primarily due to lower annual incentive compensation in fiscal 2016 compared to fiscal 2015, as well as an increase in prepaid expenses and other assets due to a deposit paid in connection with a foundry agreement executed in October 2015.</w:t>
      </w:r>
    </w:p>
    <w:p>
      <w:pPr>
        <w:spacing w:after="0" w:line="147" w:lineRule="exact"/>
        <w:rPr>
          <w:sz w:val="20"/>
          <w:szCs w:val="20"/>
          <w:color w:val="auto"/>
        </w:rPr>
      </w:pPr>
    </w:p>
    <w:p>
      <w:pPr>
        <w:jc w:val="both"/>
        <w:ind w:right="340" w:firstLine="456"/>
        <w:spacing w:after="0" w:line="306" w:lineRule="auto"/>
        <w:rPr>
          <w:sz w:val="20"/>
          <w:szCs w:val="20"/>
          <w:color w:val="auto"/>
        </w:rPr>
      </w:pPr>
      <w:r>
        <w:rPr>
          <w:rFonts w:ascii="Arial" w:cs="Arial" w:eastAsia="Arial" w:hAnsi="Arial"/>
          <w:sz w:val="16"/>
          <w:szCs w:val="16"/>
          <w:color w:val="auto"/>
        </w:rPr>
        <w:t>The cash inflows from operations for fiscal 2015 were primarily due to $435.3 million of net income adjusted for $238.2 million of non-cash items and working capital changes of $55.4 million. The positive impact on working capital was primarily driven by a decrease in accounts receivable due to improved collections and a decrease in inventories, combined with an increase in accrued employee compensation as a result of higher incentive compensation.</w:t>
      </w:r>
    </w:p>
    <w:p>
      <w:pPr>
        <w:spacing w:after="0" w:line="107" w:lineRule="exact"/>
        <w:rPr>
          <w:sz w:val="20"/>
          <w:szCs w:val="20"/>
          <w:color w:val="auto"/>
        </w:rPr>
      </w:pPr>
    </w:p>
    <w:p>
      <w:pPr>
        <w:jc w:val="both"/>
        <w:ind w:right="320" w:firstLine="456"/>
        <w:spacing w:after="0" w:line="259" w:lineRule="auto"/>
        <w:rPr>
          <w:sz w:val="20"/>
          <w:szCs w:val="20"/>
          <w:color w:val="auto"/>
        </w:rPr>
      </w:pPr>
      <w:r>
        <w:rPr>
          <w:rFonts w:ascii="Arial" w:cs="Arial" w:eastAsia="Arial" w:hAnsi="Arial"/>
          <w:sz w:val="18"/>
          <w:szCs w:val="18"/>
          <w:color w:val="auto"/>
        </w:rPr>
        <w:t>The cash inflows from operations for fiscal 2014 were primarily due to $315.3 million of net income adjusted for $307.7 million of non-cash items less working capital changes of $175.0 million. The negative change in working capital for fiscal 2014 was primarily driven by an increase in accounts receivable from higher revenue levels and higher inventories due to the ramp up of new products.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and (Used in) Investing Activities</w:t>
      </w:r>
    </w:p>
    <w:p>
      <w:pPr>
        <w:spacing w:after="0" w:line="9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Net cash provided by investing activities was $201.7 million for fiscal 2016 compared to $368.9 million used in investing activities for fiscal 2015 and net cash provided by investing activities of $74.8 million for fiscal</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2014. For fiscal 2016, net cash provided by investing activities was primarily generated from the sales and maturities of available-for-sale securities of $1.3 billion less purchases of available-for-sale securities of $1.1 billion, which were also partially offset by payments of $37.3 million for the purchase of property and equipment, and $8.2 million for the purchase of technology licenses.</w:t>
      </w:r>
    </w:p>
    <w:p>
      <w:pPr>
        <w:spacing w:after="0" w:line="14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For fiscal 2015, net cash used in investing activities was primarily due to purchases of available-for-sale securities of $1.1 billion, offset by the sales and maturities of available-for-sale securities of $826.3 million. In addition, we paid $63.0 million for the purchase of property and equipment, and $16.4 million for the purchase of technology licenses.</w:t>
      </w:r>
    </w:p>
    <w:p>
      <w:pPr>
        <w:spacing w:after="0" w:line="14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For fiscal 2014, net cash provided by investing activities was primarily generated from the sale and maturities of available-for-sale securities of $995.0 million less purchases of available-for-sale securities of $837.9 million. The net cash inflow from available-for-sale securities in fiscal 2014 was partially offset by the purchases of $66.6 million of property and equipment, and $17.6 million of IP licenses.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Net cash used in financing activities was $339.8 million for fiscal 2016 compared to $114.8 million for fiscal 2015 and $309.0 million for fiscal 2014. For fiscal 2016, net cash used in financing activities was primarily attributable to payments for repurchases under our share repurchase program of our common shares in the open market for $260.9 million and for our quarterly cash dividends of $122.8 million. The cash outflow was partially offset by net proceeds of $56.4 million from the issuance of our common shares under our share-based plans less the minimum tax withholding on behalf of employees for net share settlements.</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For fiscal 2015, net cash used in financing activities was primarily attributable to payments of our quarterly cash dividends of $122.8 million and repurchases under our share repurchase program of our common shares in the open market for $65.0 million. The cash outflow was partially offset by net proceeds of $85.9 million from the issuance of our common shares under our share-based plans less the minimum tax withholding on behalf of employees for net share settlements.</w:t>
      </w:r>
    </w:p>
    <w:p>
      <w:pPr>
        <w:spacing w:after="0" w:line="143"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For fiscal 2014, net cash used in financing activities was primarily attributable to repurchases under our share repurchase program of $376.3 million and payment of our quarterly cash dividends of $119.4 million in fiscal 2014. The cash outflow was partially offset by net proceeds of $194.1 million from the issuance of our common shares under our share-based plans less the minimum tax withholding paid on behalf of employees for net share settlements.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30, 2016, we were not involved in any unconsolidated SPE transactions.</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color w:val="auto"/>
        </w:rPr>
        <w:t>the right to demand to be placed in funds or call for collateral under pre-defined events. See also “Note 10 — Commitments and Contingencies” in the Notes to the Consolidated Financial Statements set forth in Part II, Item 8 of this Annual Report on Form 10-K for a further discussion of this matter.</w:t>
      </w:r>
    </w:p>
    <w:p>
      <w:pPr>
        <w:spacing w:after="0" w:line="85"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On November 14, 2014, we filed a second surety bond for $216 million and filed a commitment letter from the sureties to issue up to an additional $95 million in bonding under certain conditions. The second bond and commitment were secured by our campus located in Santa Clara, California, which has a carrying value of $133.0 million at January 30, 2016.</w:t>
      </w:r>
    </w:p>
    <w:p>
      <w:pPr>
        <w:spacing w:after="0" w:line="14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connection with the settlement that was reached with CMU for a total $750 million in February 2016, the primary supersedeas bond that the Company entered into was reduced to $439 million and the secondary bond was adjusted to $311 million and both were discharged pursuant to an order releasing supersedeas bonds on April 21, 2016. For additional information, see CMU litigation and “Surety Bonds” in “Note 10 — Commitments and Contingencies” in the Notes to the Consolidated Financial Statements set forth in Part II, Item 8 of this Annual Report on Form 10-K.</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As of January 30, 2016, these foundries had incurred approximately $136.8 million of manufacturing costs and expenses relating to our outstanding purchase orders.</w:t>
      </w:r>
    </w:p>
    <w:p>
      <w:pPr>
        <w:spacing w:after="0" w:line="14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30, 2016 and the effect that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0" w:type="dxa"/>
            <w:vAlign w:val="bottom"/>
            <w:tcBorders>
              <w:bottom w:val="single" w:sz="8" w:color="auto"/>
            </w:tcBorders>
            <w:gridSpan w:val="8"/>
          </w:tcPr>
          <w:p>
            <w:pPr>
              <w:ind w:left="100"/>
              <w:spacing w:after="0"/>
              <w:rPr>
                <w:sz w:val="20"/>
                <w:szCs w:val="20"/>
                <w:color w:val="auto"/>
              </w:rPr>
            </w:pPr>
            <w:r>
              <w:rPr>
                <w:rFonts w:ascii="Arial" w:cs="Arial" w:eastAsia="Arial" w:hAnsi="Arial"/>
                <w:sz w:val="14"/>
                <w:szCs w:val="14"/>
                <w:b w:val="1"/>
                <w:bCs w:val="1"/>
                <w:color w:val="auto"/>
                <w:w w:val="87"/>
              </w:rPr>
              <w:t>Payment Obligations by Fiscal Year</w:t>
            </w:r>
          </w:p>
        </w:tc>
        <w:tc>
          <w:tcPr>
            <w:tcW w:w="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080" w:type="dxa"/>
            <w:vAlign w:val="bottom"/>
            <w:tcBorders>
              <w:bottom w:val="single" w:sz="8" w:color="CCEEFF"/>
            </w:tcBorders>
          </w:tcPr>
          <w:p>
            <w:pPr>
              <w:spacing w:after="0"/>
              <w:rPr>
                <w:sz w:val="12"/>
                <w:szCs w:val="12"/>
                <w:color w:val="auto"/>
              </w:rPr>
            </w:pPr>
          </w:p>
        </w:tc>
        <w:tc>
          <w:tcPr>
            <w:tcW w:w="148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460" w:type="dxa"/>
            <w:vAlign w:val="bottom"/>
            <w:tcBorders>
              <w:bottom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w w:val="96"/>
              </w:rPr>
              <w:t>2017</w:t>
            </w:r>
          </w:p>
        </w:tc>
        <w:tc>
          <w:tcPr>
            <w:tcW w:w="30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400" w:type="dxa"/>
            <w:vAlign w:val="bottom"/>
            <w:tcBorders>
              <w:bottom w:val="single" w:sz="8" w:color="auto"/>
            </w:tcBorders>
          </w:tcPr>
          <w:p>
            <w:pPr>
              <w:jc w:val="right"/>
              <w:ind w:right="32"/>
              <w:spacing w:after="0" w:line="142" w:lineRule="exact"/>
              <w:rPr>
                <w:sz w:val="20"/>
                <w:szCs w:val="20"/>
                <w:color w:val="auto"/>
              </w:rPr>
            </w:pPr>
            <w:r>
              <w:rPr>
                <w:rFonts w:ascii="Arial" w:cs="Arial" w:eastAsia="Arial" w:hAnsi="Arial"/>
                <w:sz w:val="14"/>
                <w:szCs w:val="14"/>
                <w:b w:val="1"/>
                <w:bCs w:val="1"/>
                <w:color w:val="auto"/>
                <w:w w:val="89"/>
              </w:rPr>
              <w:t>2018</w:t>
            </w:r>
          </w:p>
        </w:tc>
        <w:tc>
          <w:tcPr>
            <w:tcW w:w="30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420" w:type="dxa"/>
            <w:vAlign w:val="bottom"/>
            <w:tcBorders>
              <w:bottom w:val="single" w:sz="8" w:color="auto"/>
            </w:tcBorders>
          </w:tcPr>
          <w:p>
            <w:pPr>
              <w:jc w:val="right"/>
              <w:ind w:right="52"/>
              <w:spacing w:after="0" w:line="142" w:lineRule="exact"/>
              <w:rPr>
                <w:sz w:val="20"/>
                <w:szCs w:val="20"/>
                <w:color w:val="auto"/>
              </w:rPr>
            </w:pPr>
            <w:r>
              <w:rPr>
                <w:rFonts w:ascii="Arial" w:cs="Arial" w:eastAsia="Arial" w:hAnsi="Arial"/>
                <w:sz w:val="14"/>
                <w:szCs w:val="14"/>
                <w:b w:val="1"/>
                <w:bCs w:val="1"/>
                <w:color w:val="auto"/>
                <w:w w:val="89"/>
              </w:rPr>
              <w:t>2019</w:t>
            </w:r>
          </w:p>
        </w:tc>
        <w:tc>
          <w:tcPr>
            <w:tcW w:w="28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400" w:type="dxa"/>
            <w:vAlign w:val="bottom"/>
            <w:tcBorders>
              <w:bottom w:val="single" w:sz="8" w:color="auto"/>
            </w:tcBorders>
          </w:tcPr>
          <w:p>
            <w:pPr>
              <w:jc w:val="right"/>
              <w:ind w:right="52"/>
              <w:spacing w:after="0" w:line="142" w:lineRule="exact"/>
              <w:rPr>
                <w:sz w:val="20"/>
                <w:szCs w:val="20"/>
                <w:color w:val="auto"/>
              </w:rPr>
            </w:pPr>
            <w:r>
              <w:rPr>
                <w:rFonts w:ascii="Arial" w:cs="Arial" w:eastAsia="Arial" w:hAnsi="Arial"/>
                <w:sz w:val="14"/>
                <w:szCs w:val="14"/>
                <w:b w:val="1"/>
                <w:bCs w:val="1"/>
                <w:color w:val="auto"/>
                <w:w w:val="83"/>
              </w:rPr>
              <w:t>2020</w:t>
            </w:r>
          </w:p>
        </w:tc>
        <w:tc>
          <w:tcPr>
            <w:tcW w:w="30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360" w:type="dxa"/>
            <w:vAlign w:val="bottom"/>
            <w:tcBorders>
              <w:bottom w:val="single" w:sz="8" w:color="auto"/>
            </w:tcBorders>
          </w:tcPr>
          <w:p>
            <w:pPr>
              <w:spacing w:after="0" w:line="142" w:lineRule="exact"/>
              <w:rPr>
                <w:sz w:val="20"/>
                <w:szCs w:val="20"/>
                <w:color w:val="auto"/>
              </w:rPr>
            </w:pPr>
            <w:r>
              <w:rPr>
                <w:rFonts w:ascii="Arial" w:cs="Arial" w:eastAsia="Arial" w:hAnsi="Arial"/>
                <w:sz w:val="14"/>
                <w:szCs w:val="14"/>
                <w:b w:val="1"/>
                <w:bCs w:val="1"/>
                <w:color w:val="auto"/>
              </w:rPr>
              <w:t>2021</w:t>
            </w:r>
          </w:p>
        </w:tc>
        <w:tc>
          <w:tcPr>
            <w:tcW w:w="260" w:type="dxa"/>
            <w:vAlign w:val="bottom"/>
            <w:tcBorders>
              <w:bottom w:val="single" w:sz="8" w:color="CCEEFF"/>
            </w:tcBorders>
          </w:tcPr>
          <w:p>
            <w:pPr>
              <w:spacing w:after="0"/>
              <w:rPr>
                <w:sz w:val="12"/>
                <w:szCs w:val="12"/>
                <w:color w:val="auto"/>
              </w:rPr>
            </w:pPr>
          </w:p>
        </w:tc>
        <w:tc>
          <w:tcPr>
            <w:tcW w:w="40" w:type="dxa"/>
            <w:vAlign w:val="bottom"/>
            <w:tcBorders>
              <w:bottom w:val="single" w:sz="8" w:color="CCEEFF"/>
            </w:tcBorders>
          </w:tcPr>
          <w:p>
            <w:pPr>
              <w:spacing w:after="0"/>
              <w:rPr>
                <w:sz w:val="12"/>
                <w:szCs w:val="12"/>
                <w:color w:val="auto"/>
              </w:rPr>
            </w:pPr>
          </w:p>
        </w:tc>
        <w:tc>
          <w:tcPr>
            <w:tcW w:w="740" w:type="dxa"/>
            <w:vAlign w:val="bottom"/>
            <w:tcBorders>
              <w:bottom w:val="single" w:sz="8" w:color="auto"/>
            </w:tcBorders>
            <w:gridSpan w:val="2"/>
          </w:tcPr>
          <w:p>
            <w:pPr>
              <w:ind w:left="60"/>
              <w:spacing w:after="0" w:line="142" w:lineRule="exact"/>
              <w:rPr>
                <w:sz w:val="20"/>
                <w:szCs w:val="20"/>
                <w:color w:val="auto"/>
              </w:rPr>
            </w:pPr>
            <w:r>
              <w:rPr>
                <w:rFonts w:ascii="Arial" w:cs="Arial" w:eastAsia="Arial" w:hAnsi="Arial"/>
                <w:sz w:val="14"/>
                <w:szCs w:val="14"/>
                <w:b w:val="1"/>
                <w:bCs w:val="1"/>
                <w:color w:val="auto"/>
                <w:w w:val="96"/>
              </w:rPr>
              <w:t>Thereafter</w:t>
            </w:r>
          </w:p>
        </w:tc>
        <w:tc>
          <w:tcPr>
            <w:tcW w:w="30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600" w:type="dxa"/>
            <w:vAlign w:val="bottom"/>
            <w:tcBorders>
              <w:bottom w:val="single" w:sz="8" w:color="auto"/>
            </w:tcBorders>
          </w:tcPr>
          <w:p>
            <w:pPr>
              <w:jc w:val="right"/>
              <w:ind w:right="152"/>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080" w:type="dxa"/>
            <w:vAlign w:val="bottom"/>
            <w:shd w:val="clear" w:color="auto" w:fill="CCEEFF"/>
          </w:tcPr>
          <w:p>
            <w:pPr>
              <w:spacing w:after="0" w:line="129" w:lineRule="exact"/>
              <w:rPr>
                <w:sz w:val="20"/>
                <w:szCs w:val="20"/>
                <w:color w:val="auto"/>
              </w:rPr>
            </w:pPr>
            <w:r>
              <w:rPr>
                <w:rFonts w:ascii="Arial" w:cs="Arial" w:eastAsia="Arial" w:hAnsi="Arial"/>
                <w:sz w:val="14"/>
                <w:szCs w:val="14"/>
                <w:color w:val="auto"/>
              </w:rPr>
              <w:t>Contractual obligations:</w:t>
            </w:r>
          </w:p>
        </w:tc>
        <w:tc>
          <w:tcPr>
            <w:tcW w:w="14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80" w:type="dxa"/>
            <w:vAlign w:val="bottom"/>
          </w:tcPr>
          <w:p>
            <w:pPr>
              <w:spacing w:after="0" w:line="149" w:lineRule="exact"/>
              <w:rPr>
                <w:sz w:val="20"/>
                <w:szCs w:val="20"/>
                <w:color w:val="auto"/>
              </w:rPr>
            </w:pPr>
            <w:r>
              <w:rPr>
                <w:rFonts w:ascii="Arial" w:cs="Arial" w:eastAsia="Arial" w:hAnsi="Arial"/>
                <w:sz w:val="14"/>
                <w:szCs w:val="14"/>
                <w:color w:val="auto"/>
              </w:rPr>
              <w:t>Facilities operating leases, net</w:t>
            </w:r>
          </w:p>
        </w:tc>
        <w:tc>
          <w:tcPr>
            <w:tcW w:w="16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19,579</w:t>
            </w:r>
          </w:p>
        </w:tc>
        <w:tc>
          <w:tcPr>
            <w:tcW w:w="3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w w:val="88"/>
              </w:rPr>
              <w:t>13,909</w:t>
            </w: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20" w:type="dxa"/>
            <w:vAlign w:val="bottom"/>
          </w:tcPr>
          <w:p>
            <w:pPr>
              <w:jc w:val="right"/>
              <w:spacing w:after="0" w:line="149" w:lineRule="exact"/>
              <w:rPr>
                <w:sz w:val="20"/>
                <w:szCs w:val="20"/>
                <w:color w:val="auto"/>
              </w:rPr>
            </w:pPr>
            <w:r>
              <w:rPr>
                <w:rFonts w:ascii="Arial" w:cs="Arial" w:eastAsia="Arial" w:hAnsi="Arial"/>
                <w:sz w:val="14"/>
                <w:szCs w:val="14"/>
                <w:color w:val="auto"/>
                <w:w w:val="93"/>
              </w:rPr>
              <w:t>10,182</w:t>
            </w:r>
          </w:p>
        </w:tc>
        <w:tc>
          <w:tcPr>
            <w:tcW w:w="38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4,080</w:t>
            </w:r>
          </w:p>
        </w:tc>
        <w:tc>
          <w:tcPr>
            <w:tcW w:w="3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ind w:left="60"/>
              <w:spacing w:after="0" w:line="149" w:lineRule="exact"/>
              <w:rPr>
                <w:sz w:val="20"/>
                <w:szCs w:val="20"/>
                <w:color w:val="auto"/>
              </w:rPr>
            </w:pPr>
            <w:r>
              <w:rPr>
                <w:rFonts w:ascii="Arial" w:cs="Arial" w:eastAsia="Arial" w:hAnsi="Arial"/>
                <w:sz w:val="14"/>
                <w:szCs w:val="14"/>
                <w:color w:val="auto"/>
              </w:rPr>
              <w:t>2,939</w:t>
            </w:r>
          </w:p>
        </w:tc>
        <w:tc>
          <w:tcPr>
            <w:tcW w:w="280" w:type="dxa"/>
            <w:vAlign w:val="bottom"/>
            <w:gridSpan w:val="2"/>
          </w:tcPr>
          <w:p>
            <w:pPr>
              <w:jc w:val="right"/>
              <w:ind w:right="112"/>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center"/>
              <w:ind w:left="132"/>
              <w:spacing w:after="0" w:line="149" w:lineRule="exact"/>
              <w:rPr>
                <w:sz w:val="20"/>
                <w:szCs w:val="20"/>
                <w:color w:val="auto"/>
              </w:rPr>
            </w:pPr>
            <w:r>
              <w:rPr>
                <w:rFonts w:ascii="Arial" w:cs="Arial" w:eastAsia="Arial" w:hAnsi="Arial"/>
                <w:sz w:val="14"/>
                <w:szCs w:val="14"/>
                <w:color w:val="auto"/>
                <w:w w:val="85"/>
              </w:rPr>
              <w:t>4,946</w:t>
            </w:r>
          </w:p>
        </w:tc>
        <w:tc>
          <w:tcPr>
            <w:tcW w:w="4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w:t>
            </w: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55,635</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Computer-aided design software</w:t>
            </w:r>
          </w:p>
        </w:tc>
        <w:tc>
          <w:tcPr>
            <w:tcW w:w="1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43,717</w:t>
            </w:r>
          </w:p>
        </w:tc>
        <w:tc>
          <w:tcPr>
            <w:tcW w:w="3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w w:val="88"/>
              </w:rPr>
              <w:t>21,770</w:t>
            </w:r>
          </w:p>
        </w:tc>
        <w:tc>
          <w:tcPr>
            <w:tcW w:w="80" w:type="dxa"/>
            <w:vAlign w:val="bottom"/>
            <w:shd w:val="clear" w:color="auto" w:fill="CCEEFF"/>
          </w:tcPr>
          <w:p>
            <w:pPr>
              <w:spacing w:after="0"/>
              <w:rPr>
                <w:sz w:val="12"/>
                <w:szCs w:val="12"/>
                <w:color w:val="auto"/>
              </w:rPr>
            </w:pPr>
          </w:p>
        </w:tc>
        <w:tc>
          <w:tcPr>
            <w:tcW w:w="4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14,225</w:t>
            </w:r>
          </w:p>
        </w:tc>
        <w:tc>
          <w:tcPr>
            <w:tcW w:w="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8"/>
              </w:rPr>
              <w:t>10,200</w:t>
            </w:r>
          </w:p>
        </w:tc>
        <w:tc>
          <w:tcPr>
            <w:tcW w:w="3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500" w:type="dxa"/>
            <w:vAlign w:val="bottom"/>
            <w:shd w:val="clear" w:color="auto" w:fill="CCEEFF"/>
          </w:tcPr>
          <w:p>
            <w:pPr>
              <w:jc w:val="center"/>
              <w:ind w:left="172"/>
              <w:spacing w:after="0" w:line="149" w:lineRule="exact"/>
              <w:rPr>
                <w:sz w:val="20"/>
                <w:szCs w:val="20"/>
                <w:color w:val="auto"/>
              </w:rPr>
            </w:pPr>
            <w:r>
              <w:rPr>
                <w:rFonts w:ascii="Arial" w:cs="Arial" w:eastAsia="Arial" w:hAnsi="Arial"/>
                <w:sz w:val="14"/>
                <w:szCs w:val="14"/>
                <w:color w:val="auto"/>
                <w:w w:val="99"/>
              </w:rPr>
              <w:t>—</w:t>
            </w:r>
          </w:p>
        </w:tc>
        <w:tc>
          <w:tcPr>
            <w:tcW w:w="3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89,912</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80" w:type="dxa"/>
            <w:vAlign w:val="bottom"/>
          </w:tcPr>
          <w:p>
            <w:pPr>
              <w:spacing w:after="0" w:line="149" w:lineRule="exact"/>
              <w:rPr>
                <w:sz w:val="20"/>
                <w:szCs w:val="20"/>
                <w:color w:val="auto"/>
              </w:rPr>
            </w:pPr>
            <w:r>
              <w:rPr>
                <w:rFonts w:ascii="Arial" w:cs="Arial" w:eastAsia="Arial" w:hAnsi="Arial"/>
                <w:sz w:val="14"/>
                <w:szCs w:val="14"/>
                <w:color w:val="auto"/>
              </w:rPr>
              <w:t>Purchase commitments to foundries</w:t>
            </w: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w w:val="86"/>
              </w:rPr>
              <w:t>136,848</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42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2"/>
          </w:tcPr>
          <w:p>
            <w:pPr>
              <w:ind w:left="16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00" w:type="dxa"/>
            <w:vAlign w:val="bottom"/>
          </w:tcPr>
          <w:p>
            <w:pPr>
              <w:jc w:val="center"/>
              <w:ind w:left="172"/>
              <w:spacing w:after="0" w:line="149" w:lineRule="exact"/>
              <w:rPr>
                <w:sz w:val="20"/>
                <w:szCs w:val="20"/>
                <w:color w:val="auto"/>
              </w:rPr>
            </w:pPr>
            <w:r>
              <w:rPr>
                <w:rFonts w:ascii="Arial" w:cs="Arial" w:eastAsia="Arial" w:hAnsi="Arial"/>
                <w:sz w:val="14"/>
                <w:szCs w:val="14"/>
                <w:color w:val="auto"/>
                <w:w w:val="99"/>
              </w:rPr>
              <w:t>—</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136,848</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Capital purchase obligations</w:t>
            </w:r>
          </w:p>
        </w:tc>
        <w:tc>
          <w:tcPr>
            <w:tcW w:w="1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29,946</w:t>
            </w:r>
          </w:p>
        </w:tc>
        <w:tc>
          <w:tcPr>
            <w:tcW w:w="3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42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500" w:type="dxa"/>
            <w:vAlign w:val="bottom"/>
            <w:shd w:val="clear" w:color="auto" w:fill="CCEEFF"/>
          </w:tcPr>
          <w:p>
            <w:pPr>
              <w:jc w:val="center"/>
              <w:ind w:left="172"/>
              <w:spacing w:after="0" w:line="149" w:lineRule="exact"/>
              <w:rPr>
                <w:sz w:val="20"/>
                <w:szCs w:val="20"/>
                <w:color w:val="auto"/>
              </w:rPr>
            </w:pPr>
            <w:r>
              <w:rPr>
                <w:rFonts w:ascii="Arial" w:cs="Arial" w:eastAsia="Arial" w:hAnsi="Arial"/>
                <w:sz w:val="14"/>
                <w:szCs w:val="14"/>
                <w:color w:val="auto"/>
                <w:w w:val="99"/>
              </w:rPr>
              <w:t>—</w:t>
            </w:r>
          </w:p>
        </w:tc>
        <w:tc>
          <w:tcPr>
            <w:tcW w:w="3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29,946</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80" w:type="dxa"/>
            <w:vAlign w:val="bottom"/>
          </w:tcPr>
          <w:p>
            <w:pPr>
              <w:spacing w:after="0" w:line="149" w:lineRule="exact"/>
              <w:rPr>
                <w:sz w:val="20"/>
                <w:szCs w:val="20"/>
                <w:color w:val="auto"/>
              </w:rPr>
            </w:pPr>
            <w:r>
              <w:rPr>
                <w:rFonts w:ascii="Arial" w:cs="Arial" w:eastAsia="Arial" w:hAnsi="Arial"/>
                <w:sz w:val="14"/>
                <w:szCs w:val="14"/>
                <w:color w:val="auto"/>
              </w:rPr>
              <w:t>Technology license obligations</w:t>
            </w: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14,769</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w w:val="88"/>
              </w:rPr>
              <w:t>12,630</w:t>
            </w:r>
          </w:p>
        </w:tc>
        <w:tc>
          <w:tcPr>
            <w:tcW w:w="80" w:type="dxa"/>
            <w:vAlign w:val="bottom"/>
          </w:tcPr>
          <w:p>
            <w:pPr>
              <w:spacing w:after="0"/>
              <w:rPr>
                <w:sz w:val="12"/>
                <w:szCs w:val="12"/>
                <w:color w:val="auto"/>
              </w:rPr>
            </w:pPr>
          </w:p>
        </w:tc>
        <w:tc>
          <w:tcPr>
            <w:tcW w:w="42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2"/>
          </w:tcPr>
          <w:p>
            <w:pPr>
              <w:ind w:left="16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00" w:type="dxa"/>
            <w:vAlign w:val="bottom"/>
          </w:tcPr>
          <w:p>
            <w:pPr>
              <w:jc w:val="center"/>
              <w:ind w:left="172"/>
              <w:spacing w:after="0" w:line="149" w:lineRule="exact"/>
              <w:rPr>
                <w:sz w:val="20"/>
                <w:szCs w:val="20"/>
                <w:color w:val="auto"/>
              </w:rPr>
            </w:pPr>
            <w:r>
              <w:rPr>
                <w:rFonts w:ascii="Arial" w:cs="Arial" w:eastAsia="Arial" w:hAnsi="Arial"/>
                <w:sz w:val="14"/>
                <w:szCs w:val="14"/>
                <w:color w:val="auto"/>
                <w:w w:val="99"/>
              </w:rPr>
              <w:t>—</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27,399</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Carnegie Mellon University litigation settlement</w:t>
            </w:r>
          </w:p>
        </w:tc>
        <w:tc>
          <w:tcPr>
            <w:tcW w:w="1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6"/>
              </w:rPr>
              <w:t>750,000</w:t>
            </w:r>
          </w:p>
        </w:tc>
        <w:tc>
          <w:tcPr>
            <w:tcW w:w="3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42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500" w:type="dxa"/>
            <w:vAlign w:val="bottom"/>
            <w:shd w:val="clear" w:color="auto" w:fill="CCEEFF"/>
          </w:tcPr>
          <w:p>
            <w:pPr>
              <w:jc w:val="center"/>
              <w:ind w:left="172"/>
              <w:spacing w:after="0" w:line="149" w:lineRule="exact"/>
              <w:rPr>
                <w:sz w:val="20"/>
                <w:szCs w:val="20"/>
                <w:color w:val="auto"/>
              </w:rPr>
            </w:pPr>
            <w:r>
              <w:rPr>
                <w:rFonts w:ascii="Arial" w:cs="Arial" w:eastAsia="Arial" w:hAnsi="Arial"/>
                <w:sz w:val="14"/>
                <w:szCs w:val="14"/>
                <w:color w:val="auto"/>
                <w:w w:val="99"/>
              </w:rPr>
              <w:t>—</w:t>
            </w:r>
          </w:p>
        </w:tc>
        <w:tc>
          <w:tcPr>
            <w:tcW w:w="3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750,000</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80" w:type="dxa"/>
            <w:vAlign w:val="bottom"/>
          </w:tcPr>
          <w:p>
            <w:pPr>
              <w:spacing w:after="0" w:line="149" w:lineRule="exact"/>
              <w:rPr>
                <w:sz w:val="20"/>
                <w:szCs w:val="20"/>
                <w:color w:val="auto"/>
              </w:rPr>
            </w:pPr>
            <w:r>
              <w:rPr>
                <w:rFonts w:ascii="Arial" w:cs="Arial" w:eastAsia="Arial" w:hAnsi="Arial"/>
                <w:sz w:val="14"/>
                <w:szCs w:val="14"/>
                <w:color w:val="auto"/>
              </w:rPr>
              <w:t>Other non-current obligations (1)</w:t>
            </w: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4,732</w:t>
            </w:r>
          </w:p>
        </w:tc>
        <w:tc>
          <w:tcPr>
            <w:tcW w:w="80" w:type="dxa"/>
            <w:vAlign w:val="bottom"/>
          </w:tcPr>
          <w:p>
            <w:pPr>
              <w:spacing w:after="0"/>
              <w:rPr>
                <w:sz w:val="12"/>
                <w:szCs w:val="12"/>
                <w:color w:val="auto"/>
              </w:rPr>
            </w:pPr>
          </w:p>
        </w:tc>
        <w:tc>
          <w:tcPr>
            <w:tcW w:w="420" w:type="dxa"/>
            <w:vAlign w:val="bottom"/>
          </w:tcPr>
          <w:p>
            <w:pPr>
              <w:jc w:val="right"/>
              <w:spacing w:after="0" w:line="149" w:lineRule="exact"/>
              <w:rPr>
                <w:sz w:val="20"/>
                <w:szCs w:val="20"/>
                <w:color w:val="auto"/>
              </w:rPr>
            </w:pPr>
            <w:r>
              <w:rPr>
                <w:rFonts w:ascii="Arial" w:cs="Arial" w:eastAsia="Arial" w:hAnsi="Arial"/>
                <w:sz w:val="14"/>
                <w:szCs w:val="14"/>
                <w:color w:val="auto"/>
              </w:rPr>
              <w:t>2,175</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2,000</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2"/>
          </w:tcPr>
          <w:p>
            <w:pPr>
              <w:ind w:left="16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00" w:type="dxa"/>
            <w:vAlign w:val="bottom"/>
          </w:tcPr>
          <w:p>
            <w:pPr>
              <w:jc w:val="center"/>
              <w:ind w:left="132"/>
              <w:spacing w:after="0" w:line="149" w:lineRule="exact"/>
              <w:rPr>
                <w:sz w:val="20"/>
                <w:szCs w:val="20"/>
                <w:color w:val="auto"/>
              </w:rPr>
            </w:pPr>
            <w:r>
              <w:rPr>
                <w:rFonts w:ascii="Arial" w:cs="Arial" w:eastAsia="Arial" w:hAnsi="Arial"/>
                <w:sz w:val="14"/>
                <w:szCs w:val="14"/>
                <w:color w:val="auto"/>
                <w:w w:val="85"/>
              </w:rPr>
              <w:t>4,298</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13,205</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08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4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4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Total contractual cash obligations</w:t>
            </w:r>
          </w:p>
        </w:tc>
        <w:tc>
          <w:tcPr>
            <w:tcW w:w="1480" w:type="dxa"/>
            <w:vAlign w:val="bottom"/>
            <w:shd w:val="clear" w:color="auto" w:fill="CCEEFF"/>
          </w:tcPr>
          <w:p>
            <w:pPr>
              <w:spacing w:after="0"/>
              <w:rPr>
                <w:sz w:val="12"/>
                <w:szCs w:val="12"/>
                <w:color w:val="auto"/>
              </w:rPr>
            </w:pPr>
          </w:p>
        </w:tc>
        <w:tc>
          <w:tcPr>
            <w:tcW w:w="1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6"/>
              </w:rPr>
              <w:t>994,859</w:t>
            </w:r>
          </w:p>
        </w:tc>
        <w:tc>
          <w:tcPr>
            <w:tcW w:w="3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w w:val="88"/>
              </w:rPr>
              <w:t>53,041</w:t>
            </w: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4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26,582</w:t>
            </w:r>
          </w:p>
        </w:tc>
        <w:tc>
          <w:tcPr>
            <w:tcW w:w="3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8"/>
              </w:rPr>
              <w:t>16,280</w:t>
            </w:r>
          </w:p>
        </w:tc>
        <w:tc>
          <w:tcPr>
            <w:tcW w:w="3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2,939</w:t>
            </w:r>
          </w:p>
        </w:tc>
        <w:tc>
          <w:tcPr>
            <w:tcW w:w="280" w:type="dxa"/>
            <w:vAlign w:val="bottom"/>
            <w:gridSpan w:val="2"/>
            <w:shd w:val="clear" w:color="auto" w:fill="CCEEFF"/>
          </w:tcPr>
          <w:p>
            <w:pPr>
              <w:jc w:val="right"/>
              <w:ind w:right="112"/>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center"/>
              <w:ind w:left="132"/>
              <w:spacing w:after="0" w:line="149" w:lineRule="exact"/>
              <w:rPr>
                <w:sz w:val="20"/>
                <w:szCs w:val="20"/>
                <w:color w:val="auto"/>
              </w:rPr>
            </w:pPr>
            <w:r>
              <w:rPr>
                <w:rFonts w:ascii="Arial" w:cs="Arial" w:eastAsia="Arial" w:hAnsi="Arial"/>
                <w:sz w:val="14"/>
                <w:szCs w:val="14"/>
                <w:color w:val="auto"/>
                <w:w w:val="85"/>
              </w:rPr>
              <w:t>9,244</w:t>
            </w:r>
          </w:p>
        </w:tc>
        <w:tc>
          <w:tcPr>
            <w:tcW w:w="4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w:t>
            </w: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1,102,945</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77470</wp:posOffset>
            </wp:positionV>
            <wp:extent cx="72898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1" w:lineRule="exact"/>
        <w:rPr>
          <w:sz w:val="20"/>
          <w:szCs w:val="20"/>
          <w:color w:val="auto"/>
        </w:rPr>
      </w:pPr>
    </w:p>
    <w:p>
      <w:pPr>
        <w:ind w:left="340" w:hanging="332"/>
        <w:spacing w:after="0"/>
        <w:tabs>
          <w:tab w:leader="none" w:pos="340" w:val="left"/>
        </w:tabs>
        <w:numPr>
          <w:ilvl w:val="0"/>
          <w:numId w:val="24"/>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in the consolidated balance sheet.</w:t>
      </w:r>
    </w:p>
    <w:p>
      <w:pPr>
        <w:spacing w:after="0" w:line="152"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addition to the above commitments and contingencies, as of January 30, 2016, we have $27.8 million of unrecognized tax benefits as liabilities. We also have a liability for potential interest and penalties of $26.4 million as of January 30, 2016. During the next 12 months, it is reasonably possible that the amount of unrecognized tax benefits could increase or decrease significantly due to changes in tax law jurisdictions, new tax audits and changes in the U.S. dollar as compared to foreign currencies within the next 12 months. Excluding these factors, uncertain tax positions may decrease by as much as $16.2 million from the lapse of the statutes of limitation in various jurisdictions during the next 12 months.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Prospective Capital Needs</w:t>
      </w:r>
    </w:p>
    <w:p>
      <w:pPr>
        <w:spacing w:after="0" w:line="9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Please see “Note 1 — The Company and its Significant Accounting Policies — Recent Accounting Pronouncements” for further details in our Notes to the Consolidated Financial Statements set forth in Part II, Item 8 of this Annual Report on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Please see “Note 14 — Related Party Transactions” for further details in our Notes to the Consolidated Financial Statements set forth in Part II, Item 8 of this Annual Report on Form 10-K.</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w:t>
      </w:r>
      <w:r>
        <w:rPr>
          <w:rFonts w:ascii="Arial" w:cs="Arial" w:eastAsia="Arial" w:hAnsi="Arial"/>
          <w:sz w:val="16"/>
          <w:szCs w:val="16"/>
          <w:i w:val="1"/>
          <w:iCs w:val="1"/>
          <w:color w:val="auto"/>
        </w:rPr>
        <w:t xml:space="preserve"> </w:t>
      </w:r>
      <w:r>
        <w:rPr>
          <w:rFonts w:ascii="Arial" w:cs="Arial" w:eastAsia="Arial" w:hAnsi="Arial"/>
          <w:sz w:val="16"/>
          <w:szCs w:val="16"/>
          <w:color w:val="auto"/>
        </w:rPr>
        <w:t>of January 30, 2016.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asset backed securities, corporate debt securities and municipal debt securities. These investments are classified as available-for-sale and, consequently, are recorded on our consolidated balance sheets at fair market value with their related unrealized gain or loss reflected as a component of accumulated other comprehensive income in the consolidated statements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jc w:val="both"/>
        <w:ind w:right="6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January 30, 2016, a hypothetical 100 basis point increase in interest rates across all maturities would result in a $11.3 million decline in the fair market value of the portfolio. Due to our positive cash flow from operations, the relatively short-term nature of our investment portfolio and our ability to hold investments to maturity, such change in fair market value would likely not result in any significant cash flow impact.</w:t>
      </w:r>
    </w:p>
    <w:p>
      <w:pPr>
        <w:spacing w:after="0" w:line="11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As of January 30, 2016, our investment portfolio included auction rate securities with an aggregate par value of $12.5 million classified as long-term investments. Although these auction rate securities have continued to pay interest and the underlying collateral has not deteriorated, there is currently limited trading volume. The Company uses a discounted cash flow model to estimate the fair value of the auction rate securities based on its estimated timing and amount of future interest and principal payments. In developing the discounted cash flow model, the Company considers the credit quality and liquidity of the underlying securities and related issuer, the collateralization of underlying security investments and other considerations. The fair value of the auction rate securities as of January 30, 2016 was $1.2 million less than the par value and is included in long-term investments.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January 2016, the Company determined these auction rate securities would more likely than not be sold as part of a general requirement to raise liquidity. Based upon the shortened time horizon for holding these auction rate securities and the continuation of an illiquid market, the Company does not expect to recover the par value of the securities and considers the impairment of these auction rate securities to be other-than-temporary. As a result, an impairment charge of $1.2 million was recorded in interest and other income, net, in the consolidated statements of operations.</w:t>
      </w:r>
    </w:p>
    <w:p>
      <w:pPr>
        <w:spacing w:after="0" w:line="11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strategic purposes. We account for these investments under the cost</w:t>
      </w:r>
      <w:r>
        <w:rPr>
          <w:rFonts w:ascii="Arial" w:cs="Arial" w:eastAsia="Arial" w:hAnsi="Arial"/>
          <w:sz w:val="16"/>
          <w:szCs w:val="16"/>
          <w:i w:val="1"/>
          <w:iCs w:val="1"/>
          <w:color w:val="auto"/>
        </w:rPr>
        <w:t xml:space="preserve"> </w:t>
      </w:r>
      <w:r>
        <w:rPr>
          <w:rFonts w:ascii="Arial" w:cs="Arial" w:eastAsia="Arial" w:hAnsi="Arial"/>
          <w:sz w:val="16"/>
          <w:szCs w:val="16"/>
          <w:color w:val="auto"/>
        </w:rPr>
        <w:t>method when we do not have the ability to exercise significant influence or control over the operations of these companies and under the equity method when we have the ability to exercise significant influence, but do not have control. The carrying value of these equity investments was $5.8 million at January 30, 2016, and was included in other non-current assets in our consolidated balance sheets. We monitor these investments for impairment and make appropriate reductions in carrying value when an impairment is deemed to be other-than-temporary.</w:t>
      </w:r>
    </w:p>
    <w:p>
      <w:pPr>
        <w:spacing w:after="0" w:line="116"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Furthermore, our operations in Israel and China represent a large portion of our total foreign currency exposure.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expenses denominated in Israeli shekel and on occasion Chinese yuan. We enter into certain short-term forward exchange contracts, typically less than 12 months in duration, to hedge exposures for expenses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consolidated balance sheet as the timing of these tax liabilities becoming cash flows is not deemed to be certain.</w:t>
      </w:r>
    </w:p>
    <w:p>
      <w:pPr>
        <w:spacing w:after="0" w:line="12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4.8%. We expect our hedges of foreign currency exposures to be highly effective and offset a significant portion of the short-term impact of changes in exchange rates on the hedged portion of our exposures.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10220" w:type="dxa"/>
            <w:vAlign w:val="bottom"/>
            <w:gridSpan w:val="9"/>
          </w:tcPr>
          <w:p>
            <w:pPr>
              <w:ind w:left="26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8"/>
        </w:trPr>
        <w:tc>
          <w:tcPr>
            <w:tcW w:w="78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780" w:type="dxa"/>
            <w:vAlign w:val="bottom"/>
            <w:gridSpan w:val="5"/>
          </w:tcPr>
          <w:p>
            <w:pPr>
              <w:jc w:val="center"/>
              <w:ind w:right="4780"/>
              <w:spacing w:after="0"/>
              <w:rPr>
                <w:sz w:val="20"/>
                <w:szCs w:val="20"/>
                <w:color w:val="auto"/>
              </w:rPr>
            </w:pPr>
            <w:r>
              <w:rPr>
                <w:rFonts w:ascii="Arial" w:cs="Arial" w:eastAsia="Arial" w:hAnsi="Arial"/>
                <w:sz w:val="18"/>
                <w:szCs w:val="18"/>
                <w:b w:val="1"/>
                <w:bCs w:val="1"/>
                <w:color w:val="auto"/>
              </w:rPr>
              <w:t>INDEX</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8"/>
        </w:trPr>
        <w:tc>
          <w:tcPr>
            <w:tcW w:w="11000" w:type="dxa"/>
            <w:vAlign w:val="bottom"/>
            <w:gridSpan w:val="10"/>
            <w:vMerge w:val="restart"/>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Report of Independent Registered Public Accounting Firm</w:t>
              </w:r>
            </w:hyperlink>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56"/>
        </w:trPr>
        <w:tc>
          <w:tcPr>
            <w:tcW w:w="11000" w:type="dxa"/>
            <w:vAlign w:val="bottom"/>
            <w:gridSpan w:val="10"/>
            <w:vMerge w:val="continue"/>
          </w:tcPr>
          <w:p>
            <w:pPr>
              <w:spacing w:after="0"/>
              <w:rPr>
                <w:sz w:val="13"/>
                <w:szCs w:val="13"/>
                <w:color w:val="auto"/>
              </w:rPr>
            </w:pPr>
          </w:p>
        </w:tc>
        <w:tc>
          <w:tcPr>
            <w:tcW w:w="320" w:type="dxa"/>
            <w:vAlign w:val="bottom"/>
          </w:tcPr>
          <w:p>
            <w:pPr>
              <w:jc w:val="right"/>
              <w:spacing w:after="0" w:line="142" w:lineRule="exact"/>
              <w:rPr>
                <w:sz w:val="20"/>
                <w:szCs w:val="20"/>
                <w:color w:val="auto"/>
              </w:rPr>
            </w:pPr>
            <w:r>
              <w:rPr>
                <w:rFonts w:ascii="Arial" w:cs="Arial" w:eastAsia="Arial" w:hAnsi="Arial"/>
                <w:sz w:val="16"/>
                <w:szCs w:val="16"/>
                <w:color w:val="auto"/>
              </w:rPr>
              <w:t>58</w:t>
            </w:r>
          </w:p>
        </w:tc>
        <w:tc>
          <w:tcPr>
            <w:tcW w:w="0" w:type="dxa"/>
            <w:vAlign w:val="bottom"/>
          </w:tcPr>
          <w:p>
            <w:pPr>
              <w:spacing w:after="0"/>
              <w:rPr>
                <w:sz w:val="1"/>
                <w:szCs w:val="1"/>
                <w:color w:val="auto"/>
              </w:rPr>
            </w:pPr>
          </w:p>
        </w:tc>
      </w:tr>
      <w:tr>
        <w:trPr>
          <w:trHeight w:val="20"/>
        </w:trPr>
        <w:tc>
          <w:tcPr>
            <w:tcW w:w="2340" w:type="dxa"/>
            <w:vAlign w:val="bottom"/>
            <w:gridSpan w:val="2"/>
            <w:shd w:val="clear" w:color="auto" w:fill="0000EE"/>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30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1000" w:type="dxa"/>
            <w:vAlign w:val="bottom"/>
            <w:gridSpan w:val="10"/>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Consolidated Balance Sheets as of January 30, 2016 and January 31, 2015</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0"/>
        </w:trPr>
        <w:tc>
          <w:tcPr>
            <w:tcW w:w="2340" w:type="dxa"/>
            <w:vAlign w:val="bottom"/>
            <w:gridSpan w:val="2"/>
            <w:shd w:val="clear" w:color="auto" w:fill="0000EE"/>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2140" w:type="dxa"/>
            <w:vAlign w:val="bottom"/>
            <w:gridSpan w:val="2"/>
            <w:shd w:val="clear" w:color="auto" w:fill="0000EE"/>
          </w:tcPr>
          <w:p>
            <w:pPr>
              <w:spacing w:after="0" w:line="20" w:lineRule="exact"/>
              <w:rPr>
                <w:sz w:val="1"/>
                <w:szCs w:val="1"/>
                <w:color w:val="auto"/>
              </w:rPr>
            </w:pPr>
          </w:p>
        </w:tc>
        <w:tc>
          <w:tcPr>
            <w:tcW w:w="30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000" w:type="dxa"/>
            <w:vAlign w:val="bottom"/>
            <w:gridSpan w:val="10"/>
          </w:tcPr>
          <w:p>
            <w:pPr>
              <w:spacing w:after="0" w:line="196" w:lineRule="exact"/>
              <w:rPr>
                <w:rFonts w:ascii="Arial" w:cs="Arial" w:eastAsia="Arial" w:hAnsi="Arial"/>
                <w:sz w:val="18"/>
                <w:szCs w:val="18"/>
                <w:color w:val="0000EE"/>
              </w:rPr>
            </w:pPr>
            <w:hyperlink w:anchor="page63">
              <w:r>
                <w:rPr>
                  <w:rFonts w:ascii="Arial" w:cs="Arial" w:eastAsia="Arial" w:hAnsi="Arial"/>
                  <w:sz w:val="18"/>
                  <w:szCs w:val="18"/>
                  <w:color w:val="0000EE"/>
                </w:rPr>
                <w:t>Consolidated Statements of Operations for the years ended January 30, 2016, January 31, 2015 and February 1, 2014</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2340" w:type="dxa"/>
            <w:vAlign w:val="bottom"/>
            <w:gridSpan w:val="2"/>
            <w:shd w:val="clear" w:color="auto" w:fill="0000EE"/>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514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000" w:type="dxa"/>
            <w:vAlign w:val="bottom"/>
            <w:gridSpan w:val="10"/>
          </w:tcPr>
          <w:p>
            <w:pPr>
              <w:spacing w:after="0" w:line="196" w:lineRule="exact"/>
              <w:rPr>
                <w:rFonts w:ascii="Arial" w:cs="Arial" w:eastAsia="Arial" w:hAnsi="Arial"/>
                <w:sz w:val="18"/>
                <w:szCs w:val="18"/>
                <w:color w:val="0000EE"/>
                <w:w w:val="99"/>
              </w:rPr>
            </w:pPr>
            <w:hyperlink w:anchor="page64">
              <w:r>
                <w:rPr>
                  <w:rFonts w:ascii="Arial" w:cs="Arial" w:eastAsia="Arial" w:hAnsi="Arial"/>
                  <w:sz w:val="18"/>
                  <w:szCs w:val="18"/>
                  <w:color w:val="0000EE"/>
                  <w:w w:val="99"/>
                </w:rPr>
                <w:t>Consolidated Statements of Comprehensive Income (Loss) for the years ended January 30, 2016, January 31, 2015 and February 1, 2014</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196"/>
        </w:trPr>
        <w:tc>
          <w:tcPr>
            <w:tcW w:w="9660" w:type="dxa"/>
            <w:vAlign w:val="bottom"/>
            <w:tcBorders>
              <w:top w:val="single" w:sz="8" w:color="0000EE"/>
            </w:tcBorders>
            <w:gridSpan w:val="9"/>
          </w:tcPr>
          <w:p>
            <w:pPr>
              <w:spacing w:after="0" w:line="196" w:lineRule="exact"/>
              <w:rPr>
                <w:rFonts w:ascii="Arial" w:cs="Arial" w:eastAsia="Arial" w:hAnsi="Arial"/>
                <w:sz w:val="18"/>
                <w:szCs w:val="18"/>
                <w:color w:val="0000EE"/>
                <w:w w:val="94"/>
              </w:rPr>
            </w:pPr>
            <w:hyperlink w:anchor="page65">
              <w:r>
                <w:rPr>
                  <w:rFonts w:ascii="Arial" w:cs="Arial" w:eastAsia="Arial" w:hAnsi="Arial"/>
                  <w:sz w:val="18"/>
                  <w:szCs w:val="18"/>
                  <w:color w:val="0000EE"/>
                  <w:w w:val="94"/>
                </w:rPr>
                <w:t>Consolidated Statements of Shareholders’ Equity for the years ended January 30, 2016, January 31, 2015 and February 1, 2014</w:t>
              </w:r>
            </w:hyperlink>
          </w:p>
        </w:tc>
        <w:tc>
          <w:tcPr>
            <w:tcW w:w="134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196"/>
        </w:trPr>
        <w:tc>
          <w:tcPr>
            <w:tcW w:w="828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6"/>
              </w:rPr>
            </w:pPr>
            <w:hyperlink w:anchor="page66">
              <w:r>
                <w:rPr>
                  <w:rFonts w:ascii="Arial" w:cs="Arial" w:eastAsia="Arial" w:hAnsi="Arial"/>
                  <w:sz w:val="18"/>
                  <w:szCs w:val="18"/>
                  <w:color w:val="0000EE"/>
                  <w:w w:val="86"/>
                </w:rPr>
                <w:t>Consolidated Statements of Cash Flows for the years ended January 30, 2016, January 31, 2015 and February 1, 2014</w:t>
              </w:r>
            </w:hyperlink>
          </w:p>
        </w:tc>
        <w:tc>
          <w:tcPr>
            <w:tcW w:w="660" w:type="dxa"/>
            <w:vAlign w:val="bottom"/>
            <w:tcBorders>
              <w:top w:val="single" w:sz="8" w:color="0000EE"/>
            </w:tcBorders>
          </w:tcPr>
          <w:p>
            <w:pPr>
              <w:spacing w:after="0"/>
              <w:rPr>
                <w:sz w:val="17"/>
                <w:szCs w:val="17"/>
                <w:color w:val="auto"/>
              </w:rPr>
            </w:pPr>
          </w:p>
        </w:tc>
        <w:tc>
          <w:tcPr>
            <w:tcW w:w="2060" w:type="dxa"/>
            <w:vAlign w:val="bottom"/>
            <w:gridSpan w:val="2"/>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196"/>
        </w:trPr>
        <w:tc>
          <w:tcPr>
            <w:tcW w:w="11000" w:type="dxa"/>
            <w:vAlign w:val="bottom"/>
            <w:gridSpan w:val="10"/>
          </w:tcPr>
          <w:p>
            <w:pPr>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Notes to Consolidated Financial Statements</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196"/>
        </w:trPr>
        <w:tc>
          <w:tcPr>
            <w:tcW w:w="234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88"/>
              </w:rPr>
            </w:pPr>
            <w:hyperlink w:anchor="page111">
              <w:r>
                <w:rPr>
                  <w:rFonts w:ascii="Arial" w:cs="Arial" w:eastAsia="Arial" w:hAnsi="Arial"/>
                  <w:sz w:val="18"/>
                  <w:szCs w:val="18"/>
                  <w:color w:val="0000EE"/>
                  <w:w w:val="88"/>
                </w:rPr>
                <w:t>Supplementary Data (Unaudited)</w:t>
              </w:r>
            </w:hyperlink>
          </w:p>
        </w:tc>
        <w:tc>
          <w:tcPr>
            <w:tcW w:w="740" w:type="dxa"/>
            <w:vAlign w:val="bottom"/>
            <w:tcBorders>
              <w:top w:val="single" w:sz="8" w:color="0000EE"/>
            </w:tcBorders>
          </w:tcPr>
          <w:p>
            <w:pPr>
              <w:spacing w:after="0"/>
              <w:rPr>
                <w:sz w:val="17"/>
                <w:szCs w:val="17"/>
                <w:color w:val="auto"/>
              </w:rPr>
            </w:pPr>
          </w:p>
        </w:tc>
        <w:tc>
          <w:tcPr>
            <w:tcW w:w="7920" w:type="dxa"/>
            <w:vAlign w:val="bottom"/>
            <w:gridSpan w:val="7"/>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w w:val="99"/>
              </w:rPr>
              <w:t>109</w:t>
            </w:r>
          </w:p>
        </w:tc>
        <w:tc>
          <w:tcPr>
            <w:tcW w:w="0" w:type="dxa"/>
            <w:vAlign w:val="bottom"/>
          </w:tcPr>
          <w:p>
            <w:pPr>
              <w:spacing w:after="0"/>
              <w:rPr>
                <w:sz w:val="1"/>
                <w:szCs w:val="1"/>
                <w:color w:val="auto"/>
              </w:rPr>
            </w:pPr>
          </w:p>
        </w:tc>
      </w:tr>
      <w:tr>
        <w:trPr>
          <w:trHeight w:val="383"/>
        </w:trPr>
        <w:tc>
          <w:tcPr>
            <w:tcW w:w="780" w:type="dxa"/>
            <w:vAlign w:val="bottom"/>
          </w:tcPr>
          <w:p>
            <w:pPr>
              <w:spacing w:after="0"/>
              <w:rPr>
                <w:sz w:val="24"/>
                <w:szCs w:val="24"/>
                <w:color w:val="auto"/>
              </w:rPr>
            </w:pPr>
          </w:p>
        </w:tc>
        <w:tc>
          <w:tcPr>
            <w:tcW w:w="7440" w:type="dxa"/>
            <w:vAlign w:val="bottom"/>
            <w:gridSpan w:val="5"/>
          </w:tcPr>
          <w:p>
            <w:pPr>
              <w:jc w:val="right"/>
              <w:ind w:right="2332"/>
              <w:spacing w:after="0"/>
              <w:rPr>
                <w:sz w:val="20"/>
                <w:szCs w:val="20"/>
                <w:color w:val="auto"/>
              </w:rPr>
            </w:pPr>
            <w:r>
              <w:rPr>
                <w:rFonts w:ascii="Arial" w:cs="Arial" w:eastAsia="Arial" w:hAnsi="Arial"/>
                <w:sz w:val="18"/>
                <w:szCs w:val="18"/>
                <w:color w:val="auto"/>
              </w:rPr>
              <w:t>57</w:t>
            </w: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70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65"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We have audited the accompanying consolidated balance sheet of Marvell Technology Group Ltd. and subsidiaries (the “Company”) as of January 30, 2016, and the related consolidated statements of operations, comprehensive income (loss), shareholders’ equity, and cash flow for the year then ended. Our audit also included the financial statement schedule listed in the Index at Item 15. These financial statements and financial statement schedule are the responsibility of the Company’s management. Our responsibility is to express an opinion on the financial statements and financial statement schedule based on our audit.</w:t>
      </w:r>
    </w:p>
    <w:p>
      <w:pPr>
        <w:spacing w:after="0" w:line="9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conducted our audit in accordance with the standards of the Public Company Accounting Oversight Board (United States). Those standards require that we plan and perform the audit to obtain reasonable assurance about whether the financial statements are free of material misstatement. An audit includes examining, on a test basis, evidence supporting the amounts and disclosures in the financial statements. An audit also includes assessing the accounting principles used and significant estimates made by management, as well as evaluating the overall financial statement presentation. We believe that our audit provides a reasonable basis for our opinion.</w:t>
      </w:r>
    </w:p>
    <w:p>
      <w:pPr>
        <w:spacing w:after="0" w:line="143"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our opinion, such consolidated financial statements present fairly, in all material respects, the financial position of Marvell Technology Group Ltd. and subsidiaries as of January 30, 2016, and the results of their operations and their cash flows for the year then ended in conformity with accounting principles generally accepted in the United States of America. Also, in our opinion, such financial statement schedule, when considered in relation to the basic consolidated financial statements taken as a whole, present fairly, in all material respects, the information set forth therein.</w:t>
      </w:r>
    </w:p>
    <w:p>
      <w:pPr>
        <w:spacing w:after="0" w:line="113" w:lineRule="exact"/>
        <w:rPr>
          <w:sz w:val="20"/>
          <w:szCs w:val="20"/>
          <w:color w:val="auto"/>
        </w:rPr>
      </w:pPr>
    </w:p>
    <w:p>
      <w:pPr>
        <w:jc w:val="both"/>
        <w:ind w:right="480" w:firstLine="456"/>
        <w:spacing w:after="0" w:line="256" w:lineRule="auto"/>
        <w:rPr>
          <w:sz w:val="20"/>
          <w:szCs w:val="20"/>
          <w:color w:val="auto"/>
        </w:rPr>
      </w:pPr>
      <w:r>
        <w:rPr>
          <w:rFonts w:ascii="Arial" w:cs="Arial" w:eastAsia="Arial" w:hAnsi="Arial"/>
          <w:sz w:val="18"/>
          <w:szCs w:val="18"/>
          <w:color w:val="auto"/>
        </w:rPr>
        <w:t>We have also audited, in accordance with the standards of the Public Company Accounting Oversight Board (United States), the Company’s internal control over financial reporting as of January 30, 2016, based on the criteria established in Internal Control — Integrated Framework (2013) issued by the Committee of Sponsoring Organizations of the Treadway Commission and our report dated July 21, 2016, expressed an adverse opinion on the Company’s internal control over financial reporting because of material weaknesses.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July 21, 2016</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380"/>
          </w:cols>
          <w:pgMar w:left="240" w:top="459" w:right="27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60" w:firstLine="2700"/>
        <w:spacing w:after="0" w:line="441"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our opinion, the consolidated financial statements listed in the index appearing under Item 15(a)(1) present fairly, in all material respects, the financial position of Marvell Technology Group Ltd. and its subsidiaries at January 31, 2015, and the results of their operations and their cash flows for each of the two years in the period ended January 31, 2015 in conformity with accounting principles generally accepted in the United States of America. In addition, in our opinion, the financial statement schedule listed in the index appearing under Item 15(a)(2) presents fairly, in all material respects, the information set forth therein when read in conjunction with the related consolidated financial statements. These financial statements and financial statement schedule are the responsibility of the Company’s management. Our responsibility is to express an opinion on these financial statements and financial statement schedule based on our audits. We conducted our audits of these statements in accordance with the standards of the Public Company Accounting Oversight Board (United States). Those standards require that we plan and perform the audit to obtain reasonable assurance about whether the financial statements are free of material misstatement. An audit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26, 2015</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380"/>
          </w:cols>
          <w:pgMar w:left="240" w:top="459" w:right="27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CONSOLIDATED BALANCE SHEETS</w:t>
      </w:r>
    </w:p>
    <w:p>
      <w:pPr>
        <w:spacing w:after="0" w:line="21" w:lineRule="exact"/>
        <w:rPr>
          <w:sz w:val="20"/>
          <w:szCs w:val="20"/>
          <w:color w:val="auto"/>
        </w:rPr>
      </w:pPr>
    </w:p>
    <w:p>
      <w:pPr>
        <w:ind w:left="4140"/>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9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6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w w:val="95"/>
              </w:rPr>
              <w:t>January 30,</w:t>
            </w:r>
          </w:p>
        </w:tc>
        <w:tc>
          <w:tcPr>
            <w:tcW w:w="200" w:type="dxa"/>
            <w:vAlign w:val="bottom"/>
          </w:tcPr>
          <w:p>
            <w:pPr>
              <w:spacing w:after="0"/>
              <w:rPr>
                <w:sz w:val="14"/>
                <w:szCs w:val="14"/>
                <w:color w:val="auto"/>
              </w:rPr>
            </w:pPr>
          </w:p>
        </w:tc>
        <w:tc>
          <w:tcPr>
            <w:tcW w:w="92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9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2016</w:t>
            </w:r>
          </w:p>
        </w:tc>
        <w:tc>
          <w:tcPr>
            <w:tcW w:w="2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920" w:type="dxa"/>
            <w:vAlign w:val="bottom"/>
            <w:shd w:val="clear" w:color="auto" w:fill="CCEEFF"/>
          </w:tcPr>
          <w:p>
            <w:pPr>
              <w:ind w:left="4120"/>
              <w:spacing w:after="0" w:line="196" w:lineRule="exact"/>
              <w:rPr>
                <w:sz w:val="20"/>
                <w:szCs w:val="20"/>
                <w:color w:val="auto"/>
              </w:rPr>
            </w:pPr>
            <w:r>
              <w:rPr>
                <w:rFonts w:ascii="Arial" w:cs="Arial" w:eastAsia="Arial" w:hAnsi="Arial"/>
                <w:sz w:val="18"/>
                <w:szCs w:val="18"/>
                <w:b w:val="1"/>
                <w:bCs w:val="1"/>
                <w:color w:val="auto"/>
              </w:rPr>
              <w:t>ASSETS</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spacing w:after="0"/>
              <w:rPr>
                <w:sz w:val="20"/>
                <w:szCs w:val="20"/>
                <w:color w:val="auto"/>
              </w:rPr>
            </w:pPr>
            <w:r>
              <w:rPr>
                <w:rFonts w:ascii="Arial" w:cs="Arial" w:eastAsia="Arial" w:hAnsi="Arial"/>
                <w:sz w:val="18"/>
                <w:szCs w:val="18"/>
                <w:color w:val="auto"/>
              </w:rPr>
              <w:t>Current assets:</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and cash equivalents</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7"/>
              </w:rPr>
              <w:t>1,278,180</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1,210,977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rPr>
              <w:t>Short-term investments</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87"/>
              </w:rPr>
              <w:t>1,004,569</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1,318,578</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1"/>
              </w:rPr>
              <w:t>Accounts receivable, net of provision for sales returns and allowances of $2,762 and $2,112 in fiscal 2016 and 2015,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8920" w:type="dxa"/>
            <w:vAlign w:val="bottom"/>
            <w:shd w:val="clear" w:color="auto" w:fill="CCEEFF"/>
          </w:tcPr>
          <w:p>
            <w:pPr>
              <w:ind w:left="640"/>
              <w:spacing w:after="0"/>
              <w:rPr>
                <w:sz w:val="20"/>
                <w:szCs w:val="20"/>
                <w:color w:val="auto"/>
              </w:rPr>
            </w:pPr>
            <w:r>
              <w:rPr>
                <w:rFonts w:ascii="Arial" w:cs="Arial" w:eastAsia="Arial" w:hAnsi="Arial"/>
                <w:sz w:val="18"/>
                <w:szCs w:val="18"/>
                <w:color w:val="auto"/>
              </w:rPr>
              <w:t>respectively</w:t>
            </w:r>
          </w:p>
        </w:tc>
        <w:tc>
          <w:tcPr>
            <w:tcW w:w="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323,300</w:t>
            </w:r>
          </w:p>
        </w:tc>
        <w:tc>
          <w:tcPr>
            <w:tcW w:w="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420,955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rPr>
              <w:t>Inventories</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210,017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308,162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102,560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68,140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rPr>
              <w:t>Deferred income taxes</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17,228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7"/>
              </w:rPr>
              <w:t>2,918,626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3,344,040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299,540</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340,639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11,296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10,226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spacing w:after="0"/>
              <w:rPr>
                <w:sz w:val="20"/>
                <w:szCs w:val="20"/>
                <w:color w:val="auto"/>
              </w:rPr>
            </w:pPr>
            <w:r>
              <w:rPr>
                <w:rFonts w:ascii="Arial" w:cs="Arial" w:eastAsia="Arial" w:hAnsi="Arial"/>
                <w:sz w:val="18"/>
                <w:szCs w:val="18"/>
                <w:color w:val="auto"/>
              </w:rPr>
              <w:t>Goodwill</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87"/>
              </w:rPr>
              <w:t>2,029,945</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2,029,945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18,010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30,698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9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164,710</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128,839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assets</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7"/>
              </w:rPr>
              <w:t>5,442,127</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5,884,387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920" w:type="dxa"/>
            <w:vAlign w:val="bottom"/>
            <w:vMerge w:val="restart"/>
          </w:tcPr>
          <w:p>
            <w:pPr>
              <w:ind w:left="2540"/>
              <w:spacing w:after="0"/>
              <w:rPr>
                <w:sz w:val="20"/>
                <w:szCs w:val="20"/>
                <w:color w:val="auto"/>
              </w:rPr>
            </w:pPr>
            <w:r>
              <w:rPr>
                <w:rFonts w:ascii="Arial" w:cs="Arial" w:eastAsia="Arial" w:hAnsi="Arial"/>
                <w:sz w:val="18"/>
                <w:szCs w:val="18"/>
                <w:b w:val="1"/>
                <w:bCs w:val="1"/>
                <w:color w:val="auto"/>
              </w:rPr>
              <w:t>LIABILITIES AND SHAREHOLDERS’ EQUITY</w:t>
            </w: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20" w:type="dxa"/>
            <w:vAlign w:val="bottom"/>
          </w:tcPr>
          <w:p>
            <w:pPr>
              <w:spacing w:after="0"/>
              <w:rPr>
                <w:sz w:val="18"/>
                <w:szCs w:val="18"/>
                <w:color w:val="auto"/>
              </w:rPr>
            </w:pPr>
          </w:p>
        </w:tc>
        <w:tc>
          <w:tcPr>
            <w:tcW w:w="8920" w:type="dxa"/>
            <w:vAlign w:val="bottom"/>
            <w:vMerge w:val="continue"/>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9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rPr>
              <w:t>Accounts payable</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180,372</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282,899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Accrued liabilities</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132,060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131,388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rPr>
              <w:t>Carnegie Mellon University accrued litigation settlement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736,000</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Accrued employee compensation</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121,631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154,969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rPr>
              <w:t>Deferred income</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55,722</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68,120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liabilities</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7"/>
              </w:rPr>
              <w:t>1,225,785</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637,376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rPr>
              <w:t>Non-current income taxes payable</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49,256</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68,729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non-current liabilities</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26,963</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92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87"/>
              </w:rPr>
              <w:t>1,302,004</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738,298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spacing w:after="0"/>
              <w:rPr>
                <w:sz w:val="20"/>
                <w:szCs w:val="20"/>
                <w:color w:val="auto"/>
              </w:rPr>
            </w:pPr>
            <w:r>
              <w:rPr>
                <w:rFonts w:ascii="Arial" w:cs="Arial" w:eastAsia="Arial" w:hAnsi="Arial"/>
                <w:sz w:val="18"/>
                <w:szCs w:val="18"/>
                <w:color w:val="auto"/>
              </w:rPr>
              <w:t>Commitments and contingencies (Note 10)</w:t>
            </w: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spacing w:after="0"/>
              <w:rPr>
                <w:sz w:val="20"/>
                <w:szCs w:val="20"/>
                <w:color w:val="auto"/>
              </w:rPr>
            </w:pPr>
            <w:r>
              <w:rPr>
                <w:rFonts w:ascii="Arial" w:cs="Arial" w:eastAsia="Arial" w:hAnsi="Arial"/>
                <w:sz w:val="18"/>
                <w:szCs w:val="18"/>
                <w:color w:val="auto"/>
              </w:rPr>
              <w:t>Shareholders’ equity:</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w w:val="90"/>
              </w:rPr>
              <w:t>Common stock, $0.002 par value; 992,000 shares authorized; 507,572 and 515,037 shares issued and outstanding in</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920" w:type="dxa"/>
            <w:vAlign w:val="bottom"/>
          </w:tcPr>
          <w:p>
            <w:pPr>
              <w:ind w:left="640"/>
              <w:spacing w:after="0"/>
              <w:rPr>
                <w:sz w:val="20"/>
                <w:szCs w:val="20"/>
                <w:color w:val="auto"/>
              </w:rPr>
            </w:pPr>
            <w:r>
              <w:rPr>
                <w:rFonts w:ascii="Arial" w:cs="Arial" w:eastAsia="Arial" w:hAnsi="Arial"/>
                <w:sz w:val="18"/>
                <w:szCs w:val="18"/>
                <w:color w:val="auto"/>
              </w:rPr>
              <w:t>fiscal 2016 and 2015, respectively</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1,015</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1,030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7"/>
              </w:rPr>
              <w:t>3,028,921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3,099,548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ind w:left="420"/>
              <w:spacing w:after="0"/>
              <w:rPr>
                <w:sz w:val="20"/>
                <w:szCs w:val="20"/>
                <w:color w:val="auto"/>
              </w:rPr>
            </w:pPr>
            <w:r>
              <w:rPr>
                <w:rFonts w:ascii="Arial" w:cs="Arial" w:eastAsia="Arial" w:hAnsi="Arial"/>
                <w:sz w:val="18"/>
                <w:szCs w:val="18"/>
                <w:color w:val="auto"/>
              </w:rPr>
              <w:t>Accumulated other comprehensive income (loss)</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(795)</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1,110,982</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2,045,203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92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4,140,123</w:t>
            </w: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5,146,089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7"/>
              </w:rPr>
              <w:t>5,442,127</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5,884,387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9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3"/>
          </w:tcPr>
          <w:p>
            <w:pPr>
              <w:jc w:val="center"/>
              <w:ind w:right="260"/>
              <w:spacing w:after="0"/>
              <w:rPr>
                <w:sz w:val="20"/>
                <w:szCs w:val="20"/>
                <w:color w:val="auto"/>
              </w:rPr>
            </w:pPr>
            <w:r>
              <w:rPr>
                <w:rFonts w:ascii="Arial" w:cs="Arial" w:eastAsia="Arial" w:hAnsi="Arial"/>
                <w:sz w:val="14"/>
                <w:szCs w:val="14"/>
                <w:b w:val="1"/>
                <w:bCs w:val="1"/>
                <w:color w:val="auto"/>
                <w:w w:val="88"/>
              </w:rPr>
              <w:t>Year Ended</w:t>
            </w: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9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40" w:type="dxa"/>
            <w:vAlign w:val="bottom"/>
            <w:gridSpan w:val="3"/>
          </w:tcPr>
          <w:p>
            <w:pPr>
              <w:jc w:val="right"/>
              <w:ind w:right="520"/>
              <w:spacing w:after="0" w:line="129" w:lineRule="exact"/>
              <w:rPr>
                <w:sz w:val="20"/>
                <w:szCs w:val="20"/>
                <w:color w:val="auto"/>
              </w:rPr>
            </w:pPr>
            <w:r>
              <w:rPr>
                <w:rFonts w:ascii="Arial" w:cs="Arial" w:eastAsia="Arial" w:hAnsi="Arial"/>
                <w:sz w:val="14"/>
                <w:szCs w:val="14"/>
                <w:b w:val="1"/>
                <w:bCs w:val="1"/>
                <w:color w:val="auto"/>
                <w:w w:val="90"/>
              </w:rPr>
              <w:t>January 30,</w:t>
            </w:r>
          </w:p>
        </w:tc>
        <w:tc>
          <w:tcPr>
            <w:tcW w:w="1060" w:type="dxa"/>
            <w:vAlign w:val="bottom"/>
            <w:gridSpan w:val="3"/>
          </w:tcPr>
          <w:p>
            <w:pPr>
              <w:jc w:val="center"/>
              <w:ind w:right="26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80" w:type="dxa"/>
            <w:vAlign w:val="bottom"/>
          </w:tcPr>
          <w:p>
            <w:pPr>
              <w:spacing w:after="0"/>
              <w:rPr>
                <w:sz w:val="11"/>
                <w:szCs w:val="11"/>
                <w:color w:val="auto"/>
              </w:rPr>
            </w:pPr>
          </w:p>
        </w:tc>
        <w:tc>
          <w:tcPr>
            <w:tcW w:w="8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February 1,</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2016</w:t>
            </w: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9"/>
              </w:rPr>
              <w:t>2015</w:t>
            </w:r>
          </w:p>
        </w:tc>
        <w:tc>
          <w:tcPr>
            <w:tcW w:w="26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2,725,828</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3,706,963</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3,404,400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1,494,736</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1,843,706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1,663,730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1,054,257</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1,158,810</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1,153,999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128,780</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143,952</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151,903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146,128</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124,841</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105,420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Carnegie Mellon University litigation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654,667</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Restructuring and other related charges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53,251</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10,438</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4,732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10,748</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16,397</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43,925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9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3,542,567</w:t>
            </w:r>
          </w:p>
        </w:tc>
        <w:tc>
          <w:tcPr>
            <w:tcW w:w="4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3,298,144</w:t>
            </w:r>
          </w:p>
        </w:tc>
        <w:tc>
          <w:tcPr>
            <w:tcW w:w="2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3,123,709</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(816,739)</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408,819</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280,691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17,685</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23,334</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25,566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(799,054)</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432,153</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306,257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12,346</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rPr>
              <w:t>(3,193)</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(9,063)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9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(811,400)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435,346</w:t>
            </w:r>
          </w:p>
        </w:tc>
        <w:tc>
          <w:tcPr>
            <w:tcW w:w="2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315,320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Net income (loss)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9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(1.59)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0.85</w:t>
            </w:r>
          </w:p>
        </w:tc>
        <w:tc>
          <w:tcPr>
            <w:tcW w:w="2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96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(1.59)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0.84</w:t>
            </w:r>
          </w:p>
        </w:tc>
        <w:tc>
          <w:tcPr>
            <w:tcW w:w="26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0.63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510,945</w:t>
            </w:r>
          </w:p>
        </w:tc>
        <w:tc>
          <w:tcPr>
            <w:tcW w:w="46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511,089</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496,518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510,945</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520,760</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504,413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Cash dividends declared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9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0.24</w:t>
            </w:r>
          </w:p>
        </w:tc>
        <w:tc>
          <w:tcPr>
            <w:tcW w:w="4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0.24</w:t>
            </w:r>
          </w:p>
        </w:tc>
        <w:tc>
          <w:tcPr>
            <w:tcW w:w="26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2760"/>
        <w:spacing w:after="0"/>
        <w:rPr>
          <w:sz w:val="20"/>
          <w:szCs w:val="20"/>
          <w:color w:val="auto"/>
        </w:rPr>
      </w:pPr>
      <w:r>
        <w:rPr>
          <w:rFonts w:ascii="Arial" w:cs="Arial" w:eastAsia="Arial" w:hAnsi="Arial"/>
          <w:sz w:val="18"/>
          <w:szCs w:val="18"/>
          <w:b w:val="1"/>
          <w:bCs w:val="1"/>
          <w:color w:val="auto"/>
        </w:rPr>
        <w:t>CONSOLIDATED STATEMENTS OF COMPREHENSIVE INCOME (LOSS)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2"/>
          </w:tcPr>
          <w:p>
            <w:pPr>
              <w:jc w:val="center"/>
              <w:ind w:right="440"/>
              <w:spacing w:after="0"/>
              <w:rPr>
                <w:sz w:val="20"/>
                <w:szCs w:val="20"/>
                <w:color w:val="auto"/>
              </w:rPr>
            </w:pPr>
            <w:r>
              <w:rPr>
                <w:rFonts w:ascii="Arial" w:cs="Arial" w:eastAsia="Arial" w:hAnsi="Arial"/>
                <w:sz w:val="14"/>
                <w:szCs w:val="14"/>
                <w:b w:val="1"/>
                <w:bCs w:val="1"/>
                <w:color w:val="auto"/>
                <w:w w:val="88"/>
              </w:rPr>
              <w:t>Year Ended</w:t>
            </w:r>
          </w:p>
        </w:tc>
        <w:tc>
          <w:tcPr>
            <w:tcW w:w="7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48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1000" w:type="dxa"/>
            <w:vAlign w:val="bottom"/>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90"/>
              </w:rPr>
              <w:t>January 30,</w:t>
            </w:r>
          </w:p>
        </w:tc>
        <w:tc>
          <w:tcPr>
            <w:tcW w:w="180" w:type="dxa"/>
            <w:vAlign w:val="bottom"/>
          </w:tcPr>
          <w:p>
            <w:pPr>
              <w:spacing w:after="0"/>
              <w:rPr>
                <w:sz w:val="11"/>
                <w:szCs w:val="11"/>
                <w:color w:val="auto"/>
              </w:rPr>
            </w:pPr>
          </w:p>
        </w:tc>
        <w:tc>
          <w:tcPr>
            <w:tcW w:w="116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88"/>
              </w:rPr>
              <w:t>January 31,</w:t>
            </w:r>
          </w:p>
        </w:tc>
        <w:tc>
          <w:tcPr>
            <w:tcW w:w="74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2"/>
              </w:rPr>
              <w:t>February 1,</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480" w:type="dxa"/>
            <w:vAlign w:val="bottom"/>
          </w:tcPr>
          <w:p>
            <w:pPr>
              <w:spacing w:after="0"/>
              <w:rPr>
                <w:sz w:val="14"/>
                <w:szCs w:val="14"/>
                <w:color w:val="auto"/>
              </w:rPr>
            </w:pPr>
          </w:p>
        </w:tc>
        <w:tc>
          <w:tcPr>
            <w:tcW w:w="2460" w:type="dxa"/>
            <w:vAlign w:val="bottom"/>
            <w:gridSpan w:val="2"/>
          </w:tcPr>
          <w:p>
            <w:pPr>
              <w:jc w:val="right"/>
              <w:ind w:right="157"/>
              <w:spacing w:after="0"/>
              <w:rPr>
                <w:sz w:val="20"/>
                <w:szCs w:val="20"/>
                <w:color w:val="auto"/>
              </w:rPr>
            </w:pPr>
            <w:r>
              <w:rPr>
                <w:rFonts w:ascii="Arial" w:cs="Arial" w:eastAsia="Arial" w:hAnsi="Arial"/>
                <w:sz w:val="14"/>
                <w:szCs w:val="14"/>
                <w:b w:val="1"/>
                <w:bCs w:val="1"/>
                <w:color w:val="auto"/>
              </w:rPr>
              <w:t>2016</w:t>
            </w:r>
          </w:p>
        </w:tc>
        <w:tc>
          <w:tcPr>
            <w:tcW w:w="260" w:type="dxa"/>
            <w:vAlign w:val="bottom"/>
          </w:tcPr>
          <w:p>
            <w:pPr>
              <w:spacing w:after="0"/>
              <w:rPr>
                <w:sz w:val="14"/>
                <w:szCs w:val="14"/>
                <w:color w:val="auto"/>
              </w:rPr>
            </w:pPr>
          </w:p>
        </w:tc>
        <w:tc>
          <w:tcPr>
            <w:tcW w:w="900" w:type="dxa"/>
            <w:vAlign w:val="bottom"/>
            <w:gridSpan w:val="2"/>
          </w:tcPr>
          <w:p>
            <w:pPr>
              <w:jc w:val="center"/>
              <w:ind w:left="116"/>
              <w:spacing w:after="0"/>
              <w:rPr>
                <w:sz w:val="20"/>
                <w:szCs w:val="20"/>
                <w:color w:val="auto"/>
              </w:rPr>
            </w:pPr>
            <w:r>
              <w:rPr>
                <w:rFonts w:ascii="Arial" w:cs="Arial" w:eastAsia="Arial" w:hAnsi="Arial"/>
                <w:sz w:val="14"/>
                <w:szCs w:val="14"/>
                <w:b w:val="1"/>
                <w:bCs w:val="1"/>
                <w:color w:val="auto"/>
                <w:w w:val="83"/>
              </w:rPr>
              <w:t>2015</w:t>
            </w:r>
          </w:p>
        </w:tc>
        <w:tc>
          <w:tcPr>
            <w:tcW w:w="440" w:type="dxa"/>
            <w:vAlign w:val="bottom"/>
          </w:tcPr>
          <w:p>
            <w:pPr>
              <w:spacing w:after="0"/>
              <w:rPr>
                <w:sz w:val="14"/>
                <w:szCs w:val="14"/>
                <w:color w:val="auto"/>
              </w:rPr>
            </w:pPr>
          </w:p>
        </w:tc>
        <w:tc>
          <w:tcPr>
            <w:tcW w:w="740" w:type="dxa"/>
            <w:vAlign w:val="bottom"/>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4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 (loss)</w:t>
            </w:r>
          </w:p>
        </w:tc>
        <w:tc>
          <w:tcPr>
            <w:tcW w:w="17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8"/>
              </w:rPr>
              <w:t>$ (811,400)</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$ 435,346</w:t>
            </w:r>
          </w:p>
        </w:tc>
        <w:tc>
          <w:tcPr>
            <w:tcW w:w="4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$ 315,320</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1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marketable securities</w:t>
            </w:r>
          </w:p>
        </w:tc>
        <w:tc>
          <w:tcPr>
            <w:tcW w:w="27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(4,424)</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1,234</w:t>
            </w:r>
          </w:p>
        </w:tc>
        <w:tc>
          <w:tcPr>
            <w:tcW w:w="44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ind w:left="420"/>
              <w:spacing w:after="0"/>
              <w:rPr>
                <w:sz w:val="20"/>
                <w:szCs w:val="20"/>
                <w:color w:val="auto"/>
              </w:rPr>
            </w:pPr>
            <w:r>
              <w:rPr>
                <w:rFonts w:ascii="Arial" w:cs="Arial" w:eastAsia="Arial" w:hAnsi="Arial"/>
                <w:sz w:val="18"/>
                <w:szCs w:val="18"/>
                <w:color w:val="auto"/>
              </w:rPr>
              <w:t>Net change in unrealized gain (loss) on auction rate securities</w:t>
            </w:r>
          </w:p>
        </w:tc>
        <w:tc>
          <w:tcPr>
            <w:tcW w:w="2460" w:type="dxa"/>
            <w:vAlign w:val="bottom"/>
            <w:gridSpan w:val="2"/>
          </w:tcPr>
          <w:p>
            <w:pPr>
              <w:jc w:val="right"/>
              <w:spacing w:after="0"/>
              <w:rPr>
                <w:sz w:val="20"/>
                <w:szCs w:val="20"/>
                <w:color w:val="auto"/>
              </w:rPr>
            </w:pPr>
            <w:r>
              <w:rPr>
                <w:rFonts w:ascii="Arial" w:cs="Arial" w:eastAsia="Arial" w:hAnsi="Arial"/>
                <w:sz w:val="18"/>
                <w:szCs w:val="18"/>
                <w:color w:val="auto"/>
              </w:rPr>
              <w:t>2,274</w:t>
            </w:r>
          </w:p>
        </w:tc>
        <w:tc>
          <w:tcPr>
            <w:tcW w:w="26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597</w:t>
            </w:r>
          </w:p>
        </w:tc>
        <w:tc>
          <w:tcPr>
            <w:tcW w:w="44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(190)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cash flow hedges</w:t>
            </w:r>
          </w:p>
        </w:tc>
        <w:tc>
          <w:tcPr>
            <w:tcW w:w="17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1,047</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(2,120)</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8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loss, net of tax</w:t>
            </w:r>
          </w:p>
        </w:tc>
        <w:tc>
          <w:tcPr>
            <w:tcW w:w="172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480" w:type="dxa"/>
            <w:vAlign w:val="bottom"/>
            <w:vMerge w:val="continue"/>
          </w:tcPr>
          <w:p>
            <w:pPr>
              <w:spacing w:after="0"/>
              <w:rPr>
                <w:sz w:val="19"/>
                <w:szCs w:val="19"/>
                <w:color w:val="auto"/>
              </w:rPr>
            </w:pPr>
          </w:p>
        </w:tc>
        <w:tc>
          <w:tcPr>
            <w:tcW w:w="1720" w:type="dxa"/>
            <w:vAlign w:val="bottom"/>
          </w:tcPr>
          <w:p>
            <w:pPr>
              <w:spacing w:after="0"/>
              <w:rPr>
                <w:sz w:val="19"/>
                <w:szCs w:val="19"/>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(1,103)</w:t>
            </w:r>
          </w:p>
        </w:tc>
        <w:tc>
          <w:tcPr>
            <w:tcW w:w="1340" w:type="dxa"/>
            <w:vAlign w:val="bottom"/>
            <w:gridSpan w:val="3"/>
          </w:tcPr>
          <w:p>
            <w:pPr>
              <w:jc w:val="right"/>
              <w:ind w:right="380"/>
              <w:spacing w:after="0"/>
              <w:rPr>
                <w:sz w:val="20"/>
                <w:szCs w:val="20"/>
                <w:color w:val="auto"/>
              </w:rPr>
            </w:pPr>
            <w:r>
              <w:rPr>
                <w:rFonts w:ascii="Arial" w:cs="Arial" w:eastAsia="Arial" w:hAnsi="Arial"/>
                <w:sz w:val="18"/>
                <w:szCs w:val="18"/>
                <w:color w:val="auto"/>
              </w:rPr>
              <w:t>(289)</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(551)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480" w:type="dxa"/>
            <w:vAlign w:val="bottom"/>
          </w:tcPr>
          <w:p>
            <w:pPr>
              <w:spacing w:after="0"/>
              <w:rPr>
                <w:sz w:val="2"/>
                <w:szCs w:val="2"/>
                <w:color w:val="auto"/>
              </w:rPr>
            </w:pPr>
          </w:p>
        </w:tc>
        <w:tc>
          <w:tcPr>
            <w:tcW w:w="172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 (loss), net of tax</w:t>
            </w:r>
          </w:p>
        </w:tc>
        <w:tc>
          <w:tcPr>
            <w:tcW w:w="27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 (812,503)</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$ 435,057</w:t>
            </w:r>
          </w:p>
        </w:tc>
        <w:tc>
          <w:tcPr>
            <w:tcW w:w="4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$ 314,769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8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100"/>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4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86"/>
              </w:rPr>
              <w:t>Accumulated</w:t>
            </w:r>
          </w:p>
        </w:tc>
        <w:tc>
          <w:tcPr>
            <w:tcW w:w="8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1660" w:type="dxa"/>
            <w:vAlign w:val="bottom"/>
            <w:gridSpan w:val="5"/>
            <w:vMerge w:val="restart"/>
          </w:tcPr>
          <w:p>
            <w:pPr>
              <w:jc w:val="right"/>
              <w:ind w:right="480"/>
              <w:spacing w:after="0"/>
              <w:rPr>
                <w:sz w:val="20"/>
                <w:szCs w:val="20"/>
                <w:color w:val="auto"/>
              </w:rPr>
            </w:pPr>
            <w:r>
              <w:rPr>
                <w:rFonts w:ascii="Arial" w:cs="Arial" w:eastAsia="Arial" w:hAnsi="Arial"/>
                <w:sz w:val="14"/>
                <w:szCs w:val="14"/>
                <w:b w:val="1"/>
                <w:bCs w:val="1"/>
                <w:color w:val="auto"/>
              </w:rPr>
              <w:t>Common Stock</w:t>
            </w:r>
          </w:p>
        </w:tc>
        <w:tc>
          <w:tcPr>
            <w:tcW w:w="120" w:type="dxa"/>
            <w:vAlign w:val="bottom"/>
          </w:tcPr>
          <w:p>
            <w:pPr>
              <w:spacing w:after="0"/>
              <w:rPr>
                <w:sz w:val="12"/>
                <w:szCs w:val="12"/>
                <w:color w:val="auto"/>
              </w:rPr>
            </w:pPr>
          </w:p>
        </w:tc>
        <w:tc>
          <w:tcPr>
            <w:tcW w:w="112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rPr>
              <w:t>Additional</w:t>
            </w:r>
          </w:p>
        </w:tc>
        <w:tc>
          <w:tcPr>
            <w:tcW w:w="180" w:type="dxa"/>
            <w:vAlign w:val="bottom"/>
          </w:tcPr>
          <w:p>
            <w:pPr>
              <w:spacing w:after="0"/>
              <w:rPr>
                <w:sz w:val="12"/>
                <w:szCs w:val="12"/>
                <w:color w:val="auto"/>
              </w:rPr>
            </w:pPr>
          </w:p>
        </w:tc>
        <w:tc>
          <w:tcPr>
            <w:tcW w:w="10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6"/>
              </w:rPr>
              <w:t>Other</w:t>
            </w:r>
          </w:p>
        </w:tc>
        <w:tc>
          <w:tcPr>
            <w:tcW w:w="8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1660" w:type="dxa"/>
            <w:vAlign w:val="bottom"/>
            <w:gridSpan w:val="5"/>
            <w:vMerge w:val="continue"/>
          </w:tcPr>
          <w:p>
            <w:pPr>
              <w:spacing w:after="0"/>
              <w:rPr>
                <w:sz w:val="8"/>
                <w:szCs w:val="8"/>
                <w:color w:val="auto"/>
              </w:rPr>
            </w:pPr>
          </w:p>
        </w:tc>
        <w:tc>
          <w:tcPr>
            <w:tcW w:w="120" w:type="dxa"/>
            <w:vAlign w:val="bottom"/>
          </w:tcPr>
          <w:p>
            <w:pPr>
              <w:spacing w:after="0"/>
              <w:rPr>
                <w:sz w:val="8"/>
                <w:szCs w:val="8"/>
                <w:color w:val="auto"/>
              </w:rPr>
            </w:pPr>
          </w:p>
        </w:tc>
        <w:tc>
          <w:tcPr>
            <w:tcW w:w="1120" w:type="dxa"/>
            <w:vAlign w:val="bottom"/>
            <w:gridSpan w:val="2"/>
            <w:vMerge w:val="restart"/>
          </w:tcPr>
          <w:p>
            <w:pPr>
              <w:jc w:val="right"/>
              <w:ind w:right="500"/>
              <w:spacing w:after="0" w:line="149" w:lineRule="exact"/>
              <w:rPr>
                <w:sz w:val="20"/>
                <w:szCs w:val="20"/>
                <w:color w:val="auto"/>
              </w:rPr>
            </w:pPr>
            <w:r>
              <w:rPr>
                <w:rFonts w:ascii="Arial" w:cs="Arial" w:eastAsia="Arial" w:hAnsi="Arial"/>
                <w:sz w:val="14"/>
                <w:szCs w:val="14"/>
                <w:b w:val="1"/>
                <w:bCs w:val="1"/>
                <w:color w:val="auto"/>
              </w:rPr>
              <w:t>Paid-in</w:t>
            </w:r>
          </w:p>
        </w:tc>
        <w:tc>
          <w:tcPr>
            <w:tcW w:w="1240" w:type="dxa"/>
            <w:vAlign w:val="bottom"/>
            <w:gridSpan w:val="3"/>
            <w:vMerge w:val="restart"/>
          </w:tcPr>
          <w:p>
            <w:pPr>
              <w:jc w:val="center"/>
              <w:ind w:right="340"/>
              <w:spacing w:after="0" w:line="149" w:lineRule="exact"/>
              <w:rPr>
                <w:sz w:val="20"/>
                <w:szCs w:val="20"/>
                <w:color w:val="auto"/>
              </w:rPr>
            </w:pPr>
            <w:r>
              <w:rPr>
                <w:rFonts w:ascii="Arial" w:cs="Arial" w:eastAsia="Arial" w:hAnsi="Arial"/>
                <w:sz w:val="14"/>
                <w:szCs w:val="14"/>
                <w:b w:val="1"/>
                <w:bCs w:val="1"/>
                <w:color w:val="auto"/>
                <w:w w:val="85"/>
              </w:rPr>
              <w:t>Comprehensive</w:t>
            </w:r>
          </w:p>
        </w:tc>
        <w:tc>
          <w:tcPr>
            <w:tcW w:w="1120" w:type="dxa"/>
            <w:vAlign w:val="bottom"/>
            <w:gridSpan w:val="2"/>
            <w:vMerge w:val="restart"/>
          </w:tcPr>
          <w:p>
            <w:pPr>
              <w:jc w:val="right"/>
              <w:ind w:right="460"/>
              <w:spacing w:after="0" w:line="149" w:lineRule="exact"/>
              <w:rPr>
                <w:sz w:val="20"/>
                <w:szCs w:val="20"/>
                <w:color w:val="auto"/>
              </w:rPr>
            </w:pPr>
            <w:r>
              <w:rPr>
                <w:rFonts w:ascii="Arial" w:cs="Arial" w:eastAsia="Arial" w:hAnsi="Arial"/>
                <w:sz w:val="14"/>
                <w:szCs w:val="14"/>
                <w:b w:val="1"/>
                <w:bCs w:val="1"/>
                <w:color w:val="auto"/>
              </w:rPr>
              <w:t>Retained</w:t>
            </w:r>
          </w:p>
        </w:tc>
        <w:tc>
          <w:tcPr>
            <w:tcW w:w="8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5240" w:type="dxa"/>
            <w:vAlign w:val="bottom"/>
          </w:tcPr>
          <w:p>
            <w:pPr>
              <w:spacing w:after="0"/>
              <w:rPr>
                <w:sz w:val="3"/>
                <w:szCs w:val="3"/>
                <w:color w:val="auto"/>
              </w:rPr>
            </w:pPr>
          </w:p>
        </w:tc>
        <w:tc>
          <w:tcPr>
            <w:tcW w:w="640" w:type="dxa"/>
            <w:vAlign w:val="bottom"/>
            <w:tcBorders>
              <w:top w:val="single" w:sz="8" w:color="auto"/>
            </w:tcBorders>
          </w:tcPr>
          <w:p>
            <w:pPr>
              <w:spacing w:after="0"/>
              <w:rPr>
                <w:sz w:val="3"/>
                <w:szCs w:val="3"/>
                <w:color w:val="auto"/>
              </w:rPr>
            </w:pPr>
          </w:p>
        </w:tc>
        <w:tc>
          <w:tcPr>
            <w:tcW w:w="180" w:type="dxa"/>
            <w:vAlign w:val="bottom"/>
            <w:tcBorders>
              <w:top w:val="single" w:sz="8" w:color="auto"/>
            </w:tcBorders>
          </w:tcPr>
          <w:p>
            <w:pPr>
              <w:spacing w:after="0"/>
              <w:rPr>
                <w:sz w:val="3"/>
                <w:szCs w:val="3"/>
                <w:color w:val="auto"/>
              </w:rPr>
            </w:pPr>
          </w:p>
        </w:tc>
        <w:tc>
          <w:tcPr>
            <w:tcW w:w="140" w:type="dxa"/>
            <w:vAlign w:val="bottom"/>
            <w:tcBorders>
              <w:top w:val="single" w:sz="8" w:color="auto"/>
            </w:tcBorders>
          </w:tcPr>
          <w:p>
            <w:pPr>
              <w:spacing w:after="0"/>
              <w:rPr>
                <w:sz w:val="3"/>
                <w:szCs w:val="3"/>
                <w:color w:val="auto"/>
              </w:rPr>
            </w:pPr>
          </w:p>
        </w:tc>
        <w:tc>
          <w:tcPr>
            <w:tcW w:w="500" w:type="dxa"/>
            <w:vAlign w:val="bottom"/>
            <w:tcBorders>
              <w:top w:val="single" w:sz="8" w:color="auto"/>
            </w:tcBorders>
          </w:tcPr>
          <w:p>
            <w:pPr>
              <w:spacing w:after="0"/>
              <w:rPr>
                <w:sz w:val="3"/>
                <w:szCs w:val="3"/>
                <w:color w:val="auto"/>
              </w:rPr>
            </w:pPr>
          </w:p>
        </w:tc>
        <w:tc>
          <w:tcPr>
            <w:tcW w:w="2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gridSpan w:val="2"/>
            <w:vMerge w:val="continue"/>
          </w:tcPr>
          <w:p>
            <w:pPr>
              <w:spacing w:after="0"/>
              <w:rPr>
                <w:sz w:val="3"/>
                <w:szCs w:val="3"/>
                <w:color w:val="auto"/>
              </w:rPr>
            </w:pPr>
          </w:p>
        </w:tc>
        <w:tc>
          <w:tcPr>
            <w:tcW w:w="1240" w:type="dxa"/>
            <w:vAlign w:val="bottom"/>
            <w:gridSpan w:val="3"/>
            <w:vMerge w:val="continue"/>
          </w:tcPr>
          <w:p>
            <w:pPr>
              <w:spacing w:after="0"/>
              <w:rPr>
                <w:sz w:val="3"/>
                <w:szCs w:val="3"/>
                <w:color w:val="auto"/>
              </w:rPr>
            </w:pPr>
          </w:p>
        </w:tc>
        <w:tc>
          <w:tcPr>
            <w:tcW w:w="1120" w:type="dxa"/>
            <w:vAlign w:val="bottom"/>
            <w:gridSpan w:val="2"/>
            <w:vMerge w:val="continue"/>
          </w:tcPr>
          <w:p>
            <w:pPr>
              <w:spacing w:after="0"/>
              <w:rPr>
                <w:sz w:val="3"/>
                <w:szCs w:val="3"/>
                <w:color w:val="auto"/>
              </w:rPr>
            </w:pPr>
          </w:p>
        </w:tc>
        <w:tc>
          <w:tcPr>
            <w:tcW w:w="80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6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4"/>
                <w:szCs w:val="14"/>
                <w:color w:val="auto"/>
              </w:rPr>
            </w:pPr>
          </w:p>
        </w:tc>
        <w:tc>
          <w:tcPr>
            <w:tcW w:w="70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86"/>
              </w:rPr>
              <w:t>Amount</w:t>
            </w:r>
          </w:p>
        </w:tc>
        <w:tc>
          <w:tcPr>
            <w:tcW w:w="120" w:type="dxa"/>
            <w:vAlign w:val="bottom"/>
          </w:tcPr>
          <w:p>
            <w:pPr>
              <w:spacing w:after="0"/>
              <w:rPr>
                <w:sz w:val="14"/>
                <w:szCs w:val="14"/>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Capital</w:t>
            </w:r>
          </w:p>
        </w:tc>
        <w:tc>
          <w:tcPr>
            <w:tcW w:w="124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84"/>
              </w:rPr>
              <w:t>Income (Loss)</w:t>
            </w:r>
          </w:p>
        </w:tc>
        <w:tc>
          <w:tcPr>
            <w:tcW w:w="11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Earnings</w:t>
            </w:r>
          </w:p>
        </w:tc>
        <w:tc>
          <w:tcPr>
            <w:tcW w:w="9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Balance at February 2, 2013</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508,338</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$1,017</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$2,945,643</w:t>
            </w:r>
          </w:p>
        </w:tc>
        <w:tc>
          <w:tcPr>
            <w:tcW w:w="3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4"/>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1,148</w:t>
            </w:r>
          </w:p>
        </w:tc>
        <w:tc>
          <w:tcPr>
            <w:tcW w:w="32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$1,536,787</w:t>
            </w:r>
          </w:p>
        </w:tc>
        <w:tc>
          <w:tcPr>
            <w:tcW w:w="32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$4,484,595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Shares issued pursuant to stock options and awards</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18,503</w:t>
            </w: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37</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133,262</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133,299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w w:val="96"/>
              </w:rPr>
              <w:t>Issuance of common stock under the employee stock purchase plan</w:t>
            </w: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9,701</w:t>
            </w:r>
          </w:p>
        </w:tc>
        <w:tc>
          <w:tcPr>
            <w:tcW w:w="8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19</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71,644</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71,663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Cancellation of restricted stock units for net share settlement</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(1,024)</w:t>
            </w: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(2)</w:t>
            </w:r>
          </w:p>
        </w:tc>
        <w:tc>
          <w:tcPr>
            <w:tcW w:w="1240" w:type="dxa"/>
            <w:vAlign w:val="bottom"/>
            <w:gridSpan w:val="3"/>
          </w:tcPr>
          <w:p>
            <w:pPr>
              <w:jc w:val="right"/>
              <w:ind w:right="260"/>
              <w:spacing w:after="0"/>
              <w:rPr>
                <w:sz w:val="20"/>
                <w:szCs w:val="20"/>
                <w:color w:val="auto"/>
              </w:rPr>
            </w:pPr>
            <w:r>
              <w:rPr>
                <w:rFonts w:ascii="Arial" w:cs="Arial" w:eastAsia="Arial" w:hAnsi="Arial"/>
                <w:sz w:val="18"/>
                <w:szCs w:val="18"/>
                <w:color w:val="auto"/>
              </w:rPr>
              <w:t>(10,870)</w:t>
            </w: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(10,872)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Share-based compensation</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156,126</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156,126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Tax deficiency from employee stock transactions</w:t>
            </w: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40" w:type="dxa"/>
            <w:vAlign w:val="bottom"/>
            <w:gridSpan w:val="3"/>
          </w:tcPr>
          <w:p>
            <w:pPr>
              <w:jc w:val="right"/>
              <w:ind w:right="260"/>
              <w:spacing w:after="0"/>
              <w:rPr>
                <w:sz w:val="20"/>
                <w:szCs w:val="20"/>
                <w:color w:val="auto"/>
              </w:rPr>
            </w:pPr>
            <w:r>
              <w:rPr>
                <w:rFonts w:ascii="Arial" w:cs="Arial" w:eastAsia="Arial" w:hAnsi="Arial"/>
                <w:sz w:val="18"/>
                <w:szCs w:val="18"/>
                <w:color w:val="auto"/>
              </w:rPr>
              <w:t>(88)</w:t>
            </w: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(33,113)</w:t>
            </w: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(66)</w:t>
            </w:r>
          </w:p>
        </w:tc>
        <w:tc>
          <w:tcPr>
            <w:tcW w:w="12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(354,067)</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(354,133)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Cash dividends declared and paid (cumulatively $0.24 per share)</w:t>
            </w: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(119,449)</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(119,449)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315,320</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315,320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64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(551)</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(551)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February 1, 2014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502,405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1,005</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2,941,650</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40" w:type="dxa"/>
            <w:vAlign w:val="bottom"/>
            <w:shd w:val="clear" w:color="auto" w:fill="CCEEFF"/>
          </w:tcPr>
          <w:p>
            <w:pPr>
              <w:ind w:left="460"/>
              <w:spacing w:after="0"/>
              <w:rPr>
                <w:sz w:val="20"/>
                <w:szCs w:val="20"/>
                <w:color w:val="auto"/>
              </w:rPr>
            </w:pPr>
            <w:r>
              <w:rPr>
                <w:rFonts w:ascii="Arial" w:cs="Arial" w:eastAsia="Arial" w:hAnsi="Arial"/>
                <w:sz w:val="18"/>
                <w:szCs w:val="18"/>
                <w:color w:val="auto"/>
                <w:w w:val="86"/>
              </w:rPr>
              <w:t>597</w:t>
            </w:r>
          </w:p>
        </w:tc>
        <w:tc>
          <w:tcPr>
            <w:tcW w:w="3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7"/>
              </w:rPr>
              <w:t>1,732,658</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4,675,910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Shares issued pursuant to stock options and awards</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9,673</w:t>
            </w: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19</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38,020</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38,039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w w:val="96"/>
              </w:rPr>
              <w:t>Issuance of common stock under the employee stock purchase plan</w:t>
            </w: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9,690</w:t>
            </w:r>
          </w:p>
        </w:tc>
        <w:tc>
          <w:tcPr>
            <w:tcW w:w="8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19</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74,299</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74,318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Cancellation of restricted stock units for net share settlement</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(1,661)</w:t>
            </w: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(3)</w:t>
            </w:r>
          </w:p>
        </w:tc>
        <w:tc>
          <w:tcPr>
            <w:tcW w:w="1240" w:type="dxa"/>
            <w:vAlign w:val="bottom"/>
            <w:gridSpan w:val="3"/>
          </w:tcPr>
          <w:p>
            <w:pPr>
              <w:jc w:val="right"/>
              <w:ind w:right="260"/>
              <w:spacing w:after="0"/>
              <w:rPr>
                <w:sz w:val="20"/>
                <w:szCs w:val="20"/>
                <w:color w:val="auto"/>
              </w:rPr>
            </w:pPr>
            <w:r>
              <w:rPr>
                <w:rFonts w:ascii="Arial" w:cs="Arial" w:eastAsia="Arial" w:hAnsi="Arial"/>
                <w:sz w:val="18"/>
                <w:szCs w:val="18"/>
                <w:color w:val="auto"/>
              </w:rPr>
              <w:t>(26,491)</w:t>
            </w: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(26,494)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Share-based compensation</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137,001</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137,001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Tax benefit from employee stock transactions</w:t>
            </w: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21</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(5,070)</w:t>
            </w: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(10)</w:t>
            </w:r>
          </w:p>
        </w:tc>
        <w:tc>
          <w:tcPr>
            <w:tcW w:w="12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(64,952)</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(64,962)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Cash dividends declared and paid (cumulatively $0.24 per share)</w:t>
            </w: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(122,801)</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(122,801)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435,346</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435,346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64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(289)</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(289)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January 31, 2015</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515,037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1,030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3,099,548</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40" w:type="dxa"/>
            <w:vAlign w:val="bottom"/>
            <w:shd w:val="clear" w:color="auto" w:fill="CCEEFF"/>
          </w:tcPr>
          <w:p>
            <w:pPr>
              <w:ind w:left="460"/>
              <w:spacing w:after="0"/>
              <w:rPr>
                <w:sz w:val="20"/>
                <w:szCs w:val="20"/>
                <w:color w:val="auto"/>
              </w:rPr>
            </w:pPr>
            <w:r>
              <w:rPr>
                <w:rFonts w:ascii="Arial" w:cs="Arial" w:eastAsia="Arial" w:hAnsi="Arial"/>
                <w:sz w:val="18"/>
                <w:szCs w:val="18"/>
                <w:color w:val="auto"/>
                <w:w w:val="86"/>
              </w:rPr>
              <w:t>308</w:t>
            </w:r>
          </w:p>
        </w:tc>
        <w:tc>
          <w:tcPr>
            <w:tcW w:w="3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7"/>
              </w:rPr>
              <w:t>2,045,203</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5,146,089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Shares issued pursuant to stock options and awards</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8,022</w:t>
            </w:r>
          </w:p>
        </w:tc>
        <w:tc>
          <w:tcPr>
            <w:tcW w:w="840" w:type="dxa"/>
            <w:vAlign w:val="bottom"/>
            <w:gridSpan w:val="3"/>
          </w:tcPr>
          <w:p>
            <w:pPr>
              <w:jc w:val="right"/>
              <w:ind w:right="200"/>
              <w:spacing w:after="0"/>
              <w:rPr>
                <w:sz w:val="20"/>
                <w:szCs w:val="20"/>
                <w:color w:val="auto"/>
              </w:rPr>
            </w:pPr>
            <w:r>
              <w:rPr>
                <w:rFonts w:ascii="Arial" w:cs="Arial" w:eastAsia="Arial" w:hAnsi="Arial"/>
                <w:sz w:val="18"/>
                <w:szCs w:val="18"/>
                <w:color w:val="auto"/>
              </w:rPr>
              <w:t>16</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21,763</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21,779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w w:val="96"/>
              </w:rPr>
              <w:t>Issuance of common stock under the employee stock purchase plan</w:t>
            </w: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5,890</w:t>
            </w:r>
          </w:p>
        </w:tc>
        <w:tc>
          <w:tcPr>
            <w:tcW w:w="8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11</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58,927</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58,938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Cancellation of restricted stock units for net share settlement</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(1,677)</w:t>
            </w: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(3)</w:t>
            </w:r>
          </w:p>
        </w:tc>
        <w:tc>
          <w:tcPr>
            <w:tcW w:w="1240" w:type="dxa"/>
            <w:vAlign w:val="bottom"/>
            <w:gridSpan w:val="3"/>
          </w:tcPr>
          <w:p>
            <w:pPr>
              <w:jc w:val="right"/>
              <w:ind w:right="260"/>
              <w:spacing w:after="0"/>
              <w:rPr>
                <w:sz w:val="20"/>
                <w:szCs w:val="20"/>
                <w:color w:val="auto"/>
              </w:rPr>
            </w:pPr>
            <w:r>
              <w:rPr>
                <w:rFonts w:ascii="Arial" w:cs="Arial" w:eastAsia="Arial" w:hAnsi="Arial"/>
                <w:sz w:val="18"/>
                <w:szCs w:val="18"/>
                <w:color w:val="auto"/>
              </w:rPr>
              <w:t>(24,355)</w:t>
            </w: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(24,358)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Share-based compensation</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133,766</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133,766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Tax benefit from employee stock transactions</w:t>
            </w: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108</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(19,700)</w:t>
            </w: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(39)</w:t>
            </w:r>
          </w:p>
        </w:tc>
        <w:tc>
          <w:tcPr>
            <w:tcW w:w="12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(260,836)</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(260,875)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Cash dividends declared and paid (cumulatively $0.24 per share)</w:t>
            </w: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(122,821)</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(122,821)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(811,400)</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(811,400)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64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(1,103)</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(1,103)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January 30, 2016</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507,572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1,015</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99"/>
              </w:rPr>
              <w:t>$</w:t>
            </w:r>
            <w:r>
              <w:rPr>
                <w:rFonts w:ascii="Arial" w:cs="Arial" w:eastAsia="Arial" w:hAnsi="Arial"/>
                <w:sz w:val="18"/>
                <w:szCs w:val="18"/>
                <w:color w:val="auto"/>
                <w:w w:val="99"/>
              </w:rPr>
              <w:t>3,028,921</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w w:val="79"/>
              </w:rPr>
              <w:t>$</w:t>
            </w: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(795)</w:t>
            </w:r>
          </w:p>
        </w:tc>
        <w:tc>
          <w:tcPr>
            <w:tcW w:w="11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1,110,982</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4,140,123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4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8420" w:type="dxa"/>
            <w:vAlign w:val="bottom"/>
          </w:tcPr>
          <w:p>
            <w:pPr>
              <w:spacing w:after="0"/>
              <w:rPr>
                <w:sz w:val="11"/>
                <w:szCs w:val="11"/>
                <w:color w:val="auto"/>
              </w:rPr>
            </w:pPr>
          </w:p>
        </w:tc>
        <w:tc>
          <w:tcPr>
            <w:tcW w:w="11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11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80" w:type="dxa"/>
            <w:vAlign w:val="bottom"/>
          </w:tcPr>
          <w:p>
            <w:pPr>
              <w:spacing w:after="0"/>
              <w:rPr>
                <w:sz w:val="11"/>
                <w:szCs w:val="11"/>
                <w:color w:val="auto"/>
              </w:rPr>
            </w:pPr>
          </w:p>
        </w:tc>
      </w:tr>
      <w:tr>
        <w:trPr>
          <w:trHeight w:val="161"/>
        </w:trPr>
        <w:tc>
          <w:tcPr>
            <w:tcW w:w="20" w:type="dxa"/>
            <w:vAlign w:val="bottom"/>
          </w:tcPr>
          <w:p>
            <w:pPr>
              <w:spacing w:after="0"/>
              <w:rPr>
                <w:sz w:val="14"/>
                <w:szCs w:val="14"/>
                <w:color w:val="auto"/>
              </w:rPr>
            </w:pPr>
          </w:p>
        </w:tc>
        <w:tc>
          <w:tcPr>
            <w:tcW w:w="84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4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2015</w:t>
            </w:r>
          </w:p>
        </w:tc>
        <w:tc>
          <w:tcPr>
            <w:tcW w:w="4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2014</w:t>
            </w:r>
          </w:p>
        </w:tc>
        <w:tc>
          <w:tcPr>
            <w:tcW w:w="80" w:type="dxa"/>
            <w:vAlign w:val="bottom"/>
            <w:tcBorders>
              <w:bottom w:val="single" w:sz="8" w:color="CCEEFF"/>
            </w:tcBorders>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8420" w:type="dxa"/>
            <w:vAlign w:val="bottom"/>
            <w:shd w:val="clear" w:color="auto" w:fill="CCEEFF"/>
          </w:tcPr>
          <w:p>
            <w:pPr>
              <w:spacing w:after="0" w:line="129" w:lineRule="exact"/>
              <w:rPr>
                <w:sz w:val="20"/>
                <w:szCs w:val="20"/>
                <w:color w:val="auto"/>
              </w:rPr>
            </w:pPr>
            <w:r>
              <w:rPr>
                <w:rFonts w:ascii="Arial" w:cs="Arial" w:eastAsia="Arial" w:hAnsi="Arial"/>
                <w:sz w:val="14"/>
                <w:szCs w:val="14"/>
                <w:b w:val="1"/>
                <w:bCs w:val="1"/>
                <w:color w:val="auto"/>
              </w:rPr>
              <w:t>Cash flows from operating activities:</w:t>
            </w:r>
          </w:p>
        </w:tc>
        <w:tc>
          <w:tcPr>
            <w:tcW w:w="8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5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Net income (loss)</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(811,400)</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435,346</w:t>
            </w:r>
          </w:p>
        </w:tc>
        <w:tc>
          <w:tcPr>
            <w:tcW w:w="420" w:type="dxa"/>
            <w:vAlign w:val="bottom"/>
          </w:tcPr>
          <w:p>
            <w:pPr>
              <w:spacing w:after="0"/>
              <w:rPr>
                <w:sz w:val="12"/>
                <w:szCs w:val="12"/>
                <w:color w:val="auto"/>
              </w:rPr>
            </w:pP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315,320</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Adjustments to reconcile net income (loss) to net cash provided by operating activities:</w:t>
            </w:r>
          </w:p>
        </w:tc>
        <w:tc>
          <w:tcPr>
            <w:tcW w:w="8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8420" w:type="dxa"/>
            <w:vAlign w:val="bottom"/>
          </w:tcPr>
          <w:p>
            <w:pPr>
              <w:ind w:left="860"/>
              <w:spacing w:after="0" w:line="149" w:lineRule="exact"/>
              <w:rPr>
                <w:sz w:val="20"/>
                <w:szCs w:val="20"/>
                <w:color w:val="auto"/>
              </w:rPr>
            </w:pPr>
            <w:r>
              <w:rPr>
                <w:rFonts w:ascii="Arial" w:cs="Arial" w:eastAsia="Arial" w:hAnsi="Arial"/>
                <w:sz w:val="14"/>
                <w:szCs w:val="14"/>
                <w:color w:val="auto"/>
              </w:rPr>
              <w:t>Depreciation and amortization</w:t>
            </w:r>
          </w:p>
        </w:tc>
        <w:tc>
          <w:tcPr>
            <w:tcW w:w="8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100,176</w:t>
            </w: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106,248</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102,752</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Share-based compensation</w:t>
            </w:r>
          </w:p>
        </w:tc>
        <w:tc>
          <w:tcPr>
            <w:tcW w:w="8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133,779</w:t>
            </w:r>
          </w:p>
        </w:tc>
        <w:tc>
          <w:tcPr>
            <w:tcW w:w="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137,246</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155,873</w:t>
            </w:r>
          </w:p>
        </w:tc>
      </w:tr>
      <w:tr>
        <w:trPr>
          <w:trHeight w:val="149"/>
        </w:trPr>
        <w:tc>
          <w:tcPr>
            <w:tcW w:w="20" w:type="dxa"/>
            <w:vAlign w:val="bottom"/>
          </w:tcPr>
          <w:p>
            <w:pPr>
              <w:spacing w:after="0"/>
              <w:rPr>
                <w:sz w:val="12"/>
                <w:szCs w:val="12"/>
                <w:color w:val="auto"/>
              </w:rPr>
            </w:pPr>
          </w:p>
        </w:tc>
        <w:tc>
          <w:tcPr>
            <w:tcW w:w="8420" w:type="dxa"/>
            <w:vAlign w:val="bottom"/>
          </w:tcPr>
          <w:p>
            <w:pPr>
              <w:ind w:left="860"/>
              <w:spacing w:after="0" w:line="149" w:lineRule="exact"/>
              <w:rPr>
                <w:sz w:val="20"/>
                <w:szCs w:val="20"/>
                <w:color w:val="auto"/>
              </w:rPr>
            </w:pPr>
            <w:r>
              <w:rPr>
                <w:rFonts w:ascii="Arial" w:cs="Arial" w:eastAsia="Arial" w:hAnsi="Arial"/>
                <w:sz w:val="14"/>
                <w:szCs w:val="14"/>
                <w:color w:val="auto"/>
              </w:rPr>
              <w:t>Amortization and write-off of acquired intangible assets</w:t>
            </w:r>
          </w:p>
        </w:tc>
        <w:tc>
          <w:tcPr>
            <w:tcW w:w="8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12,688</w:t>
            </w: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18,337</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44,006</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Gain on sale of business</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(6,975)</w:t>
            </w:r>
          </w:p>
        </w:tc>
      </w:tr>
      <w:tr>
        <w:trPr>
          <w:trHeight w:val="149"/>
        </w:trPr>
        <w:tc>
          <w:tcPr>
            <w:tcW w:w="20" w:type="dxa"/>
            <w:vAlign w:val="bottom"/>
          </w:tcPr>
          <w:p>
            <w:pPr>
              <w:spacing w:after="0"/>
              <w:rPr>
                <w:sz w:val="12"/>
                <w:szCs w:val="12"/>
                <w:color w:val="auto"/>
              </w:rPr>
            </w:pPr>
          </w:p>
        </w:tc>
        <w:tc>
          <w:tcPr>
            <w:tcW w:w="8420" w:type="dxa"/>
            <w:vAlign w:val="bottom"/>
          </w:tcPr>
          <w:p>
            <w:pPr>
              <w:ind w:left="860"/>
              <w:spacing w:after="0" w:line="149" w:lineRule="exact"/>
              <w:rPr>
                <w:sz w:val="20"/>
                <w:szCs w:val="20"/>
                <w:color w:val="auto"/>
              </w:rPr>
            </w:pPr>
            <w:r>
              <w:rPr>
                <w:rFonts w:ascii="Arial" w:cs="Arial" w:eastAsia="Arial" w:hAnsi="Arial"/>
                <w:sz w:val="14"/>
                <w:szCs w:val="14"/>
                <w:color w:val="auto"/>
              </w:rPr>
              <w:t>Non-cash restructuring and other related charges</w:t>
            </w:r>
          </w:p>
        </w:tc>
        <w:tc>
          <w:tcPr>
            <w:tcW w:w="8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16,032</w:t>
            </w: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17</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61</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Loss (gain) from investments in privately-held companies</w:t>
            </w:r>
          </w:p>
        </w:tc>
        <w:tc>
          <w:tcPr>
            <w:tcW w:w="8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3,503</w:t>
            </w:r>
          </w:p>
        </w:tc>
        <w:tc>
          <w:tcPr>
            <w:tcW w:w="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(8,829)</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1,500</w:t>
            </w:r>
          </w:p>
        </w:tc>
      </w:tr>
      <w:tr>
        <w:trPr>
          <w:trHeight w:val="149"/>
        </w:trPr>
        <w:tc>
          <w:tcPr>
            <w:tcW w:w="20" w:type="dxa"/>
            <w:vAlign w:val="bottom"/>
          </w:tcPr>
          <w:p>
            <w:pPr>
              <w:spacing w:after="0"/>
              <w:rPr>
                <w:sz w:val="12"/>
                <w:szCs w:val="12"/>
                <w:color w:val="auto"/>
              </w:rPr>
            </w:pPr>
          </w:p>
        </w:tc>
        <w:tc>
          <w:tcPr>
            <w:tcW w:w="8420" w:type="dxa"/>
            <w:vAlign w:val="bottom"/>
          </w:tcPr>
          <w:p>
            <w:pPr>
              <w:ind w:left="860"/>
              <w:spacing w:after="0" w:line="149" w:lineRule="exact"/>
              <w:rPr>
                <w:sz w:val="20"/>
                <w:szCs w:val="20"/>
                <w:color w:val="auto"/>
              </w:rPr>
            </w:pPr>
            <w:r>
              <w:rPr>
                <w:rFonts w:ascii="Arial" w:cs="Arial" w:eastAsia="Arial" w:hAnsi="Arial"/>
                <w:sz w:val="14"/>
                <w:szCs w:val="14"/>
                <w:color w:val="auto"/>
              </w:rPr>
              <w:t>Amortization (accretion) of premium /discount on available-for-sale securities</w:t>
            </w:r>
          </w:p>
        </w:tc>
        <w:tc>
          <w:tcPr>
            <w:tcW w:w="80" w:type="dxa"/>
            <w:vAlign w:val="bottom"/>
          </w:tcPr>
          <w:p>
            <w:pPr>
              <w:spacing w:after="0"/>
              <w:rPr>
                <w:sz w:val="12"/>
                <w:szCs w:val="12"/>
                <w:color w:val="auto"/>
              </w:rPr>
            </w:pPr>
          </w:p>
        </w:tc>
        <w:tc>
          <w:tcPr>
            <w:tcW w:w="102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8,112</w:t>
            </w:r>
          </w:p>
        </w:tc>
        <w:tc>
          <w:tcPr>
            <w:tcW w:w="80" w:type="dxa"/>
            <w:vAlign w:val="bottom"/>
          </w:tcPr>
          <w:p>
            <w:pPr>
              <w:spacing w:after="0"/>
              <w:rPr>
                <w:sz w:val="12"/>
                <w:szCs w:val="12"/>
                <w:color w:val="auto"/>
              </w:rPr>
            </w:pPr>
          </w:p>
        </w:tc>
        <w:tc>
          <w:tcPr>
            <w:tcW w:w="104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(3,582)</w:t>
            </w: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7,916</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Other non-cash expense (income), net</w:t>
            </w:r>
          </w:p>
        </w:tc>
        <w:tc>
          <w:tcPr>
            <w:tcW w:w="8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2,196</w:t>
            </w:r>
          </w:p>
        </w:tc>
        <w:tc>
          <w:tcPr>
            <w:tcW w:w="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1,765</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(1,299)</w:t>
            </w:r>
          </w:p>
        </w:tc>
      </w:tr>
      <w:tr>
        <w:trPr>
          <w:trHeight w:val="149"/>
        </w:trPr>
        <w:tc>
          <w:tcPr>
            <w:tcW w:w="20" w:type="dxa"/>
            <w:vAlign w:val="bottom"/>
          </w:tcPr>
          <w:p>
            <w:pPr>
              <w:spacing w:after="0"/>
              <w:rPr>
                <w:sz w:val="12"/>
                <w:szCs w:val="12"/>
                <w:color w:val="auto"/>
              </w:rPr>
            </w:pPr>
          </w:p>
        </w:tc>
        <w:tc>
          <w:tcPr>
            <w:tcW w:w="8420" w:type="dxa"/>
            <w:vAlign w:val="bottom"/>
          </w:tcPr>
          <w:p>
            <w:pPr>
              <w:ind w:left="860"/>
              <w:spacing w:after="0" w:line="149" w:lineRule="exact"/>
              <w:rPr>
                <w:sz w:val="20"/>
                <w:szCs w:val="20"/>
                <w:color w:val="auto"/>
              </w:rPr>
            </w:pPr>
            <w:r>
              <w:rPr>
                <w:rFonts w:ascii="Arial" w:cs="Arial" w:eastAsia="Arial" w:hAnsi="Arial"/>
                <w:sz w:val="14"/>
                <w:szCs w:val="14"/>
                <w:color w:val="auto"/>
              </w:rPr>
              <w:t>Excess tax benefits from share-based compensation</w:t>
            </w:r>
          </w:p>
        </w:tc>
        <w:tc>
          <w:tcPr>
            <w:tcW w:w="8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(26)</w:t>
            </w:r>
          </w:p>
        </w:tc>
        <w:tc>
          <w:tcPr>
            <w:tcW w:w="80" w:type="dxa"/>
            <w:vAlign w:val="bottom"/>
          </w:tcPr>
          <w:p>
            <w:pPr>
              <w:spacing w:after="0"/>
              <w:rPr>
                <w:sz w:val="12"/>
                <w:szCs w:val="12"/>
                <w:color w:val="auto"/>
              </w:rPr>
            </w:pPr>
          </w:p>
        </w:tc>
        <w:tc>
          <w:tcPr>
            <w:tcW w:w="104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(145)</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(20)</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Deferred income tax</w:t>
            </w:r>
          </w:p>
        </w:tc>
        <w:tc>
          <w:tcPr>
            <w:tcW w:w="8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6,096</w:t>
            </w:r>
          </w:p>
        </w:tc>
        <w:tc>
          <w:tcPr>
            <w:tcW w:w="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(12,913)</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3,919</w:t>
            </w:r>
          </w:p>
        </w:tc>
      </w:tr>
      <w:tr>
        <w:trPr>
          <w:trHeight w:val="149"/>
        </w:trPr>
        <w:tc>
          <w:tcPr>
            <w:tcW w:w="20" w:type="dxa"/>
            <w:vAlign w:val="bottom"/>
          </w:tcPr>
          <w:p>
            <w:pPr>
              <w:spacing w:after="0"/>
              <w:rPr>
                <w:sz w:val="12"/>
                <w:szCs w:val="12"/>
                <w:color w:val="auto"/>
              </w:rPr>
            </w:pPr>
          </w:p>
        </w:tc>
        <w:tc>
          <w:tcPr>
            <w:tcW w:w="8420" w:type="dxa"/>
            <w:vAlign w:val="bottom"/>
          </w:tcPr>
          <w:p>
            <w:pPr>
              <w:ind w:left="860"/>
              <w:spacing w:after="0" w:line="149" w:lineRule="exact"/>
              <w:rPr>
                <w:sz w:val="20"/>
                <w:szCs w:val="20"/>
                <w:color w:val="auto"/>
              </w:rPr>
            </w:pPr>
            <w:r>
              <w:rPr>
                <w:rFonts w:ascii="Arial" w:cs="Arial" w:eastAsia="Arial" w:hAnsi="Arial"/>
                <w:sz w:val="14"/>
                <w:szCs w:val="14"/>
                <w:color w:val="auto"/>
              </w:rPr>
              <w:t>Changes in assets and liabilities, net of assets acquired and liabilities assumed in acquisitions:</w:t>
            </w:r>
          </w:p>
        </w:tc>
        <w:tc>
          <w:tcPr>
            <w:tcW w:w="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1280"/>
              <w:spacing w:after="0" w:line="149" w:lineRule="exact"/>
              <w:rPr>
                <w:sz w:val="20"/>
                <w:szCs w:val="20"/>
                <w:color w:val="auto"/>
              </w:rPr>
            </w:pPr>
            <w:r>
              <w:rPr>
                <w:rFonts w:ascii="Arial" w:cs="Arial" w:eastAsia="Arial" w:hAnsi="Arial"/>
                <w:sz w:val="14"/>
                <w:szCs w:val="14"/>
                <w:color w:val="auto"/>
              </w:rPr>
              <w:t>Accounts receivable</w:t>
            </w:r>
          </w:p>
        </w:tc>
        <w:tc>
          <w:tcPr>
            <w:tcW w:w="8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97,655</w:t>
            </w:r>
          </w:p>
        </w:tc>
        <w:tc>
          <w:tcPr>
            <w:tcW w:w="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34,165</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6"/>
              </w:rPr>
              <w:t>(123,258)</w:t>
            </w:r>
          </w:p>
        </w:tc>
      </w:tr>
      <w:tr>
        <w:trPr>
          <w:trHeight w:val="149"/>
        </w:trPr>
        <w:tc>
          <w:tcPr>
            <w:tcW w:w="20" w:type="dxa"/>
            <w:vAlign w:val="bottom"/>
          </w:tcPr>
          <w:p>
            <w:pPr>
              <w:spacing w:after="0"/>
              <w:rPr>
                <w:sz w:val="12"/>
                <w:szCs w:val="12"/>
                <w:color w:val="auto"/>
              </w:rPr>
            </w:pPr>
          </w:p>
        </w:tc>
        <w:tc>
          <w:tcPr>
            <w:tcW w:w="8420" w:type="dxa"/>
            <w:vAlign w:val="bottom"/>
          </w:tcPr>
          <w:p>
            <w:pPr>
              <w:ind w:left="1280"/>
              <w:spacing w:after="0" w:line="149" w:lineRule="exact"/>
              <w:rPr>
                <w:sz w:val="20"/>
                <w:szCs w:val="20"/>
                <w:color w:val="auto"/>
              </w:rPr>
            </w:pPr>
            <w:r>
              <w:rPr>
                <w:rFonts w:ascii="Arial" w:cs="Arial" w:eastAsia="Arial" w:hAnsi="Arial"/>
                <w:sz w:val="14"/>
                <w:szCs w:val="14"/>
                <w:color w:val="auto"/>
              </w:rPr>
              <w:t>Inventories</w:t>
            </w:r>
          </w:p>
        </w:tc>
        <w:tc>
          <w:tcPr>
            <w:tcW w:w="8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90,586</w:t>
            </w: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39,454</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(97,188)</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1280"/>
              <w:spacing w:after="0" w:line="149" w:lineRule="exact"/>
              <w:rPr>
                <w:sz w:val="20"/>
                <w:szCs w:val="20"/>
                <w:color w:val="auto"/>
              </w:rPr>
            </w:pPr>
            <w:r>
              <w:rPr>
                <w:rFonts w:ascii="Arial" w:cs="Arial" w:eastAsia="Arial" w:hAnsi="Arial"/>
                <w:sz w:val="14"/>
                <w:szCs w:val="14"/>
                <w:color w:val="auto"/>
              </w:rPr>
              <w:t>Prepaid expenses and other assets</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(23,209)</w:t>
            </w: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5,788</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19,458</w:t>
            </w:r>
          </w:p>
        </w:tc>
      </w:tr>
      <w:tr>
        <w:trPr>
          <w:trHeight w:val="149"/>
        </w:trPr>
        <w:tc>
          <w:tcPr>
            <w:tcW w:w="20" w:type="dxa"/>
            <w:vAlign w:val="bottom"/>
          </w:tcPr>
          <w:p>
            <w:pPr>
              <w:spacing w:after="0"/>
              <w:rPr>
                <w:sz w:val="12"/>
                <w:szCs w:val="12"/>
                <w:color w:val="auto"/>
              </w:rPr>
            </w:pPr>
          </w:p>
        </w:tc>
        <w:tc>
          <w:tcPr>
            <w:tcW w:w="8420" w:type="dxa"/>
            <w:vAlign w:val="bottom"/>
          </w:tcPr>
          <w:p>
            <w:pPr>
              <w:ind w:left="1280"/>
              <w:spacing w:after="0" w:line="149" w:lineRule="exact"/>
              <w:rPr>
                <w:sz w:val="20"/>
                <w:szCs w:val="20"/>
                <w:color w:val="auto"/>
              </w:rPr>
            </w:pPr>
            <w:r>
              <w:rPr>
                <w:rFonts w:ascii="Arial" w:cs="Arial" w:eastAsia="Arial" w:hAnsi="Arial"/>
                <w:sz w:val="14"/>
                <w:szCs w:val="14"/>
                <w:color w:val="auto"/>
              </w:rPr>
              <w:t>Accounts payable</w:t>
            </w:r>
          </w:p>
        </w:tc>
        <w:tc>
          <w:tcPr>
            <w:tcW w:w="8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(105,898)</w:t>
            </w:r>
          </w:p>
        </w:tc>
        <w:tc>
          <w:tcPr>
            <w:tcW w:w="80" w:type="dxa"/>
            <w:vAlign w:val="bottom"/>
          </w:tcPr>
          <w:p>
            <w:pPr>
              <w:spacing w:after="0"/>
              <w:rPr>
                <w:sz w:val="12"/>
                <w:szCs w:val="12"/>
                <w:color w:val="auto"/>
              </w:rPr>
            </w:pPr>
          </w:p>
        </w:tc>
        <w:tc>
          <w:tcPr>
            <w:tcW w:w="104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(43,871)</w:t>
            </w: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39,791</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1280"/>
              <w:spacing w:after="0" w:line="149" w:lineRule="exact"/>
              <w:rPr>
                <w:sz w:val="20"/>
                <w:szCs w:val="20"/>
                <w:color w:val="auto"/>
              </w:rPr>
            </w:pPr>
            <w:r>
              <w:rPr>
                <w:rFonts w:ascii="Arial" w:cs="Arial" w:eastAsia="Arial" w:hAnsi="Arial"/>
                <w:sz w:val="14"/>
                <w:szCs w:val="14"/>
                <w:color w:val="auto"/>
              </w:rPr>
              <w:t>Accrued liabilities and other non-current liabilities</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(15,202)</w:t>
            </w: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(30,024)</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(9,627)</w:t>
            </w:r>
          </w:p>
        </w:tc>
      </w:tr>
      <w:tr>
        <w:trPr>
          <w:trHeight w:val="149"/>
        </w:trPr>
        <w:tc>
          <w:tcPr>
            <w:tcW w:w="20" w:type="dxa"/>
            <w:vAlign w:val="bottom"/>
          </w:tcPr>
          <w:p>
            <w:pPr>
              <w:spacing w:after="0"/>
              <w:rPr>
                <w:sz w:val="12"/>
                <w:szCs w:val="12"/>
                <w:color w:val="auto"/>
              </w:rPr>
            </w:pPr>
          </w:p>
        </w:tc>
        <w:tc>
          <w:tcPr>
            <w:tcW w:w="8420" w:type="dxa"/>
            <w:vAlign w:val="bottom"/>
          </w:tcPr>
          <w:p>
            <w:pPr>
              <w:ind w:left="1280"/>
              <w:spacing w:after="0" w:line="149" w:lineRule="exact"/>
              <w:rPr>
                <w:sz w:val="20"/>
                <w:szCs w:val="20"/>
                <w:color w:val="auto"/>
              </w:rPr>
            </w:pPr>
            <w:r>
              <w:rPr>
                <w:rFonts w:ascii="Arial" w:cs="Arial" w:eastAsia="Arial" w:hAnsi="Arial"/>
                <w:sz w:val="14"/>
                <w:szCs w:val="14"/>
                <w:color w:val="auto"/>
              </w:rPr>
              <w:t>Carnegie Mellon University accrued litigation settlement</w:t>
            </w:r>
          </w:p>
        </w:tc>
        <w:tc>
          <w:tcPr>
            <w:tcW w:w="8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736,000</w:t>
            </w: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6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1280"/>
              <w:spacing w:after="0" w:line="149" w:lineRule="exact"/>
              <w:rPr>
                <w:sz w:val="20"/>
                <w:szCs w:val="20"/>
                <w:color w:val="auto"/>
              </w:rPr>
            </w:pPr>
            <w:r>
              <w:rPr>
                <w:rFonts w:ascii="Arial" w:cs="Arial" w:eastAsia="Arial" w:hAnsi="Arial"/>
                <w:sz w:val="14"/>
                <w:szCs w:val="14"/>
                <w:color w:val="auto"/>
              </w:rPr>
              <w:t>Accrued employee compensation</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(33,338)</w:t>
            </w: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43,561</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(5,787)</w:t>
            </w:r>
          </w:p>
        </w:tc>
      </w:tr>
      <w:tr>
        <w:trPr>
          <w:trHeight w:val="156"/>
        </w:trPr>
        <w:tc>
          <w:tcPr>
            <w:tcW w:w="20" w:type="dxa"/>
            <w:vAlign w:val="bottom"/>
          </w:tcPr>
          <w:p>
            <w:pPr>
              <w:spacing w:after="0"/>
              <w:rPr>
                <w:sz w:val="13"/>
                <w:szCs w:val="13"/>
                <w:color w:val="auto"/>
              </w:rPr>
            </w:pPr>
          </w:p>
        </w:tc>
        <w:tc>
          <w:tcPr>
            <w:tcW w:w="8420" w:type="dxa"/>
            <w:vAlign w:val="bottom"/>
          </w:tcPr>
          <w:p>
            <w:pPr>
              <w:ind w:left="1280"/>
              <w:spacing w:after="0" w:line="149" w:lineRule="exact"/>
              <w:rPr>
                <w:sz w:val="20"/>
                <w:szCs w:val="20"/>
                <w:color w:val="auto"/>
              </w:rPr>
            </w:pPr>
            <w:r>
              <w:rPr>
                <w:rFonts w:ascii="Arial" w:cs="Arial" w:eastAsia="Arial" w:hAnsi="Arial"/>
                <w:sz w:val="14"/>
                <w:szCs w:val="14"/>
                <w:color w:val="auto"/>
              </w:rPr>
              <w:t>Deferred income</w:t>
            </w:r>
          </w:p>
        </w:tc>
        <w:tc>
          <w:tcPr>
            <w:tcW w:w="80" w:type="dxa"/>
            <w:vAlign w:val="bottom"/>
          </w:tcPr>
          <w:p>
            <w:pPr>
              <w:spacing w:after="0"/>
              <w:rPr>
                <w:sz w:val="13"/>
                <w:szCs w:val="13"/>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(12,398)</w:t>
            </w:r>
          </w:p>
        </w:tc>
        <w:tc>
          <w:tcPr>
            <w:tcW w:w="80" w:type="dxa"/>
            <w:vAlign w:val="bottom"/>
          </w:tcPr>
          <w:p>
            <w:pPr>
              <w:spacing w:after="0"/>
              <w:rPr>
                <w:sz w:val="13"/>
                <w:szCs w:val="13"/>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6,373</w:t>
            </w: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1,597</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1720"/>
              <w:spacing w:after="0" w:line="149" w:lineRule="exact"/>
              <w:rPr>
                <w:sz w:val="20"/>
                <w:szCs w:val="20"/>
                <w:color w:val="auto"/>
              </w:rPr>
            </w:pPr>
            <w:r>
              <w:rPr>
                <w:rFonts w:ascii="Arial" w:cs="Arial" w:eastAsia="Arial" w:hAnsi="Arial"/>
                <w:sz w:val="14"/>
                <w:szCs w:val="14"/>
                <w:color w:val="auto"/>
              </w:rPr>
              <w:t>Net cash provided by operating activities</w:t>
            </w: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0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205,352</w:t>
            </w:r>
          </w:p>
        </w:tc>
        <w:tc>
          <w:tcPr>
            <w:tcW w:w="420" w:type="dxa"/>
            <w:vAlign w:val="bottom"/>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2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728,936</w:t>
            </w:r>
          </w:p>
        </w:tc>
        <w:tc>
          <w:tcPr>
            <w:tcW w:w="420" w:type="dxa"/>
            <w:vAlign w:val="bottom"/>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spacing w:after="0"/>
              <w:rPr>
                <w:sz w:val="12"/>
                <w:szCs w:val="12"/>
                <w:color w:val="auto"/>
              </w:rPr>
            </w:pPr>
          </w:p>
        </w:tc>
        <w:tc>
          <w:tcPr>
            <w:tcW w:w="56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448,039</w:t>
            </w:r>
          </w:p>
        </w:tc>
        <w:tc>
          <w:tcPr>
            <w:tcW w:w="80" w:type="dxa"/>
            <w:vAlign w:val="bottom"/>
            <w:shd w:val="clear" w:color="auto" w:fill="CCEEFF"/>
          </w:tcPr>
          <w:p>
            <w:pPr>
              <w:spacing w:after="0"/>
              <w:rPr>
                <w:sz w:val="12"/>
                <w:szCs w:val="12"/>
                <w:color w:val="auto"/>
              </w:rPr>
            </w:pPr>
          </w:p>
        </w:tc>
      </w:tr>
      <w:tr>
        <w:trPr>
          <w:trHeight w:val="156"/>
        </w:trPr>
        <w:tc>
          <w:tcPr>
            <w:tcW w:w="8440" w:type="dxa"/>
            <w:vAlign w:val="bottom"/>
            <w:gridSpan w:val="2"/>
          </w:tcPr>
          <w:p>
            <w:pPr>
              <w:spacing w:after="0" w:line="155" w:lineRule="exact"/>
              <w:rPr>
                <w:sz w:val="20"/>
                <w:szCs w:val="20"/>
                <w:color w:val="auto"/>
              </w:rPr>
            </w:pPr>
            <w:r>
              <w:rPr>
                <w:rFonts w:ascii="Arial" w:cs="Arial" w:eastAsia="Arial" w:hAnsi="Arial"/>
                <w:sz w:val="14"/>
                <w:szCs w:val="14"/>
                <w:b w:val="1"/>
                <w:bCs w:val="1"/>
                <w:color w:val="auto"/>
              </w:rPr>
              <w:t>Cash flows from investing activities:</w:t>
            </w: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80" w:type="dxa"/>
            <w:vAlign w:val="bottom"/>
          </w:tcPr>
          <w:p>
            <w:pPr>
              <w:spacing w:after="0"/>
              <w:rPr>
                <w:sz w:val="13"/>
                <w:szCs w:val="13"/>
                <w:color w:val="auto"/>
              </w:rPr>
            </w:pP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Purchases of available-for-sale securities</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w w:val="86"/>
              </w:rPr>
              <w:t>(1,056,045)</w:t>
            </w: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w w:val="89"/>
              </w:rPr>
              <w:t>(1,128,319)</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6"/>
              </w:rPr>
              <w:t>(837,892)</w:t>
            </w: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Sales of available-for-sale securities</w:t>
            </w:r>
          </w:p>
        </w:tc>
        <w:tc>
          <w:tcPr>
            <w:tcW w:w="8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991,657</w:t>
            </w: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534,908</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588,712</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Maturities of available-for-sale securities</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311,843</w:t>
            </w: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291,402</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406,327</w:t>
            </w: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Investments in privately-held companies</w:t>
            </w:r>
          </w:p>
        </w:tc>
        <w:tc>
          <w:tcPr>
            <w:tcW w:w="8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(41)</w:t>
            </w:r>
          </w:p>
        </w:tc>
        <w:tc>
          <w:tcPr>
            <w:tcW w:w="80" w:type="dxa"/>
            <w:vAlign w:val="bottom"/>
          </w:tcPr>
          <w:p>
            <w:pPr>
              <w:spacing w:after="0"/>
              <w:rPr>
                <w:sz w:val="12"/>
                <w:szCs w:val="12"/>
                <w:color w:val="auto"/>
              </w:rPr>
            </w:pPr>
          </w:p>
        </w:tc>
        <w:tc>
          <w:tcPr>
            <w:tcW w:w="104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(701)</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(1,869)</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Proceeds from sale of an investment in a privately-held company</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13,220</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Cash paid for acquisitions, net</w:t>
            </w:r>
          </w:p>
        </w:tc>
        <w:tc>
          <w:tcPr>
            <w:tcW w:w="80" w:type="dxa"/>
            <w:vAlign w:val="bottom"/>
          </w:tcPr>
          <w:p>
            <w:pPr>
              <w:spacing w:after="0"/>
              <w:rPr>
                <w:sz w:val="12"/>
                <w:szCs w:val="12"/>
                <w:color w:val="auto"/>
              </w:rPr>
            </w:pPr>
          </w:p>
        </w:tc>
        <w:tc>
          <w:tcPr>
            <w:tcW w:w="1020" w:type="dxa"/>
            <w:vAlign w:val="bottom"/>
            <w:gridSpan w:val="2"/>
          </w:tcPr>
          <w:p>
            <w:pPr>
              <w:jc w:val="right"/>
              <w:ind w:right="4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(2,551)</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Proceeds from sale of business</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6,306</w:t>
            </w: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Purchases of technology licenses</w:t>
            </w:r>
          </w:p>
        </w:tc>
        <w:tc>
          <w:tcPr>
            <w:tcW w:w="8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(8,236)</w:t>
            </w:r>
          </w:p>
        </w:tc>
        <w:tc>
          <w:tcPr>
            <w:tcW w:w="80" w:type="dxa"/>
            <w:vAlign w:val="bottom"/>
          </w:tcPr>
          <w:p>
            <w:pPr>
              <w:spacing w:after="0"/>
              <w:rPr>
                <w:sz w:val="12"/>
                <w:szCs w:val="12"/>
                <w:color w:val="auto"/>
              </w:rPr>
            </w:pPr>
          </w:p>
        </w:tc>
        <w:tc>
          <w:tcPr>
            <w:tcW w:w="104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(16,424)</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(17,647)</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Purchases of property and equipment</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(37,255)</w:t>
            </w: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(63,030)</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(66,593)</w:t>
            </w: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Purchases of equipment previously leased</w:t>
            </w:r>
          </w:p>
        </w:tc>
        <w:tc>
          <w:tcPr>
            <w:tcW w:w="8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(10,240)</w:t>
            </w:r>
          </w:p>
        </w:tc>
        <w:tc>
          <w:tcPr>
            <w:tcW w:w="80" w:type="dxa"/>
            <w:vAlign w:val="bottom"/>
          </w:tcPr>
          <w:p>
            <w:pPr>
              <w:spacing w:after="0"/>
              <w:rPr>
                <w:sz w:val="12"/>
                <w:szCs w:val="12"/>
                <w:color w:val="auto"/>
              </w:rPr>
            </w:pPr>
          </w:p>
        </w:tc>
        <w:tc>
          <w:tcPr>
            <w:tcW w:w="10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6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Proceeds from equipment held for sale</w:t>
            </w:r>
          </w:p>
        </w:tc>
        <w:tc>
          <w:tcPr>
            <w:tcW w:w="80" w:type="dxa"/>
            <w:vAlign w:val="bottom"/>
            <w:tcBorders>
              <w:bottom w:val="single" w:sz="8" w:color="auto"/>
            </w:tcBorders>
            <w:shd w:val="clear" w:color="auto" w:fill="CCEEFF"/>
          </w:tcPr>
          <w:p>
            <w:pPr>
              <w:spacing w:after="0"/>
              <w:rPr>
                <w:sz w:val="12"/>
                <w:szCs w:val="12"/>
                <w:color w:val="auto"/>
              </w:rPr>
            </w:pPr>
          </w:p>
        </w:tc>
        <w:tc>
          <w:tcPr>
            <w:tcW w:w="60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10,007</w:t>
            </w:r>
          </w:p>
        </w:tc>
        <w:tc>
          <w:tcPr>
            <w:tcW w:w="420" w:type="dxa"/>
            <w:vAlign w:val="bottom"/>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spacing w:after="0"/>
              <w:rPr>
                <w:sz w:val="12"/>
                <w:szCs w:val="12"/>
                <w:color w:val="auto"/>
              </w:rPr>
            </w:pPr>
          </w:p>
        </w:tc>
        <w:tc>
          <w:tcPr>
            <w:tcW w:w="620" w:type="dxa"/>
            <w:vAlign w:val="bottom"/>
            <w:tcBorders>
              <w:bottom w:val="single" w:sz="8" w:color="auto"/>
            </w:tcBorders>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spacing w:after="0"/>
              <w:rPr>
                <w:sz w:val="12"/>
                <w:szCs w:val="12"/>
                <w:color w:val="auto"/>
              </w:rPr>
            </w:pPr>
          </w:p>
        </w:tc>
        <w:tc>
          <w:tcPr>
            <w:tcW w:w="56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r>
      <w:tr>
        <w:trPr>
          <w:trHeight w:val="163"/>
        </w:trPr>
        <w:tc>
          <w:tcPr>
            <w:tcW w:w="20" w:type="dxa"/>
            <w:vAlign w:val="bottom"/>
          </w:tcPr>
          <w:p>
            <w:pPr>
              <w:spacing w:after="0"/>
              <w:rPr>
                <w:sz w:val="14"/>
                <w:szCs w:val="14"/>
                <w:color w:val="auto"/>
              </w:rPr>
            </w:pPr>
          </w:p>
        </w:tc>
        <w:tc>
          <w:tcPr>
            <w:tcW w:w="8420" w:type="dxa"/>
            <w:vAlign w:val="bottom"/>
          </w:tcPr>
          <w:p>
            <w:pPr>
              <w:ind w:left="1720"/>
              <w:spacing w:after="0" w:line="155" w:lineRule="exact"/>
              <w:rPr>
                <w:sz w:val="20"/>
                <w:szCs w:val="20"/>
                <w:color w:val="auto"/>
              </w:rPr>
            </w:pPr>
            <w:r>
              <w:rPr>
                <w:rFonts w:ascii="Arial" w:cs="Arial" w:eastAsia="Arial" w:hAnsi="Arial"/>
                <w:sz w:val="14"/>
                <w:szCs w:val="14"/>
                <w:color w:val="auto"/>
              </w:rPr>
              <w:t>Net cash provided by (used in) investing activities</w:t>
            </w:r>
          </w:p>
        </w:tc>
        <w:tc>
          <w:tcPr>
            <w:tcW w:w="80" w:type="dxa"/>
            <w:vAlign w:val="bottom"/>
          </w:tcPr>
          <w:p>
            <w:pPr>
              <w:spacing w:after="0"/>
              <w:rPr>
                <w:sz w:val="14"/>
                <w:szCs w:val="14"/>
                <w:color w:val="auto"/>
              </w:rPr>
            </w:pPr>
          </w:p>
        </w:tc>
        <w:tc>
          <w:tcPr>
            <w:tcW w:w="600" w:type="dxa"/>
            <w:vAlign w:val="bottom"/>
          </w:tcPr>
          <w:p>
            <w:pPr>
              <w:jc w:val="right"/>
              <w:spacing w:after="0" w:line="155" w:lineRule="exact"/>
              <w:rPr>
                <w:sz w:val="20"/>
                <w:szCs w:val="20"/>
                <w:color w:val="auto"/>
              </w:rPr>
            </w:pPr>
            <w:r>
              <w:rPr>
                <w:rFonts w:ascii="Arial" w:cs="Arial" w:eastAsia="Arial" w:hAnsi="Arial"/>
                <w:sz w:val="14"/>
                <w:szCs w:val="14"/>
                <w:color w:val="auto"/>
              </w:rPr>
              <w:t>201,690</w:t>
            </w:r>
          </w:p>
        </w:tc>
        <w:tc>
          <w:tcPr>
            <w:tcW w:w="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380"/>
              <w:spacing w:after="0" w:line="155" w:lineRule="exact"/>
              <w:rPr>
                <w:sz w:val="20"/>
                <w:szCs w:val="20"/>
                <w:color w:val="auto"/>
              </w:rPr>
            </w:pPr>
            <w:r>
              <w:rPr>
                <w:rFonts w:ascii="Arial" w:cs="Arial" w:eastAsia="Arial" w:hAnsi="Arial"/>
                <w:sz w:val="14"/>
                <w:szCs w:val="14"/>
                <w:color w:val="auto"/>
              </w:rPr>
              <w:t>(368,944)</w:t>
            </w:r>
          </w:p>
        </w:tc>
        <w:tc>
          <w:tcPr>
            <w:tcW w:w="120" w:type="dxa"/>
            <w:vAlign w:val="bottom"/>
          </w:tcPr>
          <w:p>
            <w:pPr>
              <w:spacing w:after="0"/>
              <w:rPr>
                <w:sz w:val="14"/>
                <w:szCs w:val="14"/>
                <w:color w:val="auto"/>
              </w:rPr>
            </w:pPr>
          </w:p>
        </w:tc>
        <w:tc>
          <w:tcPr>
            <w:tcW w:w="640" w:type="dxa"/>
            <w:vAlign w:val="bottom"/>
            <w:gridSpan w:val="2"/>
          </w:tcPr>
          <w:p>
            <w:pPr>
              <w:jc w:val="right"/>
              <w:ind w:right="80"/>
              <w:spacing w:after="0" w:line="155" w:lineRule="exact"/>
              <w:rPr>
                <w:sz w:val="20"/>
                <w:szCs w:val="20"/>
                <w:color w:val="auto"/>
              </w:rPr>
            </w:pPr>
            <w:r>
              <w:rPr>
                <w:rFonts w:ascii="Arial" w:cs="Arial" w:eastAsia="Arial" w:hAnsi="Arial"/>
                <w:sz w:val="14"/>
                <w:szCs w:val="14"/>
                <w:color w:val="auto"/>
              </w:rPr>
              <w:t>74,793</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Cash flows from financing activities:</w:t>
            </w:r>
          </w:p>
        </w:tc>
        <w:tc>
          <w:tcPr>
            <w:tcW w:w="80" w:type="dxa"/>
            <w:vAlign w:val="bottom"/>
            <w:tcBorders>
              <w:top w:val="single" w:sz="8" w:color="auto"/>
            </w:tcBorders>
            <w:shd w:val="clear" w:color="auto" w:fill="CCEEFF"/>
          </w:tcPr>
          <w:p>
            <w:pPr>
              <w:spacing w:after="0"/>
              <w:rPr>
                <w:sz w:val="12"/>
                <w:szCs w:val="12"/>
                <w:color w:val="auto"/>
              </w:rPr>
            </w:pPr>
          </w:p>
        </w:tc>
        <w:tc>
          <w:tcPr>
            <w:tcW w:w="600" w:type="dxa"/>
            <w:vAlign w:val="bottom"/>
            <w:tcBorders>
              <w:top w:val="single" w:sz="8" w:color="auto"/>
            </w:tcBorders>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rPr>
                <w:sz w:val="12"/>
                <w:szCs w:val="12"/>
                <w:color w:val="auto"/>
              </w:rPr>
            </w:pPr>
          </w:p>
        </w:tc>
        <w:tc>
          <w:tcPr>
            <w:tcW w:w="560" w:type="dxa"/>
            <w:vAlign w:val="bottom"/>
            <w:tcBorders>
              <w:top w:val="single" w:sz="8" w:color="auto"/>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Repurchase of common stock</w:t>
            </w:r>
          </w:p>
        </w:tc>
        <w:tc>
          <w:tcPr>
            <w:tcW w:w="8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(260,875)</w:t>
            </w:r>
          </w:p>
        </w:tc>
        <w:tc>
          <w:tcPr>
            <w:tcW w:w="80" w:type="dxa"/>
            <w:vAlign w:val="bottom"/>
          </w:tcPr>
          <w:p>
            <w:pPr>
              <w:spacing w:after="0"/>
              <w:rPr>
                <w:sz w:val="12"/>
                <w:szCs w:val="12"/>
                <w:color w:val="auto"/>
              </w:rPr>
            </w:pPr>
          </w:p>
        </w:tc>
        <w:tc>
          <w:tcPr>
            <w:tcW w:w="104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(64,962)</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w w:val="96"/>
              </w:rPr>
              <w:t>(376,285)</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Proceeds from employee stock plans</w:t>
            </w:r>
          </w:p>
        </w:tc>
        <w:tc>
          <w:tcPr>
            <w:tcW w:w="8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80,717</w:t>
            </w:r>
          </w:p>
        </w:tc>
        <w:tc>
          <w:tcPr>
            <w:tcW w:w="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112,357</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204,962</w:t>
            </w: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Minimum tax withholding paid on behalf of employees for net share settlement</w:t>
            </w:r>
          </w:p>
        </w:tc>
        <w:tc>
          <w:tcPr>
            <w:tcW w:w="8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(24,358)</w:t>
            </w:r>
          </w:p>
        </w:tc>
        <w:tc>
          <w:tcPr>
            <w:tcW w:w="80" w:type="dxa"/>
            <w:vAlign w:val="bottom"/>
          </w:tcPr>
          <w:p>
            <w:pPr>
              <w:spacing w:after="0"/>
              <w:rPr>
                <w:sz w:val="12"/>
                <w:szCs w:val="12"/>
                <w:color w:val="auto"/>
              </w:rPr>
            </w:pPr>
          </w:p>
        </w:tc>
        <w:tc>
          <w:tcPr>
            <w:tcW w:w="104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(26,494)</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(10,872)</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Dividend payments to shareholders</w:t>
            </w: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(122,821)</w:t>
            </w: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(122,801)</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6"/>
              </w:rPr>
              <w:t>(119,449)</w:t>
            </w:r>
          </w:p>
        </w:tc>
      </w:tr>
      <w:tr>
        <w:trPr>
          <w:trHeight w:val="149"/>
        </w:trPr>
        <w:tc>
          <w:tcPr>
            <w:tcW w:w="20" w:type="dxa"/>
            <w:vAlign w:val="bottom"/>
          </w:tcPr>
          <w:p>
            <w:pPr>
              <w:spacing w:after="0"/>
              <w:rPr>
                <w:sz w:val="12"/>
                <w:szCs w:val="12"/>
                <w:color w:val="auto"/>
              </w:rPr>
            </w:pPr>
          </w:p>
        </w:tc>
        <w:tc>
          <w:tcPr>
            <w:tcW w:w="8420" w:type="dxa"/>
            <w:vAlign w:val="bottom"/>
          </w:tcPr>
          <w:p>
            <w:pPr>
              <w:ind w:left="420"/>
              <w:spacing w:after="0" w:line="149" w:lineRule="exact"/>
              <w:rPr>
                <w:sz w:val="20"/>
                <w:szCs w:val="20"/>
                <w:color w:val="auto"/>
              </w:rPr>
            </w:pPr>
            <w:r>
              <w:rPr>
                <w:rFonts w:ascii="Arial" w:cs="Arial" w:eastAsia="Arial" w:hAnsi="Arial"/>
                <w:sz w:val="14"/>
                <w:szCs w:val="14"/>
                <w:color w:val="auto"/>
              </w:rPr>
              <w:t>Payments on technology license obligations</w:t>
            </w:r>
          </w:p>
        </w:tc>
        <w:tc>
          <w:tcPr>
            <w:tcW w:w="8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(12,528)</w:t>
            </w:r>
          </w:p>
        </w:tc>
        <w:tc>
          <w:tcPr>
            <w:tcW w:w="80" w:type="dxa"/>
            <w:vAlign w:val="bottom"/>
          </w:tcPr>
          <w:p>
            <w:pPr>
              <w:spacing w:after="0"/>
              <w:rPr>
                <w:sz w:val="12"/>
                <w:szCs w:val="12"/>
                <w:color w:val="auto"/>
              </w:rPr>
            </w:pPr>
          </w:p>
        </w:tc>
        <w:tc>
          <w:tcPr>
            <w:tcW w:w="104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(13,010)</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(7,411)</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Excess tax benefits from share-based compensation</w:t>
            </w:r>
          </w:p>
        </w:tc>
        <w:tc>
          <w:tcPr>
            <w:tcW w:w="80" w:type="dxa"/>
            <w:vAlign w:val="bottom"/>
            <w:tcBorders>
              <w:bottom w:val="single" w:sz="8" w:color="auto"/>
            </w:tcBorders>
            <w:shd w:val="clear" w:color="auto" w:fill="CCEEFF"/>
          </w:tcPr>
          <w:p>
            <w:pPr>
              <w:spacing w:after="0"/>
              <w:rPr>
                <w:sz w:val="12"/>
                <w:szCs w:val="12"/>
                <w:color w:val="auto"/>
              </w:rPr>
            </w:pPr>
          </w:p>
        </w:tc>
        <w:tc>
          <w:tcPr>
            <w:tcW w:w="60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26</w:t>
            </w:r>
          </w:p>
        </w:tc>
        <w:tc>
          <w:tcPr>
            <w:tcW w:w="420" w:type="dxa"/>
            <w:vAlign w:val="bottom"/>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spacing w:after="0"/>
              <w:rPr>
                <w:sz w:val="12"/>
                <w:szCs w:val="12"/>
                <w:color w:val="auto"/>
              </w:rPr>
            </w:pPr>
          </w:p>
        </w:tc>
        <w:tc>
          <w:tcPr>
            <w:tcW w:w="62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145</w:t>
            </w:r>
          </w:p>
        </w:tc>
        <w:tc>
          <w:tcPr>
            <w:tcW w:w="420" w:type="dxa"/>
            <w:vAlign w:val="bottom"/>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spacing w:after="0"/>
              <w:rPr>
                <w:sz w:val="12"/>
                <w:szCs w:val="12"/>
                <w:color w:val="auto"/>
              </w:rPr>
            </w:pPr>
          </w:p>
        </w:tc>
        <w:tc>
          <w:tcPr>
            <w:tcW w:w="56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20</w:t>
            </w:r>
          </w:p>
        </w:tc>
        <w:tc>
          <w:tcPr>
            <w:tcW w:w="80" w:type="dxa"/>
            <w:vAlign w:val="bottom"/>
            <w:shd w:val="clear" w:color="auto" w:fill="CCEEFF"/>
          </w:tcPr>
          <w:p>
            <w:pPr>
              <w:spacing w:after="0"/>
              <w:rPr>
                <w:sz w:val="12"/>
                <w:szCs w:val="12"/>
                <w:color w:val="auto"/>
              </w:rPr>
            </w:pPr>
          </w:p>
        </w:tc>
      </w:tr>
      <w:tr>
        <w:trPr>
          <w:trHeight w:val="163"/>
        </w:trPr>
        <w:tc>
          <w:tcPr>
            <w:tcW w:w="20" w:type="dxa"/>
            <w:vAlign w:val="bottom"/>
          </w:tcPr>
          <w:p>
            <w:pPr>
              <w:spacing w:after="0"/>
              <w:rPr>
                <w:sz w:val="14"/>
                <w:szCs w:val="14"/>
                <w:color w:val="auto"/>
              </w:rPr>
            </w:pPr>
          </w:p>
        </w:tc>
        <w:tc>
          <w:tcPr>
            <w:tcW w:w="8420" w:type="dxa"/>
            <w:vAlign w:val="bottom"/>
          </w:tcPr>
          <w:p>
            <w:pPr>
              <w:ind w:left="1720"/>
              <w:spacing w:after="0" w:line="155" w:lineRule="exact"/>
              <w:rPr>
                <w:sz w:val="20"/>
                <w:szCs w:val="20"/>
                <w:color w:val="auto"/>
              </w:rPr>
            </w:pPr>
            <w:r>
              <w:rPr>
                <w:rFonts w:ascii="Arial" w:cs="Arial" w:eastAsia="Arial" w:hAnsi="Arial"/>
                <w:sz w:val="14"/>
                <w:szCs w:val="14"/>
                <w:color w:val="auto"/>
              </w:rPr>
              <w:t>Net cash used in financing activities</w:t>
            </w:r>
          </w:p>
        </w:tc>
        <w:tc>
          <w:tcPr>
            <w:tcW w:w="80" w:type="dxa"/>
            <w:vAlign w:val="bottom"/>
          </w:tcPr>
          <w:p>
            <w:pPr>
              <w:spacing w:after="0"/>
              <w:rPr>
                <w:sz w:val="14"/>
                <w:szCs w:val="14"/>
                <w:color w:val="auto"/>
              </w:rPr>
            </w:pPr>
          </w:p>
        </w:tc>
        <w:tc>
          <w:tcPr>
            <w:tcW w:w="1020" w:type="dxa"/>
            <w:vAlign w:val="bottom"/>
            <w:gridSpan w:val="2"/>
          </w:tcPr>
          <w:p>
            <w:pPr>
              <w:jc w:val="right"/>
              <w:ind w:right="380"/>
              <w:spacing w:after="0" w:line="155" w:lineRule="exact"/>
              <w:rPr>
                <w:sz w:val="20"/>
                <w:szCs w:val="20"/>
                <w:color w:val="auto"/>
              </w:rPr>
            </w:pPr>
            <w:r>
              <w:rPr>
                <w:rFonts w:ascii="Arial" w:cs="Arial" w:eastAsia="Arial" w:hAnsi="Arial"/>
                <w:sz w:val="14"/>
                <w:szCs w:val="14"/>
                <w:color w:val="auto"/>
              </w:rPr>
              <w:t>(339,839)</w:t>
            </w:r>
          </w:p>
        </w:tc>
        <w:tc>
          <w:tcPr>
            <w:tcW w:w="80" w:type="dxa"/>
            <w:vAlign w:val="bottom"/>
          </w:tcPr>
          <w:p>
            <w:pPr>
              <w:spacing w:after="0"/>
              <w:rPr>
                <w:sz w:val="14"/>
                <w:szCs w:val="14"/>
                <w:color w:val="auto"/>
              </w:rPr>
            </w:pPr>
          </w:p>
        </w:tc>
        <w:tc>
          <w:tcPr>
            <w:tcW w:w="1040" w:type="dxa"/>
            <w:vAlign w:val="bottom"/>
            <w:gridSpan w:val="2"/>
          </w:tcPr>
          <w:p>
            <w:pPr>
              <w:jc w:val="right"/>
              <w:ind w:right="380"/>
              <w:spacing w:after="0" w:line="155" w:lineRule="exact"/>
              <w:rPr>
                <w:sz w:val="20"/>
                <w:szCs w:val="20"/>
                <w:color w:val="auto"/>
              </w:rPr>
            </w:pPr>
            <w:r>
              <w:rPr>
                <w:rFonts w:ascii="Arial" w:cs="Arial" w:eastAsia="Arial" w:hAnsi="Arial"/>
                <w:sz w:val="14"/>
                <w:szCs w:val="14"/>
                <w:color w:val="auto"/>
              </w:rPr>
              <w:t>(114,765)</w:t>
            </w:r>
          </w:p>
        </w:tc>
        <w:tc>
          <w:tcPr>
            <w:tcW w:w="120" w:type="dxa"/>
            <w:vAlign w:val="bottom"/>
          </w:tcPr>
          <w:p>
            <w:pPr>
              <w:spacing w:after="0"/>
              <w:rPr>
                <w:sz w:val="14"/>
                <w:szCs w:val="14"/>
                <w:color w:val="auto"/>
              </w:rPr>
            </w:pPr>
          </w:p>
        </w:tc>
        <w:tc>
          <w:tcPr>
            <w:tcW w:w="640" w:type="dxa"/>
            <w:vAlign w:val="bottom"/>
            <w:gridSpan w:val="2"/>
          </w:tcPr>
          <w:p>
            <w:pPr>
              <w:jc w:val="right"/>
              <w:ind w:right="40"/>
              <w:spacing w:after="0" w:line="155" w:lineRule="exact"/>
              <w:rPr>
                <w:sz w:val="20"/>
                <w:szCs w:val="20"/>
                <w:color w:val="auto"/>
              </w:rPr>
            </w:pPr>
            <w:r>
              <w:rPr>
                <w:rFonts w:ascii="Arial" w:cs="Arial" w:eastAsia="Arial" w:hAnsi="Arial"/>
                <w:sz w:val="14"/>
                <w:szCs w:val="14"/>
                <w:color w:val="auto"/>
                <w:w w:val="96"/>
              </w:rPr>
              <w:t>(309,035)</w:t>
            </w: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increase in cash and cash equivalents</w:t>
            </w:r>
          </w:p>
        </w:tc>
        <w:tc>
          <w:tcPr>
            <w:tcW w:w="80" w:type="dxa"/>
            <w:vAlign w:val="bottom"/>
            <w:tcBorders>
              <w:top w:val="single" w:sz="8" w:color="auto"/>
            </w:tcBorders>
            <w:shd w:val="clear" w:color="auto" w:fill="CCEEFF"/>
          </w:tcPr>
          <w:p>
            <w:pPr>
              <w:spacing w:after="0"/>
              <w:rPr>
                <w:sz w:val="12"/>
                <w:szCs w:val="12"/>
                <w:color w:val="auto"/>
              </w:rPr>
            </w:pPr>
          </w:p>
        </w:tc>
        <w:tc>
          <w:tcPr>
            <w:tcW w:w="600" w:type="dxa"/>
            <w:vAlign w:val="bottom"/>
            <w:tcBorders>
              <w:top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67,203</w:t>
            </w:r>
          </w:p>
        </w:tc>
        <w:tc>
          <w:tcPr>
            <w:tcW w:w="420" w:type="dxa"/>
            <w:vAlign w:val="bottom"/>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245,227</w:t>
            </w:r>
          </w:p>
        </w:tc>
        <w:tc>
          <w:tcPr>
            <w:tcW w:w="420" w:type="dxa"/>
            <w:vAlign w:val="bottom"/>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rPr>
                <w:sz w:val="12"/>
                <w:szCs w:val="12"/>
                <w:color w:val="auto"/>
              </w:rPr>
            </w:pPr>
          </w:p>
        </w:tc>
        <w:tc>
          <w:tcPr>
            <w:tcW w:w="560" w:type="dxa"/>
            <w:vAlign w:val="bottom"/>
            <w:tcBorders>
              <w:top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213,797</w:t>
            </w:r>
          </w:p>
        </w:tc>
        <w:tc>
          <w:tcPr>
            <w:tcW w:w="80" w:type="dxa"/>
            <w:vAlign w:val="bottom"/>
            <w:shd w:val="clear" w:color="auto" w:fill="CCEEFF"/>
          </w:tcPr>
          <w:p>
            <w:pPr>
              <w:spacing w:after="0"/>
              <w:rPr>
                <w:sz w:val="12"/>
                <w:szCs w:val="12"/>
                <w:color w:val="auto"/>
              </w:rPr>
            </w:pPr>
          </w:p>
        </w:tc>
      </w:tr>
      <w:tr>
        <w:trPr>
          <w:trHeight w:val="156"/>
        </w:trPr>
        <w:tc>
          <w:tcPr>
            <w:tcW w:w="20" w:type="dxa"/>
            <w:vAlign w:val="bottom"/>
          </w:tcPr>
          <w:p>
            <w:pPr>
              <w:spacing w:after="0"/>
              <w:rPr>
                <w:sz w:val="13"/>
                <w:szCs w:val="13"/>
                <w:color w:val="auto"/>
              </w:rPr>
            </w:pPr>
          </w:p>
        </w:tc>
        <w:tc>
          <w:tcPr>
            <w:tcW w:w="8420" w:type="dxa"/>
            <w:vAlign w:val="bottom"/>
          </w:tcPr>
          <w:p>
            <w:pPr>
              <w:spacing w:after="0" w:line="149" w:lineRule="exact"/>
              <w:rPr>
                <w:sz w:val="20"/>
                <w:szCs w:val="20"/>
                <w:color w:val="auto"/>
              </w:rPr>
            </w:pPr>
            <w:r>
              <w:rPr>
                <w:rFonts w:ascii="Arial" w:cs="Arial" w:eastAsia="Arial" w:hAnsi="Arial"/>
                <w:sz w:val="14"/>
                <w:szCs w:val="14"/>
                <w:color w:val="auto"/>
              </w:rPr>
              <w:t>Cash and cash equivalents at beginning of the year</w:t>
            </w:r>
          </w:p>
        </w:tc>
        <w:tc>
          <w:tcPr>
            <w:tcW w:w="80" w:type="dxa"/>
            <w:vAlign w:val="bottom"/>
            <w:tcBorders>
              <w:bottom w:val="single" w:sz="8" w:color="auto"/>
            </w:tcBorders>
          </w:tcPr>
          <w:p>
            <w:pPr>
              <w:spacing w:after="0"/>
              <w:rPr>
                <w:sz w:val="13"/>
                <w:szCs w:val="13"/>
                <w:color w:val="auto"/>
              </w:rPr>
            </w:pPr>
          </w:p>
        </w:tc>
        <w:tc>
          <w:tcPr>
            <w:tcW w:w="60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w w:val="93"/>
              </w:rPr>
              <w:t>1,210,977</w:t>
            </w:r>
          </w:p>
        </w:tc>
        <w:tc>
          <w:tcPr>
            <w:tcW w:w="4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965,750</w:t>
            </w:r>
          </w:p>
        </w:tc>
        <w:tc>
          <w:tcPr>
            <w:tcW w:w="4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751,953</w:t>
            </w:r>
          </w:p>
        </w:tc>
        <w:tc>
          <w:tcPr>
            <w:tcW w:w="80" w:type="dxa"/>
            <w:vAlign w:val="bottom"/>
          </w:tcPr>
          <w:p>
            <w:pPr>
              <w:spacing w:after="0"/>
              <w:rPr>
                <w:sz w:val="13"/>
                <w:szCs w:val="13"/>
                <w:color w:val="auto"/>
              </w:rPr>
            </w:pPr>
          </w:p>
        </w:tc>
      </w:tr>
      <w:tr>
        <w:trPr>
          <w:trHeight w:val="149"/>
        </w:trPr>
        <w:tc>
          <w:tcPr>
            <w:tcW w:w="20" w:type="dxa"/>
            <w:vAlign w:val="bottom"/>
          </w:tcPr>
          <w:p>
            <w:pPr>
              <w:spacing w:after="0"/>
              <w:rPr>
                <w:sz w:val="12"/>
                <w:szCs w:val="12"/>
                <w:color w:val="auto"/>
              </w:rPr>
            </w:pPr>
          </w:p>
        </w:tc>
        <w:tc>
          <w:tcPr>
            <w:tcW w:w="84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Cash and cash equivalents at end of the year</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1,278,180</w:t>
            </w:r>
          </w:p>
        </w:tc>
        <w:tc>
          <w:tcPr>
            <w:tcW w:w="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1,210,977</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965,750</w:t>
            </w:r>
          </w:p>
        </w:tc>
      </w:tr>
      <w:tr>
        <w:trPr>
          <w:trHeight w:val="20"/>
        </w:trPr>
        <w:tc>
          <w:tcPr>
            <w:tcW w:w="20" w:type="dxa"/>
            <w:vAlign w:val="bottom"/>
          </w:tcPr>
          <w:p>
            <w:pPr>
              <w:spacing w:after="0" w:line="20" w:lineRule="exact"/>
              <w:rPr>
                <w:sz w:val="1"/>
                <w:szCs w:val="1"/>
                <w:color w:val="auto"/>
              </w:rPr>
            </w:pPr>
          </w:p>
        </w:tc>
        <w:tc>
          <w:tcPr>
            <w:tcW w:w="8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Marvell Technology Group Ltd., a Bermuda company, and its subsidiaries (the “Company”), is a fabless semiconductor provider of high-performance application-specific standard products. The Company’s core strength of expertise is the development of complex System-on-a-Chip and System-in-a-Package devices, leveraging its extensive technology portfolio of intellectual property in the areas of analog, mixed-signal, digital signal processing, and embedded and stand-alone integrated circuits. The majority of the Company’s product portfolio leverages embedded central processing unit technology. The Company also develops platforms that it defines as integrated hardware along with software that incorporates digital computing technologies designed and configured to provide an optimized computing solution. The Company’s broad product portfolio includes devices for data storage, enterprise-class Ethernet data switching, Ethernet physical-layer transceivers, wireless connectivity, Internet-of-Things devices and multimedia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2016, 2015 and 2014 each had a 52-week period.</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time deposits, U.S. government and agency debt, municipal debt securities, corporate debt securities and money market funds.</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00"/>
          </w:cols>
          <w:pgMar w:left="240" w:top="459" w:right="2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The Company’s marketable investments are classified as available-for-sale and are reported at fair value. The Company determines any realized gains or losses on the sale of available-for-sale securities on a specific identification method, and such gains and losses are recorded as a component of interest and other income, net. Unrealized gains and losses of the available-for-sale securities are excluded from earnings and reported as a component of accumulated other comprehensive income. The Company performs a periodic review of its available-for-sale securities to determine whether an other-than-temporary impairment has occurred. Generally, for an individual security that has been in an unrealized loss position for an extended period of time, the Company evaluates whether an impairment charge should be recognized. Its evaluation is based on specific facts and circumstances at the time of assessment, including general market conditions, and the duration and extent to which the fair value is below cost. If the fair value of a debt security is less than its amortized cost, then an other-than-temporary impairment for the difference is recognized if:</w:t>
      </w:r>
    </w:p>
    <w:p>
      <w:pPr>
        <w:spacing w:after="0" w:line="37" w:lineRule="exact"/>
        <w:rPr>
          <w:sz w:val="20"/>
          <w:szCs w:val="20"/>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Company has the intent to sell the security;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it is more likely than not that the Company will be required to sell the security before recovery of its amortized cost base;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 credit loss exists insofar as the Company does not expect to recover the entire recognized amortized cost of the security.</w:t>
      </w:r>
    </w:p>
    <w:p>
      <w:pPr>
        <w:spacing w:after="0" w:line="171"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can be sold to fund for current operations.</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If the Company has the ability to exercise significant influence over the investee, but not control, or if the investee is a partnership type investment, the Company accounts for the investments under the equity method. If the Company does not have the ability to exercise significant influence over the operations of the investee, the Company accounts for the investment under the cost method. Investments in privately-held companies are included in other non-current assets.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90"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net in the consolidated statements of operations.</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Investments in privately-held companies are subject to a periodic impairment review. Investments are considered impaired when the fair value is below the investment’s cost basis and the decline in value is judged to be other-than-temporary. This assessment is based on a qualitative and quantitative analysis, including, but not limited to, the investee’s revenue and earnings trends, available cash and liquidity, and the status of the investee’s products and the related market for such products.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9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Company accounts for its derivative instruments as either assets or liabilities and carries them at fair value. For derivative instruments that hedge the exposure to variability in expected future cash flows and are</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380"/>
          </w:cols>
          <w:pgMar w:left="240" w:top="459" w:right="27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designated as cash flow hedges, the effective portion of the gain or loss on the derivative instrument is reported as a component of accumulated other comprehensive income in the consolidated statements of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Derivatives that are not designated as hedges must be adjusted to fair value through earnings.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9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Financial instruments that potentially subject the Company to a significant concentration of credit risk consist principally of cash equivalents, short-term investments and accounts receivable. Cash, cash equivalents and short-term investments balances are maintained with high-quality financial institutions, the composition and maturities of which are regularly monitored by management. The Company believes that the concentration of credit risk in its trade receivables, which consists of a customer base located primarily in the Asia Pacific Region, is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118" w:lineRule="exact"/>
        <w:rPr>
          <w:sz w:val="20"/>
          <w:szCs w:val="20"/>
          <w:color w:val="auto"/>
        </w:rPr>
      </w:pPr>
    </w:p>
    <w:p>
      <w:pPr>
        <w:ind w:right="800" w:firstLine="456"/>
        <w:spacing w:after="0" w:line="370" w:lineRule="auto"/>
        <w:rPr>
          <w:sz w:val="20"/>
          <w:szCs w:val="20"/>
          <w:color w:val="auto"/>
        </w:rPr>
      </w:pPr>
      <w:r>
        <w:rPr>
          <w:rFonts w:ascii="Arial" w:cs="Arial" w:eastAsia="Arial" w:hAnsi="Arial"/>
          <w:sz w:val="15"/>
          <w:szCs w:val="15"/>
          <w:color w:val="auto"/>
        </w:rPr>
        <w:t>The Company’s accounts receivable was concentrated with two customers at January 30, 2016, who represented 13% and 11% of gross accounts receivable, respectively, compared with two customers at January 31, 2015, who represented 15% and 14% of gross accounts receivable, respectively.</w:t>
      </w:r>
    </w:p>
    <w:p>
      <w:pPr>
        <w:spacing w:after="0" w:line="62"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the Company’s net revenue. Net revenue from one customer was 18%, 20% and 24% for fiscal 2016, 2015 and 2014, respectively. Net revenue from a second customer was 13% in each of fiscal 2016 and 2015, and 12% in fiscal 2014.</w:t>
      </w:r>
    </w:p>
    <w:p>
      <w:pPr>
        <w:spacing w:after="0" w:line="14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Company also had net revenue from one distributor representing 11% for fiscal 2015. No distributors accounted for 10% or greater of total net revenue in either fiscal 2016 or fiscal 2014. The Company continuously monitors the creditworthiness of its distributors and believes these distributors’ sales to diverse end customers and to diverse geographies further serve to mitigate the Company’s exposure to credit risk.</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The total carrying value of the Company’s inventory is reduced for any difference between cost and estimated market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to is sold or otherwise disposed of. Inventoriable shipping and handling costs are classified as a component of cost of goods sold in the consolidated statements of operations.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Property and equipment, net, are stated at cost less accumulated depreciation. Depreciation is computed using the straight-line method over the estimated useful lives of the assets, which ranges from 3 to 7 years for machinery and equipment, and 3 to 4 years for computer software, and furniture and fixtures. Buildings are depreciated over an estimated useful life of 30 years and building improvements are depreciated over estimated useful lives of 15 years. Leasehold improvements are depreciated over the shorter of the remaining lease term or the estimated useful life of the asset.</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Goodwill is measured and tested for impairment annually on the last business day of the fiscal fourth quarter and whenever events or changes in circumstances indicate the carrying amount of goodwill may not be recoverable. The Company first assesses qualitative factors to determine whether it is more likely than not that the fair value of a reporting unit is less than its carrying amount.</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If the Company concludes that it is more likely than not that the fair value of a reporting unit is less than its carrying amount or if the Company notes multiple qualitative factors indicating potential impairment, then a two-step quantitative impairment test is performed. The first step requires comparing the fair value of the reporting unit to its net book value, including goodwill. The Company has identified that its business operates as a single operating segment with two components (Storage, and Smart Networked Devices and Solutions), which it has concluded can be aggregated into a single reporting unit for purposes of testing goodwill impairment. A potential impairment exists if the fair value of the reporting unit is lower than its net book value. The second step of the process is only performed if a potential impairment exists, and it involves determining the implied fair value of the reporting unit’s goodwill and comparing it to the carrying value of goodwill. If the carrying value of goodwill were to exceed its implied fair value, then the Company would record an impairment loss for the difference in the fiscal quarter in which the determination is made.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9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undiscounted future cash flows is less than the carrying amount of those assets, the Company recognizes an impairment loss based on the excess of the carrying amount over the fair value of the assets. Please see “Note 7 — Goodwill and Acquired Intangible Assets, Net” for further details regarding impairment of acquisition-related identified intangible assets.</w:t>
      </w:r>
    </w:p>
    <w:p>
      <w:pPr>
        <w:spacing w:after="0" w:line="116"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In-process research and development (“IPR&amp;D”) is not amortized until the completion of the related development.</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9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The functional currency of all of the Company’s non-U.S. operations is the U.S. dollar. Monetary accounts maintained in currencies other than the U.S.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380"/>
          </w:cols>
          <w:pgMar w:left="240" w:top="459" w:right="27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The Company recognizes revenue when there is persuasive evidence of an arrangement, delivery has occurred, the fee is fixed or determinable, and collection is reasonably assured.</w:t>
      </w:r>
    </w:p>
    <w:p>
      <w:pPr>
        <w:spacing w:after="0" w:line="132" w:lineRule="exact"/>
        <w:rPr>
          <w:sz w:val="20"/>
          <w:szCs w:val="20"/>
          <w:color w:val="auto"/>
        </w:rPr>
      </w:pPr>
    </w:p>
    <w:p>
      <w:pPr>
        <w:ind w:right="140" w:firstLine="456"/>
        <w:spacing w:after="0" w:line="312" w:lineRule="auto"/>
        <w:rPr>
          <w:sz w:val="20"/>
          <w:szCs w:val="20"/>
          <w:color w:val="auto"/>
        </w:rPr>
      </w:pPr>
      <w:r>
        <w:rPr>
          <w:rFonts w:ascii="Arial" w:cs="Arial" w:eastAsia="Arial" w:hAnsi="Arial"/>
          <w:sz w:val="15"/>
          <w:szCs w:val="15"/>
          <w:color w:val="auto"/>
        </w:rPr>
        <w:t>Product revenue is generally recognized upon shipment of product to customers, net of accruals for estimated sales returns and rebates. However, some of the Company’s sales are made through distributors under agreements allowing for price protection and limited rights of stock rotation on products unsold by the distributors. Although title passes to the distributor upon shipment terms and payment by the Company’s distributors is not contingent on resale of the product, product revenue on sales made through distributors with price protection and stock rotation rights are deferred until the distributors sell the product to end customers.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w:t>
      </w:r>
    </w:p>
    <w:p>
      <w:pPr>
        <w:spacing w:after="0" w:line="105"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A portion of the Company’s net revenue is derived from sales through third-party logistics providers, who maintain warehouses in close proximity to the customer’s facilities. Revenue from sales through these third-party logistics providers is not recognized until the product is pulled from stock by the end customer.</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agreed to with the customer.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Advertising costs are expensed as incurred. The Company recorded $5.1 million, $5.6 million and $0.3 million of advertising costs for fiscal 2016, 2015 and 2014, respectively, included in selling and marketing expenses in the consolidated statement of operations.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Share-based compensation is measured at the grant date, based on the fair value of the award, and is recognized as expense over the requisite service period. The Company amortizes share-based compensation expense for time-based awards under the straight-line attribution method over the vesting period, which is generally four years for annual grants to employees and five years for new hire grants. Share-based compensation expense for performance-based awards is recognized when it becomes probable that the performance conditions will be met. Once it becomes probable that a performance-based award will vest, the Company recognizes compensation expense equal to the number of shares expected to vest multiplied by the fair value of the award at the grant date, which is amortized using the accelerated method. For stock purchase rights under the stock purchase plan, the Company amortizes share-based compensation expense ratably over the two-year offering period.</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Company estimates the fair value of time-based stock option and stock purchase awards on the date of grant using the Black Scholes option-pricing model. The fair value of market-based stock option awards is estimated on the date of grant using a Monte Carlo simulation model. The value of the portion of the awards that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120"/>
        <w:spacing w:after="0" w:line="332" w:lineRule="auto"/>
        <w:rPr>
          <w:sz w:val="20"/>
          <w:szCs w:val="20"/>
          <w:color w:val="auto"/>
        </w:rPr>
      </w:pPr>
      <w:r>
        <w:rPr>
          <w:rFonts w:ascii="Arial" w:cs="Arial" w:eastAsia="Arial" w:hAnsi="Arial"/>
          <w:sz w:val="16"/>
          <w:szCs w:val="16"/>
          <w:color w:val="auto"/>
        </w:rPr>
        <w:t>is ultimately expected to vest is recognized as expense over the requisite service periods. The Black Scholes and Monte Carlo models incorporate various highly subjective assumptions including expected term of awards, expected future stock price volatility, expected dividend yield and risk-free interest rate.</w:t>
      </w:r>
    </w:p>
    <w:p>
      <w:pPr>
        <w:spacing w:after="0" w:line="8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developing estimates used to calculate assumptions, the Company establishes the expected term for employee stock options, as well as expected forfeiture rates, based on the historical settlement experience and after giving consideration to vesting schedules. Assumptions for stock option exercises and pre-vesting terminations of stock options are stratified by two employee groups and one employee/non-employee group with sufficiently distinct behavior patterns. Expected volatility was developed based on equally weighted combination of historical stock price volatility and implied volatility derived from traded options on the Company’s stock in the marketplace. The expected dividend yield is calculated by dividing annualized dividend payments by the closing stock price on the grant date of the option.</w:t>
      </w:r>
    </w:p>
    <w:p>
      <w:pPr>
        <w:spacing w:after="0" w:line="144"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Forfeitures are estimated at the time of grant and revised, if necessary, in subsequent periods if actual forfeitures differ from initial estimates. Share-based compensation expense for time-based and performance-based awards is recorded net of estimated forfeitures such that expense is recorded only for those share-based awards that are expected to vest. Previously recognized expense is reversed for the portion of awards forfeited prior to vesting as and when forfeitures occurred.</w:t>
      </w:r>
    </w:p>
    <w:p>
      <w:pPr>
        <w:spacing w:after="0" w:line="14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90"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Comprehensive income (loss) is comprised of net income and unrealized gains and losses, net of tax, on available-for-sale securities, auction rate securities and cash flow hedges. Accumulated other comprehensive income (loss), as presented on the accompanying consolidated balance sheets, consists of net unrealized gains and losses on available-for-sale securities, auction rate securities and cash flow hedges, net of tax.</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143"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Using available evidence and judgment, the Company establishes a valuation allowance for deferred tax assets, when it is determined that it is more likely than not that they will not be realized. Valuation allowances have been provided primarily against the U.S. research and development credits. Valuation allowances have also been provided against certain acquired operating losses, and the deferred tax assets of a foreign subsidiary. A change in the assessment of the realization of deferred tax assets may materially impact the Company’s tax provision in the period in which a change of assessment occurs.</w:t>
      </w:r>
    </w:p>
    <w:p>
      <w:pPr>
        <w:spacing w:after="0" w:line="113" w:lineRule="exact"/>
        <w:rPr>
          <w:sz w:val="20"/>
          <w:szCs w:val="20"/>
          <w:color w:val="auto"/>
        </w:rPr>
      </w:pPr>
    </w:p>
    <w:p>
      <w:pPr>
        <w:ind w:right="740" w:firstLine="456"/>
        <w:spacing w:after="0" w:line="268" w:lineRule="auto"/>
        <w:rPr>
          <w:sz w:val="20"/>
          <w:szCs w:val="20"/>
          <w:color w:val="auto"/>
        </w:rPr>
      </w:pPr>
      <w:r>
        <w:rPr>
          <w:rFonts w:ascii="Arial" w:cs="Arial" w:eastAsia="Arial" w:hAnsi="Arial"/>
          <w:sz w:val="18"/>
          <w:szCs w:val="18"/>
          <w:color w:val="auto"/>
        </w:rPr>
        <w:t>The Company is subject to income tax audits by the respective tax authorities in each jurisdiction in which the Company operates. The Company recognizes the effect of income tax positions only if these positions are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00"/>
          </w:cols>
          <w:pgMar w:left="240" w:top="459" w:right="2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 benefits in income tax expense.</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Company’s products are generally subject to warranty, which provides for the estimated future costs of repair or replacement upon shipment of the product. The Company’s products carry a standard 90-day warranty, with certain exceptions in which the warranty period can extend to more than one year based on contractual agreements. The warranty accrual is primarily estimated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in fiscal 2016, 2015 and 2014.</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Accounting Pronouncements Recently Adopted</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April 2014, the Financial Accounting Standards Board (“FASB”) issued an amendment to its guidance regarding the reporting requirements of discontinued operations, which was effective for the Company beginning in the first quarter of fiscal 2016. Under the amended guidance, a discontinued operation is defined as a disposal of a component or group of components that is disposed of or is classified as held for sale and represents a strategic shift that has (or will have) a major effect on an entity’s operations and financial results. As a result, the Company has adopted and will apply the new guidance for any future dispositions that meet the criteria of a discontinued operation under the amendment.</w:t>
      </w:r>
    </w:p>
    <w:p>
      <w:pPr>
        <w:spacing w:after="0" w:line="116" w:lineRule="exact"/>
        <w:rPr>
          <w:sz w:val="20"/>
          <w:szCs w:val="20"/>
          <w:color w:val="auto"/>
        </w:rPr>
      </w:pPr>
    </w:p>
    <w:p>
      <w:pPr>
        <w:ind w:right="80" w:firstLine="456"/>
        <w:spacing w:after="0" w:line="253" w:lineRule="auto"/>
        <w:rPr>
          <w:sz w:val="20"/>
          <w:szCs w:val="20"/>
          <w:color w:val="auto"/>
        </w:rPr>
      </w:pPr>
      <w:r>
        <w:rPr>
          <w:rFonts w:ascii="Arial" w:cs="Arial" w:eastAsia="Arial" w:hAnsi="Arial"/>
          <w:sz w:val="18"/>
          <w:szCs w:val="18"/>
          <w:color w:val="auto"/>
        </w:rPr>
        <w:t>In November 2015, the FASB issued a new standard to simplify the presentation of deferred income taxes. Previous guidance required deferred tax assets and liabilities to be separately presented as current and non-current amounts on the consolidated balance sheet. The new standard will require that deferred tax assets and liabilities be classified and presented on the consolidated balance sheet as non-current. The guidance is effective for annual and interim reporting periods beginning after December 15, 2016, and may be applied either prospectively or retrospectively, although early adoption is permitted. The Company early adopted the new guidance at the beginning of its fourth quarter of fiscal 2016 and accordingly, it has classified all deferred tax assets and liabilities, together with the corresponding valuation allowance, as noncurrent on the consolidated balance sheet. The Company has applied this standard prospectively and did not retrospectively adjust any prior periods. Adoption had no impact on the Company’s consolidated results of operations and it had no material impact on working capital.</w:t>
      </w:r>
    </w:p>
    <w:p>
      <w:pPr>
        <w:spacing w:after="0" w:line="22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Accounting Pronouncements Not Yet Effective</w:t>
      </w:r>
    </w:p>
    <w:p>
      <w:pPr>
        <w:spacing w:after="0" w:line="9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May 2014, the FASB issued a new standard on the recognition of revenue from contracts with customers, which will supersede nearly all existing revenue recognition guidance under GAAP. Under the new standard, recognition of revenue occurs when a customer obtains control of promised goods or services in an amount that reflects the consideration to which the entity expects to be entitled in exchange for those goods or services. Additional disclosures regarding the nature, amount, timing, and uncertainty of revenue and cash flows arising from contracts with customers, and assets recognized from costs incurred to obtain or fulfill a contract will also be required. The FASB subsequently issued an update to this standard in August 2015, which provides deferral of the effective date by one year. The standard is now effective for the Company’s first quarter of fiscal 2019 and</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allows for either full retrospective or modified retrospective adoption. Early adoption is permitted only as of annual reporting periods beginning after December 15, 2016 and including interim reporting periods within such reporting period.</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FASB has since issued additional updates of its new standard on revenue recognition issued in May 2014. In March 2016, an amendment was issued to clarify the implementation guidance on principal versus agent consideration. The guidance requires entities to determine whether the nature of its promise to provide goods or services to a customer is performed in a principal or agent capacity and to recognize revenue in a gross or net manner based on its principal/agent designation. In April 2016, amendments were issued to clarify the identification of performance obligations and the licensing implementation guidance in the initial standard. Amendments were issued in May 2016 related to its guidance on assessing collectability, presentation of sales tax, noncash consideration, and completed contracts and contract modification at transition, which reduce the potential for diversity in practice, and the cost and complexity of application at transition and on an ongoing basis. The Company has been evaluating the effects of the new guidance and has not yet selected a transition method nor has it determined the potential effects of adoption on its consolidated financial statements.</w:t>
      </w:r>
    </w:p>
    <w:p>
      <w:pPr>
        <w:spacing w:after="0" w:line="118"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 April 2015, the FASB issued new guidance to help entities evaluate the accounting for fees paid by a customer in a cloud computing arrangement. The guidance provides a basis for evaluating whether a cloud computing arrangement includes a software license or whether the arrangement should be accounted for as a service contract. The guidance is effective for annual and interim reporting periods beginning after December 15, 2015. The newly issued guidance also strikes from previous authoritative guidance, the use by analogy to the accounting for capital leases, which the Company applied in the accounting for certain of its technology license agreements. The Company is currently evaluating the effect this new guidance will have on its consolidated financial statements.</w:t>
      </w:r>
    </w:p>
    <w:p>
      <w:pPr>
        <w:spacing w:after="0" w:line="116"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In July 2015, the FASB issued an amendment to its guidance regarding the subsequent measurement of inventory. Currently, inventory is measured at the lower of cost or market. Market could be replacement cost, net realizable value or net realizable value less an approximately normal profit margin. Under this amended guidance, inventory is to be measured at the lower of cost and net realizable value. Net realizable value is the estimated selling prices in the ordinary course of business, less reasonably predictable costs of completion, disposal and transportation. This amendment applies to inventories for which cost is determined by methods other than last-in first-out and the retail inventory method. This standard is effective for annual and interim reporting periods beginning after December 15, 2016. The Company is currently evaluating the effect this new guidance will have on its consolidated financial statements.</w:t>
      </w:r>
    </w:p>
    <w:p>
      <w:pPr>
        <w:spacing w:after="0" w:line="120"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In January 2016, the FASB issued new guidance which requires entities to measure all investments in equity securities at fair value with changes recognized through net income. This requirement does not apply to investments that qualify for the equity method of accounting, investments that result in consolidation of the investee, or investments for which the entity meets a practicability exception to fair value measurement. The new guidance also changes certain disclosure requirements for financial instruments. This standard is effective for annual and interim reporting periods beginning after December 15, 2017. The Company is currently evaluating the effect this new guidance will have on its consolidated financial statements.</w:t>
      </w:r>
    </w:p>
    <w:p>
      <w:pPr>
        <w:spacing w:after="0" w:line="116" w:lineRule="exact"/>
        <w:rPr>
          <w:sz w:val="20"/>
          <w:szCs w:val="20"/>
          <w:color w:val="auto"/>
        </w:rPr>
      </w:pPr>
    </w:p>
    <w:p>
      <w:pPr>
        <w:ind w:right="140" w:firstLine="456"/>
        <w:spacing w:after="0" w:line="323" w:lineRule="auto"/>
        <w:rPr>
          <w:sz w:val="20"/>
          <w:szCs w:val="20"/>
          <w:color w:val="auto"/>
        </w:rPr>
      </w:pPr>
      <w:r>
        <w:rPr>
          <w:rFonts w:ascii="Arial" w:cs="Arial" w:eastAsia="Arial" w:hAnsi="Arial"/>
          <w:sz w:val="15"/>
          <w:szCs w:val="15"/>
          <w:color w:val="auto"/>
        </w:rPr>
        <w:t>In March 2016, the FASB issued an amendment to its guidance on the effects of derivative contract novations on existing hedge accounting relationships. The new guidance clarifies that a change in the counterparty to a designated hedging instrument, in and of itself, does not require the de-designation of that hedging relationship, provided that all other hedge accounting criteria continue to be met. The guidance is effective for annual and interim reporting periods beginning after December 15, 2016. The Company is currently evaluating the effect this new guidance will have on its consolidated financial statements.</w:t>
      </w:r>
    </w:p>
    <w:p>
      <w:pPr>
        <w:spacing w:after="0" w:line="8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380"/>
          </w:cols>
          <w:pgMar w:left="240" w:top="459" w:right="27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March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surrounding lease arrangements. The standard is effective for annual and interim reporting periods beginning after December 15, 2018. The Company is currently evaluating the effect this new guidance will have on its consolidated financial statements.</w:t>
      </w:r>
    </w:p>
    <w:p>
      <w:pPr>
        <w:spacing w:after="0" w:line="113"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March 2016, the FASB issued an amendment to its guidance for investments that eliminates the requirement to retrospectively apply the equity method in previous periods when an investor initially obtains significant influence over an investee. Under the amended guidance, the investor should apply the equity method prospectively from the date the investment qualifies for the equity method. The guidance is effective for annual and interim reporting periods beginning after December 15, 2016. The Company is currently evaluating the effect this new guidance will have on its consolidated financial statements.</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In March 2016, the FASB issued new guidance which simplifies several aspects of the accounting for share-based payment award transactions, including the accounting for income taxes, forfeitures and statutory tax withholding requirements, as well as classification in the statement of cash flows. The guidance is effective for annual and interim reporting periods beginning after December 15, 2016. The Company is currently evaluating the effect this new guidance will have on its consolidated financial statements.</w:t>
      </w:r>
    </w:p>
    <w:p>
      <w:pPr>
        <w:spacing w:after="0" w:line="143"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in current GAAP and reflects an entity’s current estimate of all expected credit losses. The measurement of expected credit losses is based upon historical experience, current conditions, and reasonable and supportable forecasts that affect the collectability of the financial assets. The standard is effective for annual and interim reporting periods beginning after December 15, 2019. The Company is currently evaluating the effect this new guidance will have on its consolidated financial statements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Divestiture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had no divestitures in fiscal 2016 and 2015.</w:t>
      </w:r>
    </w:p>
    <w:p>
      <w:pPr>
        <w:spacing w:after="0" w:line="165"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During fiscal 2014</w:t>
      </w:r>
      <w:r>
        <w:rPr>
          <w:rFonts w:ascii="Arial" w:cs="Arial" w:eastAsia="Arial" w:hAnsi="Arial"/>
          <w:sz w:val="16"/>
          <w:szCs w:val="16"/>
          <w:b w:val="1"/>
          <w:bCs w:val="1"/>
          <w:color w:val="auto"/>
        </w:rPr>
        <w:t>,</w:t>
      </w:r>
      <w:r>
        <w:rPr>
          <w:rFonts w:ascii="Arial" w:cs="Arial" w:eastAsia="Arial" w:hAnsi="Arial"/>
          <w:sz w:val="16"/>
          <w:szCs w:val="16"/>
          <w:color w:val="auto"/>
        </w:rPr>
        <w:t xml:space="preserve"> the Company exited one of its businesses and sold certain assets to an unrelated third party as part of cost reduction efforts related to restructuring actions in fiscal 2014 (see “Note 8 — Restructuring and Other Related Charges” for further information). The transaction primarily included the sale of intellectual property and equipment with a carrying value of $0.1 million. The Company also wrote off $2.6 million of goodwill allocated to the business based on the relative fair values of the business and the Company’s remaining reporting unit. The buyer also hired the former employees of the business. As part of the transaction, the Company received a license to the intellectual property it sold. It also entered into a separate support services agreement with the buyer to cover an 18-month period. As a result of the sale of this business, the Company recorded a gain of $7.0 million, which is included in interest and other income, net, in the consolidated statement of operations.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20"/>
          </w:cols>
          <w:pgMar w:left="240" w:top="459" w:right="2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80" w:type="dxa"/>
            <w:vAlign w:val="bottom"/>
            <w:tcBorders>
              <w:bottom w:val="single" w:sz="8" w:color="auto"/>
            </w:tcBorders>
            <w:gridSpan w:val="5"/>
          </w:tcPr>
          <w:p>
            <w:pPr>
              <w:jc w:val="right"/>
              <w:ind w:right="700"/>
              <w:spacing w:after="0"/>
              <w:rPr>
                <w:sz w:val="20"/>
                <w:szCs w:val="20"/>
                <w:color w:val="auto"/>
              </w:rPr>
            </w:pPr>
            <w:r>
              <w:rPr>
                <w:rFonts w:ascii="Arial" w:cs="Arial" w:eastAsia="Arial" w:hAnsi="Arial"/>
                <w:sz w:val="14"/>
                <w:szCs w:val="14"/>
                <w:b w:val="1"/>
                <w:bCs w:val="1"/>
                <w:color w:val="auto"/>
              </w:rPr>
              <w:t>January 30, 2016</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94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4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83"/>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94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Amortized</w:t>
            </w:r>
          </w:p>
        </w:tc>
        <w:tc>
          <w:tcPr>
            <w:tcW w:w="5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1"/>
              </w:rPr>
              <w:t>Unrealized</w:t>
            </w:r>
          </w:p>
        </w:tc>
        <w:tc>
          <w:tcPr>
            <w:tcW w:w="540" w:type="dxa"/>
            <w:vAlign w:val="bottom"/>
          </w:tcPr>
          <w:p>
            <w:pPr>
              <w:spacing w:after="0"/>
              <w:rPr>
                <w:sz w:val="12"/>
                <w:szCs w:val="12"/>
                <w:color w:val="auto"/>
              </w:rPr>
            </w:pPr>
          </w:p>
        </w:tc>
        <w:tc>
          <w:tcPr>
            <w:tcW w:w="9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Cost</w:t>
            </w: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ind w:left="40"/>
              <w:spacing w:after="0"/>
              <w:rPr>
                <w:sz w:val="20"/>
                <w:szCs w:val="20"/>
                <w:color w:val="auto"/>
              </w:rPr>
            </w:pPr>
            <w:r>
              <w:rPr>
                <w:rFonts w:ascii="Arial" w:cs="Arial" w:eastAsia="Arial" w:hAnsi="Arial"/>
                <w:sz w:val="14"/>
                <w:szCs w:val="14"/>
                <w:b w:val="1"/>
                <w:bCs w:val="1"/>
                <w:color w:val="auto"/>
              </w:rPr>
              <w:t>Gains</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20" w:type="dxa"/>
            <w:vAlign w:val="bottom"/>
            <w:tcBorders>
              <w:top w:val="single" w:sz="8" w:color="CCEEFF"/>
              <w:right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left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left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left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Available-for-sale:</w:t>
            </w:r>
          </w:p>
        </w:tc>
        <w:tc>
          <w:tcPr>
            <w:tcW w:w="1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558,337</w:t>
            </w:r>
          </w:p>
        </w:tc>
        <w:tc>
          <w:tcPr>
            <w:tcW w:w="660" w:type="dxa"/>
            <w:vAlign w:val="bottom"/>
            <w:tcBorders>
              <w:left w:val="single" w:sz="8" w:color="CCEEFF"/>
            </w:tcBorders>
            <w:gridSpan w:val="2"/>
            <w:shd w:val="clear" w:color="auto" w:fill="CCEEFF"/>
          </w:tcPr>
          <w:p>
            <w:pPr>
              <w:ind w:left="5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w:t>
            </w:r>
          </w:p>
        </w:tc>
        <w:tc>
          <w:tcPr>
            <w:tcW w:w="640" w:type="dxa"/>
            <w:vAlign w:val="bottom"/>
            <w:tcBorders>
              <w:left w:val="single" w:sz="8" w:color="CCEEFF"/>
            </w:tcBorders>
            <w:gridSpan w:val="2"/>
            <w:shd w:val="clear" w:color="auto" w:fill="CCEEFF"/>
          </w:tcPr>
          <w:p>
            <w:pPr>
              <w:ind w:left="54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(1,282)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557,821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317,595</w:t>
            </w: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64</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(254)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317,405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76,711</w:t>
            </w: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21,370</w:t>
            </w: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(14)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31,211</w:t>
            </w: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9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40" w:type="dxa"/>
            <w:vAlign w:val="bottom"/>
            <w:tcBorders>
              <w:left w:val="single" w:sz="8" w:color="auto"/>
            </w:tcBorders>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40" w:type="dxa"/>
            <w:vAlign w:val="bottom"/>
            <w:tcBorders>
              <w:lef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20" w:type="dxa"/>
            <w:vAlign w:val="bottom"/>
            <w:tcBorders>
              <w:left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960" w:type="dxa"/>
            <w:vAlign w:val="bottom"/>
            <w:gridSpan w:val="2"/>
            <w:vMerge w:val="continue"/>
          </w:tcPr>
          <w:p>
            <w:pPr>
              <w:spacing w:after="0"/>
              <w:rPr>
                <w:sz w:val="19"/>
                <w:szCs w:val="19"/>
                <w:color w:val="auto"/>
              </w:rPr>
            </w:pPr>
          </w:p>
        </w:tc>
        <w:tc>
          <w:tcPr>
            <w:tcW w:w="1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84"/>
              </w:rPr>
              <w:t>1,005,224</w:t>
            </w:r>
          </w:p>
        </w:tc>
        <w:tc>
          <w:tcPr>
            <w:tcW w:w="5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958</w:t>
            </w:r>
          </w:p>
        </w:tc>
        <w:tc>
          <w:tcPr>
            <w:tcW w:w="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(1,613)</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1,004,569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20" w:type="dxa"/>
            <w:vAlign w:val="bottom"/>
            <w:tcBorders>
              <w:lef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Available-for-sale:</w:t>
            </w:r>
          </w:p>
        </w:tc>
        <w:tc>
          <w:tcPr>
            <w:tcW w:w="1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tcBorders>
              <w:lef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940" w:type="dxa"/>
            <w:vAlign w:val="bottom"/>
          </w:tcPr>
          <w:p>
            <w:pPr>
              <w:ind w:left="420"/>
              <w:spacing w:after="0"/>
              <w:rPr>
                <w:sz w:val="20"/>
                <w:szCs w:val="20"/>
                <w:color w:val="auto"/>
              </w:rPr>
            </w:pPr>
            <w:r>
              <w:rPr>
                <w:rFonts w:ascii="Arial" w:cs="Arial" w:eastAsia="Arial" w:hAnsi="Arial"/>
                <w:sz w:val="18"/>
                <w:szCs w:val="18"/>
                <w:color w:val="auto"/>
              </w:rPr>
              <w:t>Total long-term investments</w:t>
            </w:r>
          </w:p>
        </w:tc>
        <w:tc>
          <w:tcPr>
            <w:tcW w:w="19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11,296</w:t>
            </w:r>
          </w:p>
        </w:tc>
        <w:tc>
          <w:tcPr>
            <w:tcW w:w="54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500" w:type="dxa"/>
            <w:vAlign w:val="bottom"/>
            <w:tcBorders>
              <w:bottom w:val="single" w:sz="8" w:color="auto"/>
            </w:tcBorders>
          </w:tcPr>
          <w:p>
            <w:pPr>
              <w:ind w:left="26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1,016,520</w:t>
            </w: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(1,613)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1,015,865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80" w:type="dxa"/>
            <w:vAlign w:val="bottom"/>
            <w:tcBorders>
              <w:bottom w:val="single" w:sz="8" w:color="auto"/>
            </w:tcBorders>
            <w:gridSpan w:val="5"/>
          </w:tcPr>
          <w:p>
            <w:pPr>
              <w:jc w:val="right"/>
              <w:ind w:right="700"/>
              <w:spacing w:after="0"/>
              <w:rPr>
                <w:sz w:val="20"/>
                <w:szCs w:val="20"/>
                <w:color w:val="auto"/>
              </w:rPr>
            </w:pPr>
            <w:r>
              <w:rPr>
                <w:rFonts w:ascii="Arial" w:cs="Arial" w:eastAsia="Arial" w:hAnsi="Arial"/>
                <w:sz w:val="14"/>
                <w:szCs w:val="14"/>
                <w:b w:val="1"/>
                <w:bCs w:val="1"/>
                <w:color w:val="auto"/>
              </w:rPr>
              <w:t>January 31, 2015</w:t>
            </w:r>
          </w:p>
        </w:tc>
        <w:tc>
          <w:tcPr>
            <w:tcW w:w="2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94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40" w:type="dxa"/>
            <w:vAlign w:val="bottom"/>
            <w:gridSpan w:val="2"/>
          </w:tcPr>
          <w:p>
            <w:pPr>
              <w:jc w:val="center"/>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94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7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5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1"/>
              </w:rPr>
              <w:t>Unrealized</w:t>
            </w:r>
          </w:p>
        </w:tc>
        <w:tc>
          <w:tcPr>
            <w:tcW w:w="540" w:type="dxa"/>
            <w:vAlign w:val="bottom"/>
          </w:tcPr>
          <w:p>
            <w:pPr>
              <w:spacing w:after="0"/>
              <w:rPr>
                <w:sz w:val="12"/>
                <w:szCs w:val="12"/>
                <w:color w:val="auto"/>
              </w:rPr>
            </w:pPr>
          </w:p>
        </w:tc>
        <w:tc>
          <w:tcPr>
            <w:tcW w:w="9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jc w:val="center"/>
              <w:ind w:right="15"/>
              <w:spacing w:after="0"/>
              <w:rPr>
                <w:sz w:val="20"/>
                <w:szCs w:val="20"/>
                <w:color w:val="auto"/>
              </w:rPr>
            </w:pPr>
            <w:r>
              <w:rPr>
                <w:rFonts w:ascii="Arial" w:cs="Arial" w:eastAsia="Arial" w:hAnsi="Arial"/>
                <w:sz w:val="14"/>
                <w:szCs w:val="14"/>
                <w:b w:val="1"/>
                <w:bCs w:val="1"/>
                <w:color w:val="auto"/>
                <w:w w:val="83"/>
              </w:rPr>
              <w:t>Cost</w:t>
            </w: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20" w:type="dxa"/>
            <w:vAlign w:val="bottom"/>
            <w:tcBorders>
              <w:top w:val="single" w:sz="8" w:color="CCEEFF"/>
              <w:right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left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left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left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Available-for-sale:</w:t>
            </w:r>
          </w:p>
        </w:tc>
        <w:tc>
          <w:tcPr>
            <w:tcW w:w="1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983,008</w:t>
            </w:r>
          </w:p>
        </w:tc>
        <w:tc>
          <w:tcPr>
            <w:tcW w:w="660" w:type="dxa"/>
            <w:vAlign w:val="bottom"/>
            <w:tcBorders>
              <w:left w:val="single" w:sz="8" w:color="CCEEFF"/>
            </w:tcBorders>
            <w:gridSpan w:val="2"/>
            <w:shd w:val="clear" w:color="auto" w:fill="CCEEFF"/>
          </w:tcPr>
          <w:p>
            <w:pPr>
              <w:ind w:left="5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3,872</w:t>
            </w:r>
          </w:p>
        </w:tc>
        <w:tc>
          <w:tcPr>
            <w:tcW w:w="640" w:type="dxa"/>
            <w:vAlign w:val="bottom"/>
            <w:tcBorders>
              <w:left w:val="single" w:sz="8" w:color="CCEEFF"/>
            </w:tcBorders>
            <w:gridSpan w:val="2"/>
            <w:shd w:val="clear" w:color="auto" w:fill="CCEEFF"/>
          </w:tcPr>
          <w:p>
            <w:pPr>
              <w:ind w:left="54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(563)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178,898</w:t>
            </w: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265</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91,432</w:t>
            </w: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w:t>
            </w: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28,051</w:t>
            </w: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61</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33,421</w:t>
            </w: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920" w:type="dxa"/>
            <w:vAlign w:val="bottom"/>
            <w:tcBorders>
              <w:right w:val="single" w:sz="8" w:color="auto"/>
            </w:tcBorders>
          </w:tcPr>
          <w:p>
            <w:pPr>
              <w:spacing w:after="0" w:line="20" w:lineRule="exact"/>
              <w:rPr>
                <w:sz w:val="1"/>
                <w:szCs w:val="1"/>
                <w:color w:val="auto"/>
              </w:rPr>
            </w:pPr>
          </w:p>
        </w:tc>
        <w:tc>
          <w:tcPr>
            <w:tcW w:w="780" w:type="dxa"/>
            <w:vAlign w:val="bottom"/>
            <w:gridSpan w:val="2"/>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960" w:type="dxa"/>
            <w:vAlign w:val="bottom"/>
            <w:gridSpan w:val="2"/>
            <w:vMerge w:val="continue"/>
          </w:tcPr>
          <w:p>
            <w:pPr>
              <w:spacing w:after="0"/>
              <w:rPr>
                <w:sz w:val="19"/>
                <w:szCs w:val="19"/>
                <w:color w:val="auto"/>
              </w:rPr>
            </w:pPr>
          </w:p>
        </w:tc>
        <w:tc>
          <w:tcPr>
            <w:tcW w:w="1920" w:type="dxa"/>
            <w:vAlign w:val="bottom"/>
          </w:tcPr>
          <w:p>
            <w:pPr>
              <w:spacing w:after="0"/>
              <w:rPr>
                <w:sz w:val="19"/>
                <w:szCs w:val="19"/>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w w:val="94"/>
              </w:rPr>
              <w:t>1,314,810</w:t>
            </w:r>
          </w:p>
        </w:tc>
        <w:tc>
          <w:tcPr>
            <w:tcW w:w="5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4,353</w:t>
            </w:r>
          </w:p>
        </w:tc>
        <w:tc>
          <w:tcPr>
            <w:tcW w:w="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(585)</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1,318,578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20" w:type="dxa"/>
            <w:vAlign w:val="bottom"/>
            <w:tcBorders>
              <w:lef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Available-for-sale:</w:t>
            </w:r>
          </w:p>
        </w:tc>
        <w:tc>
          <w:tcPr>
            <w:tcW w:w="1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92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54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(2,274)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9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940" w:type="dxa"/>
            <w:vAlign w:val="bottom"/>
            <w:vMerge w:val="continue"/>
          </w:tcPr>
          <w:p>
            <w:pPr>
              <w:spacing w:after="0"/>
              <w:rPr>
                <w:sz w:val="19"/>
                <w:szCs w:val="19"/>
                <w:color w:val="auto"/>
              </w:rPr>
            </w:pPr>
          </w:p>
        </w:tc>
        <w:tc>
          <w:tcPr>
            <w:tcW w:w="1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12,500</w:t>
            </w:r>
          </w:p>
        </w:tc>
        <w:tc>
          <w:tcPr>
            <w:tcW w:w="5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w w:val="98"/>
              </w:rPr>
              <w:t>(2,274)</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940" w:type="dxa"/>
            <w:vAlign w:val="bottom"/>
          </w:tcPr>
          <w:p>
            <w:pPr>
              <w:spacing w:after="0"/>
              <w:rPr>
                <w:sz w:val="2"/>
                <w:szCs w:val="2"/>
                <w:color w:val="auto"/>
              </w:rPr>
            </w:pPr>
          </w:p>
        </w:tc>
        <w:tc>
          <w:tcPr>
            <w:tcW w:w="192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920" w:type="dxa"/>
            <w:vAlign w:val="bottom"/>
            <w:tcBorders>
              <w:right w:val="single" w:sz="8" w:color="CCEEFF"/>
            </w:tcBorders>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84"/>
              </w:rPr>
              <w:t>$</w:t>
            </w:r>
            <w:r>
              <w:rPr>
                <w:rFonts w:ascii="Arial" w:cs="Arial" w:eastAsia="Arial" w:hAnsi="Arial"/>
                <w:sz w:val="18"/>
                <w:szCs w:val="18"/>
                <w:color w:val="auto"/>
                <w:w w:val="84"/>
              </w:rPr>
              <w:t>1,327,310</w:t>
            </w:r>
          </w:p>
        </w:tc>
        <w:tc>
          <w:tcPr>
            <w:tcW w:w="660" w:type="dxa"/>
            <w:vAlign w:val="bottom"/>
            <w:tcBorders>
              <w:left w:val="single" w:sz="8" w:color="CCEEFF"/>
            </w:tcBorders>
            <w:gridSpan w:val="2"/>
            <w:shd w:val="clear" w:color="auto" w:fill="CCEEFF"/>
          </w:tcPr>
          <w:p>
            <w:pPr>
              <w:ind w:left="5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4,353</w:t>
            </w:r>
          </w:p>
        </w:tc>
        <w:tc>
          <w:tcPr>
            <w:tcW w:w="640" w:type="dxa"/>
            <w:vAlign w:val="bottom"/>
            <w:tcBorders>
              <w:left w:val="single" w:sz="8" w:color="CCEEFF"/>
            </w:tcBorders>
            <w:gridSpan w:val="2"/>
            <w:shd w:val="clear" w:color="auto" w:fill="CCEEFF"/>
          </w:tcPr>
          <w:p>
            <w:pPr>
              <w:ind w:left="54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(2,859)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1,328,804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As of January 30, 2016, the Company’s investment portfolio included auction rate securities with an aggregate par value of $12.5 million. Although these auction rate securities have continued to pay interest and the underlying collateral has not deteriorated, there is currently limited trading volume in the securities. The Company uses a discounted cash flow model to estimate the fair value of the auction rate securities based on its estimated timing and amount of future interest and principal payments. In developing the discounted cash flow model, the Company considers the credit quality and liquidity of the underlying securities and related issuer, the collateralization of underlying security investments and other considerations. The fair value of the auction rate securities as of January 30, 2016 was $1.2 million less than the par value and is included in long-term investments.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January 2016, the Company determined these auction rate securities would more likely than not be sold as part of a general requirement to raise liquidity. Based upon the shortened time horizon for holding these auction rate securities and the continuation of an illiquid market, the Company does not expect to recover the par value of the securities and considers the impairment of these auction rate securities to be other-than-temporary. As a result, an impairment loss of $1.2 million was recorded in interest and other income, net, in the consolidated statements of operations.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Gross realized gains and gross realized losses on sales of available-for-sale securities are presented in the following table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980" w:type="dxa"/>
            <w:vAlign w:val="bottom"/>
          </w:tcPr>
          <w:p>
            <w:pPr>
              <w:spacing w:after="0"/>
              <w:rPr>
                <w:sz w:val="11"/>
                <w:szCs w:val="11"/>
                <w:color w:val="auto"/>
              </w:rPr>
            </w:pPr>
          </w:p>
        </w:tc>
        <w:tc>
          <w:tcPr>
            <w:tcW w:w="10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280" w:type="dxa"/>
            <w:vAlign w:val="bottom"/>
          </w:tcPr>
          <w:p>
            <w:pPr>
              <w:spacing w:after="0"/>
              <w:rPr>
                <w:sz w:val="11"/>
                <w:szCs w:val="11"/>
                <w:color w:val="auto"/>
              </w:rPr>
            </w:pPr>
          </w:p>
        </w:tc>
        <w:tc>
          <w:tcPr>
            <w:tcW w:w="13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9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2016</w:t>
            </w:r>
          </w:p>
        </w:tc>
        <w:tc>
          <w:tcPr>
            <w:tcW w:w="36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6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9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1,654</w:t>
            </w:r>
          </w:p>
        </w:tc>
        <w:tc>
          <w:tcPr>
            <w:tcW w:w="3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w:t>
            </w:r>
          </w:p>
        </w:tc>
        <w:tc>
          <w:tcPr>
            <w:tcW w:w="6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80" w:type="dxa"/>
            <w:vAlign w:val="bottom"/>
          </w:tcPr>
          <w:p>
            <w:pPr>
              <w:spacing w:after="0"/>
              <w:rPr>
                <w:sz w:val="20"/>
                <w:szCs w:val="20"/>
                <w:color w:val="auto"/>
              </w:rPr>
            </w:pPr>
            <w:r>
              <w:rPr>
                <w:rFonts w:ascii="Arial" w:cs="Arial" w:eastAsia="Arial" w:hAnsi="Arial"/>
                <w:sz w:val="18"/>
                <w:szCs w:val="18"/>
                <w:color w:val="auto"/>
              </w:rPr>
              <w:t>Gross realized losses</w:t>
            </w:r>
          </w:p>
        </w:tc>
        <w:tc>
          <w:tcPr>
            <w:tcW w:w="14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(1,923)</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80" w:type="dxa"/>
            <w:vAlign w:val="bottom"/>
            <w:gridSpan w:val="2"/>
          </w:tcPr>
          <w:p>
            <w:pPr>
              <w:jc w:val="right"/>
              <w:ind w:right="580"/>
              <w:spacing w:after="0"/>
              <w:rPr>
                <w:sz w:val="20"/>
                <w:szCs w:val="20"/>
                <w:color w:val="auto"/>
              </w:rPr>
            </w:pPr>
            <w:r>
              <w:rPr>
                <w:rFonts w:ascii="Arial" w:cs="Arial" w:eastAsia="Arial" w:hAnsi="Arial"/>
                <w:sz w:val="18"/>
                <w:szCs w:val="18"/>
                <w:color w:val="auto"/>
              </w:rPr>
              <w:t>(169)</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(268)</w:t>
            </w:r>
          </w:p>
        </w:tc>
        <w:tc>
          <w:tcPr>
            <w:tcW w:w="0" w:type="dxa"/>
            <w:vAlign w:val="bottom"/>
          </w:tcPr>
          <w:p>
            <w:pPr>
              <w:spacing w:after="0"/>
              <w:rPr>
                <w:sz w:val="1"/>
                <w:szCs w:val="1"/>
                <w:color w:val="auto"/>
              </w:rPr>
            </w:pPr>
          </w:p>
        </w:tc>
      </w:tr>
      <w:tr>
        <w:trPr>
          <w:trHeight w:val="216"/>
        </w:trPr>
        <w:tc>
          <w:tcPr>
            <w:tcW w:w="7980" w:type="dxa"/>
            <w:vAlign w:val="bottom"/>
            <w:shd w:val="clear" w:color="auto" w:fill="CCEEFF"/>
          </w:tcPr>
          <w:p>
            <w:pPr>
              <w:spacing w:after="0"/>
              <w:rPr>
                <w:sz w:val="20"/>
                <w:szCs w:val="20"/>
                <w:color w:val="auto"/>
              </w:rPr>
            </w:pPr>
            <w:r>
              <w:rPr>
                <w:rFonts w:ascii="Arial" w:cs="Arial" w:eastAsia="Arial" w:hAnsi="Arial"/>
                <w:sz w:val="18"/>
                <w:szCs w:val="18"/>
                <w:color w:val="auto"/>
              </w:rPr>
              <w:t>Impairment loss</w:t>
            </w:r>
          </w:p>
        </w:tc>
        <w:tc>
          <w:tcPr>
            <w:tcW w:w="1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(1,204)</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7980" w:type="dxa"/>
            <w:vAlign w:val="bottom"/>
            <w:vMerge w:val="restart"/>
          </w:tcPr>
          <w:p>
            <w:pPr>
              <w:spacing w:after="0"/>
              <w:rPr>
                <w:sz w:val="20"/>
                <w:szCs w:val="20"/>
                <w:color w:val="auto"/>
              </w:rPr>
            </w:pPr>
            <w:r>
              <w:rPr>
                <w:rFonts w:ascii="Arial" w:cs="Arial" w:eastAsia="Arial" w:hAnsi="Arial"/>
                <w:sz w:val="18"/>
                <w:szCs w:val="18"/>
                <w:color w:val="auto"/>
              </w:rPr>
              <w:t>Total net realized gains (losses)</w:t>
            </w: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980" w:type="dxa"/>
            <w:vAlign w:val="bottom"/>
            <w:vMerge w:val="continue"/>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(1,473)</w:t>
            </w: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1,449</w:t>
            </w:r>
          </w:p>
        </w:tc>
        <w:tc>
          <w:tcPr>
            <w:tcW w:w="64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1,299</w:t>
            </w:r>
          </w:p>
        </w:tc>
        <w:tc>
          <w:tcPr>
            <w:tcW w:w="0" w:type="dxa"/>
            <w:vAlign w:val="bottom"/>
          </w:tcPr>
          <w:p>
            <w:pPr>
              <w:spacing w:after="0"/>
              <w:rPr>
                <w:sz w:val="1"/>
                <w:szCs w:val="1"/>
                <w:color w:val="auto"/>
              </w:rPr>
            </w:pPr>
          </w:p>
        </w:tc>
      </w:tr>
      <w:tr>
        <w:trPr>
          <w:trHeight w:val="20"/>
        </w:trPr>
        <w:tc>
          <w:tcPr>
            <w:tcW w:w="79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960" w:type="dxa"/>
            <w:vAlign w:val="bottom"/>
            <w:gridSpan w:val="5"/>
          </w:tcPr>
          <w:p>
            <w:pPr>
              <w:jc w:val="right"/>
              <w:ind w:right="439"/>
              <w:spacing w:after="0"/>
              <w:rPr>
                <w:sz w:val="20"/>
                <w:szCs w:val="20"/>
                <w:color w:val="auto"/>
              </w:rPr>
            </w:pPr>
            <w:r>
              <w:rPr>
                <w:rFonts w:ascii="Arial" w:cs="Arial" w:eastAsia="Arial" w:hAnsi="Arial"/>
                <w:sz w:val="14"/>
                <w:szCs w:val="14"/>
                <w:b w:val="1"/>
                <w:bCs w:val="1"/>
                <w:color w:val="auto"/>
              </w:rPr>
              <w:t>January 30, 2016</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ind w:left="460"/>
              <w:spacing w:after="0"/>
              <w:rPr>
                <w:sz w:val="20"/>
                <w:szCs w:val="20"/>
                <w:color w:val="auto"/>
              </w:rPr>
            </w:pPr>
            <w:r>
              <w:rPr>
                <w:rFonts w:ascii="Arial" w:cs="Arial" w:eastAsia="Arial" w:hAnsi="Arial"/>
                <w:sz w:val="14"/>
                <w:szCs w:val="14"/>
                <w:b w:val="1"/>
                <w:bCs w:val="1"/>
                <w:color w:val="auto"/>
              </w:rPr>
              <w:t>January 31, 2015</w:t>
            </w:r>
          </w:p>
        </w:tc>
      </w:tr>
      <w:tr>
        <w:trPr>
          <w:trHeight w:val="129"/>
        </w:trPr>
        <w:tc>
          <w:tcPr>
            <w:tcW w:w="6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gridSpan w:val="3"/>
          </w:tcPr>
          <w:p>
            <w:pPr>
              <w:jc w:val="center"/>
              <w:ind w:right="520"/>
              <w:spacing w:after="0" w:line="129" w:lineRule="exact"/>
              <w:rPr>
                <w:sz w:val="20"/>
                <w:szCs w:val="20"/>
                <w:color w:val="auto"/>
              </w:rPr>
            </w:pPr>
            <w:r>
              <w:rPr>
                <w:rFonts w:ascii="Arial" w:cs="Arial" w:eastAsia="Arial" w:hAnsi="Arial"/>
                <w:sz w:val="14"/>
                <w:szCs w:val="14"/>
                <w:b w:val="1"/>
                <w:bCs w:val="1"/>
                <w:color w:val="auto"/>
                <w:w w:val="87"/>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4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21"/>
              <w:spacing w:after="0" w:line="129" w:lineRule="exact"/>
              <w:rPr>
                <w:sz w:val="20"/>
                <w:szCs w:val="20"/>
                <w:color w:val="auto"/>
              </w:rPr>
            </w:pPr>
            <w:r>
              <w:rPr>
                <w:rFonts w:ascii="Arial" w:cs="Arial" w:eastAsia="Arial" w:hAnsi="Arial"/>
                <w:sz w:val="14"/>
                <w:szCs w:val="14"/>
                <w:b w:val="1"/>
                <w:bCs w:val="1"/>
                <w:color w:val="auto"/>
                <w:w w:val="87"/>
              </w:rPr>
              <w:t>Amortized</w:t>
            </w:r>
          </w:p>
        </w:tc>
        <w:tc>
          <w:tcPr>
            <w:tcW w:w="4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rPr>
              <w:t>Estimated</w:t>
            </w:r>
          </w:p>
        </w:tc>
        <w:tc>
          <w:tcPr>
            <w:tcW w:w="100" w:type="dxa"/>
            <w:vAlign w:val="bottom"/>
          </w:tcPr>
          <w:p>
            <w:pPr>
              <w:spacing w:after="0"/>
              <w:rPr>
                <w:sz w:val="11"/>
                <w:szCs w:val="11"/>
                <w:color w:val="auto"/>
              </w:rPr>
            </w:pPr>
          </w:p>
        </w:tc>
      </w:t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60" w:type="dxa"/>
            <w:vAlign w:val="bottom"/>
            <w:gridSpan w:val="3"/>
          </w:tcPr>
          <w:p>
            <w:pPr>
              <w:jc w:val="center"/>
              <w:ind w:right="520"/>
              <w:spacing w:after="0"/>
              <w:rPr>
                <w:sz w:val="20"/>
                <w:szCs w:val="20"/>
                <w:color w:val="auto"/>
              </w:rPr>
            </w:pPr>
            <w:r>
              <w:rPr>
                <w:rFonts w:ascii="Arial" w:cs="Arial" w:eastAsia="Arial" w:hAnsi="Arial"/>
                <w:sz w:val="14"/>
                <w:szCs w:val="14"/>
                <w:b w:val="1"/>
                <w:bCs w:val="1"/>
                <w:color w:val="auto"/>
                <w:w w:val="89"/>
              </w:rPr>
              <w:t>Cost</w:t>
            </w:r>
          </w:p>
        </w:tc>
        <w:tc>
          <w:tcPr>
            <w:tcW w:w="100" w:type="dxa"/>
            <w:vAlign w:val="bottom"/>
          </w:tcPr>
          <w:p>
            <w:pPr>
              <w:spacing w:after="0"/>
              <w:rPr>
                <w:sz w:val="14"/>
                <w:szCs w:val="14"/>
                <w:color w:val="auto"/>
              </w:rPr>
            </w:pPr>
          </w:p>
        </w:tc>
        <w:tc>
          <w:tcPr>
            <w:tcW w:w="700" w:type="dxa"/>
            <w:vAlign w:val="bottom"/>
          </w:tcPr>
          <w:p>
            <w:pPr>
              <w:jc w:val="right"/>
              <w:ind w:right="19"/>
              <w:spacing w:after="0"/>
              <w:rPr>
                <w:sz w:val="20"/>
                <w:szCs w:val="20"/>
                <w:color w:val="auto"/>
              </w:rPr>
            </w:pPr>
            <w:r>
              <w:rPr>
                <w:rFonts w:ascii="Arial" w:cs="Arial" w:eastAsia="Arial" w:hAnsi="Arial"/>
                <w:sz w:val="14"/>
                <w:szCs w:val="14"/>
                <w:b w:val="1"/>
                <w:bCs w:val="1"/>
                <w:color w:val="auto"/>
                <w:w w:val="86"/>
              </w:rPr>
              <w:t>Fair Value</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201"/>
              <w:spacing w:after="0"/>
              <w:rPr>
                <w:sz w:val="20"/>
                <w:szCs w:val="20"/>
                <w:color w:val="auto"/>
              </w:rPr>
            </w:pPr>
            <w:r>
              <w:rPr>
                <w:rFonts w:ascii="Arial" w:cs="Arial" w:eastAsia="Arial" w:hAnsi="Arial"/>
                <w:sz w:val="14"/>
                <w:szCs w:val="14"/>
                <w:b w:val="1"/>
                <w:bCs w:val="1"/>
                <w:color w:val="auto"/>
              </w:rPr>
              <w:t>Cost</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304,117</w:t>
            </w:r>
          </w:p>
        </w:tc>
        <w:tc>
          <w:tcPr>
            <w:tcW w:w="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304,035</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361,108</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361,396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689,847</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689,279</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950,702</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954,151</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22,556</w:t>
            </w:r>
          </w:p>
        </w:tc>
        <w:tc>
          <w:tcPr>
            <w:tcW w:w="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22,551</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15,500</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13,257</w:t>
            </w:r>
          </w:p>
        </w:tc>
        <w:tc>
          <w:tcPr>
            <w:tcW w:w="100" w:type="dxa"/>
            <w:vAlign w:val="bottom"/>
            <w:shd w:val="clear" w:color="auto" w:fill="CCEEFF"/>
          </w:tcPr>
          <w:p>
            <w:pPr>
              <w:spacing w:after="0"/>
              <w:rPr>
                <w:sz w:val="18"/>
                <w:szCs w:val="18"/>
                <w:color w:val="auto"/>
              </w:rPr>
            </w:pPr>
          </w:p>
        </w:tc>
      </w:tr>
      <w:tr>
        <w:trPr>
          <w:trHeight w:val="222"/>
        </w:trPr>
        <w:tc>
          <w:tcPr>
            <w:tcW w:w="6740" w:type="dxa"/>
            <w:vAlign w:val="bottom"/>
          </w:tcPr>
          <w:p>
            <w:pPr>
              <w:spacing w:after="0"/>
              <w:rPr>
                <w:sz w:val="19"/>
                <w:szCs w:val="19"/>
                <w:color w:val="auto"/>
              </w:rPr>
            </w:pPr>
          </w:p>
        </w:tc>
        <w:tc>
          <w:tcPr>
            <w:tcW w:w="8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1,016,520</w:t>
            </w:r>
          </w:p>
        </w:tc>
        <w:tc>
          <w:tcPr>
            <w:tcW w:w="4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1,015,865</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1,327,310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1,328,804</w:t>
            </w:r>
          </w:p>
        </w:tc>
      </w:tr>
      <w:tr>
        <w:trPr>
          <w:trHeight w:val="20"/>
        </w:trPr>
        <w:tc>
          <w:tcPr>
            <w:tcW w:w="67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8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3"/>
          </w:tcPr>
          <w:p>
            <w:pPr>
              <w:ind w:left="320"/>
              <w:spacing w:after="0"/>
              <w:rPr>
                <w:sz w:val="20"/>
                <w:szCs w:val="20"/>
                <w:color w:val="auto"/>
              </w:rPr>
            </w:pPr>
            <w:r>
              <w:rPr>
                <w:rFonts w:ascii="Arial" w:cs="Arial" w:eastAsia="Arial" w:hAnsi="Arial"/>
                <w:sz w:val="14"/>
                <w:szCs w:val="14"/>
                <w:b w:val="1"/>
                <w:bCs w:val="1"/>
                <w:color w:val="auto"/>
                <w:w w:val="92"/>
              </w:rPr>
              <w:t>January 30, 2016</w:t>
            </w:r>
          </w:p>
        </w:tc>
        <w:tc>
          <w:tcPr>
            <w:tcW w:w="26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280" w:type="dxa"/>
            <w:vAlign w:val="bottom"/>
          </w:tcPr>
          <w:p>
            <w:pPr>
              <w:spacing w:after="0"/>
              <w:rPr>
                <w:sz w:val="12"/>
                <w:szCs w:val="12"/>
                <w:color w:val="auto"/>
              </w:rPr>
            </w:pPr>
          </w:p>
        </w:tc>
        <w:tc>
          <w:tcPr>
            <w:tcW w:w="2000" w:type="dxa"/>
            <w:vAlign w:val="bottom"/>
            <w:gridSpan w:val="5"/>
          </w:tcPr>
          <w:p>
            <w:pPr>
              <w:jc w:val="right"/>
              <w:ind w:right="5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1380" w:type="dxa"/>
            <w:vAlign w:val="bottom"/>
            <w:gridSpan w:val="3"/>
          </w:tcPr>
          <w:p>
            <w:pPr>
              <w:ind w:left="28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2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280" w:type="dxa"/>
            <w:vAlign w:val="bottom"/>
          </w:tcPr>
          <w:p>
            <w:pPr>
              <w:spacing w:after="0"/>
              <w:rPr>
                <w:sz w:val="11"/>
                <w:szCs w:val="11"/>
                <w:color w:val="auto"/>
              </w:rPr>
            </w:pPr>
          </w:p>
        </w:tc>
        <w:tc>
          <w:tcPr>
            <w:tcW w:w="680" w:type="dxa"/>
            <w:vAlign w:val="bottom"/>
            <w:tcBorders>
              <w:top w:val="single" w:sz="8" w:color="auto"/>
            </w:tcBorders>
          </w:tcPr>
          <w:p>
            <w:pPr>
              <w:jc w:val="right"/>
              <w:ind w:right="118"/>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0" w:type="dxa"/>
            <w:vAlign w:val="bottom"/>
            <w:tcBorders>
              <w:top w:val="single" w:sz="8" w:color="auto"/>
            </w:tcBorders>
            <w:gridSpan w:val="2"/>
          </w:tcPr>
          <w:p>
            <w:pPr>
              <w:ind w:left="16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right"/>
              <w:ind w:right="117"/>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80" w:type="dxa"/>
            <w:vAlign w:val="bottom"/>
          </w:tcPr>
          <w:p>
            <w:pPr>
              <w:spacing w:after="0"/>
              <w:rPr>
                <w:sz w:val="14"/>
                <w:szCs w:val="14"/>
                <w:color w:val="auto"/>
              </w:rPr>
            </w:pPr>
          </w:p>
        </w:tc>
        <w:tc>
          <w:tcPr>
            <w:tcW w:w="680" w:type="dxa"/>
            <w:vAlign w:val="bottom"/>
          </w:tcPr>
          <w:p>
            <w:pPr>
              <w:jc w:val="right"/>
              <w:ind w:right="98"/>
              <w:spacing w:after="0"/>
              <w:rPr>
                <w:sz w:val="20"/>
                <w:szCs w:val="20"/>
                <w:color w:val="auto"/>
              </w:rPr>
            </w:pPr>
            <w:r>
              <w:rPr>
                <w:rFonts w:ascii="Arial" w:cs="Arial" w:eastAsia="Arial" w:hAnsi="Arial"/>
                <w:sz w:val="14"/>
                <w:szCs w:val="14"/>
                <w:b w:val="1"/>
                <w:bCs w:val="1"/>
                <w:color w:val="auto"/>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1000" w:type="dxa"/>
            <w:vAlign w:val="bottom"/>
            <w:gridSpan w:val="2"/>
          </w:tcPr>
          <w:p>
            <w:pPr>
              <w:ind w:left="120"/>
              <w:spacing w:after="0"/>
              <w:rPr>
                <w:sz w:val="20"/>
                <w:szCs w:val="20"/>
                <w:color w:val="auto"/>
              </w:rPr>
            </w:pPr>
            <w:r>
              <w:rPr>
                <w:rFonts w:ascii="Arial" w:cs="Arial" w:eastAsia="Arial" w:hAnsi="Arial"/>
                <w:sz w:val="14"/>
                <w:szCs w:val="14"/>
                <w:b w:val="1"/>
                <w:bCs w:val="1"/>
                <w:color w:val="auto"/>
              </w:rPr>
              <w:t>Value</w:t>
            </w:r>
          </w:p>
        </w:tc>
        <w:tc>
          <w:tcPr>
            <w:tcW w:w="1080" w:type="dxa"/>
            <w:vAlign w:val="bottom"/>
            <w:gridSpan w:val="3"/>
          </w:tcPr>
          <w:p>
            <w:pPr>
              <w:ind w:left="200"/>
              <w:spacing w:after="0"/>
              <w:rPr>
                <w:sz w:val="20"/>
                <w:szCs w:val="20"/>
                <w:color w:val="auto"/>
              </w:rPr>
            </w:pPr>
            <w:r>
              <w:rPr>
                <w:rFonts w:ascii="Arial" w:cs="Arial" w:eastAsia="Arial" w:hAnsi="Arial"/>
                <w:sz w:val="14"/>
                <w:szCs w:val="14"/>
                <w:b w:val="1"/>
                <w:bCs w:val="1"/>
                <w:color w:val="auto"/>
              </w:rPr>
              <w:t>Loss</w:t>
            </w:r>
          </w:p>
        </w:tc>
        <w:tc>
          <w:tcPr>
            <w:tcW w:w="680" w:type="dxa"/>
            <w:vAlign w:val="bottom"/>
          </w:tcPr>
          <w:p>
            <w:pPr>
              <w:jc w:val="right"/>
              <w:ind w:right="77"/>
              <w:spacing w:after="0"/>
              <w:rPr>
                <w:sz w:val="20"/>
                <w:szCs w:val="20"/>
                <w:color w:val="auto"/>
              </w:rPr>
            </w:pPr>
            <w:r>
              <w:rPr>
                <w:rFonts w:ascii="Arial" w:cs="Arial" w:eastAsia="Arial" w:hAnsi="Arial"/>
                <w:sz w:val="14"/>
                <w:szCs w:val="14"/>
                <w:b w:val="1"/>
                <w:bCs w:val="1"/>
                <w:color w:val="auto"/>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$283,138</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(1,237)</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$14,383</w:t>
            </w:r>
          </w:p>
        </w:tc>
        <w:tc>
          <w:tcPr>
            <w:tcW w:w="4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4"/>
              </w:rPr>
              <w:t>(45)</w:t>
            </w:r>
          </w:p>
        </w:tc>
        <w:tc>
          <w:tcPr>
            <w:tcW w:w="4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$297,521</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680" w:type="dxa"/>
            <w:vAlign w:val="bottom"/>
          </w:tcPr>
          <w:p>
            <w:pPr>
              <w:jc w:val="right"/>
              <w:spacing w:after="0"/>
              <w:rPr>
                <w:sz w:val="20"/>
                <w:szCs w:val="20"/>
                <w:color w:val="auto"/>
              </w:rPr>
            </w:pPr>
            <w:r>
              <w:rPr>
                <w:rFonts w:ascii="Arial" w:cs="Arial" w:eastAsia="Arial" w:hAnsi="Arial"/>
                <w:sz w:val="18"/>
                <w:szCs w:val="18"/>
                <w:color w:val="auto"/>
              </w:rPr>
              <w:t>263,325</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(254)</w:t>
            </w:r>
          </w:p>
        </w:tc>
        <w:tc>
          <w:tcPr>
            <w:tcW w:w="200" w:type="dxa"/>
            <w:vAlign w:val="bottom"/>
          </w:tcPr>
          <w:p>
            <w:pPr>
              <w:spacing w:after="0"/>
              <w:rPr>
                <w:sz w:val="18"/>
                <w:szCs w:val="18"/>
                <w:color w:val="auto"/>
              </w:rPr>
            </w:pPr>
          </w:p>
        </w:tc>
        <w:tc>
          <w:tcPr>
            <w:tcW w:w="10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700" w:type="dxa"/>
            <w:vAlign w:val="bottom"/>
            <w:gridSpan w:val="2"/>
          </w:tcPr>
          <w:p>
            <w:pPr>
              <w:jc w:val="right"/>
              <w:ind w:right="520"/>
              <w:spacing w:after="0"/>
              <w:rPr>
                <w:sz w:val="20"/>
                <w:szCs w:val="20"/>
                <w:color w:val="auto"/>
              </w:rPr>
            </w:pPr>
            <w:r>
              <w:rPr>
                <w:rFonts w:ascii="Arial" w:cs="Arial" w:eastAsia="Arial" w:hAnsi="Arial"/>
                <w:sz w:val="18"/>
                <w:szCs w:val="18"/>
                <w:color w:val="auto"/>
                <w:w w:val="88"/>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263,325</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(254)</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46,646</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(56)</w:t>
            </w:r>
          </w:p>
        </w:tc>
        <w:tc>
          <w:tcPr>
            <w:tcW w:w="2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8"/>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46,646</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680" w:type="dxa"/>
            <w:vAlign w:val="bottom"/>
          </w:tcPr>
          <w:p>
            <w:pPr>
              <w:jc w:val="right"/>
              <w:spacing w:after="0"/>
              <w:rPr>
                <w:sz w:val="20"/>
                <w:szCs w:val="20"/>
                <w:color w:val="auto"/>
              </w:rPr>
            </w:pPr>
            <w:r>
              <w:rPr>
                <w:rFonts w:ascii="Arial" w:cs="Arial" w:eastAsia="Arial" w:hAnsi="Arial"/>
                <w:sz w:val="18"/>
                <w:szCs w:val="18"/>
                <w:color w:val="auto"/>
              </w:rPr>
              <w:t>16,458</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(14)</w:t>
            </w:r>
          </w:p>
        </w:tc>
        <w:tc>
          <w:tcPr>
            <w:tcW w:w="200" w:type="dxa"/>
            <w:vAlign w:val="bottom"/>
          </w:tcPr>
          <w:p>
            <w:pPr>
              <w:spacing w:after="0"/>
              <w:rPr>
                <w:sz w:val="18"/>
                <w:szCs w:val="18"/>
                <w:color w:val="auto"/>
              </w:rPr>
            </w:pPr>
          </w:p>
        </w:tc>
        <w:tc>
          <w:tcPr>
            <w:tcW w:w="10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700" w:type="dxa"/>
            <w:vAlign w:val="bottom"/>
            <w:gridSpan w:val="2"/>
          </w:tcPr>
          <w:p>
            <w:pPr>
              <w:jc w:val="right"/>
              <w:ind w:right="520"/>
              <w:spacing w:after="0"/>
              <w:rPr>
                <w:sz w:val="20"/>
                <w:szCs w:val="20"/>
                <w:color w:val="auto"/>
              </w:rPr>
            </w:pPr>
            <w:r>
              <w:rPr>
                <w:rFonts w:ascii="Arial" w:cs="Arial" w:eastAsia="Arial" w:hAnsi="Arial"/>
                <w:sz w:val="18"/>
                <w:szCs w:val="18"/>
                <w:color w:val="auto"/>
                <w:w w:val="88"/>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16,458</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2,943</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w:t>
            </w:r>
          </w:p>
        </w:tc>
        <w:tc>
          <w:tcPr>
            <w:tcW w:w="120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1,571</w:t>
            </w:r>
          </w:p>
        </w:tc>
        <w:tc>
          <w:tcPr>
            <w:tcW w:w="3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4,514</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52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8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612,510</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w w:val="91"/>
              </w:rPr>
              <w:t>(1,566)</w:t>
            </w:r>
          </w:p>
        </w:tc>
        <w:tc>
          <w:tcPr>
            <w:tcW w:w="1200" w:type="dxa"/>
            <w:vAlign w:val="bottom"/>
            <w:gridSpan w:val="3"/>
          </w:tcPr>
          <w:p>
            <w:pPr>
              <w:jc w:val="right"/>
              <w:ind w:right="4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15,954</w:t>
            </w:r>
          </w:p>
        </w:tc>
        <w:tc>
          <w:tcPr>
            <w:tcW w:w="380" w:type="dxa"/>
            <w:vAlign w:val="bottom"/>
          </w:tcPr>
          <w:p>
            <w:pPr>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80"/>
              <w:spacing w:after="0"/>
              <w:rPr>
                <w:sz w:val="20"/>
                <w:szCs w:val="20"/>
                <w:color w:val="auto"/>
              </w:rPr>
            </w:pPr>
            <w:r>
              <w:rPr>
                <w:rFonts w:ascii="Arial" w:cs="Arial" w:eastAsia="Arial" w:hAnsi="Arial"/>
                <w:sz w:val="18"/>
                <w:szCs w:val="18"/>
                <w:color w:val="auto"/>
                <w:w w:val="93"/>
              </w:rPr>
              <w:t>(47)</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628,464</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(1,613)</w:t>
            </w:r>
          </w:p>
        </w:tc>
        <w:tc>
          <w:tcPr>
            <w:tcW w:w="0" w:type="dxa"/>
            <w:vAlign w:val="bottom"/>
          </w:tcPr>
          <w:p>
            <w:pPr>
              <w:spacing w:after="0"/>
              <w:rPr>
                <w:sz w:val="1"/>
                <w:szCs w:val="1"/>
                <w:color w:val="auto"/>
              </w:rPr>
            </w:pPr>
          </w:p>
        </w:tc>
      </w:tr>
      <w:tr>
        <w:trPr>
          <w:trHeight w:val="20"/>
        </w:trPr>
        <w:tc>
          <w:tcPr>
            <w:tcW w:w="5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5280" w:type="dxa"/>
            <w:vAlign w:val="bottom"/>
          </w:tcPr>
          <w:p>
            <w:pPr>
              <w:spacing w:after="0"/>
              <w:rPr>
                <w:sz w:val="24"/>
                <w:szCs w:val="24"/>
                <w:color w:val="auto"/>
              </w:rPr>
            </w:pPr>
          </w:p>
        </w:tc>
        <w:tc>
          <w:tcPr>
            <w:tcW w:w="680" w:type="dxa"/>
            <w:vAlign w:val="bottom"/>
          </w:tcPr>
          <w:p>
            <w:pPr>
              <w:jc w:val="right"/>
              <w:ind w:right="78"/>
              <w:spacing w:after="0"/>
              <w:rPr>
                <w:sz w:val="20"/>
                <w:szCs w:val="20"/>
                <w:color w:val="auto"/>
              </w:rPr>
            </w:pPr>
            <w:r>
              <w:rPr>
                <w:rFonts w:ascii="Arial" w:cs="Arial" w:eastAsia="Arial" w:hAnsi="Arial"/>
                <w:sz w:val="18"/>
                <w:szCs w:val="18"/>
                <w:color w:val="auto"/>
              </w:rPr>
              <w:t>75</w:t>
            </w: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840" w:type="dxa"/>
            <w:vAlign w:val="bottom"/>
            <w:tcBorders>
              <w:bottom w:val="single" w:sz="8" w:color="auto"/>
            </w:tcBorders>
            <w:gridSpan w:val="10"/>
          </w:tcPr>
          <w:p>
            <w:pPr>
              <w:jc w:val="right"/>
              <w:ind w:right="540"/>
              <w:spacing w:after="0"/>
              <w:rPr>
                <w:sz w:val="20"/>
                <w:szCs w:val="20"/>
                <w:color w:val="auto"/>
              </w:rPr>
            </w:pPr>
            <w:r>
              <w:rPr>
                <w:rFonts w:ascii="Arial" w:cs="Arial" w:eastAsia="Arial" w:hAnsi="Arial"/>
                <w:sz w:val="14"/>
                <w:szCs w:val="14"/>
                <w:b w:val="1"/>
                <w:bCs w:val="1"/>
                <w:color w:val="auto"/>
              </w:rPr>
              <w:t>January 31, 2015</w:t>
            </w:r>
          </w:p>
        </w:tc>
        <w:tc>
          <w:tcPr>
            <w:tcW w:w="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0" w:type="dxa"/>
            <w:vAlign w:val="bottom"/>
            <w:gridSpan w:val="5"/>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40" w:type="dxa"/>
            <w:vAlign w:val="bottom"/>
          </w:tcPr>
          <w:p>
            <w:pPr>
              <w:spacing w:after="0"/>
              <w:rPr>
                <w:sz w:val="12"/>
                <w:szCs w:val="12"/>
                <w:color w:val="auto"/>
              </w:rPr>
            </w:pPr>
          </w:p>
        </w:tc>
        <w:tc>
          <w:tcPr>
            <w:tcW w:w="1840" w:type="dxa"/>
            <w:vAlign w:val="bottom"/>
            <w:gridSpan w:val="10"/>
          </w:tcPr>
          <w:p>
            <w:pPr>
              <w:jc w:val="right"/>
              <w:ind w:right="520"/>
              <w:spacing w:after="0" w:line="142" w:lineRule="exact"/>
              <w:rPr>
                <w:sz w:val="20"/>
                <w:szCs w:val="20"/>
                <w:color w:val="auto"/>
              </w:rPr>
            </w:pPr>
            <w:r>
              <w:rPr>
                <w:rFonts w:ascii="Arial" w:cs="Arial" w:eastAsia="Arial" w:hAnsi="Arial"/>
                <w:sz w:val="14"/>
                <w:szCs w:val="14"/>
                <w:b w:val="1"/>
                <w:bCs w:val="1"/>
                <w:color w:val="auto"/>
              </w:rPr>
              <w:t>12 months or more</w:t>
            </w:r>
          </w:p>
        </w:tc>
        <w:tc>
          <w:tcPr>
            <w:tcW w:w="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gridSpan w:val="3"/>
          </w:tcPr>
          <w:p>
            <w:pPr>
              <w:ind w:left="140"/>
              <w:spacing w:after="0" w:line="142" w:lineRule="exact"/>
              <w:rPr>
                <w:sz w:val="20"/>
                <w:szCs w:val="20"/>
                <w:color w:val="auto"/>
              </w:rPr>
            </w:pPr>
            <w:r>
              <w:rPr>
                <w:rFonts w:ascii="Arial" w:cs="Arial" w:eastAsia="Arial" w:hAnsi="Arial"/>
                <w:sz w:val="14"/>
                <w:szCs w:val="14"/>
                <w:b w:val="1"/>
                <w:bCs w:val="1"/>
                <w:color w:val="auto"/>
              </w:rPr>
              <w:t>Total</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8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Borders>
              <w:top w:val="single" w:sz="8" w:color="auto"/>
            </w:tcBorders>
          </w:tcPr>
          <w:p>
            <w:pPr>
              <w:jc w:val="right"/>
              <w:ind w:right="10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tcBorders>
              <w:top w:val="single" w:sz="8" w:color="auto"/>
            </w:tcBorders>
            <w:gridSpan w:val="3"/>
          </w:tcPr>
          <w:p>
            <w:pPr>
              <w:jc w:val="right"/>
              <w:ind w:right="152"/>
              <w:spacing w:after="0" w:line="129" w:lineRule="exact"/>
              <w:rPr>
                <w:sz w:val="20"/>
                <w:szCs w:val="20"/>
                <w:color w:val="auto"/>
              </w:rPr>
            </w:pPr>
            <w:r>
              <w:rPr>
                <w:rFonts w:ascii="Arial" w:cs="Arial" w:eastAsia="Arial" w:hAnsi="Arial"/>
                <w:sz w:val="14"/>
                <w:szCs w:val="14"/>
                <w:b w:val="1"/>
                <w:bCs w:val="1"/>
                <w:color w:val="auto"/>
              </w:rPr>
              <w:t>Fair</w:t>
            </w:r>
          </w:p>
        </w:tc>
        <w:tc>
          <w:tcPr>
            <w:tcW w:w="3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4"/>
          </w:tcPr>
          <w:p>
            <w:pPr>
              <w:jc w:val="right"/>
              <w:ind w:right="20"/>
              <w:spacing w:after="0" w:line="129" w:lineRule="exact"/>
              <w:rPr>
                <w:sz w:val="20"/>
                <w:szCs w:val="20"/>
                <w:color w:val="auto"/>
              </w:rPr>
            </w:pPr>
            <w:r>
              <w:rPr>
                <w:rFonts w:ascii="Arial" w:cs="Arial" w:eastAsia="Arial" w:hAnsi="Arial"/>
                <w:sz w:val="14"/>
                <w:szCs w:val="14"/>
                <w:b w:val="1"/>
                <w:bCs w:val="1"/>
                <w:color w:val="auto"/>
                <w:w w:val="87"/>
              </w:rPr>
              <w:t>Unrealized</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466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04"/>
              <w:spacing w:after="0"/>
              <w:rPr>
                <w:sz w:val="20"/>
                <w:szCs w:val="20"/>
                <w:color w:val="auto"/>
              </w:rPr>
            </w:pPr>
            <w:r>
              <w:rPr>
                <w:rFonts w:ascii="Arial" w:cs="Arial" w:eastAsia="Arial" w:hAnsi="Arial"/>
                <w:sz w:val="14"/>
                <w:szCs w:val="14"/>
                <w:b w:val="1"/>
                <w:bCs w:val="1"/>
                <w:color w:val="auto"/>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0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rPr>
              <w:t>Value</w:t>
            </w:r>
          </w:p>
        </w:tc>
        <w:tc>
          <w:tcPr>
            <w:tcW w:w="28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gridSpan w:val="2"/>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280" w:type="dxa"/>
            <w:vAlign w:val="bottom"/>
            <w:tcBorders>
              <w:bottom w:val="single" w:sz="8" w:color="CCEEFF"/>
            </w:tcBorders>
            <w:gridSpan w:val="4"/>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3"/>
          </w:tcPr>
          <w:p>
            <w:pPr>
              <w:jc w:val="right"/>
              <w:ind w:right="112"/>
              <w:spacing w:after="0"/>
              <w:rPr>
                <w:sz w:val="20"/>
                <w:szCs w:val="20"/>
                <w:color w:val="auto"/>
              </w:rPr>
            </w:pPr>
            <w:r>
              <w:rPr>
                <w:rFonts w:ascii="Arial" w:cs="Arial" w:eastAsia="Arial" w:hAnsi="Arial"/>
                <w:sz w:val="14"/>
                <w:szCs w:val="14"/>
                <w:b w:val="1"/>
                <w:bCs w:val="1"/>
                <w:color w:val="auto"/>
              </w:rPr>
              <w:t>Value</w:t>
            </w:r>
          </w:p>
        </w:tc>
        <w:tc>
          <w:tcPr>
            <w:tcW w:w="3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gridSpan w:val="3"/>
          </w:tcPr>
          <w:p>
            <w:pPr>
              <w:jc w:val="right"/>
              <w:ind w:right="200"/>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0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$243,699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$ 2,005</w:t>
            </w:r>
          </w:p>
        </w:tc>
        <w:tc>
          <w:tcPr>
            <w:tcW w:w="2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2"/>
              </w:rPr>
              <w:t>$ 245,704</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jc w:val="center"/>
              <w:ind w:right="2"/>
              <w:spacing w:after="0"/>
              <w:rPr>
                <w:sz w:val="20"/>
                <w:szCs w:val="20"/>
                <w:color w:val="auto"/>
              </w:rPr>
            </w:pPr>
            <w:r>
              <w:rPr>
                <w:rFonts w:ascii="Arial" w:cs="Arial" w:eastAsia="Arial" w:hAnsi="Arial"/>
                <w:sz w:val="18"/>
                <w:szCs w:val="18"/>
                <w:color w:val="auto"/>
                <w:w w:val="79"/>
              </w:rPr>
              <w:t>$</w:t>
            </w:r>
          </w:p>
        </w:tc>
        <w:tc>
          <w:tcPr>
            <w:tcW w:w="5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(563)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680" w:type="dxa"/>
            <w:vAlign w:val="bottom"/>
            <w:gridSpan w:val="3"/>
          </w:tcPr>
          <w:p>
            <w:pPr>
              <w:jc w:val="right"/>
              <w:ind w:right="300"/>
              <w:spacing w:after="0"/>
              <w:rPr>
                <w:sz w:val="20"/>
                <w:szCs w:val="20"/>
                <w:color w:val="auto"/>
              </w:rPr>
            </w:pPr>
            <w:r>
              <w:rPr>
                <w:rFonts w:ascii="Arial" w:cs="Arial" w:eastAsia="Arial" w:hAnsi="Arial"/>
                <w:sz w:val="18"/>
                <w:szCs w:val="18"/>
                <w:color w:val="auto"/>
              </w:rPr>
              <w:t>32,165</w:t>
            </w: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(7)</w:t>
            </w:r>
          </w:p>
        </w:tc>
        <w:tc>
          <w:tcPr>
            <w:tcW w:w="140" w:type="dxa"/>
            <w:vAlign w:val="bottom"/>
          </w:tcPr>
          <w:p>
            <w:pPr>
              <w:spacing w:after="0"/>
              <w:rPr>
                <w:sz w:val="18"/>
                <w:szCs w:val="18"/>
                <w:color w:val="auto"/>
              </w:rPr>
            </w:pPr>
          </w:p>
        </w:tc>
        <w:tc>
          <w:tcPr>
            <w:tcW w:w="600" w:type="dxa"/>
            <w:vAlign w:val="bottom"/>
          </w:tcPr>
          <w:p>
            <w:pPr>
              <w:jc w:val="right"/>
              <w:ind w:right="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gridSpan w:val="5"/>
          </w:tcPr>
          <w:p>
            <w:pPr>
              <w:jc w:val="right"/>
              <w:ind w:right="380"/>
              <w:spacing w:after="0"/>
              <w:rPr>
                <w:sz w:val="20"/>
                <w:szCs w:val="20"/>
                <w:color w:val="auto"/>
              </w:rPr>
            </w:pPr>
            <w:r>
              <w:rPr>
                <w:rFonts w:ascii="Arial" w:cs="Arial" w:eastAsia="Arial" w:hAnsi="Arial"/>
                <w:sz w:val="18"/>
                <w:szCs w:val="18"/>
                <w:color w:val="auto"/>
              </w:rPr>
              <w:t>—</w:t>
            </w:r>
          </w:p>
        </w:tc>
        <w:tc>
          <w:tcPr>
            <w:tcW w:w="720" w:type="dxa"/>
            <w:vAlign w:val="bottom"/>
            <w:gridSpan w:val="4"/>
          </w:tcPr>
          <w:p>
            <w:pPr>
              <w:jc w:val="right"/>
              <w:spacing w:after="0"/>
              <w:rPr>
                <w:sz w:val="20"/>
                <w:szCs w:val="20"/>
                <w:color w:val="auto"/>
              </w:rPr>
            </w:pPr>
            <w:r>
              <w:rPr>
                <w:rFonts w:ascii="Arial" w:cs="Arial" w:eastAsia="Arial" w:hAnsi="Arial"/>
                <w:sz w:val="18"/>
                <w:szCs w:val="18"/>
                <w:color w:val="auto"/>
              </w:rPr>
              <w:t>32,165</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gridSpan w:val="4"/>
          </w:tcPr>
          <w:p>
            <w:pPr>
              <w:jc w:val="right"/>
              <w:ind w:right="6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25,053</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gridSpan w:val="5"/>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7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25,053</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680" w:type="dxa"/>
            <w:vAlign w:val="bottom"/>
            <w:gridSpan w:val="3"/>
          </w:tcPr>
          <w:p>
            <w:pPr>
              <w:jc w:val="right"/>
              <w:ind w:right="300"/>
              <w:spacing w:after="0"/>
              <w:rPr>
                <w:sz w:val="20"/>
                <w:szCs w:val="20"/>
                <w:color w:val="auto"/>
              </w:rPr>
            </w:pPr>
            <w:r>
              <w:rPr>
                <w:rFonts w:ascii="Arial" w:cs="Arial" w:eastAsia="Arial" w:hAnsi="Arial"/>
                <w:sz w:val="18"/>
                <w:szCs w:val="18"/>
                <w:color w:val="auto"/>
              </w:rPr>
              <w:t>2,999</w:t>
            </w: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(2)</w:t>
            </w:r>
          </w:p>
        </w:tc>
        <w:tc>
          <w:tcPr>
            <w:tcW w:w="140" w:type="dxa"/>
            <w:vAlign w:val="bottom"/>
          </w:tcPr>
          <w:p>
            <w:pPr>
              <w:spacing w:after="0"/>
              <w:rPr>
                <w:sz w:val="18"/>
                <w:szCs w:val="18"/>
                <w:color w:val="auto"/>
              </w:rPr>
            </w:pPr>
          </w:p>
        </w:tc>
        <w:tc>
          <w:tcPr>
            <w:tcW w:w="600" w:type="dxa"/>
            <w:vAlign w:val="bottom"/>
          </w:tcPr>
          <w:p>
            <w:pPr>
              <w:jc w:val="right"/>
              <w:ind w:right="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gridSpan w:val="5"/>
          </w:tcPr>
          <w:p>
            <w:pPr>
              <w:jc w:val="right"/>
              <w:ind w:right="380"/>
              <w:spacing w:after="0"/>
              <w:rPr>
                <w:sz w:val="20"/>
                <w:szCs w:val="20"/>
                <w:color w:val="auto"/>
              </w:rPr>
            </w:pPr>
            <w:r>
              <w:rPr>
                <w:rFonts w:ascii="Arial" w:cs="Arial" w:eastAsia="Arial" w:hAnsi="Arial"/>
                <w:sz w:val="18"/>
                <w:szCs w:val="18"/>
                <w:color w:val="auto"/>
              </w:rPr>
              <w:t>—</w:t>
            </w:r>
          </w:p>
        </w:tc>
        <w:tc>
          <w:tcPr>
            <w:tcW w:w="720" w:type="dxa"/>
            <w:vAlign w:val="bottom"/>
            <w:gridSpan w:val="4"/>
          </w:tcPr>
          <w:p>
            <w:pPr>
              <w:jc w:val="right"/>
              <w:spacing w:after="0"/>
              <w:rPr>
                <w:sz w:val="20"/>
                <w:szCs w:val="20"/>
                <w:color w:val="auto"/>
              </w:rPr>
            </w:pPr>
            <w:r>
              <w:rPr>
                <w:rFonts w:ascii="Arial" w:cs="Arial" w:eastAsia="Arial" w:hAnsi="Arial"/>
                <w:sz w:val="18"/>
                <w:szCs w:val="18"/>
                <w:color w:val="auto"/>
              </w:rPr>
              <w:t>2,999</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gridSpan w:val="4"/>
          </w:tcPr>
          <w:p>
            <w:pPr>
              <w:jc w:val="right"/>
              <w:ind w:right="6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2,845</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gridSpan w:val="5"/>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7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2,845</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700" w:type="dxa"/>
            <w:vAlign w:val="bottom"/>
          </w:tcPr>
          <w:p>
            <w:pPr>
              <w:spacing w:after="0"/>
              <w:rPr>
                <w:sz w:val="18"/>
                <w:szCs w:val="18"/>
                <w:color w:val="auto"/>
              </w:rPr>
            </w:pPr>
          </w:p>
        </w:tc>
        <w:tc>
          <w:tcPr>
            <w:tcW w:w="680" w:type="dxa"/>
            <w:vAlign w:val="bottom"/>
          </w:tcPr>
          <w:p>
            <w:pPr>
              <w:jc w:val="right"/>
              <w:ind w:right="24"/>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10,226</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w w:val="94"/>
              </w:rPr>
              <w:t>(2,274)</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gridSpan w:val="4"/>
          </w:tcPr>
          <w:p>
            <w:pPr>
              <w:jc w:val="right"/>
              <w:spacing w:after="0"/>
              <w:rPr>
                <w:sz w:val="20"/>
                <w:szCs w:val="20"/>
                <w:color w:val="auto"/>
              </w:rPr>
            </w:pPr>
            <w:r>
              <w:rPr>
                <w:rFonts w:ascii="Arial" w:cs="Arial" w:eastAsia="Arial" w:hAnsi="Arial"/>
                <w:sz w:val="18"/>
                <w:szCs w:val="18"/>
                <w:color w:val="auto"/>
              </w:rPr>
              <w:t>10,226</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gridSpan w:val="4"/>
          </w:tcPr>
          <w:p>
            <w:pPr>
              <w:jc w:val="right"/>
              <w:ind w:right="60"/>
              <w:spacing w:after="0"/>
              <w:rPr>
                <w:sz w:val="20"/>
                <w:szCs w:val="20"/>
                <w:color w:val="auto"/>
              </w:rPr>
            </w:pPr>
            <w:r>
              <w:rPr>
                <w:rFonts w:ascii="Arial" w:cs="Arial" w:eastAsia="Arial" w:hAnsi="Arial"/>
                <w:sz w:val="18"/>
                <w:szCs w:val="18"/>
                <w:color w:val="auto"/>
                <w:w w:val="94"/>
              </w:rPr>
              <w:t>(2,274)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0" w:type="dxa"/>
            <w:vAlign w:val="bottom"/>
          </w:tcPr>
          <w:p>
            <w:pPr>
              <w:spacing w:after="0"/>
              <w:rPr>
                <w:sz w:val="2"/>
                <w:szCs w:val="2"/>
                <w:color w:val="auto"/>
              </w:rPr>
            </w:pPr>
          </w:p>
        </w:tc>
        <w:tc>
          <w:tcPr>
            <w:tcW w:w="46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60" w:type="dxa"/>
            <w:vAlign w:val="bottom"/>
            <w:tcBorders>
              <w:right w:val="single" w:sz="8" w:color="auto"/>
            </w:tcBorders>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16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306,761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(580)</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$ 12,231</w:t>
            </w:r>
          </w:p>
        </w:tc>
        <w:tc>
          <w:tcPr>
            <w:tcW w:w="46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(2,279)</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87"/>
              </w:rPr>
              <w:t>$ 318,992</w:t>
            </w:r>
          </w:p>
        </w:tc>
        <w:tc>
          <w:tcPr>
            <w:tcW w:w="480" w:type="dxa"/>
            <w:vAlign w:val="bottom"/>
            <w:gridSpan w:val="2"/>
            <w:shd w:val="clear" w:color="auto" w:fill="CCEEFF"/>
          </w:tcPr>
          <w:p>
            <w:pPr>
              <w:jc w:val="center"/>
              <w:ind w:left="157"/>
              <w:spacing w:after="0"/>
              <w:rPr>
                <w:sz w:val="20"/>
                <w:szCs w:val="20"/>
                <w:color w:val="auto"/>
              </w:rPr>
            </w:pPr>
            <w:r>
              <w:rPr>
                <w:rFonts w:ascii="Arial" w:cs="Arial" w:eastAsia="Arial" w:hAnsi="Arial"/>
                <w:sz w:val="18"/>
                <w:szCs w:val="18"/>
                <w:color w:val="auto"/>
                <w:w w:val="79"/>
              </w:rPr>
              <w:t>$</w:t>
            </w:r>
          </w:p>
        </w:tc>
        <w:tc>
          <w:tcPr>
            <w:tcW w:w="62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w w:val="94"/>
              </w:rPr>
              <w:t>(2,859)</w:t>
            </w:r>
          </w:p>
        </w:tc>
        <w:tc>
          <w:tcPr>
            <w:tcW w:w="0" w:type="dxa"/>
            <w:vAlign w:val="bottom"/>
          </w:tcPr>
          <w:p>
            <w:pPr>
              <w:spacing w:after="0"/>
              <w:rPr>
                <w:sz w:val="1"/>
                <w:szCs w:val="1"/>
                <w:color w:val="auto"/>
              </w:rPr>
            </w:pPr>
          </w:p>
        </w:tc>
      </w:tr>
      <w:tr>
        <w:trPr>
          <w:trHeight w:val="20"/>
        </w:trPr>
        <w:tc>
          <w:tcPr>
            <w:tcW w:w="5120" w:type="dxa"/>
            <w:vAlign w:val="bottom"/>
            <w:gridSpan w:val="3"/>
            <w:vMerge w:val="restart"/>
          </w:tcPr>
          <w:p>
            <w:pPr>
              <w:spacing w:after="0"/>
              <w:rPr>
                <w:sz w:val="20"/>
                <w:szCs w:val="20"/>
                <w:color w:val="auto"/>
              </w:rPr>
            </w:pPr>
            <w:r>
              <w:rPr>
                <w:rFonts w:ascii="Arial" w:cs="Arial" w:eastAsia="Arial" w:hAnsi="Arial"/>
                <w:sz w:val="18"/>
                <w:szCs w:val="18"/>
                <w:b w:val="1"/>
                <w:bCs w:val="1"/>
                <w:color w:val="auto"/>
                <w:w w:val="98"/>
              </w:rPr>
              <w:t>Note 4 — Supplemental Financial Information (in thousands)</w:t>
            </w:r>
          </w:p>
        </w:tc>
        <w:tc>
          <w:tcPr>
            <w:tcW w:w="7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120" w:type="dxa"/>
            <w:vAlign w:val="bottom"/>
            <w:gridSpan w:val="3"/>
            <w:vMerge w:val="continue"/>
          </w:tcPr>
          <w:p>
            <w:pPr>
              <w:spacing w:after="0"/>
              <w:rPr>
                <w:sz w:val="24"/>
                <w:szCs w:val="24"/>
                <w:color w:val="auto"/>
              </w:rPr>
            </w:pP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5100" w:type="dxa"/>
            <w:vAlign w:val="bottom"/>
            <w:gridSpan w:val="2"/>
          </w:tcPr>
          <w:p>
            <w:pPr>
              <w:ind w:left="440"/>
              <w:spacing w:after="0"/>
              <w:rPr>
                <w:sz w:val="20"/>
                <w:szCs w:val="20"/>
                <w:color w:val="auto"/>
              </w:rPr>
            </w:pPr>
            <w:r>
              <w:rPr>
                <w:rFonts w:ascii="Arial" w:cs="Arial" w:eastAsia="Arial" w:hAnsi="Arial"/>
                <w:sz w:val="18"/>
                <w:szCs w:val="18"/>
                <w:b w:val="1"/>
                <w:bCs w:val="1"/>
                <w:i w:val="1"/>
                <w:iCs w:val="1"/>
                <w:color w:val="auto"/>
              </w:rPr>
              <w:t>Consolidated Balance Sheets</w:t>
            </w: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900" w:type="dxa"/>
            <w:vAlign w:val="bottom"/>
            <w:gridSpan w:val="7"/>
          </w:tcPr>
          <w:p>
            <w:pPr>
              <w:jc w:val="center"/>
              <w:ind w:right="180"/>
              <w:spacing w:after="0"/>
              <w:rPr>
                <w:sz w:val="20"/>
                <w:szCs w:val="20"/>
                <w:color w:val="auto"/>
              </w:rPr>
            </w:pPr>
            <w:r>
              <w:rPr>
                <w:rFonts w:ascii="Arial" w:cs="Arial" w:eastAsia="Arial" w:hAnsi="Arial"/>
                <w:sz w:val="14"/>
                <w:szCs w:val="14"/>
                <w:b w:val="1"/>
                <w:bCs w:val="1"/>
                <w:color w:val="auto"/>
                <w:w w:val="88"/>
              </w:rPr>
              <w:t>January 30,</w:t>
            </w:r>
          </w:p>
        </w:tc>
        <w:tc>
          <w:tcPr>
            <w:tcW w:w="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20" w:type="dxa"/>
            <w:vAlign w:val="bottom"/>
            <w:gridSpan w:val="4"/>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gridSpan w:val="2"/>
          </w:tcPr>
          <w:p>
            <w:pPr>
              <w:jc w:val="center"/>
              <w:spacing w:after="0"/>
              <w:rPr>
                <w:sz w:val="20"/>
                <w:szCs w:val="20"/>
                <w:color w:val="auto"/>
              </w:rPr>
            </w:pPr>
            <w:r>
              <w:rPr>
                <w:rFonts w:ascii="Arial" w:cs="Arial" w:eastAsia="Arial" w:hAnsi="Arial"/>
                <w:sz w:val="14"/>
                <w:szCs w:val="14"/>
                <w:b w:val="1"/>
                <w:bCs w:val="1"/>
                <w:color w:val="auto"/>
                <w:w w:val="89"/>
              </w:rPr>
              <w:t>2016</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40" w:type="dxa"/>
            <w:vAlign w:val="bottom"/>
            <w:gridSpan w:val="5"/>
          </w:tcPr>
          <w:p>
            <w:pPr>
              <w:jc w:val="right"/>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6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and cash equivalents:</w:t>
            </w:r>
          </w:p>
        </w:tc>
        <w:tc>
          <w:tcPr>
            <w:tcW w:w="70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right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ind w:left="440"/>
              <w:spacing w:after="0"/>
              <w:rPr>
                <w:sz w:val="20"/>
                <w:szCs w:val="20"/>
                <w:color w:val="auto"/>
              </w:rPr>
            </w:pPr>
            <w:r>
              <w:rPr>
                <w:rFonts w:ascii="Arial" w:cs="Arial" w:eastAsia="Arial" w:hAnsi="Arial"/>
                <w:sz w:val="18"/>
                <w:szCs w:val="18"/>
                <w:color w:val="auto"/>
              </w:rPr>
              <w:t>Cash</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60" w:type="dxa"/>
            <w:vAlign w:val="bottom"/>
            <w:gridSpan w:val="3"/>
          </w:tcPr>
          <w:p>
            <w:pPr>
              <w:jc w:val="right"/>
              <w:ind w:right="27"/>
              <w:spacing w:after="0"/>
              <w:rPr>
                <w:sz w:val="20"/>
                <w:szCs w:val="20"/>
                <w:color w:val="auto"/>
              </w:rPr>
            </w:pPr>
            <w:r>
              <w:rPr>
                <w:rFonts w:ascii="Arial" w:cs="Arial" w:eastAsia="Arial" w:hAnsi="Arial"/>
                <w:sz w:val="18"/>
                <w:szCs w:val="18"/>
                <w:color w:val="auto"/>
              </w:rPr>
              <w:t>$</w:t>
            </w:r>
          </w:p>
        </w:tc>
        <w:tc>
          <w:tcPr>
            <w:tcW w:w="660" w:type="dxa"/>
            <w:vAlign w:val="bottom"/>
            <w:gridSpan w:val="4"/>
          </w:tcPr>
          <w:p>
            <w:pPr>
              <w:jc w:val="right"/>
              <w:spacing w:after="0"/>
              <w:rPr>
                <w:sz w:val="20"/>
                <w:szCs w:val="20"/>
                <w:color w:val="auto"/>
              </w:rPr>
            </w:pPr>
            <w:r>
              <w:rPr>
                <w:rFonts w:ascii="Arial" w:cs="Arial" w:eastAsia="Arial" w:hAnsi="Arial"/>
                <w:sz w:val="18"/>
                <w:szCs w:val="18"/>
                <w:color w:val="auto"/>
                <w:w w:val="98"/>
              </w:rPr>
              <w:t>669,312</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60" w:type="dxa"/>
            <w:vAlign w:val="bottom"/>
            <w:gridSpan w:val="7"/>
          </w:tcPr>
          <w:p>
            <w:pPr>
              <w:jc w:val="right"/>
              <w:spacing w:after="0"/>
              <w:rPr>
                <w:sz w:val="20"/>
                <w:szCs w:val="20"/>
                <w:color w:val="auto"/>
              </w:rPr>
            </w:pPr>
            <w:r>
              <w:rPr>
                <w:rFonts w:ascii="Arial" w:cs="Arial" w:eastAsia="Arial" w:hAnsi="Arial"/>
                <w:sz w:val="18"/>
                <w:szCs w:val="18"/>
                <w:color w:val="auto"/>
              </w:rPr>
              <w:t>$  864,680</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equivalents: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ind w:left="880"/>
              <w:spacing w:after="0"/>
              <w:rPr>
                <w:sz w:val="20"/>
                <w:szCs w:val="20"/>
                <w:color w:val="auto"/>
              </w:rPr>
            </w:pPr>
            <w:r>
              <w:rPr>
                <w:rFonts w:ascii="Arial" w:cs="Arial" w:eastAsia="Arial" w:hAnsi="Arial"/>
                <w:sz w:val="18"/>
                <w:szCs w:val="18"/>
                <w:color w:val="auto"/>
              </w:rPr>
              <w:t>Time deposits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gridSpan w:val="4"/>
          </w:tcPr>
          <w:p>
            <w:pPr>
              <w:jc w:val="right"/>
              <w:spacing w:after="0"/>
              <w:rPr>
                <w:sz w:val="20"/>
                <w:szCs w:val="20"/>
                <w:color w:val="auto"/>
              </w:rPr>
            </w:pPr>
            <w:r>
              <w:rPr>
                <w:rFonts w:ascii="Arial" w:cs="Arial" w:eastAsia="Arial" w:hAnsi="Arial"/>
                <w:sz w:val="18"/>
                <w:szCs w:val="18"/>
                <w:color w:val="auto"/>
                <w:w w:val="98"/>
              </w:rPr>
              <w:t>209,405</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60" w:type="dxa"/>
            <w:vAlign w:val="bottom"/>
            <w:gridSpan w:val="7"/>
          </w:tcPr>
          <w:p>
            <w:pPr>
              <w:jc w:val="right"/>
              <w:spacing w:after="0"/>
              <w:rPr>
                <w:sz w:val="20"/>
                <w:szCs w:val="20"/>
                <w:color w:val="auto"/>
              </w:rPr>
            </w:pPr>
            <w:r>
              <w:rPr>
                <w:rFonts w:ascii="Arial" w:cs="Arial" w:eastAsia="Arial" w:hAnsi="Arial"/>
                <w:sz w:val="18"/>
                <w:szCs w:val="18"/>
                <w:color w:val="auto"/>
              </w:rPr>
              <w:t>213,012</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U.S. government and agency debt</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8"/>
              </w:rPr>
              <w:t>184,374</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center"/>
              <w:ind w:left="137"/>
              <w:spacing w:after="0"/>
              <w:rPr>
                <w:sz w:val="20"/>
                <w:szCs w:val="20"/>
                <w:color w:val="auto"/>
              </w:rPr>
            </w:pPr>
            <w:r>
              <w:rPr>
                <w:rFonts w:ascii="Arial" w:cs="Arial" w:eastAsia="Arial" w:hAnsi="Arial"/>
                <w:sz w:val="18"/>
                <w:szCs w:val="18"/>
                <w:color w:val="auto"/>
                <w:w w:val="99"/>
              </w:rPr>
              <w:t>—</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ind w:left="880"/>
              <w:spacing w:after="0"/>
              <w:rPr>
                <w:sz w:val="20"/>
                <w:szCs w:val="20"/>
                <w:color w:val="auto"/>
              </w:rPr>
            </w:pPr>
            <w:r>
              <w:rPr>
                <w:rFonts w:ascii="Arial" w:cs="Arial" w:eastAsia="Arial" w:hAnsi="Arial"/>
                <w:sz w:val="18"/>
                <w:szCs w:val="18"/>
                <w:color w:val="auto"/>
              </w:rPr>
              <w:t>Corporate debt securities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gridSpan w:val="4"/>
          </w:tcPr>
          <w:p>
            <w:pPr>
              <w:jc w:val="right"/>
              <w:spacing w:after="0"/>
              <w:rPr>
                <w:sz w:val="20"/>
                <w:szCs w:val="20"/>
                <w:color w:val="auto"/>
              </w:rPr>
            </w:pPr>
            <w:r>
              <w:rPr>
                <w:rFonts w:ascii="Arial" w:cs="Arial" w:eastAsia="Arial" w:hAnsi="Arial"/>
                <w:sz w:val="18"/>
                <w:szCs w:val="18"/>
                <w:color w:val="auto"/>
              </w:rPr>
              <w:t>54,689</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3"/>
          </w:tcPr>
          <w:p>
            <w:pPr>
              <w:jc w:val="right"/>
              <w:spacing w:after="0"/>
              <w:rPr>
                <w:sz w:val="20"/>
                <w:szCs w:val="20"/>
                <w:color w:val="auto"/>
              </w:rPr>
            </w:pPr>
            <w:r>
              <w:rPr>
                <w:rFonts w:ascii="Arial" w:cs="Arial" w:eastAsia="Arial" w:hAnsi="Arial"/>
                <w:sz w:val="18"/>
                <w:szCs w:val="18"/>
                <w:color w:val="auto"/>
                <w:w w:val="94"/>
              </w:rPr>
              <w:t>21,999</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Money market funds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 w:type="dxa"/>
            <w:vAlign w:val="bottom"/>
            <w:tcBorders>
              <w:bottom w:val="single" w:sz="8" w:color="auto"/>
              <w:right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98"/>
              </w:rPr>
              <w:t>160,400</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gridSpan w:val="2"/>
            <w:shd w:val="clear" w:color="auto" w:fill="CCEEFF"/>
          </w:tcPr>
          <w:p>
            <w:pPr>
              <w:spacing w:after="0"/>
              <w:rPr>
                <w:sz w:val="18"/>
                <w:szCs w:val="18"/>
                <w:color w:val="auto"/>
              </w:rPr>
            </w:pPr>
          </w:p>
        </w:tc>
        <w:tc>
          <w:tcPr>
            <w:tcW w:w="880" w:type="dxa"/>
            <w:vAlign w:val="bottom"/>
            <w:tcBorders>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111,286</w:t>
            </w: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660" w:type="dxa"/>
            <w:vAlign w:val="bottom"/>
          </w:tcPr>
          <w:p>
            <w:pPr>
              <w:ind w:left="440"/>
              <w:spacing w:after="0"/>
              <w:rPr>
                <w:sz w:val="20"/>
                <w:szCs w:val="20"/>
                <w:color w:val="auto"/>
              </w:rPr>
            </w:pPr>
            <w:r>
              <w:rPr>
                <w:rFonts w:ascii="Arial" w:cs="Arial" w:eastAsia="Arial" w:hAnsi="Arial"/>
                <w:sz w:val="18"/>
                <w:szCs w:val="18"/>
                <w:color w:val="auto"/>
              </w:rPr>
              <w:t>Cash and cash equivalents</w:t>
            </w:r>
          </w:p>
        </w:tc>
        <w:tc>
          <w:tcPr>
            <w:tcW w:w="7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120" w:type="dxa"/>
            <w:vAlign w:val="bottom"/>
            <w:gridSpan w:val="7"/>
          </w:tcPr>
          <w:p>
            <w:pPr>
              <w:jc w:val="right"/>
              <w:spacing w:after="0"/>
              <w:rPr>
                <w:sz w:val="20"/>
                <w:szCs w:val="20"/>
                <w:color w:val="auto"/>
              </w:rPr>
            </w:pPr>
            <w:r>
              <w:rPr>
                <w:rFonts w:ascii="Arial" w:cs="Arial" w:eastAsia="Arial" w:hAnsi="Arial"/>
                <w:sz w:val="18"/>
                <w:szCs w:val="18"/>
                <w:color w:val="auto"/>
              </w:rPr>
              <w:t>$ 1,278,180</w:t>
            </w: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60" w:type="dxa"/>
            <w:vAlign w:val="bottom"/>
            <w:gridSpan w:val="7"/>
          </w:tcPr>
          <w:p>
            <w:pPr>
              <w:jc w:val="right"/>
              <w:spacing w:after="0"/>
              <w:rPr>
                <w:sz w:val="20"/>
                <w:szCs w:val="20"/>
                <w:color w:val="auto"/>
              </w:rPr>
            </w:pPr>
            <w:r>
              <w:rPr>
                <w:rFonts w:ascii="Arial" w:cs="Arial" w:eastAsia="Arial" w:hAnsi="Arial"/>
                <w:sz w:val="18"/>
                <w:szCs w:val="18"/>
                <w:color w:val="auto"/>
              </w:rPr>
              <w:t>$ 1,210,977</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gridSpan w:val="2"/>
          </w:tcPr>
          <w:p>
            <w:pPr>
              <w:spacing w:after="0" w:line="20" w:lineRule="exact"/>
              <w:rPr>
                <w:sz w:val="1"/>
                <w:szCs w:val="1"/>
                <w:color w:val="auto"/>
              </w:rPr>
            </w:pPr>
          </w:p>
        </w:tc>
        <w:tc>
          <w:tcPr>
            <w:tcW w:w="50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gridSpan w:val="4"/>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00" w:type="dxa"/>
            <w:vAlign w:val="bottom"/>
            <w:gridSpan w:val="7"/>
          </w:tcPr>
          <w:p>
            <w:pPr>
              <w:jc w:val="center"/>
              <w:ind w:right="220"/>
              <w:spacing w:after="0"/>
              <w:rPr>
                <w:sz w:val="20"/>
                <w:szCs w:val="20"/>
                <w:color w:val="auto"/>
              </w:rPr>
            </w:pPr>
            <w:r>
              <w:rPr>
                <w:rFonts w:ascii="Arial" w:cs="Arial" w:eastAsia="Arial" w:hAnsi="Arial"/>
                <w:sz w:val="14"/>
                <w:szCs w:val="14"/>
                <w:b w:val="1"/>
                <w:bCs w:val="1"/>
                <w:color w:val="auto"/>
                <w:w w:val="88"/>
              </w:rPr>
              <w:t>January 30,</w:t>
            </w: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40" w:type="dxa"/>
            <w:vAlign w:val="bottom"/>
            <w:gridSpan w:val="7"/>
          </w:tcPr>
          <w:p>
            <w:pPr>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6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0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2016</w:t>
            </w: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6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Provision for sales returns and allowances:</w:t>
            </w:r>
          </w:p>
        </w:tc>
        <w:tc>
          <w:tcPr>
            <w:tcW w:w="7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 w:type="dxa"/>
            <w:vAlign w:val="bottom"/>
            <w:tcBorders>
              <w:right w:val="single" w:sz="8" w:color="CCEEFF"/>
            </w:tcBorders>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Sales returns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60" w:type="dxa"/>
            <w:vAlign w:val="bottom"/>
            <w:gridSpan w:val="3"/>
          </w:tcPr>
          <w:p>
            <w:pPr>
              <w:ind w:left="340"/>
              <w:spacing w:after="0"/>
              <w:rPr>
                <w:sz w:val="20"/>
                <w:szCs w:val="20"/>
                <w:color w:val="auto"/>
              </w:rPr>
            </w:pPr>
            <w:r>
              <w:rPr>
                <w:rFonts w:ascii="Arial" w:cs="Arial" w:eastAsia="Arial" w:hAnsi="Arial"/>
                <w:sz w:val="18"/>
                <w:szCs w:val="18"/>
                <w:color w:val="auto"/>
                <w:w w:val="99"/>
              </w:rPr>
              <w:t>$</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1,873</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gridSpan w:val="4"/>
          </w:tcPr>
          <w:p>
            <w:pPr>
              <w:ind w:left="580"/>
              <w:spacing w:after="0"/>
              <w:rPr>
                <w:sz w:val="20"/>
                <w:szCs w:val="20"/>
                <w:color w:val="auto"/>
              </w:rPr>
            </w:pPr>
            <w:r>
              <w:rPr>
                <w:rFonts w:ascii="Arial" w:cs="Arial" w:eastAsia="Arial" w:hAnsi="Arial"/>
                <w:sz w:val="18"/>
                <w:szCs w:val="18"/>
                <w:color w:val="auto"/>
              </w:rPr>
              <w:t>$</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899</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Doubtful accounts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889</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1,213</w:t>
            </w: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460" w:type="dxa"/>
            <w:vAlign w:val="bottom"/>
            <w:gridSpan w:val="3"/>
          </w:tcPr>
          <w:p>
            <w:pPr>
              <w:ind w:left="340"/>
              <w:spacing w:after="0"/>
              <w:rPr>
                <w:sz w:val="20"/>
                <w:szCs w:val="20"/>
                <w:color w:val="auto"/>
              </w:rPr>
            </w:pPr>
            <w:r>
              <w:rPr>
                <w:rFonts w:ascii="Arial" w:cs="Arial" w:eastAsia="Arial" w:hAnsi="Arial"/>
                <w:sz w:val="18"/>
                <w:szCs w:val="18"/>
                <w:color w:val="auto"/>
                <w:w w:val="99"/>
              </w:rPr>
              <w:t>$</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2,762</w:t>
            </w:r>
          </w:p>
        </w:tc>
        <w:tc>
          <w:tcPr>
            <w:tcW w:w="1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20" w:type="dxa"/>
            <w:vAlign w:val="bottom"/>
            <w:gridSpan w:val="4"/>
          </w:tcPr>
          <w:p>
            <w:pPr>
              <w:ind w:left="580"/>
              <w:spacing w:after="0"/>
              <w:rPr>
                <w:sz w:val="20"/>
                <w:szCs w:val="20"/>
                <w:color w:val="auto"/>
              </w:rPr>
            </w:pPr>
            <w:r>
              <w:rPr>
                <w:rFonts w:ascii="Arial" w:cs="Arial" w:eastAsia="Arial" w:hAnsi="Arial"/>
                <w:sz w:val="18"/>
                <w:szCs w:val="18"/>
                <w:color w:val="auto"/>
              </w:rPr>
              <w:t>$</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2,112</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4"/>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20" w:type="dxa"/>
            <w:vAlign w:val="bottom"/>
            <w:gridSpan w:val="5"/>
          </w:tcPr>
          <w:p>
            <w:pPr>
              <w:jc w:val="right"/>
              <w:ind w:right="40"/>
              <w:spacing w:after="0"/>
              <w:rPr>
                <w:sz w:val="20"/>
                <w:szCs w:val="20"/>
                <w:color w:val="auto"/>
              </w:rPr>
            </w:pPr>
            <w:r>
              <w:rPr>
                <w:rFonts w:ascii="Arial" w:cs="Arial" w:eastAsia="Arial" w:hAnsi="Arial"/>
                <w:sz w:val="14"/>
                <w:szCs w:val="14"/>
                <w:b w:val="1"/>
                <w:bCs w:val="1"/>
                <w:color w:val="auto"/>
                <w:w w:val="85"/>
              </w:rPr>
              <w:t>January 30,</w:t>
            </w: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40" w:type="dxa"/>
            <w:vAlign w:val="bottom"/>
            <w:gridSpan w:val="7"/>
          </w:tcPr>
          <w:p>
            <w:pPr>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80" w:type="dxa"/>
            <w:vAlign w:val="bottom"/>
            <w:gridSpan w:val="2"/>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6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70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right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Work-in-process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6"/>
          </w:tcPr>
          <w:p>
            <w:pPr>
              <w:jc w:val="right"/>
              <w:ind w:right="40"/>
              <w:spacing w:after="0"/>
              <w:rPr>
                <w:sz w:val="20"/>
                <w:szCs w:val="20"/>
                <w:color w:val="auto"/>
              </w:rPr>
            </w:pPr>
            <w:r>
              <w:rPr>
                <w:rFonts w:ascii="Arial" w:cs="Arial" w:eastAsia="Arial" w:hAnsi="Arial"/>
                <w:sz w:val="18"/>
                <w:szCs w:val="18"/>
                <w:color w:val="auto"/>
                <w:w w:val="89"/>
              </w:rPr>
              <w:t>$ 131,471</w:t>
            </w:r>
          </w:p>
        </w:tc>
        <w:tc>
          <w:tcPr>
            <w:tcW w:w="1260" w:type="dxa"/>
            <w:vAlign w:val="bottom"/>
            <w:gridSpan w:val="7"/>
          </w:tcPr>
          <w:p>
            <w:pPr>
              <w:jc w:val="right"/>
              <w:spacing w:after="0"/>
              <w:rPr>
                <w:sz w:val="20"/>
                <w:szCs w:val="20"/>
                <w:color w:val="auto"/>
              </w:rPr>
            </w:pPr>
            <w:r>
              <w:rPr>
                <w:rFonts w:ascii="Arial" w:cs="Arial" w:eastAsia="Arial" w:hAnsi="Arial"/>
                <w:sz w:val="18"/>
                <w:szCs w:val="18"/>
                <w:color w:val="auto"/>
              </w:rPr>
              <w:t>$ 183,869</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7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78,546</w:t>
            </w:r>
          </w:p>
        </w:tc>
        <w:tc>
          <w:tcPr>
            <w:tcW w:w="1260" w:type="dxa"/>
            <w:vAlign w:val="bottom"/>
            <w:gridSpan w:val="7"/>
            <w:shd w:val="clear" w:color="auto" w:fill="CCEEFF"/>
          </w:tcPr>
          <w:p>
            <w:pPr>
              <w:jc w:val="right"/>
              <w:spacing w:after="0"/>
              <w:rPr>
                <w:sz w:val="20"/>
                <w:szCs w:val="20"/>
                <w:color w:val="auto"/>
              </w:rPr>
            </w:pPr>
            <w:r>
              <w:rPr>
                <w:rFonts w:ascii="Arial" w:cs="Arial" w:eastAsia="Arial" w:hAnsi="Arial"/>
                <w:sz w:val="18"/>
                <w:szCs w:val="18"/>
                <w:color w:val="auto"/>
              </w:rPr>
              <w:t>124,293</w:t>
            </w: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00" w:type="dxa"/>
            <w:vAlign w:val="bottom"/>
            <w:gridSpan w:val="2"/>
            <w:vMerge w:val="restart"/>
          </w:tcPr>
          <w:p>
            <w:pPr>
              <w:ind w:left="440"/>
              <w:spacing w:after="0"/>
              <w:rPr>
                <w:sz w:val="20"/>
                <w:szCs w:val="20"/>
                <w:color w:val="auto"/>
              </w:rPr>
            </w:pPr>
            <w:r>
              <w:rPr>
                <w:rFonts w:ascii="Arial" w:cs="Arial" w:eastAsia="Arial" w:hAnsi="Arial"/>
                <w:sz w:val="18"/>
                <w:szCs w:val="18"/>
                <w:color w:val="auto"/>
              </w:rPr>
              <w:t>Inventories</w:t>
            </w:r>
          </w:p>
        </w:tc>
        <w:tc>
          <w:tcPr>
            <w:tcW w:w="7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gridSpan w:val="4"/>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80" w:type="dxa"/>
            <w:vAlign w:val="bottom"/>
            <w:gridSpan w:val="3"/>
          </w:tcPr>
          <w:p>
            <w:pPr>
              <w:spacing w:after="0" w:line="20" w:lineRule="exact"/>
              <w:rPr>
                <w:sz w:val="1"/>
                <w:szCs w:val="1"/>
                <w:color w:val="auto"/>
              </w:rPr>
            </w:pPr>
          </w:p>
        </w:tc>
        <w:tc>
          <w:tcPr>
            <w:tcW w:w="680" w:type="dxa"/>
            <w:vAlign w:val="bottom"/>
            <w:gridSpan w:val="4"/>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5100" w:type="dxa"/>
            <w:vAlign w:val="bottom"/>
            <w:gridSpan w:val="2"/>
            <w:vMerge w:val="continue"/>
          </w:tcPr>
          <w:p>
            <w:pPr>
              <w:spacing w:after="0"/>
              <w:rPr>
                <w:sz w:val="19"/>
                <w:szCs w:val="19"/>
                <w:color w:val="auto"/>
              </w:rPr>
            </w:pPr>
          </w:p>
        </w:tc>
        <w:tc>
          <w:tcPr>
            <w:tcW w:w="7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20" w:type="dxa"/>
            <w:vAlign w:val="bottom"/>
            <w:gridSpan w:val="5"/>
          </w:tcPr>
          <w:p>
            <w:pPr>
              <w:jc w:val="right"/>
              <w:ind w:right="40"/>
              <w:spacing w:after="0"/>
              <w:rPr>
                <w:sz w:val="20"/>
                <w:szCs w:val="20"/>
                <w:color w:val="auto"/>
              </w:rPr>
            </w:pPr>
            <w:r>
              <w:rPr>
                <w:rFonts w:ascii="Arial" w:cs="Arial" w:eastAsia="Arial" w:hAnsi="Arial"/>
                <w:sz w:val="18"/>
                <w:szCs w:val="18"/>
                <w:color w:val="auto"/>
                <w:w w:val="82"/>
              </w:rPr>
              <w:t>$ 210,017</w:t>
            </w:r>
          </w:p>
        </w:tc>
        <w:tc>
          <w:tcPr>
            <w:tcW w:w="1260" w:type="dxa"/>
            <w:vAlign w:val="bottom"/>
            <w:gridSpan w:val="7"/>
          </w:tcPr>
          <w:p>
            <w:pPr>
              <w:jc w:val="right"/>
              <w:spacing w:after="0"/>
              <w:rPr>
                <w:sz w:val="20"/>
                <w:szCs w:val="20"/>
                <w:color w:val="auto"/>
              </w:rPr>
            </w:pPr>
            <w:r>
              <w:rPr>
                <w:rFonts w:ascii="Arial" w:cs="Arial" w:eastAsia="Arial" w:hAnsi="Arial"/>
                <w:sz w:val="18"/>
                <w:szCs w:val="18"/>
                <w:color w:val="auto"/>
              </w:rPr>
              <w:t>$ 308,162</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700" w:type="dxa"/>
            <w:vAlign w:val="bottom"/>
            <w:vMerge w:val="restart"/>
          </w:tcPr>
          <w:p>
            <w:pPr>
              <w:jc w:val="right"/>
              <w:spacing w:after="0"/>
              <w:rPr>
                <w:sz w:val="20"/>
                <w:szCs w:val="20"/>
                <w:color w:val="auto"/>
              </w:rPr>
            </w:pPr>
            <w:r>
              <w:rPr>
                <w:rFonts w:ascii="Arial" w:cs="Arial" w:eastAsia="Arial" w:hAnsi="Arial"/>
                <w:sz w:val="18"/>
                <w:szCs w:val="18"/>
                <w:color w:val="auto"/>
              </w:rPr>
              <w:t>76</w:t>
            </w:r>
          </w:p>
        </w:tc>
        <w:tc>
          <w:tcPr>
            <w:tcW w:w="6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7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080" w:type="dxa"/>
            <w:vAlign w:val="bottom"/>
          </w:tcPr>
          <w:p>
            <w:pPr>
              <w:spacing w:after="0"/>
              <w:rPr>
                <w:sz w:val="14"/>
                <w:szCs w:val="14"/>
                <w:color w:val="auto"/>
              </w:rPr>
            </w:pPr>
          </w:p>
        </w:tc>
        <w:tc>
          <w:tcPr>
            <w:tcW w:w="1520" w:type="dxa"/>
            <w:vAlign w:val="bottom"/>
            <w:gridSpan w:val="3"/>
          </w:tcPr>
          <w:p>
            <w:pPr>
              <w:jc w:val="right"/>
              <w:ind w:right="780"/>
              <w:spacing w:after="0"/>
              <w:rPr>
                <w:sz w:val="20"/>
                <w:szCs w:val="20"/>
                <w:color w:val="auto"/>
              </w:rPr>
            </w:pPr>
            <w:r>
              <w:rPr>
                <w:rFonts w:ascii="Arial" w:cs="Arial" w:eastAsia="Arial" w:hAnsi="Arial"/>
                <w:sz w:val="14"/>
                <w:szCs w:val="14"/>
                <w:b w:val="1"/>
                <w:bCs w:val="1"/>
                <w:color w:val="auto"/>
                <w:w w:val="93"/>
              </w:rPr>
              <w:t>January 30,</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31,</w:t>
            </w:r>
          </w:p>
        </w:tc>
      </w:tr>
      <w:tr>
        <w:trPr>
          <w:trHeight w:val="161"/>
        </w:trPr>
        <w:tc>
          <w:tcPr>
            <w:tcW w:w="80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2016</w:t>
            </w:r>
          </w:p>
        </w:tc>
        <w:tc>
          <w:tcPr>
            <w:tcW w:w="7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80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08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578,627</w:t>
            </w:r>
          </w:p>
        </w:tc>
        <w:tc>
          <w:tcPr>
            <w:tcW w:w="7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601,961</w:t>
            </w:r>
          </w:p>
        </w:tc>
      </w:tr>
      <w:tr>
        <w:trPr>
          <w:trHeight w:val="216"/>
        </w:trPr>
        <w:tc>
          <w:tcPr>
            <w:tcW w:w="808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144,320</w:t>
            </w:r>
          </w:p>
        </w:tc>
      </w:tr>
      <w:tr>
        <w:trPr>
          <w:trHeight w:val="216"/>
        </w:trPr>
        <w:tc>
          <w:tcPr>
            <w:tcW w:w="8080" w:type="dxa"/>
            <w:vAlign w:val="bottom"/>
          </w:tcPr>
          <w:p>
            <w:pPr>
              <w:spacing w:after="0"/>
              <w:rPr>
                <w:sz w:val="20"/>
                <w:szCs w:val="20"/>
                <w:color w:val="auto"/>
              </w:rPr>
            </w:pPr>
            <w:r>
              <w:rPr>
                <w:rFonts w:ascii="Arial" w:cs="Arial" w:eastAsia="Arial" w:hAnsi="Arial"/>
                <w:sz w:val="18"/>
                <w:szCs w:val="18"/>
                <w:color w:val="auto"/>
              </w:rPr>
              <w:t>Computer software</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102,928</w:t>
            </w: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99,312</w:t>
            </w:r>
          </w:p>
        </w:tc>
      </w:tr>
      <w:tr>
        <w:trPr>
          <w:trHeight w:val="216"/>
        </w:trPr>
        <w:tc>
          <w:tcPr>
            <w:tcW w:w="808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53,373</w:t>
            </w:r>
          </w:p>
        </w:tc>
      </w:tr>
      <w:tr>
        <w:trPr>
          <w:trHeight w:val="216"/>
        </w:trPr>
        <w:tc>
          <w:tcPr>
            <w:tcW w:w="8080" w:type="dxa"/>
            <w:vAlign w:val="bottom"/>
          </w:tcPr>
          <w:p>
            <w:pPr>
              <w:spacing w:after="0"/>
              <w:rPr>
                <w:sz w:val="20"/>
                <w:szCs w:val="20"/>
                <w:color w:val="auto"/>
              </w:rPr>
            </w:pPr>
            <w:r>
              <w:rPr>
                <w:rFonts w:ascii="Arial" w:cs="Arial" w:eastAsia="Arial" w:hAnsi="Arial"/>
                <w:sz w:val="18"/>
                <w:szCs w:val="18"/>
                <w:color w:val="auto"/>
              </w:rPr>
              <w:t>Building improvements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49,927</w:t>
            </w: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49,753</w:t>
            </w:r>
          </w:p>
        </w:tc>
      </w:tr>
      <w:tr>
        <w:trPr>
          <w:trHeight w:val="216"/>
        </w:trPr>
        <w:tc>
          <w:tcPr>
            <w:tcW w:w="808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50,192</w:t>
            </w: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51,434</w:t>
            </w:r>
          </w:p>
        </w:tc>
      </w:tr>
      <w:tr>
        <w:trPr>
          <w:trHeight w:val="216"/>
        </w:trPr>
        <w:tc>
          <w:tcPr>
            <w:tcW w:w="8080" w:type="dxa"/>
            <w:vAlign w:val="bottom"/>
          </w:tcPr>
          <w:p>
            <w:pPr>
              <w:spacing w:after="0"/>
              <w:rPr>
                <w:sz w:val="20"/>
                <w:szCs w:val="20"/>
                <w:color w:val="auto"/>
              </w:rPr>
            </w:pPr>
            <w:r>
              <w:rPr>
                <w:rFonts w:ascii="Arial" w:cs="Arial" w:eastAsia="Arial" w:hAnsi="Arial"/>
                <w:sz w:val="18"/>
                <w:szCs w:val="18"/>
                <w:color w:val="auto"/>
              </w:rPr>
              <w:t>Furniture and fixtures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27,119</w:t>
            </w: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27,883</w:t>
            </w:r>
          </w:p>
        </w:tc>
      </w:tr>
      <w:tr>
        <w:trPr>
          <w:trHeight w:val="216"/>
        </w:trPr>
        <w:tc>
          <w:tcPr>
            <w:tcW w:w="808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1,353</w:t>
            </w:r>
          </w:p>
        </w:tc>
        <w:tc>
          <w:tcPr>
            <w:tcW w:w="7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6,167</w:t>
            </w:r>
          </w:p>
        </w:tc>
        <w:tc>
          <w:tcPr>
            <w:tcW w:w="100" w:type="dxa"/>
            <w:vAlign w:val="bottom"/>
            <w:shd w:val="clear" w:color="auto" w:fill="CCEEFF"/>
          </w:tcPr>
          <w:p>
            <w:pPr>
              <w:spacing w:after="0"/>
              <w:rPr>
                <w:sz w:val="18"/>
                <w:szCs w:val="18"/>
                <w:color w:val="auto"/>
              </w:rPr>
            </w:pPr>
          </w:p>
        </w:tc>
      </w:tr>
      <w:tr>
        <w:trPr>
          <w:trHeight w:val="221"/>
        </w:trPr>
        <w:tc>
          <w:tcPr>
            <w:tcW w:w="80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1,007,839</w:t>
            </w:r>
          </w:p>
        </w:tc>
        <w:tc>
          <w:tcPr>
            <w:tcW w:w="7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1,034,203</w:t>
            </w:r>
          </w:p>
        </w:tc>
      </w:tr>
      <w:tr>
        <w:trPr>
          <w:trHeight w:val="218"/>
        </w:trPr>
        <w:tc>
          <w:tcPr>
            <w:tcW w:w="8080" w:type="dxa"/>
            <w:vAlign w:val="bottom"/>
            <w:shd w:val="clear" w:color="auto" w:fill="CCEEFF"/>
          </w:tcPr>
          <w:p>
            <w:pPr>
              <w:spacing w:after="0"/>
              <w:rPr>
                <w:sz w:val="20"/>
                <w:szCs w:val="20"/>
                <w:color w:val="auto"/>
              </w:rPr>
            </w:pPr>
            <w:r>
              <w:rPr>
                <w:rFonts w:ascii="Arial" w:cs="Arial" w:eastAsia="Arial" w:hAnsi="Arial"/>
                <w:sz w:val="18"/>
                <w:szCs w:val="18"/>
                <w:color w:val="auto"/>
              </w:rPr>
              <w:t>Less: Accumulated depreciation</w:t>
            </w:r>
          </w:p>
        </w:tc>
        <w:tc>
          <w:tcPr>
            <w:tcW w:w="1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95"/>
              </w:rPr>
              <w:t>(708,299)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(693,564)</w:t>
            </w:r>
          </w:p>
        </w:tc>
      </w:tr>
      <w:tr>
        <w:trPr>
          <w:trHeight w:val="222"/>
        </w:trPr>
        <w:tc>
          <w:tcPr>
            <w:tcW w:w="80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299,540</w:t>
            </w:r>
          </w:p>
        </w:tc>
        <w:tc>
          <w:tcPr>
            <w:tcW w:w="7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340,639</w:t>
            </w:r>
          </w:p>
        </w:tc>
        <w:tc>
          <w:tcPr>
            <w:tcW w:w="100" w:type="dxa"/>
            <w:vAlign w:val="bottom"/>
          </w:tcPr>
          <w:p>
            <w:pPr>
              <w:spacing w:after="0"/>
              <w:rPr>
                <w:sz w:val="19"/>
                <w:szCs w:val="19"/>
                <w:color w:val="auto"/>
              </w:rPr>
            </w:pPr>
          </w:p>
        </w:tc>
      </w:tr>
      <w:tr>
        <w:trPr>
          <w:trHeight w:val="20"/>
        </w:trPr>
        <w:tc>
          <w:tcPr>
            <w:tcW w:w="80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recorded depreciation expense of $73.8 million, $78.3 million and $77.2 million for fiscal 2016, 2015 and 2014, respectively.</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42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30,</w:t>
            </w:r>
          </w:p>
        </w:tc>
        <w:tc>
          <w:tcPr>
            <w:tcW w:w="62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31,</w:t>
            </w:r>
          </w:p>
        </w:tc>
      </w:tr>
      <w:tr>
        <w:trPr>
          <w:trHeight w:val="161"/>
        </w:trPr>
        <w:tc>
          <w:tcPr>
            <w:tcW w:w="8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2016</w:t>
            </w:r>
          </w:p>
        </w:tc>
        <w:tc>
          <w:tcPr>
            <w:tcW w:w="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8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48,770</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61,217</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34,505</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22,273</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5,804</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9,267</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13,123</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13,432</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Deposits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51,512</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7,903</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10,996</w:t>
            </w:r>
          </w:p>
        </w:tc>
        <w:tc>
          <w:tcPr>
            <w:tcW w:w="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14,747</w:t>
            </w:r>
          </w:p>
        </w:tc>
        <w:tc>
          <w:tcPr>
            <w:tcW w:w="100" w:type="dxa"/>
            <w:vAlign w:val="bottom"/>
            <w:shd w:val="clear" w:color="auto" w:fill="CCEEFF"/>
          </w:tcPr>
          <w:p>
            <w:pPr>
              <w:spacing w:after="0"/>
              <w:rPr>
                <w:sz w:val="18"/>
                <w:szCs w:val="18"/>
                <w:color w:val="auto"/>
              </w:rPr>
            </w:pPr>
          </w:p>
        </w:tc>
      </w:tr>
      <w:tr>
        <w:trPr>
          <w:trHeight w:val="222"/>
        </w:trPr>
        <w:tc>
          <w:tcPr>
            <w:tcW w:w="8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164,710</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128,839</w:t>
            </w:r>
          </w:p>
        </w:tc>
        <w:tc>
          <w:tcPr>
            <w:tcW w:w="100" w:type="dxa"/>
            <w:vAlign w:val="bottom"/>
          </w:tcPr>
          <w:p>
            <w:pPr>
              <w:spacing w:after="0"/>
              <w:rPr>
                <w:sz w:val="19"/>
                <w:szCs w:val="19"/>
                <w:color w:val="auto"/>
              </w:rPr>
            </w:pPr>
          </w:p>
        </w:tc>
      </w:tr>
      <w:tr>
        <w:trPr>
          <w:trHeight w:val="20"/>
        </w:trPr>
        <w:tc>
          <w:tcPr>
            <w:tcW w:w="8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Amortization of technology and other licenses was $26.4 million, $27.9 million and $25.6 million in fiscal 2016, 2015 and 2014, respectively. During fiscal 2016 and fiscal 2014, the Company recorded a charge of $3.5 and $1.5 million, respectively, to write down investments in privately-held companies that were considered to be impaired. There were no such charges recorded in fiscal 2015.</w:t>
      </w:r>
    </w:p>
    <w:p>
      <w:pPr>
        <w:spacing w:after="0" w:line="16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474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January 30,</w:t>
            </w:r>
          </w:p>
        </w:tc>
        <w:tc>
          <w:tcPr>
            <w:tcW w:w="3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31,</w:t>
            </w:r>
          </w:p>
        </w:tc>
        <w:tc>
          <w:tcPr>
            <w:tcW w:w="0" w:type="dxa"/>
            <w:vAlign w:val="bottom"/>
          </w:tcPr>
          <w:p>
            <w:pPr>
              <w:spacing w:after="0"/>
              <w:rPr>
                <w:sz w:val="1"/>
                <w:szCs w:val="1"/>
                <w:color w:val="auto"/>
              </w:rPr>
            </w:pPr>
          </w:p>
        </w:tc>
      </w:tr>
      <w:tr>
        <w:trPr>
          <w:trHeight w:val="161"/>
        </w:trPr>
        <w:tc>
          <w:tcPr>
            <w:tcW w:w="3680" w:type="dxa"/>
            <w:vAlign w:val="bottom"/>
            <w:tcBorders>
              <w:bottom w:val="single" w:sz="8" w:color="CCEEFF"/>
            </w:tcBorders>
          </w:tcPr>
          <w:p>
            <w:pPr>
              <w:spacing w:after="0"/>
              <w:rPr>
                <w:sz w:val="14"/>
                <w:szCs w:val="14"/>
                <w:color w:val="auto"/>
              </w:rPr>
            </w:pPr>
          </w:p>
        </w:tc>
        <w:tc>
          <w:tcPr>
            <w:tcW w:w="47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2016</w:t>
            </w: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6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4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80" w:type="dxa"/>
            <w:vAlign w:val="bottom"/>
          </w:tcPr>
          <w:p>
            <w:pPr>
              <w:spacing w:after="0"/>
              <w:rPr>
                <w:sz w:val="20"/>
                <w:szCs w:val="20"/>
                <w:color w:val="auto"/>
              </w:rPr>
            </w:pPr>
            <w:r>
              <w:rPr>
                <w:rFonts w:ascii="Arial" w:cs="Arial" w:eastAsia="Arial" w:hAnsi="Arial"/>
                <w:sz w:val="18"/>
                <w:szCs w:val="18"/>
                <w:color w:val="auto"/>
              </w:rPr>
              <w:t>Accrued rebates</w:t>
            </w:r>
          </w:p>
        </w:tc>
        <w:tc>
          <w:tcPr>
            <w:tcW w:w="4840" w:type="dxa"/>
            <w:vAlign w:val="bottom"/>
            <w:gridSpan w:val="2"/>
          </w:tcPr>
          <w:p>
            <w:pPr>
              <w:ind w:left="4740"/>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41,320</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39,105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4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16,217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4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17,985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14,428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4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9,761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80" w:type="dxa"/>
            <w:vAlign w:val="bottom"/>
          </w:tcPr>
          <w:p>
            <w:pPr>
              <w:spacing w:after="0"/>
              <w:rPr>
                <w:sz w:val="20"/>
                <w:szCs w:val="20"/>
                <w:color w:val="auto"/>
              </w:rPr>
            </w:pPr>
            <w:r>
              <w:rPr>
                <w:rFonts w:ascii="Arial" w:cs="Arial" w:eastAsia="Arial" w:hAnsi="Arial"/>
                <w:sz w:val="18"/>
                <w:szCs w:val="18"/>
                <w:color w:val="auto"/>
              </w:rPr>
              <w:t>Accrued litigation</w:t>
            </w:r>
          </w:p>
        </w:tc>
        <w:tc>
          <w:tcPr>
            <w:tcW w:w="4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3,830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4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42,947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680" w:type="dxa"/>
            <w:vAlign w:val="bottom"/>
            <w:vMerge w:val="restart"/>
          </w:tcPr>
          <w:p>
            <w:pPr>
              <w:spacing w:after="0"/>
              <w:rPr>
                <w:sz w:val="20"/>
                <w:szCs w:val="20"/>
                <w:color w:val="auto"/>
              </w:rPr>
            </w:pPr>
            <w:r>
              <w:rPr>
                <w:rFonts w:ascii="Arial" w:cs="Arial" w:eastAsia="Arial" w:hAnsi="Arial"/>
                <w:sz w:val="18"/>
                <w:szCs w:val="18"/>
                <w:color w:val="auto"/>
              </w:rPr>
              <w:t>Accrued liabilities</w:t>
            </w:r>
          </w:p>
        </w:tc>
        <w:tc>
          <w:tcPr>
            <w:tcW w:w="47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680" w:type="dxa"/>
            <w:vAlign w:val="bottom"/>
            <w:vMerge w:val="continue"/>
          </w:tcPr>
          <w:p>
            <w:pPr>
              <w:spacing w:after="0"/>
              <w:rPr>
                <w:sz w:val="19"/>
                <w:szCs w:val="19"/>
                <w:color w:val="auto"/>
              </w:rPr>
            </w:pPr>
          </w:p>
        </w:tc>
        <w:tc>
          <w:tcPr>
            <w:tcW w:w="474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132,060</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131,388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680" w:type="dxa"/>
            <w:vAlign w:val="bottom"/>
          </w:tcPr>
          <w:p>
            <w:pPr>
              <w:spacing w:after="0" w:line="20" w:lineRule="exact"/>
              <w:rPr>
                <w:sz w:val="1"/>
                <w:szCs w:val="1"/>
                <w:color w:val="auto"/>
              </w:rPr>
            </w:pPr>
          </w:p>
        </w:tc>
        <w:tc>
          <w:tcPr>
            <w:tcW w:w="4740" w:type="dxa"/>
            <w:vAlign w:val="bottom"/>
            <w:vMerge w:val="restart"/>
          </w:tcPr>
          <w:p>
            <w:pPr>
              <w:jc w:val="right"/>
              <w:ind w:right="2992"/>
              <w:spacing w:after="0"/>
              <w:rPr>
                <w:sz w:val="20"/>
                <w:szCs w:val="20"/>
                <w:color w:val="auto"/>
              </w:rPr>
            </w:pPr>
            <w:r>
              <w:rPr>
                <w:rFonts w:ascii="Arial" w:cs="Arial" w:eastAsia="Arial" w:hAnsi="Arial"/>
                <w:sz w:val="18"/>
                <w:szCs w:val="18"/>
                <w:color w:val="auto"/>
              </w:rPr>
              <w:t>77</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680" w:type="dxa"/>
            <w:vAlign w:val="bottom"/>
          </w:tcPr>
          <w:p>
            <w:pPr>
              <w:spacing w:after="0"/>
              <w:rPr>
                <w:sz w:val="24"/>
                <w:szCs w:val="24"/>
                <w:color w:val="auto"/>
              </w:rPr>
            </w:pPr>
          </w:p>
        </w:tc>
        <w:tc>
          <w:tcPr>
            <w:tcW w:w="47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68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1400" w:type="dxa"/>
            <w:vAlign w:val="bottom"/>
            <w:gridSpan w:val="5"/>
          </w:tcPr>
          <w:p>
            <w:pPr>
              <w:spacing w:after="0"/>
              <w:rPr>
                <w:sz w:val="20"/>
                <w:szCs w:val="20"/>
                <w:color w:val="auto"/>
              </w:rPr>
            </w:pPr>
            <w:r>
              <w:rPr>
                <w:rFonts w:ascii="Arial" w:cs="Arial" w:eastAsia="Arial" w:hAnsi="Arial"/>
                <w:sz w:val="14"/>
                <w:szCs w:val="14"/>
                <w:b w:val="1"/>
                <w:bCs w:val="1"/>
                <w:color w:val="auto"/>
              </w:rPr>
              <w:t>January 30,</w:t>
            </w: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680" w:type="dxa"/>
            <w:vAlign w:val="bottom"/>
            <w:tcBorders>
              <w:bottom w:val="single" w:sz="8" w:color="CCEEFF"/>
            </w:tcBorders>
          </w:tcPr>
          <w:p>
            <w:pPr>
              <w:spacing w:after="0"/>
              <w:rPr>
                <w:sz w:val="14"/>
                <w:szCs w:val="14"/>
                <w:color w:val="auto"/>
              </w:rPr>
            </w:pPr>
          </w:p>
        </w:tc>
        <w:tc>
          <w:tcPr>
            <w:tcW w:w="26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6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Deferred income:</w:t>
            </w:r>
          </w:p>
        </w:tc>
        <w:tc>
          <w:tcPr>
            <w:tcW w:w="2620" w:type="dxa"/>
            <w:vAlign w:val="bottom"/>
            <w:tcBorders>
              <w:right w:val="single" w:sz="8" w:color="CCEEFF"/>
            </w:tcBorders>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70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spacing w:after="0"/>
              <w:rPr>
                <w:sz w:val="20"/>
                <w:szCs w:val="20"/>
                <w:color w:val="auto"/>
              </w:rPr>
            </w:pPr>
            <w:r>
              <w:rPr>
                <w:rFonts w:ascii="Arial" w:cs="Arial" w:eastAsia="Arial" w:hAnsi="Arial"/>
                <w:sz w:val="18"/>
                <w:szCs w:val="18"/>
                <w:color w:val="auto"/>
              </w:rPr>
              <w:t>Net deferred revenue</w:t>
            </w:r>
          </w:p>
        </w:tc>
        <w:tc>
          <w:tcPr>
            <w:tcW w:w="2740" w:type="dxa"/>
            <w:vAlign w:val="bottom"/>
            <w:gridSpan w:val="2"/>
          </w:tcPr>
          <w:p>
            <w:pPr>
              <w:ind w:left="2600"/>
              <w:spacing w:after="0"/>
              <w:rPr>
                <w:sz w:val="20"/>
                <w:szCs w:val="20"/>
                <w:color w:val="auto"/>
              </w:rPr>
            </w:pPr>
            <w:r>
              <w:rPr>
                <w:rFonts w:ascii="Arial" w:cs="Arial" w:eastAsia="Arial" w:hAnsi="Arial"/>
                <w:sz w:val="18"/>
                <w:szCs w:val="18"/>
                <w:color w:val="auto"/>
              </w:rPr>
              <w:t>$</w:t>
            </w:r>
          </w:p>
        </w:tc>
        <w:tc>
          <w:tcPr>
            <w:tcW w:w="560" w:type="dxa"/>
            <w:vAlign w:val="bottom"/>
            <w:gridSpan w:val="2"/>
          </w:tcPr>
          <w:p>
            <w:pPr>
              <w:ind w:left="60"/>
              <w:spacing w:after="0"/>
              <w:rPr>
                <w:sz w:val="20"/>
                <w:szCs w:val="20"/>
                <w:color w:val="auto"/>
              </w:rPr>
            </w:pPr>
            <w:r>
              <w:rPr>
                <w:rFonts w:ascii="Arial" w:cs="Arial" w:eastAsia="Arial" w:hAnsi="Arial"/>
                <w:sz w:val="18"/>
                <w:szCs w:val="18"/>
                <w:color w:val="auto"/>
                <w:w w:val="87"/>
              </w:rPr>
              <w:t>77,935</w:t>
            </w:r>
          </w:p>
        </w:tc>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98,444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Deferred cost of goods sold</w:t>
            </w:r>
          </w:p>
        </w:tc>
        <w:tc>
          <w:tcPr>
            <w:tcW w:w="26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80" w:type="dxa"/>
            <w:vAlign w:val="bottom"/>
            <w:tcBorders>
              <w:right w:val="single" w:sz="8" w:color="CCEEFF"/>
            </w:tcBorders>
            <w:gridSpan w:val="4"/>
            <w:shd w:val="clear" w:color="auto" w:fill="CCEEFF"/>
          </w:tcPr>
          <w:p>
            <w:pPr>
              <w:jc w:val="right"/>
              <w:ind w:right="680"/>
              <w:spacing w:after="0"/>
              <w:rPr>
                <w:sz w:val="20"/>
                <w:szCs w:val="20"/>
                <w:color w:val="auto"/>
              </w:rPr>
            </w:pPr>
            <w:r>
              <w:rPr>
                <w:rFonts w:ascii="Arial" w:cs="Arial" w:eastAsia="Arial" w:hAnsi="Arial"/>
                <w:sz w:val="18"/>
                <w:szCs w:val="18"/>
                <w:color w:val="auto"/>
                <w:w w:val="86"/>
              </w:rPr>
              <w:t>(22,213)</w:t>
            </w: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2"/>
              </w:rPr>
              <w:t>(30,324)</w:t>
            </w:r>
          </w:p>
        </w:tc>
        <w:tc>
          <w:tcPr>
            <w:tcW w:w="0" w:type="dxa"/>
            <w:vAlign w:val="bottom"/>
          </w:tcPr>
          <w:p>
            <w:pPr>
              <w:spacing w:after="0"/>
              <w:rPr>
                <w:sz w:val="1"/>
                <w:szCs w:val="1"/>
                <w:color w:val="auto"/>
              </w:rPr>
            </w:pPr>
          </w:p>
        </w:tc>
      </w:tr>
      <w:tr>
        <w:trPr>
          <w:trHeight w:val="20"/>
        </w:trPr>
        <w:tc>
          <w:tcPr>
            <w:tcW w:w="5700" w:type="dxa"/>
            <w:vAlign w:val="bottom"/>
            <w:gridSpan w:val="2"/>
            <w:vMerge w:val="restart"/>
          </w:tcPr>
          <w:p>
            <w:pPr>
              <w:spacing w:after="0"/>
              <w:rPr>
                <w:sz w:val="20"/>
                <w:szCs w:val="20"/>
                <w:color w:val="auto"/>
              </w:rPr>
            </w:pPr>
            <w:r>
              <w:rPr>
                <w:rFonts w:ascii="Arial" w:cs="Arial" w:eastAsia="Arial" w:hAnsi="Arial"/>
                <w:sz w:val="18"/>
                <w:szCs w:val="18"/>
                <w:color w:val="auto"/>
              </w:rPr>
              <w:t>Deferred income</w:t>
            </w:r>
          </w:p>
        </w:tc>
        <w:tc>
          <w:tcPr>
            <w:tcW w:w="2620" w:type="dxa"/>
            <w:vAlign w:val="bottom"/>
            <w:tcBorders>
              <w:right w:val="single" w:sz="8" w:color="auto"/>
            </w:tcBorders>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00" w:type="dxa"/>
            <w:vAlign w:val="bottom"/>
            <w:gridSpan w:val="2"/>
            <w:vMerge w:val="continue"/>
          </w:tcPr>
          <w:p>
            <w:pPr>
              <w:spacing w:after="0"/>
              <w:rPr>
                <w:sz w:val="19"/>
                <w:szCs w:val="19"/>
                <w:color w:val="auto"/>
              </w:rPr>
            </w:pPr>
          </w:p>
        </w:tc>
        <w:tc>
          <w:tcPr>
            <w:tcW w:w="2740" w:type="dxa"/>
            <w:vAlign w:val="bottom"/>
            <w:gridSpan w:val="2"/>
          </w:tcPr>
          <w:p>
            <w:pPr>
              <w:ind w:left="2600"/>
              <w:spacing w:after="0"/>
              <w:rPr>
                <w:sz w:val="20"/>
                <w:szCs w:val="20"/>
                <w:color w:val="auto"/>
              </w:rPr>
            </w:pPr>
            <w:r>
              <w:rPr>
                <w:rFonts w:ascii="Arial" w:cs="Arial" w:eastAsia="Arial" w:hAnsi="Arial"/>
                <w:sz w:val="18"/>
                <w:szCs w:val="18"/>
                <w:color w:val="auto"/>
              </w:rPr>
              <w:t>$</w:t>
            </w:r>
          </w:p>
        </w:tc>
        <w:tc>
          <w:tcPr>
            <w:tcW w:w="560" w:type="dxa"/>
            <w:vAlign w:val="bottom"/>
            <w:gridSpan w:val="2"/>
          </w:tcPr>
          <w:p>
            <w:pPr>
              <w:ind w:left="60"/>
              <w:spacing w:after="0"/>
              <w:rPr>
                <w:sz w:val="20"/>
                <w:szCs w:val="20"/>
                <w:color w:val="auto"/>
              </w:rPr>
            </w:pPr>
            <w:r>
              <w:rPr>
                <w:rFonts w:ascii="Arial" w:cs="Arial" w:eastAsia="Arial" w:hAnsi="Arial"/>
                <w:sz w:val="18"/>
                <w:szCs w:val="18"/>
                <w:color w:val="auto"/>
                <w:w w:val="87"/>
              </w:rPr>
              <w:t>55,722</w:t>
            </w:r>
          </w:p>
        </w:tc>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68,120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680" w:type="dxa"/>
            <w:vAlign w:val="bottom"/>
          </w:tcPr>
          <w:p>
            <w:pPr>
              <w:spacing w:after="0" w:line="20" w:lineRule="exact"/>
              <w:rPr>
                <w:sz w:val="1"/>
                <w:szCs w:val="1"/>
                <w:color w:val="auto"/>
              </w:rPr>
            </w:pPr>
          </w:p>
        </w:tc>
        <w:tc>
          <w:tcPr>
            <w:tcW w:w="26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5680" w:type="dxa"/>
            <w:vAlign w:val="bottom"/>
          </w:tcPr>
          <w:p>
            <w:pPr>
              <w:spacing w:after="0"/>
              <w:rPr>
                <w:sz w:val="24"/>
                <w:szCs w:val="24"/>
                <w:color w:val="auto"/>
              </w:rPr>
            </w:pPr>
          </w:p>
        </w:tc>
        <w:tc>
          <w:tcPr>
            <w:tcW w:w="2620" w:type="dxa"/>
            <w:vAlign w:val="bottom"/>
          </w:tcPr>
          <w:p>
            <w:pPr>
              <w:spacing w:after="0"/>
              <w:rPr>
                <w:sz w:val="24"/>
                <w:szCs w:val="24"/>
                <w:color w:val="auto"/>
              </w:rPr>
            </w:pPr>
          </w:p>
        </w:tc>
        <w:tc>
          <w:tcPr>
            <w:tcW w:w="1400" w:type="dxa"/>
            <w:vAlign w:val="bottom"/>
            <w:gridSpan w:val="5"/>
          </w:tcPr>
          <w:p>
            <w:pPr>
              <w:spacing w:after="0"/>
              <w:rPr>
                <w:sz w:val="20"/>
                <w:szCs w:val="20"/>
                <w:color w:val="auto"/>
              </w:rPr>
            </w:pPr>
            <w:r>
              <w:rPr>
                <w:rFonts w:ascii="Arial" w:cs="Arial" w:eastAsia="Arial" w:hAnsi="Arial"/>
                <w:sz w:val="14"/>
                <w:szCs w:val="14"/>
                <w:b w:val="1"/>
                <w:bCs w:val="1"/>
                <w:color w:val="auto"/>
              </w:rPr>
              <w:t>January 30,</w:t>
            </w: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680" w:type="dxa"/>
            <w:vAlign w:val="bottom"/>
            <w:tcBorders>
              <w:bottom w:val="single" w:sz="8" w:color="CCEEFF"/>
            </w:tcBorders>
          </w:tcPr>
          <w:p>
            <w:pPr>
              <w:spacing w:after="0"/>
              <w:rPr>
                <w:sz w:val="14"/>
                <w:szCs w:val="14"/>
                <w:color w:val="auto"/>
              </w:rPr>
            </w:pPr>
          </w:p>
        </w:tc>
        <w:tc>
          <w:tcPr>
            <w:tcW w:w="26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97"/>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6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2620" w:type="dxa"/>
            <w:vAlign w:val="bottom"/>
            <w:tcBorders>
              <w:right w:val="single" w:sz="8" w:color="CCEEFF"/>
            </w:tcBorders>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70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740" w:type="dxa"/>
            <w:vAlign w:val="bottom"/>
            <w:gridSpan w:val="2"/>
          </w:tcPr>
          <w:p>
            <w:pPr>
              <w:ind w:left="2620"/>
              <w:spacing w:after="0"/>
              <w:rPr>
                <w:sz w:val="20"/>
                <w:szCs w:val="20"/>
                <w:color w:val="auto"/>
              </w:rPr>
            </w:pPr>
            <w:r>
              <w:rPr>
                <w:rFonts w:ascii="Arial" w:cs="Arial" w:eastAsia="Arial" w:hAnsi="Arial"/>
                <w:sz w:val="18"/>
                <w:szCs w:val="18"/>
                <w:color w:val="auto"/>
                <w:w w:val="99"/>
              </w:rPr>
              <w:t>$</w:t>
            </w:r>
          </w:p>
        </w:tc>
        <w:tc>
          <w:tcPr>
            <w:tcW w:w="580" w:type="dxa"/>
            <w:vAlign w:val="bottom"/>
            <w:gridSpan w:val="3"/>
          </w:tcPr>
          <w:p>
            <w:pPr>
              <w:jc w:val="right"/>
              <w:spacing w:after="0"/>
              <w:rPr>
                <w:sz w:val="20"/>
                <w:szCs w:val="20"/>
                <w:color w:val="auto"/>
              </w:rPr>
            </w:pPr>
            <w:r>
              <w:rPr>
                <w:rFonts w:ascii="Arial" w:cs="Arial" w:eastAsia="Arial" w:hAnsi="Arial"/>
                <w:sz w:val="18"/>
                <w:szCs w:val="18"/>
                <w:color w:val="auto"/>
              </w:rPr>
              <w:t>12,461</w:t>
            </w:r>
          </w:p>
        </w:tc>
        <w:tc>
          <w:tcPr>
            <w:tcW w:w="70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16,468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26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6,078</w:t>
            </w:r>
          </w:p>
        </w:tc>
        <w:tc>
          <w:tcPr>
            <w:tcW w:w="7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680" w:type="dxa"/>
            <w:vAlign w:val="bottom"/>
          </w:tcPr>
          <w:p>
            <w:pPr>
              <w:spacing w:after="0"/>
              <w:rPr>
                <w:sz w:val="20"/>
                <w:szCs w:val="20"/>
                <w:color w:val="auto"/>
              </w:rPr>
            </w:pPr>
            <w:r>
              <w:rPr>
                <w:rFonts w:ascii="Arial" w:cs="Arial" w:eastAsia="Arial" w:hAnsi="Arial"/>
                <w:sz w:val="18"/>
                <w:szCs w:val="18"/>
                <w:color w:val="auto"/>
              </w:rPr>
              <w:t>Other</w:t>
            </w:r>
          </w:p>
        </w:tc>
        <w:tc>
          <w:tcPr>
            <w:tcW w:w="26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8,424</w:t>
            </w:r>
          </w:p>
        </w:tc>
        <w:tc>
          <w:tcPr>
            <w:tcW w:w="7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740" w:type="dxa"/>
            <w:vAlign w:val="bottom"/>
            <w:gridSpan w:val="2"/>
            <w:shd w:val="clear" w:color="auto" w:fill="CCEEFF"/>
          </w:tcPr>
          <w:p>
            <w:pPr>
              <w:ind w:left="2620"/>
              <w:spacing w:after="0"/>
              <w:rPr>
                <w:sz w:val="20"/>
                <w:szCs w:val="20"/>
                <w:color w:val="auto"/>
              </w:rPr>
            </w:pPr>
            <w:r>
              <w:rPr>
                <w:rFonts w:ascii="Arial" w:cs="Arial" w:eastAsia="Arial" w:hAnsi="Arial"/>
                <w:sz w:val="18"/>
                <w:szCs w:val="18"/>
                <w:color w:val="auto"/>
                <w:w w:val="99"/>
              </w:rPr>
              <w:t>$</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26,963</w:t>
            </w:r>
          </w:p>
        </w:tc>
        <w:tc>
          <w:tcPr>
            <w:tcW w:w="7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680" w:type="dxa"/>
            <w:vAlign w:val="bottom"/>
          </w:tcPr>
          <w:p>
            <w:pPr>
              <w:spacing w:after="0" w:line="20" w:lineRule="exact"/>
              <w:rPr>
                <w:sz w:val="1"/>
                <w:szCs w:val="1"/>
                <w:color w:val="auto"/>
              </w:rPr>
            </w:pPr>
          </w:p>
        </w:tc>
        <w:tc>
          <w:tcPr>
            <w:tcW w:w="26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 (in thousands):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92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90"/>
              </w:rPr>
              <w:t>Unrealized</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180" w:type="dxa"/>
            <w:vAlign w:val="bottom"/>
            <w:gridSpan w:val="3"/>
          </w:tcPr>
          <w:p>
            <w:pPr>
              <w:jc w:val="center"/>
              <w:ind w:right="5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2"/>
                <w:szCs w:val="12"/>
                <w:color w:val="auto"/>
              </w:rPr>
            </w:pPr>
          </w:p>
        </w:tc>
        <w:tc>
          <w:tcPr>
            <w:tcW w:w="8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9"/>
              </w:rPr>
              <w:t>Gain</w:t>
            </w:r>
          </w:p>
        </w:tc>
        <w:tc>
          <w:tcPr>
            <w:tcW w:w="240" w:type="dxa"/>
            <w:vAlign w:val="bottom"/>
          </w:tcPr>
          <w:p>
            <w:pPr>
              <w:spacing w:after="0"/>
              <w:rPr>
                <w:sz w:val="12"/>
                <w:szCs w:val="12"/>
                <w:color w:val="auto"/>
              </w:rPr>
            </w:pPr>
          </w:p>
        </w:tc>
        <w:tc>
          <w:tcPr>
            <w:tcW w:w="92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6"/>
              </w:rPr>
              <w:t>Gain</w:t>
            </w:r>
          </w:p>
        </w:tc>
        <w:tc>
          <w:tcPr>
            <w:tcW w:w="92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82"/>
              </w:rPr>
              <w:t>(Loss) on</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6"/>
              </w:rPr>
              <w:t>Gain</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180" w:type="dxa"/>
            <w:vAlign w:val="bottom"/>
            <w:gridSpan w:val="3"/>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(Loss) on</w:t>
            </w:r>
          </w:p>
        </w:tc>
        <w:tc>
          <w:tcPr>
            <w:tcW w:w="100" w:type="dxa"/>
            <w:vAlign w:val="bottom"/>
          </w:tcPr>
          <w:p>
            <w:pPr>
              <w:spacing w:after="0"/>
              <w:rPr>
                <w:sz w:val="12"/>
                <w:szCs w:val="12"/>
                <w:color w:val="auto"/>
              </w:rPr>
            </w:pPr>
          </w:p>
        </w:tc>
        <w:tc>
          <w:tcPr>
            <w:tcW w:w="8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4"/>
              </w:rPr>
              <w:t>Auction</w:t>
            </w:r>
          </w:p>
        </w:tc>
        <w:tc>
          <w:tcPr>
            <w:tcW w:w="240" w:type="dxa"/>
            <w:vAlign w:val="bottom"/>
          </w:tcPr>
          <w:p>
            <w:pPr>
              <w:spacing w:after="0"/>
              <w:rPr>
                <w:sz w:val="12"/>
                <w:szCs w:val="12"/>
                <w:color w:val="auto"/>
              </w:rPr>
            </w:pPr>
          </w:p>
        </w:tc>
        <w:tc>
          <w:tcPr>
            <w:tcW w:w="92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5"/>
              </w:rPr>
              <w:t>(Loss) on</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2940" w:type="dxa"/>
            <w:vAlign w:val="bottom"/>
            <w:gridSpan w:val="4"/>
          </w:tcPr>
          <w:p>
            <w:pPr>
              <w:jc w:val="center"/>
              <w:ind w:left="1159"/>
              <w:spacing w:after="0" w:line="149" w:lineRule="exact"/>
              <w:rPr>
                <w:sz w:val="20"/>
                <w:szCs w:val="20"/>
                <w:color w:val="auto"/>
              </w:rPr>
            </w:pPr>
            <w:r>
              <w:rPr>
                <w:rFonts w:ascii="Arial" w:cs="Arial" w:eastAsia="Arial" w:hAnsi="Arial"/>
                <w:sz w:val="14"/>
                <w:szCs w:val="14"/>
                <w:b w:val="1"/>
                <w:bCs w:val="1"/>
                <w:color w:val="auto"/>
                <w:w w:val="90"/>
              </w:rPr>
              <w:t>Marketable</w:t>
            </w:r>
          </w:p>
        </w:tc>
        <w:tc>
          <w:tcPr>
            <w:tcW w:w="100" w:type="dxa"/>
            <w:vAlign w:val="bottom"/>
          </w:tcPr>
          <w:p>
            <w:pPr>
              <w:spacing w:after="0"/>
              <w:rPr>
                <w:sz w:val="12"/>
                <w:szCs w:val="12"/>
                <w:color w:val="auto"/>
              </w:rPr>
            </w:pPr>
          </w:p>
        </w:tc>
        <w:tc>
          <w:tcPr>
            <w:tcW w:w="8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2"/>
              </w:rPr>
              <w:t>Rate</w:t>
            </w:r>
          </w:p>
        </w:tc>
        <w:tc>
          <w:tcPr>
            <w:tcW w:w="240" w:type="dxa"/>
            <w:vAlign w:val="bottom"/>
          </w:tcPr>
          <w:p>
            <w:pPr>
              <w:spacing w:after="0"/>
              <w:rPr>
                <w:sz w:val="12"/>
                <w:szCs w:val="12"/>
                <w:color w:val="auto"/>
              </w:rPr>
            </w:pPr>
          </w:p>
        </w:tc>
        <w:tc>
          <w:tcPr>
            <w:tcW w:w="92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Cash Flow</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5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180" w:type="dxa"/>
            <w:vAlign w:val="bottom"/>
            <w:gridSpan w:val="3"/>
          </w:tcPr>
          <w:p>
            <w:pPr>
              <w:jc w:val="center"/>
              <w:ind w:right="500"/>
              <w:spacing w:after="0"/>
              <w:rPr>
                <w:sz w:val="20"/>
                <w:szCs w:val="20"/>
                <w:color w:val="auto"/>
              </w:rPr>
            </w:pPr>
            <w:r>
              <w:rPr>
                <w:rFonts w:ascii="Arial" w:cs="Arial" w:eastAsia="Arial" w:hAnsi="Arial"/>
                <w:sz w:val="14"/>
                <w:szCs w:val="14"/>
                <w:b w:val="1"/>
                <w:bCs w:val="1"/>
                <w:color w:val="auto"/>
                <w:w w:val="83"/>
              </w:rPr>
              <w:t>Securities</w:t>
            </w:r>
          </w:p>
        </w:tc>
        <w:tc>
          <w:tcPr>
            <w:tcW w:w="92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3"/>
              </w:rPr>
              <w:t>Securities</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2"/>
              </w:rPr>
              <w:t>Hedges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5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17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2,534</w:t>
            </w:r>
          </w:p>
        </w:tc>
        <w:tc>
          <w:tcPr>
            <w:tcW w:w="5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(2,871)</w:t>
            </w:r>
          </w:p>
        </w:tc>
        <w:tc>
          <w:tcPr>
            <w:tcW w:w="2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934</w:t>
            </w:r>
          </w:p>
        </w:tc>
        <w:tc>
          <w:tcPr>
            <w:tcW w:w="3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ind w:left="420"/>
              <w:spacing w:after="0"/>
              <w:rPr>
                <w:sz w:val="20"/>
                <w:szCs w:val="20"/>
                <w:color w:val="auto"/>
              </w:rPr>
            </w:pPr>
            <w:r>
              <w:rPr>
                <w:rFonts w:ascii="Arial" w:cs="Arial" w:eastAsia="Arial" w:hAnsi="Arial"/>
                <w:sz w:val="18"/>
                <w:szCs w:val="18"/>
                <w:color w:val="auto"/>
              </w:rPr>
              <w:t>Other comprehensive income (loss) before reclassifications</w:t>
            </w: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2"/>
          </w:tcPr>
          <w:p>
            <w:pPr>
              <w:jc w:val="right"/>
              <w:ind w:right="520"/>
              <w:spacing w:after="0"/>
              <w:rPr>
                <w:sz w:val="20"/>
                <w:szCs w:val="20"/>
                <w:color w:val="auto"/>
              </w:rPr>
            </w:pPr>
            <w:r>
              <w:rPr>
                <w:rFonts w:ascii="Arial" w:cs="Arial" w:eastAsia="Arial" w:hAnsi="Arial"/>
                <w:sz w:val="18"/>
                <w:szCs w:val="18"/>
                <w:color w:val="auto"/>
              </w:rPr>
              <w:t>2,479</w:t>
            </w: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85</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(2,338)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rPr>
              <w:t>226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1"/>
              </w:rPr>
              <w:t>Amounts reclassified from accumulated other comprehensive income</w:t>
            </w:r>
          </w:p>
        </w:tc>
        <w:tc>
          <w:tcPr>
            <w:tcW w:w="1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8"/>
              </w:rPr>
              <w:t>(1,245)</w:t>
            </w: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w:t>
            </w: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00" w:type="dxa"/>
            <w:vAlign w:val="bottom"/>
            <w:vMerge w:val="restart"/>
          </w:tcPr>
          <w:p>
            <w:pPr>
              <w:ind w:left="860"/>
              <w:spacing w:after="0"/>
              <w:rPr>
                <w:sz w:val="20"/>
                <w:szCs w:val="20"/>
                <w:color w:val="auto"/>
              </w:rPr>
            </w:pPr>
            <w:r>
              <w:rPr>
                <w:rFonts w:ascii="Arial" w:cs="Arial" w:eastAsia="Arial" w:hAnsi="Arial"/>
                <w:sz w:val="18"/>
                <w:szCs w:val="18"/>
                <w:color w:val="auto"/>
                <w:w w:val="89"/>
              </w:rPr>
              <w:t>Net current-period other comprehensive income (loss), net of tax</w:t>
            </w:r>
          </w:p>
        </w:tc>
        <w:tc>
          <w:tcPr>
            <w:tcW w:w="17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500" w:type="dxa"/>
            <w:vAlign w:val="bottom"/>
            <w:vMerge w:val="continue"/>
          </w:tcPr>
          <w:p>
            <w:pPr>
              <w:spacing w:after="0"/>
              <w:rPr>
                <w:sz w:val="19"/>
                <w:szCs w:val="19"/>
                <w:color w:val="auto"/>
              </w:rPr>
            </w:pPr>
          </w:p>
        </w:tc>
        <w:tc>
          <w:tcPr>
            <w:tcW w:w="17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40" w:type="dxa"/>
            <w:vAlign w:val="bottom"/>
            <w:gridSpan w:val="2"/>
          </w:tcPr>
          <w:p>
            <w:pPr>
              <w:jc w:val="right"/>
              <w:ind w:right="520"/>
              <w:spacing w:after="0"/>
              <w:rPr>
                <w:sz w:val="20"/>
                <w:szCs w:val="20"/>
                <w:color w:val="auto"/>
              </w:rPr>
            </w:pPr>
            <w:r>
              <w:rPr>
                <w:rFonts w:ascii="Arial" w:cs="Arial" w:eastAsia="Arial" w:hAnsi="Arial"/>
                <w:sz w:val="18"/>
                <w:szCs w:val="18"/>
                <w:color w:val="auto"/>
              </w:rPr>
              <w:t>1,234</w:t>
            </w:r>
          </w:p>
        </w:tc>
        <w:tc>
          <w:tcPr>
            <w:tcW w:w="10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597</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(2,120)</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gridSpan w:val="2"/>
          </w:tcPr>
          <w:p>
            <w:pPr>
              <w:jc w:val="right"/>
              <w:ind w:right="40"/>
              <w:spacing w:after="0"/>
              <w:rPr>
                <w:sz w:val="20"/>
                <w:szCs w:val="20"/>
                <w:color w:val="auto"/>
              </w:rPr>
            </w:pPr>
            <w:r>
              <w:rPr>
                <w:rFonts w:ascii="Arial" w:cs="Arial" w:eastAsia="Arial" w:hAnsi="Arial"/>
                <w:sz w:val="18"/>
                <w:szCs w:val="18"/>
                <w:color w:val="auto"/>
              </w:rPr>
              <w:t>(289)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500" w:type="dxa"/>
            <w:vAlign w:val="bottom"/>
          </w:tcPr>
          <w:p>
            <w:pPr>
              <w:spacing w:after="0"/>
              <w:rPr>
                <w:sz w:val="2"/>
                <w:szCs w:val="2"/>
                <w:color w:val="auto"/>
              </w:rPr>
            </w:pPr>
          </w:p>
        </w:tc>
        <w:tc>
          <w:tcPr>
            <w:tcW w:w="17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2015</w:t>
            </w:r>
          </w:p>
        </w:tc>
        <w:tc>
          <w:tcPr>
            <w:tcW w:w="1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3,768</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(2,274)</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(1,186)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ind w:left="420"/>
              <w:spacing w:after="0"/>
              <w:rPr>
                <w:sz w:val="20"/>
                <w:szCs w:val="20"/>
                <w:color w:val="auto"/>
              </w:rPr>
            </w:pPr>
            <w:r>
              <w:rPr>
                <w:rFonts w:ascii="Arial" w:cs="Arial" w:eastAsia="Arial" w:hAnsi="Arial"/>
                <w:sz w:val="18"/>
                <w:szCs w:val="18"/>
                <w:color w:val="auto"/>
              </w:rPr>
              <w:t>Other comprehensive income (loss) before reclassifications</w:t>
            </w: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w w:val="98"/>
              </w:rPr>
              <w:t>(3,838)</w:t>
            </w:r>
          </w:p>
        </w:tc>
        <w:tc>
          <w:tcPr>
            <w:tcW w:w="100" w:type="dxa"/>
            <w:vAlign w:val="bottom"/>
          </w:tcPr>
          <w:p>
            <w:pPr>
              <w:spacing w:after="0"/>
              <w:rPr>
                <w:sz w:val="18"/>
                <w:szCs w:val="18"/>
                <w:color w:val="auto"/>
              </w:rPr>
            </w:pPr>
          </w:p>
        </w:tc>
        <w:tc>
          <w:tcPr>
            <w:tcW w:w="8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1,111</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40"/>
              <w:spacing w:after="0"/>
              <w:rPr>
                <w:sz w:val="20"/>
                <w:szCs w:val="20"/>
                <w:color w:val="auto"/>
              </w:rPr>
            </w:pPr>
            <w:r>
              <w:rPr>
                <w:rFonts w:ascii="Arial" w:cs="Arial" w:eastAsia="Arial" w:hAnsi="Arial"/>
                <w:sz w:val="18"/>
                <w:szCs w:val="18"/>
                <w:color w:val="auto"/>
                <w:w w:val="87"/>
              </w:rPr>
              <w:t>(2,727)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1"/>
              </w:rPr>
              <w:t>Amounts reclassified from accumulated other comprehensive income</w:t>
            </w:r>
          </w:p>
        </w:tc>
        <w:tc>
          <w:tcPr>
            <w:tcW w:w="1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(586)</w:t>
            </w: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2,274</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1,624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00" w:type="dxa"/>
            <w:vAlign w:val="bottom"/>
            <w:vMerge w:val="restart"/>
          </w:tcPr>
          <w:p>
            <w:pPr>
              <w:ind w:left="860"/>
              <w:spacing w:after="0"/>
              <w:rPr>
                <w:sz w:val="20"/>
                <w:szCs w:val="20"/>
                <w:color w:val="auto"/>
              </w:rPr>
            </w:pPr>
            <w:r>
              <w:rPr>
                <w:rFonts w:ascii="Arial" w:cs="Arial" w:eastAsia="Arial" w:hAnsi="Arial"/>
                <w:sz w:val="18"/>
                <w:szCs w:val="18"/>
                <w:color w:val="auto"/>
                <w:w w:val="89"/>
              </w:rPr>
              <w:t>Net current-period other comprehensive income (loss), net of tax</w:t>
            </w:r>
          </w:p>
        </w:tc>
        <w:tc>
          <w:tcPr>
            <w:tcW w:w="17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500" w:type="dxa"/>
            <w:vAlign w:val="bottom"/>
            <w:vMerge w:val="continue"/>
          </w:tcPr>
          <w:p>
            <w:pPr>
              <w:spacing w:after="0"/>
              <w:rPr>
                <w:sz w:val="19"/>
                <w:szCs w:val="19"/>
                <w:color w:val="auto"/>
              </w:rPr>
            </w:pPr>
          </w:p>
        </w:tc>
        <w:tc>
          <w:tcPr>
            <w:tcW w:w="17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w w:val="98"/>
              </w:rPr>
              <w:t>(4,424)</w:t>
            </w:r>
          </w:p>
        </w:tc>
        <w:tc>
          <w:tcPr>
            <w:tcW w:w="10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2,274</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1,047</w:t>
            </w: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gridSpan w:val="2"/>
          </w:tcPr>
          <w:p>
            <w:pPr>
              <w:jc w:val="right"/>
              <w:ind w:right="40"/>
              <w:spacing w:after="0"/>
              <w:rPr>
                <w:sz w:val="20"/>
                <w:szCs w:val="20"/>
                <w:color w:val="auto"/>
              </w:rPr>
            </w:pPr>
            <w:r>
              <w:rPr>
                <w:rFonts w:ascii="Arial" w:cs="Arial" w:eastAsia="Arial" w:hAnsi="Arial"/>
                <w:sz w:val="18"/>
                <w:szCs w:val="18"/>
                <w:color w:val="auto"/>
                <w:w w:val="87"/>
              </w:rPr>
              <w:t>(1,103)</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500" w:type="dxa"/>
            <w:vAlign w:val="bottom"/>
          </w:tcPr>
          <w:p>
            <w:pPr>
              <w:spacing w:after="0"/>
              <w:rPr>
                <w:sz w:val="2"/>
                <w:szCs w:val="2"/>
                <w:color w:val="auto"/>
              </w:rPr>
            </w:pPr>
          </w:p>
        </w:tc>
        <w:tc>
          <w:tcPr>
            <w:tcW w:w="17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2016</w:t>
            </w:r>
          </w:p>
        </w:tc>
        <w:tc>
          <w:tcPr>
            <w:tcW w:w="1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(656)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00" w:type="dxa"/>
            <w:vAlign w:val="bottom"/>
          </w:tcPr>
          <w:p>
            <w:pPr>
              <w:spacing w:after="0" w:line="20" w:lineRule="exact"/>
              <w:rPr>
                <w:sz w:val="1"/>
                <w:szCs w:val="1"/>
                <w:color w:val="auto"/>
              </w:rPr>
            </w:pPr>
          </w:p>
        </w:tc>
        <w:tc>
          <w:tcPr>
            <w:tcW w:w="1760" w:type="dxa"/>
            <w:vAlign w:val="bottom"/>
            <w:vMerge w:val="restart"/>
          </w:tcPr>
          <w:p>
            <w:pPr>
              <w:jc w:val="right"/>
              <w:ind w:right="1399"/>
              <w:spacing w:after="0"/>
              <w:rPr>
                <w:sz w:val="20"/>
                <w:szCs w:val="20"/>
                <w:color w:val="auto"/>
              </w:rPr>
            </w:pPr>
            <w:r>
              <w:rPr>
                <w:rFonts w:ascii="Arial" w:cs="Arial" w:eastAsia="Arial" w:hAnsi="Arial"/>
                <w:sz w:val="18"/>
                <w:szCs w:val="18"/>
                <w:color w:val="auto"/>
              </w:rPr>
              <w:t>78</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500" w:type="dxa"/>
            <w:vAlign w:val="bottom"/>
          </w:tcPr>
          <w:p>
            <w:pPr>
              <w:spacing w:after="0"/>
              <w:rPr>
                <w:sz w:val="24"/>
                <w:szCs w:val="24"/>
                <w:color w:val="auto"/>
              </w:rPr>
            </w:pPr>
          </w:p>
        </w:tc>
        <w:tc>
          <w:tcPr>
            <w:tcW w:w="176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(loss) by components are presented in the following table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29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5"/>
          </w:tcPr>
          <w:p>
            <w:pPr>
              <w:jc w:val="center"/>
              <w:ind w:right="640"/>
              <w:spacing w:after="0"/>
              <w:rPr>
                <w:sz w:val="20"/>
                <w:szCs w:val="20"/>
                <w:color w:val="auto"/>
              </w:rPr>
            </w:pPr>
            <w:r>
              <w:rPr>
                <w:rFonts w:ascii="Arial" w:cs="Arial" w:eastAsia="Arial" w:hAnsi="Arial"/>
                <w:sz w:val="14"/>
                <w:szCs w:val="14"/>
                <w:b w:val="1"/>
                <w:bCs w:val="1"/>
                <w:color w:val="auto"/>
                <w:w w:val="88"/>
              </w:rPr>
              <w:t>Year Ended</w:t>
            </w: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6"/>
        </w:trPr>
        <w:tc>
          <w:tcPr>
            <w:tcW w:w="5080" w:type="dxa"/>
            <w:vAlign w:val="bottom"/>
            <w:gridSpan w:val="2"/>
            <w:vMerge w:val="continue"/>
          </w:tcPr>
          <w:p>
            <w:pPr>
              <w:spacing w:after="0"/>
              <w:rPr>
                <w:sz w:val="10"/>
                <w:szCs w:val="10"/>
                <w:color w:val="auto"/>
              </w:rPr>
            </w:pPr>
          </w:p>
        </w:tc>
        <w:tc>
          <w:tcPr>
            <w:tcW w:w="2940" w:type="dxa"/>
            <w:vAlign w:val="bottom"/>
          </w:tcPr>
          <w:p>
            <w:pPr>
              <w:spacing w:after="0"/>
              <w:rPr>
                <w:sz w:val="10"/>
                <w:szCs w:val="10"/>
                <w:color w:val="auto"/>
              </w:rPr>
            </w:pPr>
          </w:p>
        </w:tc>
        <w:tc>
          <w:tcPr>
            <w:tcW w:w="1300" w:type="dxa"/>
            <w:vAlign w:val="bottom"/>
            <w:gridSpan w:val="6"/>
          </w:tcPr>
          <w:p>
            <w:pPr>
              <w:spacing w:after="0" w:line="116" w:lineRule="exact"/>
              <w:rPr>
                <w:sz w:val="20"/>
                <w:szCs w:val="20"/>
                <w:color w:val="auto"/>
              </w:rPr>
            </w:pPr>
            <w:r>
              <w:rPr>
                <w:rFonts w:ascii="Arial" w:cs="Arial" w:eastAsia="Arial" w:hAnsi="Arial"/>
                <w:sz w:val="12"/>
                <w:szCs w:val="12"/>
                <w:b w:val="1"/>
                <w:bCs w:val="1"/>
                <w:color w:val="auto"/>
              </w:rPr>
              <w:t>January 30,</w:t>
            </w:r>
          </w:p>
        </w:tc>
        <w:tc>
          <w:tcPr>
            <w:tcW w:w="1320" w:type="dxa"/>
            <w:vAlign w:val="bottom"/>
            <w:gridSpan w:val="5"/>
          </w:tcPr>
          <w:p>
            <w:pPr>
              <w:jc w:val="center"/>
              <w:ind w:right="640"/>
              <w:spacing w:after="0" w:line="116" w:lineRule="exact"/>
              <w:rPr>
                <w:sz w:val="20"/>
                <w:szCs w:val="20"/>
                <w:color w:val="auto"/>
              </w:rPr>
            </w:pPr>
            <w:r>
              <w:rPr>
                <w:rFonts w:ascii="Arial" w:cs="Arial" w:eastAsia="Arial" w:hAnsi="Arial"/>
                <w:sz w:val="12"/>
                <w:szCs w:val="12"/>
                <w:b w:val="1"/>
                <w:bCs w:val="1"/>
                <w:color w:val="auto"/>
              </w:rPr>
              <w:t>January 31,</w:t>
            </w:r>
          </w:p>
        </w:tc>
        <w:tc>
          <w:tcPr>
            <w:tcW w:w="680" w:type="dxa"/>
            <w:vAlign w:val="bottom"/>
            <w:gridSpan w:val="2"/>
          </w:tcPr>
          <w:p>
            <w:pPr>
              <w:spacing w:after="0" w:line="116" w:lineRule="exact"/>
              <w:rPr>
                <w:sz w:val="20"/>
                <w:szCs w:val="20"/>
                <w:color w:val="auto"/>
              </w:rPr>
            </w:pPr>
            <w:r>
              <w:rPr>
                <w:rFonts w:ascii="Arial" w:cs="Arial" w:eastAsia="Arial" w:hAnsi="Arial"/>
                <w:sz w:val="12"/>
                <w:szCs w:val="12"/>
                <w:b w:val="1"/>
                <w:bCs w:val="1"/>
                <w:color w:val="auto"/>
                <w:w w:val="98"/>
              </w:rPr>
              <w:t>February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15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5"/>
              </w:rPr>
              <w:t>Statement of Operations</w:t>
            </w:r>
          </w:p>
        </w:tc>
        <w:tc>
          <w:tcPr>
            <w:tcW w:w="3500" w:type="dxa"/>
            <w:vAlign w:val="bottom"/>
          </w:tcPr>
          <w:p>
            <w:pPr>
              <w:spacing w:after="0"/>
              <w:rPr>
                <w:sz w:val="15"/>
                <w:szCs w:val="15"/>
                <w:color w:val="auto"/>
              </w:rPr>
            </w:pPr>
          </w:p>
        </w:tc>
        <w:tc>
          <w:tcPr>
            <w:tcW w:w="29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20" w:type="dxa"/>
            <w:vAlign w:val="bottom"/>
            <w:gridSpan w:val="2"/>
          </w:tcPr>
          <w:p>
            <w:pPr>
              <w:jc w:val="right"/>
              <w:ind w:right="134"/>
              <w:spacing w:after="0"/>
              <w:rPr>
                <w:sz w:val="20"/>
                <w:szCs w:val="20"/>
                <w:color w:val="auto"/>
              </w:rPr>
            </w:pPr>
            <w:r>
              <w:rPr>
                <w:rFonts w:ascii="Arial" w:cs="Arial" w:eastAsia="Arial" w:hAnsi="Arial"/>
                <w:sz w:val="14"/>
                <w:szCs w:val="14"/>
                <w:b w:val="1"/>
                <w:bCs w:val="1"/>
                <w:color w:val="auto"/>
                <w:w w:val="89"/>
              </w:rPr>
              <w:t>2016</w:t>
            </w: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00" w:type="dxa"/>
            <w:vAlign w:val="bottom"/>
          </w:tcPr>
          <w:p>
            <w:pPr>
              <w:jc w:val="center"/>
              <w:ind w:right="95"/>
              <w:spacing w:after="0"/>
              <w:rPr>
                <w:sz w:val="20"/>
                <w:szCs w:val="20"/>
                <w:color w:val="auto"/>
              </w:rPr>
            </w:pPr>
            <w:r>
              <w:rPr>
                <w:rFonts w:ascii="Arial" w:cs="Arial" w:eastAsia="Arial" w:hAnsi="Arial"/>
                <w:sz w:val="14"/>
                <w:szCs w:val="14"/>
                <w:b w:val="1"/>
                <w:bCs w:val="1"/>
                <w:color w:val="auto"/>
                <w:w w:val="89"/>
              </w:rPr>
              <w:t>2015</w:t>
            </w:r>
          </w:p>
        </w:tc>
        <w:tc>
          <w:tcPr>
            <w:tcW w:w="8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40" w:type="dxa"/>
            <w:vAlign w:val="bottom"/>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0"/>
        </w:trPr>
        <w:tc>
          <w:tcPr>
            <w:tcW w:w="508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color w:val="auto"/>
              </w:rPr>
              <w:t>Interest and other income, net:</w:t>
            </w:r>
          </w:p>
        </w:tc>
        <w:tc>
          <w:tcPr>
            <w:tcW w:w="2940" w:type="dxa"/>
            <w:vAlign w:val="bottom"/>
            <w:tcBorders>
              <w:top w:val="single" w:sz="8" w:color="CCEEFF"/>
              <w:right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spacing w:after="0"/>
              <w:rPr>
                <w:sz w:val="16"/>
                <w:szCs w:val="16"/>
                <w:color w:val="auto"/>
              </w:rPr>
            </w:pPr>
          </w:p>
        </w:tc>
        <w:tc>
          <w:tcPr>
            <w:tcW w:w="400" w:type="dxa"/>
            <w:vAlign w:val="bottom"/>
            <w:tcBorders>
              <w:top w:val="single" w:sz="8" w:color="auto"/>
            </w:tcBorders>
            <w:shd w:val="clear" w:color="auto" w:fill="CCEEFF"/>
          </w:tcPr>
          <w:p>
            <w:pPr>
              <w:spacing w:after="0"/>
              <w:rPr>
                <w:sz w:val="16"/>
                <w:szCs w:val="16"/>
                <w:color w:val="auto"/>
              </w:rPr>
            </w:pPr>
          </w:p>
        </w:tc>
        <w:tc>
          <w:tcPr>
            <w:tcW w:w="2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CCEEFF"/>
            </w:tcBorders>
            <w:shd w:val="clear" w:color="auto" w:fill="CCEEFF"/>
          </w:tcPr>
          <w:p>
            <w:pPr>
              <w:spacing w:after="0"/>
              <w:rPr>
                <w:sz w:val="16"/>
                <w:szCs w:val="16"/>
                <w:color w:val="auto"/>
              </w:rPr>
            </w:pPr>
          </w:p>
        </w:tc>
        <w:tc>
          <w:tcPr>
            <w:tcW w:w="46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500" w:type="dxa"/>
            <w:vAlign w:val="bottom"/>
            <w:tcBorders>
              <w:top w:val="single" w:sz="8" w:color="auto"/>
            </w:tcBorders>
            <w:shd w:val="clear" w:color="auto" w:fill="CCEEFF"/>
          </w:tcPr>
          <w:p>
            <w:pPr>
              <w:spacing w:after="0"/>
              <w:rPr>
                <w:sz w:val="16"/>
                <w:szCs w:val="16"/>
                <w:color w:val="auto"/>
              </w:rPr>
            </w:pPr>
          </w:p>
        </w:tc>
        <w:tc>
          <w:tcPr>
            <w:tcW w:w="80" w:type="dxa"/>
            <w:vAlign w:val="bottom"/>
            <w:tcBorders>
              <w:top w:val="single" w:sz="8" w:color="CCEEFF"/>
              <w:right w:val="single" w:sz="8" w:color="CCEEFF"/>
            </w:tcBorders>
            <w:shd w:val="clear" w:color="auto" w:fill="CCEEFF"/>
          </w:tcPr>
          <w:p>
            <w:pPr>
              <w:spacing w:after="0"/>
              <w:rPr>
                <w:sz w:val="16"/>
                <w:szCs w:val="16"/>
                <w:color w:val="auto"/>
              </w:rPr>
            </w:pPr>
          </w:p>
        </w:tc>
        <w:tc>
          <w:tcPr>
            <w:tcW w:w="560" w:type="dxa"/>
            <w:vAlign w:val="bottom"/>
            <w:tcBorders>
              <w:top w:val="single" w:sz="8" w:color="CCEEFF"/>
              <w:right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54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left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spacing w:after="0"/>
              <w:rPr>
                <w:sz w:val="20"/>
                <w:szCs w:val="20"/>
                <w:color w:val="auto"/>
              </w:rPr>
            </w:pPr>
            <w:r>
              <w:rPr>
                <w:rFonts w:ascii="Arial" w:cs="Arial" w:eastAsia="Arial" w:hAnsi="Arial"/>
                <w:sz w:val="18"/>
                <w:szCs w:val="18"/>
                <w:color w:val="auto"/>
              </w:rPr>
              <w:t>Available-for-sale securities:</w:t>
            </w:r>
          </w:p>
        </w:tc>
        <w:tc>
          <w:tcPr>
            <w:tcW w:w="2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Marketable securities</w:t>
            </w:r>
          </w:p>
        </w:tc>
        <w:tc>
          <w:tcPr>
            <w:tcW w:w="308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586</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1,245</w:t>
            </w:r>
          </w:p>
        </w:tc>
        <w:tc>
          <w:tcPr>
            <w:tcW w:w="5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1,139</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ind w:left="440"/>
              <w:spacing w:after="0"/>
              <w:rPr>
                <w:sz w:val="20"/>
                <w:szCs w:val="20"/>
                <w:color w:val="auto"/>
              </w:rPr>
            </w:pPr>
            <w:r>
              <w:rPr>
                <w:rFonts w:ascii="Arial" w:cs="Arial" w:eastAsia="Arial" w:hAnsi="Arial"/>
                <w:sz w:val="18"/>
                <w:szCs w:val="18"/>
                <w:color w:val="auto"/>
              </w:rPr>
              <w:t>Auction rate securities</w:t>
            </w:r>
          </w:p>
        </w:tc>
        <w:tc>
          <w:tcPr>
            <w:tcW w:w="2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4"/>
          </w:tcPr>
          <w:p>
            <w:pPr>
              <w:jc w:val="right"/>
              <w:ind w:right="120"/>
              <w:spacing w:after="0"/>
              <w:rPr>
                <w:sz w:val="20"/>
                <w:szCs w:val="20"/>
                <w:color w:val="auto"/>
              </w:rPr>
            </w:pPr>
            <w:r>
              <w:rPr>
                <w:rFonts w:ascii="Arial" w:cs="Arial" w:eastAsia="Arial" w:hAnsi="Arial"/>
                <w:sz w:val="18"/>
                <w:szCs w:val="18"/>
                <w:color w:val="auto"/>
                <w:w w:val="98"/>
              </w:rPr>
              <w:t>(2,274)</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(512)</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costs and expenses:</w:t>
            </w:r>
          </w:p>
        </w:tc>
        <w:tc>
          <w:tcPr>
            <w:tcW w:w="29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tcBorders>
              <w:right w:val="single" w:sz="8" w:color="CCEEFF"/>
            </w:tcBorders>
            <w:shd w:val="clear" w:color="auto" w:fill="CCEEFF"/>
          </w:tcPr>
          <w:p>
            <w:pPr>
              <w:spacing w:after="0"/>
              <w:rPr>
                <w:sz w:val="18"/>
                <w:szCs w:val="18"/>
                <w:color w:val="auto"/>
              </w:rPr>
            </w:pPr>
          </w:p>
        </w:tc>
        <w:tc>
          <w:tcPr>
            <w:tcW w:w="5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spacing w:after="0"/>
              <w:rPr>
                <w:sz w:val="20"/>
                <w:szCs w:val="20"/>
                <w:color w:val="auto"/>
              </w:rPr>
            </w:pPr>
            <w:r>
              <w:rPr>
                <w:rFonts w:ascii="Arial" w:cs="Arial" w:eastAsia="Arial" w:hAnsi="Arial"/>
                <w:sz w:val="18"/>
                <w:szCs w:val="18"/>
                <w:color w:val="auto"/>
              </w:rPr>
              <w:t>Cash flow hedges:</w:t>
            </w:r>
          </w:p>
        </w:tc>
        <w:tc>
          <w:tcPr>
            <w:tcW w:w="2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Research and development</w:t>
            </w:r>
          </w:p>
        </w:tc>
        <w:tc>
          <w:tcPr>
            <w:tcW w:w="29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(198)</w:t>
            </w:r>
          </w:p>
        </w:tc>
        <w:tc>
          <w:tcPr>
            <w:tcW w:w="5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3,329</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ind w:left="440"/>
              <w:spacing w:after="0"/>
              <w:rPr>
                <w:sz w:val="20"/>
                <w:szCs w:val="20"/>
                <w:color w:val="auto"/>
              </w:rPr>
            </w:pPr>
            <w:r>
              <w:rPr>
                <w:rFonts w:ascii="Arial" w:cs="Arial" w:eastAsia="Arial" w:hAnsi="Arial"/>
                <w:sz w:val="18"/>
                <w:szCs w:val="18"/>
                <w:color w:val="auto"/>
              </w:rPr>
              <w:t>Selling and marketing</w:t>
            </w:r>
          </w:p>
        </w:tc>
        <w:tc>
          <w:tcPr>
            <w:tcW w:w="2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3"/>
          </w:tcPr>
          <w:p>
            <w:pPr>
              <w:jc w:val="right"/>
              <w:ind w:right="120"/>
              <w:spacing w:after="0"/>
              <w:rPr>
                <w:sz w:val="20"/>
                <w:szCs w:val="20"/>
                <w:color w:val="auto"/>
              </w:rPr>
            </w:pPr>
            <w:r>
              <w:rPr>
                <w:rFonts w:ascii="Arial" w:cs="Arial" w:eastAsia="Arial" w:hAnsi="Arial"/>
                <w:sz w:val="18"/>
                <w:szCs w:val="18"/>
                <w:color w:val="auto"/>
              </w:rPr>
              <w:t>(1)</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General and administrative</w:t>
            </w:r>
          </w:p>
        </w:tc>
        <w:tc>
          <w:tcPr>
            <w:tcW w:w="29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w:t>
            </w:r>
          </w:p>
        </w:tc>
        <w:tc>
          <w:tcPr>
            <w:tcW w:w="5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80" w:type="dxa"/>
            <w:vAlign w:val="bottom"/>
            <w:gridSpan w:val="2"/>
            <w:vMerge w:val="restart"/>
          </w:tcPr>
          <w:p>
            <w:pPr>
              <w:spacing w:after="0"/>
              <w:rPr>
                <w:sz w:val="20"/>
                <w:szCs w:val="20"/>
                <w:color w:val="auto"/>
              </w:rPr>
            </w:pPr>
            <w:r>
              <w:rPr>
                <w:rFonts w:ascii="Arial" w:cs="Arial" w:eastAsia="Arial" w:hAnsi="Arial"/>
                <w:sz w:val="18"/>
                <w:szCs w:val="18"/>
                <w:color w:val="auto"/>
              </w:rPr>
              <w:t>Total</w:t>
            </w:r>
          </w:p>
        </w:tc>
        <w:tc>
          <w:tcPr>
            <w:tcW w:w="2940" w:type="dxa"/>
            <w:vAlign w:val="bottom"/>
            <w:tcBorders>
              <w:right w:val="single" w:sz="8" w:color="auto"/>
            </w:tcBorders>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80" w:type="dxa"/>
            <w:vAlign w:val="bottom"/>
            <w:gridSpan w:val="2"/>
            <w:vMerge w:val="continue"/>
          </w:tcPr>
          <w:p>
            <w:pPr>
              <w:spacing w:after="0"/>
              <w:rPr>
                <w:sz w:val="19"/>
                <w:szCs w:val="19"/>
                <w:color w:val="auto"/>
              </w:rPr>
            </w:pPr>
          </w:p>
        </w:tc>
        <w:tc>
          <w:tcPr>
            <w:tcW w:w="294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700" w:type="dxa"/>
            <w:vAlign w:val="bottom"/>
            <w:gridSpan w:val="4"/>
          </w:tcPr>
          <w:p>
            <w:pPr>
              <w:jc w:val="right"/>
              <w:ind w:right="120"/>
              <w:spacing w:after="0"/>
              <w:rPr>
                <w:sz w:val="20"/>
                <w:szCs w:val="20"/>
                <w:color w:val="auto"/>
              </w:rPr>
            </w:pPr>
            <w:r>
              <w:rPr>
                <w:rFonts w:ascii="Arial" w:cs="Arial" w:eastAsia="Arial" w:hAnsi="Arial"/>
                <w:sz w:val="18"/>
                <w:szCs w:val="18"/>
                <w:color w:val="auto"/>
                <w:w w:val="98"/>
              </w:rPr>
              <w:t>(1,624)</w:t>
            </w:r>
          </w:p>
        </w:tc>
        <w:tc>
          <w:tcPr>
            <w:tcW w:w="460" w:type="dxa"/>
            <w:vAlign w:val="bottom"/>
          </w:tcPr>
          <w:p>
            <w:pPr>
              <w:spacing w:after="0"/>
              <w:rPr>
                <w:sz w:val="19"/>
                <w:szCs w:val="19"/>
                <w:color w:val="auto"/>
              </w:rPr>
            </w:pPr>
          </w:p>
        </w:tc>
        <w:tc>
          <w:tcPr>
            <w:tcW w:w="18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rPr>
              <w:t>515</w:t>
            </w:r>
          </w:p>
        </w:tc>
        <w:tc>
          <w:tcPr>
            <w:tcW w:w="56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4,758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080" w:type="dxa"/>
            <w:vAlign w:val="bottom"/>
            <w:gridSpan w:val="2"/>
            <w:vMerge w:val="restart"/>
          </w:tcPr>
          <w:p>
            <w:pPr>
              <w:ind w:left="460"/>
              <w:spacing w:after="0"/>
              <w:rPr>
                <w:sz w:val="20"/>
                <w:szCs w:val="20"/>
                <w:color w:val="auto"/>
              </w:rPr>
            </w:pPr>
            <w:r>
              <w:rPr>
                <w:rFonts w:ascii="Arial" w:cs="Arial" w:eastAsia="Arial" w:hAnsi="Arial"/>
                <w:sz w:val="18"/>
                <w:szCs w:val="18"/>
                <w:b w:val="1"/>
                <w:bCs w:val="1"/>
                <w:i w:val="1"/>
                <w:iCs w:val="1"/>
                <w:color w:val="auto"/>
              </w:rPr>
              <w:t>Consolidated Statements of Operations</w:t>
            </w:r>
          </w:p>
        </w:tc>
        <w:tc>
          <w:tcPr>
            <w:tcW w:w="29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5080" w:type="dxa"/>
            <w:vAlign w:val="bottom"/>
            <w:gridSpan w:val="2"/>
            <w:vMerge w:val="continue"/>
          </w:tcPr>
          <w:p>
            <w:pPr>
              <w:spacing w:after="0"/>
              <w:rPr>
                <w:sz w:val="24"/>
                <w:szCs w:val="24"/>
                <w:color w:val="auto"/>
              </w:rPr>
            </w:pPr>
          </w:p>
        </w:tc>
        <w:tc>
          <w:tcPr>
            <w:tcW w:w="29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2"/>
        </w:trPr>
        <w:tc>
          <w:tcPr>
            <w:tcW w:w="1580" w:type="dxa"/>
            <w:vAlign w:val="bottom"/>
          </w:tcPr>
          <w:p>
            <w:pPr>
              <w:spacing w:after="0"/>
              <w:rPr>
                <w:sz w:val="20"/>
                <w:szCs w:val="20"/>
                <w:color w:val="auto"/>
              </w:rPr>
            </w:pPr>
          </w:p>
        </w:tc>
        <w:tc>
          <w:tcPr>
            <w:tcW w:w="3500" w:type="dxa"/>
            <w:vAlign w:val="bottom"/>
          </w:tcPr>
          <w:p>
            <w:pPr>
              <w:spacing w:after="0"/>
              <w:rPr>
                <w:sz w:val="20"/>
                <w:szCs w:val="20"/>
                <w:color w:val="auto"/>
              </w:rPr>
            </w:pPr>
          </w:p>
        </w:tc>
        <w:tc>
          <w:tcPr>
            <w:tcW w:w="29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40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160" w:type="dxa"/>
            <w:vAlign w:val="bottom"/>
            <w:tcBorders>
              <w:bottom w:val="single" w:sz="8" w:color="auto"/>
            </w:tcBorders>
          </w:tcPr>
          <w:p>
            <w:pPr>
              <w:spacing w:after="0"/>
              <w:rPr>
                <w:sz w:val="20"/>
                <w:szCs w:val="20"/>
                <w:color w:val="auto"/>
              </w:rPr>
            </w:pPr>
          </w:p>
        </w:tc>
        <w:tc>
          <w:tcPr>
            <w:tcW w:w="460" w:type="dxa"/>
            <w:vAlign w:val="bottom"/>
            <w:tcBorders>
              <w:bottom w:val="single" w:sz="8" w:color="auto"/>
            </w:tcBorders>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1240" w:type="dxa"/>
            <w:vAlign w:val="bottom"/>
            <w:tcBorders>
              <w:bottom w:val="single" w:sz="8" w:color="auto"/>
            </w:tcBorders>
            <w:gridSpan w:val="4"/>
          </w:tcPr>
          <w:p>
            <w:pPr>
              <w:spacing w:after="0"/>
              <w:rPr>
                <w:sz w:val="20"/>
                <w:szCs w:val="20"/>
                <w:color w:val="auto"/>
              </w:rPr>
            </w:pPr>
            <w:r>
              <w:rPr>
                <w:rFonts w:ascii="Arial" w:cs="Arial" w:eastAsia="Arial" w:hAnsi="Arial"/>
                <w:sz w:val="14"/>
                <w:szCs w:val="14"/>
                <w:b w:val="1"/>
                <w:bCs w:val="1"/>
                <w:color w:val="auto"/>
              </w:rPr>
              <w:t>Year Ended</w:t>
            </w:r>
          </w:p>
        </w:tc>
        <w:tc>
          <w:tcPr>
            <w:tcW w:w="140" w:type="dxa"/>
            <w:vAlign w:val="bottom"/>
            <w:tcBorders>
              <w:bottom w:val="single" w:sz="8" w:color="auto"/>
            </w:tcBorders>
          </w:tcPr>
          <w:p>
            <w:pPr>
              <w:spacing w:after="0"/>
              <w:rPr>
                <w:sz w:val="20"/>
                <w:szCs w:val="20"/>
                <w:color w:val="auto"/>
              </w:rPr>
            </w:pPr>
          </w:p>
        </w:tc>
        <w:tc>
          <w:tcPr>
            <w:tcW w:w="540" w:type="dxa"/>
            <w:vAlign w:val="bottom"/>
            <w:tcBorders>
              <w:bottom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29"/>
        </w:trPr>
        <w:tc>
          <w:tcPr>
            <w:tcW w:w="1580" w:type="dxa"/>
            <w:vAlign w:val="bottom"/>
          </w:tcPr>
          <w:p>
            <w:pPr>
              <w:spacing w:after="0"/>
              <w:rPr>
                <w:sz w:val="11"/>
                <w:szCs w:val="11"/>
                <w:color w:val="auto"/>
              </w:rPr>
            </w:pPr>
          </w:p>
        </w:tc>
        <w:tc>
          <w:tcPr>
            <w:tcW w:w="350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6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80" w:type="dxa"/>
            <w:vAlign w:val="bottom"/>
          </w:tcPr>
          <w:p>
            <w:pPr>
              <w:spacing w:after="0"/>
              <w:rPr>
                <w:sz w:val="11"/>
                <w:szCs w:val="11"/>
                <w:color w:val="auto"/>
              </w:rPr>
            </w:pPr>
          </w:p>
        </w:tc>
        <w:tc>
          <w:tcPr>
            <w:tcW w:w="124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4"/>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580" w:type="dxa"/>
            <w:vAlign w:val="bottom"/>
            <w:tcBorders>
              <w:bottom w:val="single" w:sz="8" w:color="CCEEFF"/>
            </w:tcBorders>
          </w:tcPr>
          <w:p>
            <w:pPr>
              <w:spacing w:after="0"/>
              <w:rPr>
                <w:sz w:val="14"/>
                <w:szCs w:val="14"/>
                <w:color w:val="auto"/>
              </w:rPr>
            </w:pPr>
          </w:p>
        </w:tc>
        <w:tc>
          <w:tcPr>
            <w:tcW w:w="3500" w:type="dxa"/>
            <w:vAlign w:val="bottom"/>
            <w:tcBorders>
              <w:bottom w:val="single" w:sz="8" w:color="CCEEFF"/>
            </w:tcBorders>
          </w:tcPr>
          <w:p>
            <w:pPr>
              <w:spacing w:after="0"/>
              <w:rPr>
                <w:sz w:val="14"/>
                <w:szCs w:val="14"/>
                <w:color w:val="auto"/>
              </w:rPr>
            </w:pPr>
          </w:p>
        </w:tc>
        <w:tc>
          <w:tcPr>
            <w:tcW w:w="29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2015</w:t>
            </w: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0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Interest and other income, net:</w:t>
            </w:r>
          </w:p>
        </w:tc>
        <w:tc>
          <w:tcPr>
            <w:tcW w:w="2940" w:type="dxa"/>
            <w:vAlign w:val="bottom"/>
            <w:tcBorders>
              <w:right w:val="single" w:sz="8" w:color="CCEEFF"/>
            </w:tcBorders>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80" w:type="dxa"/>
            <w:vAlign w:val="bottom"/>
            <w:tcBorders>
              <w:right w:val="single" w:sz="8" w:color="CCEEFF"/>
            </w:tcBorders>
            <w:shd w:val="clear" w:color="auto" w:fill="CCEEFF"/>
          </w:tcPr>
          <w:p>
            <w:pPr>
              <w:spacing w:after="0"/>
              <w:rPr>
                <w:sz w:val="17"/>
                <w:szCs w:val="17"/>
                <w:color w:val="auto"/>
              </w:rPr>
            </w:pPr>
          </w:p>
        </w:tc>
        <w:tc>
          <w:tcPr>
            <w:tcW w:w="560" w:type="dxa"/>
            <w:vAlign w:val="bottom"/>
            <w:tcBorders>
              <w:right w:val="single" w:sz="8" w:color="CCEEFF"/>
            </w:tcBorders>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tcBorders>
              <w:left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spacing w:after="0"/>
              <w:rPr>
                <w:sz w:val="20"/>
                <w:szCs w:val="20"/>
                <w:color w:val="auto"/>
              </w:rPr>
            </w:pPr>
            <w:r>
              <w:rPr>
                <w:rFonts w:ascii="Arial" w:cs="Arial" w:eastAsia="Arial" w:hAnsi="Arial"/>
                <w:sz w:val="18"/>
                <w:szCs w:val="18"/>
                <w:color w:val="auto"/>
              </w:rPr>
              <w:t>Interest income</w:t>
            </w:r>
          </w:p>
        </w:tc>
        <w:tc>
          <w:tcPr>
            <w:tcW w:w="2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4"/>
          </w:tcPr>
          <w:p>
            <w:pPr>
              <w:jc w:val="right"/>
              <w:ind w:right="460"/>
              <w:spacing w:after="0"/>
              <w:rPr>
                <w:sz w:val="20"/>
                <w:szCs w:val="20"/>
                <w:color w:val="auto"/>
              </w:rPr>
            </w:pPr>
            <w:r>
              <w:rPr>
                <w:rFonts w:ascii="Arial" w:cs="Arial" w:eastAsia="Arial" w:hAnsi="Arial"/>
                <w:sz w:val="18"/>
                <w:szCs w:val="18"/>
                <w:color w:val="auto"/>
              </w:rPr>
              <w:t>15,982</w:t>
            </w:r>
          </w:p>
        </w:tc>
        <w:tc>
          <w:tcPr>
            <w:tcW w:w="180" w:type="dxa"/>
            <w:vAlign w:val="bottom"/>
            <w:gridSpan w:val="2"/>
          </w:tcPr>
          <w:p>
            <w:pPr>
              <w:ind w:left="80"/>
              <w:spacing w:after="0"/>
              <w:rPr>
                <w:sz w:val="20"/>
                <w:szCs w:val="20"/>
                <w:color w:val="auto"/>
              </w:rPr>
            </w:pPr>
            <w:r>
              <w:rPr>
                <w:rFonts w:ascii="Arial" w:cs="Arial" w:eastAsia="Arial" w:hAnsi="Arial"/>
                <w:sz w:val="18"/>
                <w:szCs w:val="18"/>
                <w:color w:val="auto"/>
                <w:w w:val="79"/>
              </w:rPr>
              <w:t>$</w:t>
            </w:r>
          </w:p>
        </w:tc>
        <w:tc>
          <w:tcPr>
            <w:tcW w:w="1140" w:type="dxa"/>
            <w:vAlign w:val="bottom"/>
            <w:gridSpan w:val="3"/>
          </w:tcPr>
          <w:p>
            <w:pPr>
              <w:jc w:val="right"/>
              <w:ind w:right="560"/>
              <w:spacing w:after="0"/>
              <w:rPr>
                <w:sz w:val="20"/>
                <w:szCs w:val="20"/>
                <w:color w:val="auto"/>
              </w:rPr>
            </w:pPr>
            <w:r>
              <w:rPr>
                <w:rFonts w:ascii="Arial" w:cs="Arial" w:eastAsia="Arial" w:hAnsi="Arial"/>
                <w:sz w:val="18"/>
                <w:szCs w:val="18"/>
                <w:color w:val="auto"/>
              </w:rPr>
              <w:t>11,370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9,379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realized gain (loss) on investments</w:t>
            </w:r>
          </w:p>
        </w:tc>
        <w:tc>
          <w:tcPr>
            <w:tcW w:w="29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400"/>
              <w:spacing w:after="0"/>
              <w:rPr>
                <w:sz w:val="20"/>
                <w:szCs w:val="20"/>
                <w:color w:val="auto"/>
              </w:rPr>
            </w:pPr>
            <w:r>
              <w:rPr>
                <w:rFonts w:ascii="Arial" w:cs="Arial" w:eastAsia="Arial" w:hAnsi="Arial"/>
                <w:sz w:val="18"/>
                <w:szCs w:val="18"/>
                <w:color w:val="auto"/>
              </w:rPr>
              <w:t>(1,473)</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tcBorders>
              <w:right w:val="single" w:sz="8" w:color="CCEEFF"/>
            </w:tcBorders>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1,449</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1,299</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spacing w:after="0"/>
              <w:rPr>
                <w:sz w:val="20"/>
                <w:szCs w:val="20"/>
                <w:color w:val="auto"/>
              </w:rPr>
            </w:pPr>
            <w:r>
              <w:rPr>
                <w:rFonts w:ascii="Arial" w:cs="Arial" w:eastAsia="Arial" w:hAnsi="Arial"/>
                <w:sz w:val="18"/>
                <w:szCs w:val="18"/>
                <w:color w:val="auto"/>
              </w:rPr>
              <w:t>Currency translation gain</w:t>
            </w:r>
          </w:p>
        </w:tc>
        <w:tc>
          <w:tcPr>
            <w:tcW w:w="2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4"/>
          </w:tcPr>
          <w:p>
            <w:pPr>
              <w:jc w:val="right"/>
              <w:ind w:right="460"/>
              <w:spacing w:after="0"/>
              <w:rPr>
                <w:sz w:val="20"/>
                <w:szCs w:val="20"/>
                <w:color w:val="auto"/>
              </w:rPr>
            </w:pPr>
            <w:r>
              <w:rPr>
                <w:rFonts w:ascii="Arial" w:cs="Arial" w:eastAsia="Arial" w:hAnsi="Arial"/>
                <w:sz w:val="18"/>
                <w:szCs w:val="18"/>
                <w:color w:val="auto"/>
              </w:rPr>
              <w:t>6,655</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3"/>
          </w:tcPr>
          <w:p>
            <w:pPr>
              <w:jc w:val="right"/>
              <w:ind w:right="560"/>
              <w:spacing w:after="0"/>
              <w:rPr>
                <w:sz w:val="20"/>
                <w:szCs w:val="20"/>
                <w:color w:val="auto"/>
              </w:rPr>
            </w:pPr>
            <w:r>
              <w:rPr>
                <w:rFonts w:ascii="Arial" w:cs="Arial" w:eastAsia="Arial" w:hAnsi="Arial"/>
                <w:sz w:val="18"/>
                <w:szCs w:val="18"/>
                <w:color w:val="auto"/>
              </w:rPr>
              <w:t>1,871</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8,739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income (loss)</w:t>
            </w:r>
          </w:p>
        </w:tc>
        <w:tc>
          <w:tcPr>
            <w:tcW w:w="29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400"/>
              <w:spacing w:after="0"/>
              <w:rPr>
                <w:sz w:val="20"/>
                <w:szCs w:val="20"/>
                <w:color w:val="auto"/>
              </w:rPr>
            </w:pPr>
            <w:r>
              <w:rPr>
                <w:rFonts w:ascii="Arial" w:cs="Arial" w:eastAsia="Arial" w:hAnsi="Arial"/>
                <w:sz w:val="18"/>
                <w:szCs w:val="18"/>
                <w:color w:val="auto"/>
              </w:rPr>
              <w:t>(2,773)</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tcBorders>
              <w:right w:val="single" w:sz="8" w:color="CCEEFF"/>
            </w:tcBorders>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9,811</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8,025</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spacing w:after="0"/>
              <w:rPr>
                <w:sz w:val="20"/>
                <w:szCs w:val="20"/>
                <w:color w:val="auto"/>
              </w:rPr>
            </w:pPr>
            <w:r>
              <w:rPr>
                <w:rFonts w:ascii="Arial" w:cs="Arial" w:eastAsia="Arial" w:hAnsi="Arial"/>
                <w:sz w:val="18"/>
                <w:szCs w:val="18"/>
                <w:color w:val="auto"/>
              </w:rPr>
              <w:t>Interest expense</w:t>
            </w:r>
          </w:p>
        </w:tc>
        <w:tc>
          <w:tcPr>
            <w:tcW w:w="2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4"/>
          </w:tcPr>
          <w:p>
            <w:pPr>
              <w:jc w:val="right"/>
              <w:ind w:right="400"/>
              <w:spacing w:after="0"/>
              <w:rPr>
                <w:sz w:val="20"/>
                <w:szCs w:val="20"/>
                <w:color w:val="auto"/>
              </w:rPr>
            </w:pPr>
            <w:r>
              <w:rPr>
                <w:rFonts w:ascii="Arial" w:cs="Arial" w:eastAsia="Arial" w:hAnsi="Arial"/>
                <w:sz w:val="18"/>
                <w:szCs w:val="18"/>
                <w:color w:val="auto"/>
              </w:rPr>
              <w:t>(706)</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3"/>
          </w:tcPr>
          <w:p>
            <w:pPr>
              <w:jc w:val="right"/>
              <w:ind w:right="500"/>
              <w:spacing w:after="0"/>
              <w:rPr>
                <w:sz w:val="20"/>
                <w:szCs w:val="20"/>
                <w:color w:val="auto"/>
              </w:rPr>
            </w:pPr>
            <w:r>
              <w:rPr>
                <w:rFonts w:ascii="Arial" w:cs="Arial" w:eastAsia="Arial" w:hAnsi="Arial"/>
                <w:sz w:val="18"/>
                <w:szCs w:val="18"/>
                <w:color w:val="auto"/>
              </w:rPr>
              <w:t>(1,167)</w:t>
            </w: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(1,876)</w:t>
            </w:r>
          </w:p>
        </w:tc>
        <w:tc>
          <w:tcPr>
            <w:tcW w:w="0" w:type="dxa"/>
            <w:vAlign w:val="bottom"/>
          </w:tcPr>
          <w:p>
            <w:pPr>
              <w:spacing w:after="0"/>
              <w:rPr>
                <w:sz w:val="1"/>
                <w:szCs w:val="1"/>
                <w:color w:val="auto"/>
              </w:rPr>
            </w:pPr>
          </w:p>
        </w:tc>
      </w:tr>
      <w:tr>
        <w:trPr>
          <w:trHeight w:val="27"/>
        </w:trPr>
        <w:tc>
          <w:tcPr>
            <w:tcW w:w="1580" w:type="dxa"/>
            <w:vAlign w:val="bottom"/>
          </w:tcPr>
          <w:p>
            <w:pPr>
              <w:spacing w:after="0"/>
              <w:rPr>
                <w:sz w:val="2"/>
                <w:szCs w:val="2"/>
                <w:color w:val="auto"/>
              </w:rPr>
            </w:pPr>
          </w:p>
        </w:tc>
        <w:tc>
          <w:tcPr>
            <w:tcW w:w="3500" w:type="dxa"/>
            <w:vAlign w:val="bottom"/>
          </w:tcPr>
          <w:p>
            <w:pPr>
              <w:spacing w:after="0"/>
              <w:rPr>
                <w:sz w:val="2"/>
                <w:szCs w:val="2"/>
                <w:color w:val="auto"/>
              </w:rPr>
            </w:pPr>
          </w:p>
        </w:tc>
        <w:tc>
          <w:tcPr>
            <w:tcW w:w="2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80" w:type="dxa"/>
            <w:vAlign w:val="bottom"/>
            <w:tcBorders>
              <w:right w:val="single" w:sz="8" w:color="auto"/>
            </w:tcBorders>
            <w:shd w:val="clear" w:color="auto" w:fill="000000"/>
          </w:tcPr>
          <w:p>
            <w:pPr>
              <w:spacing w:after="0"/>
              <w:rPr>
                <w:sz w:val="2"/>
                <w:szCs w:val="2"/>
                <w:color w:val="auto"/>
              </w:rPr>
            </w:pPr>
          </w:p>
        </w:tc>
        <w:tc>
          <w:tcPr>
            <w:tcW w:w="560" w:type="dxa"/>
            <w:vAlign w:val="bottom"/>
            <w:tcBorders>
              <w:right w:val="single" w:sz="8" w:color="auto"/>
            </w:tcBorders>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580" w:type="dxa"/>
            <w:vAlign w:val="bottom"/>
            <w:shd w:val="clear" w:color="auto" w:fill="CCEEFF"/>
          </w:tcPr>
          <w:p>
            <w:pPr>
              <w:spacing w:after="0"/>
              <w:rPr>
                <w:sz w:val="18"/>
                <w:szCs w:val="18"/>
                <w:color w:val="auto"/>
              </w:rPr>
            </w:pPr>
          </w:p>
        </w:tc>
        <w:tc>
          <w:tcPr>
            <w:tcW w:w="3500" w:type="dxa"/>
            <w:vAlign w:val="bottom"/>
            <w:shd w:val="clear" w:color="auto" w:fill="CCEEFF"/>
          </w:tcPr>
          <w:p>
            <w:pPr>
              <w:spacing w:after="0"/>
              <w:rPr>
                <w:sz w:val="18"/>
                <w:szCs w:val="18"/>
                <w:color w:val="auto"/>
              </w:rPr>
            </w:pPr>
          </w:p>
        </w:tc>
        <w:tc>
          <w:tcPr>
            <w:tcW w:w="29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17,685</w:t>
            </w:r>
          </w:p>
        </w:tc>
        <w:tc>
          <w:tcPr>
            <w:tcW w:w="46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79"/>
              </w:rPr>
              <w:t>$</w:t>
            </w:r>
          </w:p>
        </w:tc>
        <w:tc>
          <w:tcPr>
            <w:tcW w:w="1140" w:type="dxa"/>
            <w:vAlign w:val="bottom"/>
            <w:tcBorders>
              <w:right w:val="single" w:sz="8" w:color="CCEEFF"/>
            </w:tcBorders>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23,334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25,566</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80" w:type="dxa"/>
            <w:vAlign w:val="bottom"/>
            <w:gridSpan w:val="2"/>
            <w:vMerge w:val="restart"/>
          </w:tcPr>
          <w:p>
            <w:pPr>
              <w:ind w:left="460"/>
              <w:spacing w:after="0"/>
              <w:rPr>
                <w:sz w:val="20"/>
                <w:szCs w:val="20"/>
                <w:color w:val="auto"/>
              </w:rPr>
            </w:pPr>
            <w:r>
              <w:rPr>
                <w:rFonts w:ascii="Arial" w:cs="Arial" w:eastAsia="Arial" w:hAnsi="Arial"/>
                <w:sz w:val="18"/>
                <w:szCs w:val="18"/>
                <w:b w:val="1"/>
                <w:bCs w:val="1"/>
                <w:i w:val="1"/>
                <w:iCs w:val="1"/>
                <w:color w:val="auto"/>
              </w:rPr>
              <w:t>Consolidated Statements of Cash Flows</w:t>
            </w:r>
          </w:p>
        </w:tc>
        <w:tc>
          <w:tcPr>
            <w:tcW w:w="29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080" w:type="dxa"/>
            <w:vAlign w:val="bottom"/>
            <w:gridSpan w:val="2"/>
            <w:vMerge w:val="continue"/>
          </w:tcPr>
          <w:p>
            <w:pPr>
              <w:spacing w:after="0"/>
              <w:rPr>
                <w:sz w:val="24"/>
                <w:szCs w:val="24"/>
                <w:color w:val="auto"/>
              </w:rPr>
            </w:pPr>
          </w:p>
        </w:tc>
        <w:tc>
          <w:tcPr>
            <w:tcW w:w="29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2"/>
        </w:trPr>
        <w:tc>
          <w:tcPr>
            <w:tcW w:w="1580" w:type="dxa"/>
            <w:vAlign w:val="bottom"/>
          </w:tcPr>
          <w:p>
            <w:pPr>
              <w:spacing w:after="0"/>
              <w:rPr>
                <w:sz w:val="20"/>
                <w:szCs w:val="20"/>
                <w:color w:val="auto"/>
              </w:rPr>
            </w:pPr>
          </w:p>
        </w:tc>
        <w:tc>
          <w:tcPr>
            <w:tcW w:w="3500" w:type="dxa"/>
            <w:vAlign w:val="bottom"/>
          </w:tcPr>
          <w:p>
            <w:pPr>
              <w:spacing w:after="0"/>
              <w:rPr>
                <w:sz w:val="20"/>
                <w:szCs w:val="20"/>
                <w:color w:val="auto"/>
              </w:rPr>
            </w:pPr>
          </w:p>
        </w:tc>
        <w:tc>
          <w:tcPr>
            <w:tcW w:w="2940" w:type="dxa"/>
            <w:vAlign w:val="bottom"/>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40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160" w:type="dxa"/>
            <w:vAlign w:val="bottom"/>
            <w:tcBorders>
              <w:bottom w:val="single" w:sz="8" w:color="auto"/>
            </w:tcBorders>
          </w:tcPr>
          <w:p>
            <w:pPr>
              <w:spacing w:after="0"/>
              <w:rPr>
                <w:sz w:val="20"/>
                <w:szCs w:val="20"/>
                <w:color w:val="auto"/>
              </w:rPr>
            </w:pPr>
          </w:p>
        </w:tc>
        <w:tc>
          <w:tcPr>
            <w:tcW w:w="460" w:type="dxa"/>
            <w:vAlign w:val="bottom"/>
            <w:tcBorders>
              <w:bottom w:val="single" w:sz="8" w:color="auto"/>
            </w:tcBorders>
          </w:tcPr>
          <w:p>
            <w:pPr>
              <w:spacing w:after="0"/>
              <w:rPr>
                <w:sz w:val="20"/>
                <w:szCs w:val="20"/>
                <w:color w:val="auto"/>
              </w:rPr>
            </w:pPr>
          </w:p>
        </w:tc>
        <w:tc>
          <w:tcPr>
            <w:tcW w:w="1320" w:type="dxa"/>
            <w:vAlign w:val="bottom"/>
            <w:tcBorders>
              <w:bottom w:val="single" w:sz="8" w:color="auto"/>
            </w:tcBorders>
            <w:gridSpan w:val="5"/>
          </w:tcPr>
          <w:p>
            <w:pPr>
              <w:jc w:val="center"/>
              <w:ind w:right="600"/>
              <w:spacing w:after="0"/>
              <w:rPr>
                <w:sz w:val="20"/>
                <w:szCs w:val="20"/>
                <w:color w:val="auto"/>
              </w:rPr>
            </w:pPr>
            <w:r>
              <w:rPr>
                <w:rFonts w:ascii="Arial" w:cs="Arial" w:eastAsia="Arial" w:hAnsi="Arial"/>
                <w:sz w:val="14"/>
                <w:szCs w:val="14"/>
                <w:b w:val="1"/>
                <w:bCs w:val="1"/>
                <w:color w:val="auto"/>
                <w:w w:val="88"/>
              </w:rPr>
              <w:t>Year Ended</w:t>
            </w:r>
          </w:p>
        </w:tc>
        <w:tc>
          <w:tcPr>
            <w:tcW w:w="140" w:type="dxa"/>
            <w:vAlign w:val="bottom"/>
            <w:tcBorders>
              <w:bottom w:val="single" w:sz="8" w:color="auto"/>
            </w:tcBorders>
          </w:tcPr>
          <w:p>
            <w:pPr>
              <w:spacing w:after="0"/>
              <w:rPr>
                <w:sz w:val="20"/>
                <w:szCs w:val="20"/>
                <w:color w:val="auto"/>
              </w:rPr>
            </w:pPr>
          </w:p>
        </w:tc>
        <w:tc>
          <w:tcPr>
            <w:tcW w:w="540" w:type="dxa"/>
            <w:vAlign w:val="bottom"/>
            <w:tcBorders>
              <w:bottom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29"/>
        </w:trPr>
        <w:tc>
          <w:tcPr>
            <w:tcW w:w="1580" w:type="dxa"/>
            <w:vAlign w:val="bottom"/>
          </w:tcPr>
          <w:p>
            <w:pPr>
              <w:spacing w:after="0"/>
              <w:rPr>
                <w:sz w:val="11"/>
                <w:szCs w:val="11"/>
                <w:color w:val="auto"/>
              </w:rPr>
            </w:pPr>
          </w:p>
        </w:tc>
        <w:tc>
          <w:tcPr>
            <w:tcW w:w="350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1300" w:type="dxa"/>
            <w:vAlign w:val="bottom"/>
            <w:gridSpan w:val="6"/>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1320" w:type="dxa"/>
            <w:vAlign w:val="bottom"/>
            <w:gridSpan w:val="5"/>
          </w:tcPr>
          <w:p>
            <w:pPr>
              <w:jc w:val="center"/>
              <w:ind w:right="620"/>
              <w:spacing w:after="0" w:line="129" w:lineRule="exact"/>
              <w:rPr>
                <w:sz w:val="20"/>
                <w:szCs w:val="20"/>
                <w:color w:val="auto"/>
              </w:rPr>
            </w:pPr>
            <w:r>
              <w:rPr>
                <w:rFonts w:ascii="Arial" w:cs="Arial" w:eastAsia="Arial" w:hAnsi="Arial"/>
                <w:sz w:val="14"/>
                <w:szCs w:val="14"/>
                <w:b w:val="1"/>
                <w:bCs w:val="1"/>
                <w:color w:val="auto"/>
                <w:w w:val="90"/>
              </w:rPr>
              <w:t>January 31,</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4"/>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580" w:type="dxa"/>
            <w:vAlign w:val="bottom"/>
            <w:tcBorders>
              <w:bottom w:val="single" w:sz="8" w:color="CCEEFF"/>
            </w:tcBorders>
          </w:tcPr>
          <w:p>
            <w:pPr>
              <w:spacing w:after="0"/>
              <w:rPr>
                <w:sz w:val="14"/>
                <w:szCs w:val="14"/>
                <w:color w:val="auto"/>
              </w:rPr>
            </w:pPr>
          </w:p>
        </w:tc>
        <w:tc>
          <w:tcPr>
            <w:tcW w:w="3500" w:type="dxa"/>
            <w:vAlign w:val="bottom"/>
            <w:tcBorders>
              <w:bottom w:val="single" w:sz="8" w:color="CCEEFF"/>
            </w:tcBorders>
          </w:tcPr>
          <w:p>
            <w:pPr>
              <w:spacing w:after="0"/>
              <w:rPr>
                <w:sz w:val="14"/>
                <w:szCs w:val="14"/>
                <w:color w:val="auto"/>
              </w:rPr>
            </w:pPr>
          </w:p>
        </w:tc>
        <w:tc>
          <w:tcPr>
            <w:tcW w:w="29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2"/>
          </w:tcPr>
          <w:p>
            <w:pPr>
              <w:jc w:val="right"/>
              <w:ind w:right="94"/>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75"/>
              <w:spacing w:after="0"/>
              <w:rPr>
                <w:sz w:val="20"/>
                <w:szCs w:val="20"/>
                <w:color w:val="auto"/>
              </w:rPr>
            </w:pPr>
            <w:r>
              <w:rPr>
                <w:rFonts w:ascii="Arial" w:cs="Arial" w:eastAsia="Arial" w:hAnsi="Arial"/>
                <w:sz w:val="14"/>
                <w:szCs w:val="14"/>
                <w:b w:val="1"/>
                <w:bCs w:val="1"/>
                <w:color w:val="auto"/>
                <w:w w:val="83"/>
              </w:rPr>
              <w:t>2015</w:t>
            </w: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0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Supplemental cash flow information:</w:t>
            </w:r>
          </w:p>
        </w:tc>
        <w:tc>
          <w:tcPr>
            <w:tcW w:w="2940" w:type="dxa"/>
            <w:vAlign w:val="bottom"/>
            <w:tcBorders>
              <w:right w:val="single" w:sz="8" w:color="CCEEFF"/>
            </w:tcBorders>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80" w:type="dxa"/>
            <w:vAlign w:val="bottom"/>
            <w:tcBorders>
              <w:right w:val="single" w:sz="8" w:color="CCEEFF"/>
            </w:tcBorders>
            <w:shd w:val="clear" w:color="auto" w:fill="CCEEFF"/>
          </w:tcPr>
          <w:p>
            <w:pPr>
              <w:spacing w:after="0"/>
              <w:rPr>
                <w:sz w:val="17"/>
                <w:szCs w:val="17"/>
                <w:color w:val="auto"/>
              </w:rPr>
            </w:pPr>
          </w:p>
        </w:tc>
        <w:tc>
          <w:tcPr>
            <w:tcW w:w="560" w:type="dxa"/>
            <w:vAlign w:val="bottom"/>
            <w:tcBorders>
              <w:right w:val="single" w:sz="8" w:color="CCEEFF"/>
            </w:tcBorders>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tcBorders>
              <w:left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ind w:left="440"/>
              <w:spacing w:after="0"/>
              <w:rPr>
                <w:sz w:val="20"/>
                <w:szCs w:val="20"/>
                <w:color w:val="auto"/>
              </w:rPr>
            </w:pPr>
            <w:r>
              <w:rPr>
                <w:rFonts w:ascii="Arial" w:cs="Arial" w:eastAsia="Arial" w:hAnsi="Arial"/>
                <w:sz w:val="18"/>
                <w:szCs w:val="18"/>
                <w:color w:val="auto"/>
              </w:rPr>
              <w:t>Cash paid for interest</w:t>
            </w:r>
          </w:p>
        </w:tc>
        <w:tc>
          <w:tcPr>
            <w:tcW w:w="3080" w:type="dxa"/>
            <w:vAlign w:val="bottom"/>
            <w:gridSpan w:val="2"/>
          </w:tcPr>
          <w:p>
            <w:pPr>
              <w:ind w:left="29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703</w:t>
            </w:r>
          </w:p>
        </w:tc>
        <w:tc>
          <w:tcPr>
            <w:tcW w:w="1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8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1,167</w:t>
            </w:r>
          </w:p>
        </w:tc>
        <w:tc>
          <w:tcPr>
            <w:tcW w:w="56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1,873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58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Cash paid for income taxes, net</w:t>
            </w:r>
          </w:p>
        </w:tc>
        <w:tc>
          <w:tcPr>
            <w:tcW w:w="3080" w:type="dxa"/>
            <w:vAlign w:val="bottom"/>
            <w:gridSpan w:val="2"/>
            <w:shd w:val="clear" w:color="auto" w:fill="CCEEFF"/>
          </w:tcPr>
          <w:p>
            <w:pPr>
              <w:ind w:left="2940"/>
              <w:spacing w:after="0"/>
              <w:rPr>
                <w:sz w:val="20"/>
                <w:szCs w:val="20"/>
                <w:color w:val="auto"/>
              </w:rPr>
            </w:pPr>
            <w:r>
              <w:rPr>
                <w:rFonts w:ascii="Arial" w:cs="Arial" w:eastAsia="Arial" w:hAnsi="Arial"/>
                <w:sz w:val="18"/>
                <w:szCs w:val="18"/>
                <w:color w:val="auto"/>
              </w:rPr>
              <w:t>$</w:t>
            </w: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13,363</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0"/>
              </w:rPr>
              <w:t>15,727</w:t>
            </w:r>
          </w:p>
        </w:tc>
        <w:tc>
          <w:tcPr>
            <w:tcW w:w="5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9,385</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8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Non-Cash Investing and Financing Activities:</w:t>
            </w:r>
          </w:p>
        </w:tc>
        <w:tc>
          <w:tcPr>
            <w:tcW w:w="29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80" w:type="dxa"/>
            <w:vAlign w:val="bottom"/>
            <w:gridSpan w:val="2"/>
            <w:vMerge w:val="continue"/>
          </w:tcPr>
          <w:p>
            <w:pPr>
              <w:spacing w:after="0"/>
              <w:rPr>
                <w:sz w:val="18"/>
                <w:szCs w:val="18"/>
                <w:color w:val="auto"/>
              </w:rPr>
            </w:pPr>
          </w:p>
        </w:tc>
        <w:tc>
          <w:tcPr>
            <w:tcW w:w="2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50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Unsettled trades of available-for-sale securities</w:t>
            </w:r>
          </w:p>
        </w:tc>
        <w:tc>
          <w:tcPr>
            <w:tcW w:w="3080" w:type="dxa"/>
            <w:vAlign w:val="bottom"/>
            <w:gridSpan w:val="2"/>
            <w:shd w:val="clear" w:color="auto" w:fill="CCEEFF"/>
          </w:tcPr>
          <w:p>
            <w:pPr>
              <w:ind w:left="2940"/>
              <w:spacing w:after="0"/>
              <w:rPr>
                <w:sz w:val="20"/>
                <w:szCs w:val="20"/>
                <w:color w:val="auto"/>
              </w:rPr>
            </w:pPr>
            <w:r>
              <w:rPr>
                <w:rFonts w:ascii="Arial" w:cs="Arial" w:eastAsia="Arial" w:hAnsi="Arial"/>
                <w:sz w:val="18"/>
                <w:szCs w:val="18"/>
                <w:color w:val="auto"/>
              </w:rPr>
              <w:t>$</w:t>
            </w: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53,749</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140" w:type="dxa"/>
            <w:vAlign w:val="bottom"/>
            <w:tcBorders>
              <w:right w:val="single" w:sz="8" w:color="CCEEFF"/>
            </w:tcBorders>
            <w:gridSpan w:val="3"/>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080" w:type="dxa"/>
            <w:vAlign w:val="bottom"/>
            <w:gridSpan w:val="2"/>
            <w:vMerge w:val="restart"/>
          </w:tcPr>
          <w:p>
            <w:pPr>
              <w:ind w:left="440"/>
              <w:spacing w:after="0"/>
              <w:rPr>
                <w:sz w:val="20"/>
                <w:szCs w:val="20"/>
                <w:color w:val="auto"/>
              </w:rPr>
            </w:pPr>
            <w:r>
              <w:rPr>
                <w:rFonts w:ascii="Arial" w:cs="Arial" w:eastAsia="Arial" w:hAnsi="Arial"/>
                <w:sz w:val="18"/>
                <w:szCs w:val="18"/>
                <w:color w:val="auto"/>
              </w:rPr>
              <w:t>Purchase of intellectual property under license obligations</w:t>
            </w:r>
          </w:p>
        </w:tc>
        <w:tc>
          <w:tcPr>
            <w:tcW w:w="29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gridSpan w:val="2"/>
          </w:tcPr>
          <w:p>
            <w:pPr>
              <w:spacing w:after="0" w:line="20" w:lineRule="exact"/>
              <w:rPr>
                <w:sz w:val="1"/>
                <w:szCs w:val="1"/>
                <w:color w:val="auto"/>
              </w:rPr>
            </w:pPr>
          </w:p>
        </w:tc>
        <w:tc>
          <w:tcPr>
            <w:tcW w:w="580" w:type="dxa"/>
            <w:vAlign w:val="bottom"/>
            <w:tcBorders>
              <w:top w:val="single" w:sz="8" w:color="auto"/>
              <w:bottom w:val="single" w:sz="8" w:color="auto"/>
            </w:tcBorders>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80" w:type="dxa"/>
            <w:vAlign w:val="bottom"/>
            <w:gridSpan w:val="2"/>
            <w:vMerge w:val="continue"/>
          </w:tcPr>
          <w:p>
            <w:pPr>
              <w:spacing w:after="0"/>
              <w:rPr>
                <w:sz w:val="18"/>
                <w:szCs w:val="18"/>
                <w:color w:val="auto"/>
              </w:rPr>
            </w:pPr>
          </w:p>
        </w:tc>
        <w:tc>
          <w:tcPr>
            <w:tcW w:w="3080" w:type="dxa"/>
            <w:vAlign w:val="bottom"/>
            <w:gridSpan w:val="2"/>
          </w:tcPr>
          <w:p>
            <w:pPr>
              <w:ind w:left="2940"/>
              <w:spacing w:after="0"/>
              <w:rPr>
                <w:sz w:val="20"/>
                <w:szCs w:val="20"/>
                <w:color w:val="auto"/>
              </w:rPr>
            </w:pPr>
            <w:r>
              <w:rPr>
                <w:rFonts w:ascii="Arial" w:cs="Arial" w:eastAsia="Arial" w:hAnsi="Arial"/>
                <w:sz w:val="18"/>
                <w:szCs w:val="18"/>
                <w:color w:val="auto"/>
              </w:rPr>
              <w:t>$</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w w:val="94"/>
              </w:rPr>
              <w:t>13,800</w:t>
            </w:r>
          </w:p>
        </w:tc>
        <w:tc>
          <w:tcPr>
            <w:tcW w:w="1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80" w:type="dxa"/>
            <w:vAlign w:val="bottom"/>
            <w:gridSpan w:val="2"/>
          </w:tcPr>
          <w:p>
            <w:pPr>
              <w:spacing w:after="0"/>
              <w:rPr>
                <w:sz w:val="20"/>
                <w:szCs w:val="20"/>
                <w:color w:val="auto"/>
              </w:rPr>
            </w:pPr>
            <w:r>
              <w:rPr>
                <w:rFonts w:ascii="Arial" w:cs="Arial" w:eastAsia="Arial" w:hAnsi="Arial"/>
                <w:sz w:val="18"/>
                <w:szCs w:val="18"/>
                <w:color w:val="auto"/>
              </w:rPr>
              <w:t>$</w:t>
            </w:r>
          </w:p>
        </w:tc>
        <w:tc>
          <w:tcPr>
            <w:tcW w:w="1140" w:type="dxa"/>
            <w:vAlign w:val="bottom"/>
            <w:gridSpan w:val="3"/>
          </w:tcPr>
          <w:p>
            <w:pPr>
              <w:jc w:val="right"/>
              <w:ind w:right="7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8,900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58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0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99"/>
              </w:rPr>
              <w:t>Unpaid purchase of property and equipment at end of year</w:t>
            </w:r>
          </w:p>
        </w:tc>
        <w:tc>
          <w:tcPr>
            <w:tcW w:w="3080" w:type="dxa"/>
            <w:vAlign w:val="bottom"/>
            <w:gridSpan w:val="2"/>
            <w:shd w:val="clear" w:color="auto" w:fill="CCEEFF"/>
          </w:tcPr>
          <w:p>
            <w:pPr>
              <w:ind w:left="29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8"/>
              </w:rPr>
              <w:t>9,069</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7,083</w:t>
            </w:r>
          </w:p>
        </w:tc>
        <w:tc>
          <w:tcPr>
            <w:tcW w:w="5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7,285</w:t>
            </w:r>
          </w:p>
        </w:tc>
        <w:tc>
          <w:tcPr>
            <w:tcW w:w="10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58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2940" w:type="dxa"/>
            <w:vAlign w:val="bottom"/>
            <w:vMerge w:val="restart"/>
          </w:tcPr>
          <w:p>
            <w:pPr>
              <w:ind w:left="540"/>
              <w:spacing w:after="0"/>
              <w:rPr>
                <w:sz w:val="20"/>
                <w:szCs w:val="20"/>
                <w:color w:val="auto"/>
              </w:rPr>
            </w:pPr>
            <w:r>
              <w:rPr>
                <w:rFonts w:ascii="Arial" w:cs="Arial" w:eastAsia="Arial" w:hAnsi="Arial"/>
                <w:sz w:val="18"/>
                <w:szCs w:val="18"/>
                <w:color w:val="auto"/>
              </w:rPr>
              <w:t>79</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5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294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90" w:lineRule="exact"/>
        <w:rPr>
          <w:sz w:val="20"/>
          <w:szCs w:val="20"/>
          <w:color w:val="auto"/>
        </w:rPr>
      </w:pPr>
    </w:p>
    <w:p>
      <w:pPr>
        <w:jc w:val="both"/>
        <w:ind w:right="300"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shares outstanding during the period.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28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34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200" w:type="dxa"/>
            <w:vAlign w:val="bottom"/>
            <w:gridSpan w:val="3"/>
          </w:tcPr>
          <w:p>
            <w:pPr>
              <w:jc w:val="right"/>
              <w:ind w:right="480"/>
              <w:spacing w:after="0" w:line="129" w:lineRule="exact"/>
              <w:rPr>
                <w:sz w:val="20"/>
                <w:szCs w:val="20"/>
                <w:color w:val="auto"/>
              </w:rPr>
            </w:pPr>
            <w:r>
              <w:rPr>
                <w:rFonts w:ascii="Arial" w:cs="Arial" w:eastAsia="Arial" w:hAnsi="Arial"/>
                <w:sz w:val="14"/>
                <w:szCs w:val="14"/>
                <w:b w:val="1"/>
                <w:bCs w:val="1"/>
                <w:color w:val="auto"/>
                <w:w w:val="90"/>
              </w:rPr>
              <w:t>January 30,</w:t>
            </w: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7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2"/>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340" w:type="dxa"/>
            <w:vAlign w:val="bottom"/>
            <w:tcBorders>
              <w:bottom w:val="single" w:sz="8" w:color="CCEEFF"/>
            </w:tcBorders>
          </w:tcPr>
          <w:p>
            <w:pPr>
              <w:spacing w:after="0"/>
              <w:rPr>
                <w:sz w:val="14"/>
                <w:szCs w:val="14"/>
                <w:color w:val="auto"/>
              </w:rPr>
            </w:pPr>
          </w:p>
        </w:tc>
        <w:tc>
          <w:tcPr>
            <w:tcW w:w="28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2015</w:t>
            </w: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3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28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Net income (loss)</w:t>
            </w:r>
          </w:p>
        </w:tc>
        <w:tc>
          <w:tcPr>
            <w:tcW w:w="29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380"/>
              <w:spacing w:after="0"/>
              <w:rPr>
                <w:sz w:val="20"/>
                <w:szCs w:val="20"/>
                <w:color w:val="auto"/>
              </w:rPr>
            </w:pPr>
            <w:r>
              <w:rPr>
                <w:rFonts w:ascii="Arial" w:cs="Arial" w:eastAsia="Arial" w:hAnsi="Arial"/>
                <w:sz w:val="18"/>
                <w:szCs w:val="18"/>
                <w:color w:val="auto"/>
                <w:w w:val="88"/>
              </w:rPr>
              <w:t>(811,400)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420"/>
              <w:spacing w:after="0"/>
              <w:rPr>
                <w:sz w:val="20"/>
                <w:szCs w:val="20"/>
                <w:color w:val="auto"/>
              </w:rPr>
            </w:pPr>
            <w:r>
              <w:rPr>
                <w:rFonts w:ascii="Arial" w:cs="Arial" w:eastAsia="Arial" w:hAnsi="Arial"/>
                <w:sz w:val="18"/>
                <w:szCs w:val="18"/>
                <w:color w:val="auto"/>
                <w:w w:val="89"/>
              </w:rPr>
              <w:t>435,346</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315,320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40" w:type="dxa"/>
            <w:vAlign w:val="bottom"/>
          </w:tcPr>
          <w:p>
            <w:pPr>
              <w:spacing w:after="0" w:line="20" w:lineRule="exact"/>
              <w:rPr>
                <w:sz w:val="1"/>
                <w:szCs w:val="1"/>
                <w:color w:val="auto"/>
              </w:rPr>
            </w:pPr>
          </w:p>
        </w:tc>
        <w:tc>
          <w:tcPr>
            <w:tcW w:w="28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28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w w:val="95"/>
              </w:rPr>
              <w:t>510,945</w:t>
            </w:r>
          </w:p>
        </w:tc>
        <w:tc>
          <w:tcPr>
            <w:tcW w:w="120" w:type="dxa"/>
            <w:vAlign w:val="bottom"/>
          </w:tcPr>
          <w:p>
            <w:pPr>
              <w:spacing w:after="0"/>
              <w:rPr>
                <w:sz w:val="18"/>
                <w:szCs w:val="18"/>
                <w:color w:val="auto"/>
              </w:rPr>
            </w:pPr>
          </w:p>
        </w:tc>
        <w:tc>
          <w:tcPr>
            <w:tcW w:w="1020" w:type="dxa"/>
            <w:vAlign w:val="bottom"/>
            <w:gridSpan w:val="2"/>
          </w:tcPr>
          <w:p>
            <w:pPr>
              <w:jc w:val="right"/>
              <w:ind w:right="420"/>
              <w:spacing w:after="0"/>
              <w:rPr>
                <w:sz w:val="20"/>
                <w:szCs w:val="20"/>
                <w:color w:val="auto"/>
              </w:rPr>
            </w:pPr>
            <w:r>
              <w:rPr>
                <w:rFonts w:ascii="Arial" w:cs="Arial" w:eastAsia="Arial" w:hAnsi="Arial"/>
                <w:sz w:val="18"/>
                <w:szCs w:val="18"/>
                <w:color w:val="auto"/>
                <w:w w:val="89"/>
              </w:rPr>
              <w:t>511,089</w:t>
            </w:r>
          </w:p>
        </w:tc>
        <w:tc>
          <w:tcPr>
            <w:tcW w:w="14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496,518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2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Share-based awards</w:t>
            </w:r>
          </w:p>
        </w:tc>
        <w:tc>
          <w:tcPr>
            <w:tcW w:w="286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9,671</w:t>
            </w:r>
          </w:p>
        </w:tc>
        <w:tc>
          <w:tcPr>
            <w:tcW w:w="4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7,895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2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5"/>
              </w:rPr>
              <w:t>510,945</w:t>
            </w: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9"/>
              </w:rPr>
              <w:t>520,760</w:t>
            </w: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504,413</w:t>
            </w: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spacing w:after="0"/>
              <w:rPr>
                <w:sz w:val="20"/>
                <w:szCs w:val="20"/>
                <w:color w:val="auto"/>
              </w:rPr>
            </w:pPr>
            <w:r>
              <w:rPr>
                <w:rFonts w:ascii="Arial" w:cs="Arial" w:eastAsia="Arial" w:hAnsi="Arial"/>
                <w:sz w:val="18"/>
                <w:szCs w:val="18"/>
                <w:color w:val="auto"/>
              </w:rPr>
              <w:t>Net income (loss) per share:</w:t>
            </w:r>
          </w:p>
        </w:tc>
        <w:tc>
          <w:tcPr>
            <w:tcW w:w="28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360" w:type="dxa"/>
            <w:vAlign w:val="bottom"/>
            <w:gridSpan w:val="2"/>
            <w:vMerge w:val="continue"/>
          </w:tcPr>
          <w:p>
            <w:pPr>
              <w:spacing w:after="0"/>
              <w:rPr>
                <w:sz w:val="18"/>
                <w:szCs w:val="18"/>
                <w:color w:val="auto"/>
              </w:rPr>
            </w:pPr>
          </w:p>
        </w:tc>
        <w:tc>
          <w:tcPr>
            <w:tcW w:w="28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2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(1.59)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0.85</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0.64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Diluted</w:t>
            </w:r>
          </w:p>
        </w:tc>
        <w:tc>
          <w:tcPr>
            <w:tcW w:w="29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380"/>
              <w:spacing w:after="0"/>
              <w:rPr>
                <w:sz w:val="20"/>
                <w:szCs w:val="20"/>
                <w:color w:val="auto"/>
              </w:rPr>
            </w:pPr>
            <w:r>
              <w:rPr>
                <w:rFonts w:ascii="Arial" w:cs="Arial" w:eastAsia="Arial" w:hAnsi="Arial"/>
                <w:sz w:val="18"/>
                <w:szCs w:val="18"/>
                <w:color w:val="auto"/>
              </w:rPr>
              <w:t>(1.59)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420"/>
              <w:spacing w:after="0"/>
              <w:rPr>
                <w:sz w:val="20"/>
                <w:szCs w:val="20"/>
                <w:color w:val="auto"/>
              </w:rPr>
            </w:pPr>
            <w:r>
              <w:rPr>
                <w:rFonts w:ascii="Arial" w:cs="Arial" w:eastAsia="Arial" w:hAnsi="Arial"/>
                <w:sz w:val="18"/>
                <w:szCs w:val="18"/>
                <w:color w:val="auto"/>
              </w:rPr>
              <w:t>0.84</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0.63</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8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5"/>
              </w:rPr>
              <w:t>Year Ended</w:t>
            </w:r>
          </w:p>
        </w:tc>
        <w:tc>
          <w:tcPr>
            <w:tcW w:w="5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8180" w:type="dxa"/>
            <w:vAlign w:val="bottom"/>
          </w:tcPr>
          <w:p>
            <w:pPr>
              <w:spacing w:after="0"/>
              <w:rPr>
                <w:sz w:val="11"/>
                <w:szCs w:val="11"/>
                <w:color w:val="auto"/>
              </w:rPr>
            </w:pPr>
          </w:p>
        </w:tc>
        <w:tc>
          <w:tcPr>
            <w:tcW w:w="680" w:type="dxa"/>
            <w:vAlign w:val="bottom"/>
          </w:tcPr>
          <w:p>
            <w:pPr>
              <w:spacing w:after="0" w:line="129" w:lineRule="exact"/>
              <w:rPr>
                <w:sz w:val="20"/>
                <w:szCs w:val="20"/>
                <w:color w:val="auto"/>
              </w:rPr>
            </w:pPr>
            <w:r>
              <w:rPr>
                <w:rFonts w:ascii="Arial" w:cs="Arial" w:eastAsia="Arial" w:hAnsi="Arial"/>
                <w:sz w:val="14"/>
                <w:szCs w:val="14"/>
                <w:b w:val="1"/>
                <w:bCs w:val="1"/>
                <w:color w:val="auto"/>
                <w:w w:val="85"/>
              </w:rPr>
              <w:t>January 30,</w:t>
            </w:r>
          </w:p>
        </w:tc>
        <w:tc>
          <w:tcPr>
            <w:tcW w:w="540" w:type="dxa"/>
            <w:vAlign w:val="bottom"/>
          </w:tcPr>
          <w:p>
            <w:pPr>
              <w:spacing w:after="0"/>
              <w:rPr>
                <w:sz w:val="11"/>
                <w:szCs w:val="11"/>
                <w:color w:val="auto"/>
              </w:rPr>
            </w:pPr>
          </w:p>
        </w:tc>
        <w:tc>
          <w:tcPr>
            <w:tcW w:w="700" w:type="dxa"/>
            <w:vAlign w:val="bottom"/>
          </w:tcPr>
          <w:p>
            <w:pPr>
              <w:ind w:left="20"/>
              <w:spacing w:after="0" w:line="129" w:lineRule="exact"/>
              <w:rPr>
                <w:sz w:val="20"/>
                <w:szCs w:val="20"/>
                <w:color w:val="auto"/>
              </w:rPr>
            </w:pPr>
            <w:r>
              <w:rPr>
                <w:rFonts w:ascii="Arial" w:cs="Arial" w:eastAsia="Arial" w:hAnsi="Arial"/>
                <w:sz w:val="14"/>
                <w:szCs w:val="14"/>
                <w:b w:val="1"/>
                <w:bCs w:val="1"/>
                <w:color w:val="auto"/>
                <w:w w:val="85"/>
              </w:rPr>
              <w:t>January 31,</w:t>
            </w:r>
          </w:p>
        </w:tc>
        <w:tc>
          <w:tcPr>
            <w:tcW w:w="540" w:type="dxa"/>
            <w:vAlign w:val="bottom"/>
          </w:tcPr>
          <w:p>
            <w:pPr>
              <w:spacing w:after="0"/>
              <w:rPr>
                <w:sz w:val="11"/>
                <w:szCs w:val="11"/>
                <w:color w:val="auto"/>
              </w:rPr>
            </w:pPr>
          </w:p>
        </w:tc>
        <w:tc>
          <w:tcPr>
            <w:tcW w:w="680" w:type="dxa"/>
            <w:vAlign w:val="bottom"/>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100" w:type="dxa"/>
            <w:vAlign w:val="bottom"/>
          </w:tcPr>
          <w:p>
            <w:pPr>
              <w:spacing w:after="0"/>
              <w:rPr>
                <w:sz w:val="11"/>
                <w:szCs w:val="11"/>
                <w:color w:val="auto"/>
              </w:rPr>
            </w:pPr>
          </w:p>
        </w:tc>
      </w:tr>
      <w:tr>
        <w:trPr>
          <w:trHeight w:val="161"/>
        </w:trPr>
        <w:tc>
          <w:tcPr>
            <w:tcW w:w="8180" w:type="dxa"/>
            <w:vAlign w:val="bottom"/>
          </w:tcPr>
          <w:p>
            <w:pPr>
              <w:spacing w:after="0"/>
              <w:rPr>
                <w:sz w:val="14"/>
                <w:szCs w:val="14"/>
                <w:color w:val="auto"/>
              </w:rPr>
            </w:pPr>
          </w:p>
        </w:tc>
        <w:tc>
          <w:tcPr>
            <w:tcW w:w="680" w:type="dxa"/>
            <w:vAlign w:val="bottom"/>
          </w:tcPr>
          <w:p>
            <w:pPr>
              <w:ind w:left="200"/>
              <w:spacing w:after="0"/>
              <w:rPr>
                <w:sz w:val="20"/>
                <w:szCs w:val="20"/>
                <w:color w:val="auto"/>
              </w:rPr>
            </w:pPr>
            <w:r>
              <w:rPr>
                <w:rFonts w:ascii="Arial" w:cs="Arial" w:eastAsia="Arial" w:hAnsi="Arial"/>
                <w:sz w:val="14"/>
                <w:szCs w:val="14"/>
                <w:b w:val="1"/>
                <w:bCs w:val="1"/>
                <w:color w:val="auto"/>
              </w:rPr>
              <w:t>2016</w:t>
            </w:r>
          </w:p>
        </w:tc>
        <w:tc>
          <w:tcPr>
            <w:tcW w:w="1240" w:type="dxa"/>
            <w:vAlign w:val="bottom"/>
            <w:gridSpan w:val="2"/>
          </w:tcPr>
          <w:p>
            <w:pPr>
              <w:ind w:left="760"/>
              <w:spacing w:after="0"/>
              <w:rPr>
                <w:sz w:val="20"/>
                <w:szCs w:val="20"/>
                <w:color w:val="auto"/>
              </w:rPr>
            </w:pPr>
            <w:r>
              <w:rPr>
                <w:rFonts w:ascii="Arial" w:cs="Arial" w:eastAsia="Arial" w:hAnsi="Arial"/>
                <w:sz w:val="14"/>
                <w:szCs w:val="14"/>
                <w:b w:val="1"/>
                <w:bCs w:val="1"/>
                <w:color w:val="auto"/>
              </w:rPr>
              <w:t>2015</w:t>
            </w:r>
          </w:p>
        </w:tc>
        <w:tc>
          <w:tcPr>
            <w:tcW w:w="1220" w:type="dxa"/>
            <w:vAlign w:val="bottom"/>
            <w:gridSpan w:val="2"/>
          </w:tcPr>
          <w:p>
            <w:pPr>
              <w:ind w:left="740"/>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96"/>
        </w:trPr>
        <w:tc>
          <w:tcPr>
            <w:tcW w:w="81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w:t>
            </w:r>
          </w:p>
        </w:tc>
        <w:tc>
          <w:tcPr>
            <w:tcW w:w="6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8180" w:type="dxa"/>
            <w:vAlign w:val="bottom"/>
          </w:tcPr>
          <w:p>
            <w:pPr>
              <w:spacing w:after="0"/>
              <w:rPr>
                <w:sz w:val="20"/>
                <w:szCs w:val="20"/>
                <w:color w:val="auto"/>
              </w:rPr>
            </w:pPr>
            <w:r>
              <w:rPr>
                <w:rFonts w:ascii="Arial" w:cs="Arial" w:eastAsia="Arial" w:hAnsi="Arial"/>
                <w:sz w:val="18"/>
                <w:szCs w:val="18"/>
                <w:color w:val="auto"/>
              </w:rPr>
              <w:t>Share-based awards</w:t>
            </w:r>
          </w:p>
        </w:tc>
        <w:tc>
          <w:tcPr>
            <w:tcW w:w="680" w:type="dxa"/>
            <w:vAlign w:val="bottom"/>
          </w:tcPr>
          <w:p>
            <w:pPr>
              <w:ind w:left="200"/>
              <w:spacing w:after="0"/>
              <w:rPr>
                <w:sz w:val="20"/>
                <w:szCs w:val="20"/>
                <w:color w:val="auto"/>
              </w:rPr>
            </w:pPr>
            <w:r>
              <w:rPr>
                <w:rFonts w:ascii="Arial" w:cs="Arial" w:eastAsia="Arial" w:hAnsi="Arial"/>
                <w:sz w:val="18"/>
                <w:szCs w:val="18"/>
                <w:color w:val="auto"/>
                <w:w w:val="83"/>
              </w:rPr>
              <w:t>64,420</w:t>
            </w:r>
          </w:p>
        </w:tc>
        <w:tc>
          <w:tcPr>
            <w:tcW w:w="1240" w:type="dxa"/>
            <w:vAlign w:val="bottom"/>
            <w:gridSpan w:val="2"/>
          </w:tcPr>
          <w:p>
            <w:pPr>
              <w:ind w:left="760"/>
              <w:spacing w:after="0"/>
              <w:rPr>
                <w:sz w:val="20"/>
                <w:szCs w:val="20"/>
                <w:color w:val="auto"/>
              </w:rPr>
            </w:pPr>
            <w:r>
              <w:rPr>
                <w:rFonts w:ascii="Arial" w:cs="Arial" w:eastAsia="Arial" w:hAnsi="Arial"/>
                <w:sz w:val="18"/>
                <w:szCs w:val="18"/>
                <w:color w:val="auto"/>
                <w:w w:val="83"/>
              </w:rPr>
              <w:t>35,636</w:t>
            </w:r>
          </w:p>
        </w:tc>
        <w:tc>
          <w:tcPr>
            <w:tcW w:w="1220" w:type="dxa"/>
            <w:vAlign w:val="bottom"/>
            <w:gridSpan w:val="2"/>
          </w:tcPr>
          <w:p>
            <w:pPr>
              <w:ind w:left="740"/>
              <w:spacing w:after="0"/>
              <w:rPr>
                <w:sz w:val="20"/>
                <w:szCs w:val="20"/>
                <w:color w:val="auto"/>
              </w:rPr>
            </w:pPr>
            <w:r>
              <w:rPr>
                <w:rFonts w:ascii="Arial" w:cs="Arial" w:eastAsia="Arial" w:hAnsi="Arial"/>
                <w:sz w:val="18"/>
                <w:szCs w:val="18"/>
                <w:color w:val="auto"/>
                <w:w w:val="83"/>
              </w:rPr>
              <w:t>40,504</w:t>
            </w:r>
          </w:p>
        </w:tc>
        <w:tc>
          <w:tcPr>
            <w:tcW w:w="100" w:type="dxa"/>
            <w:vAlign w:val="bottom"/>
          </w:tcPr>
          <w:p>
            <w:pPr>
              <w:spacing w:after="0"/>
              <w:rPr>
                <w:sz w:val="18"/>
                <w:szCs w:val="18"/>
                <w:color w:val="auto"/>
              </w:rPr>
            </w:pPr>
          </w:p>
        </w:tc>
      </w:tr>
      <w:tr>
        <w:trPr>
          <w:trHeight w:val="20"/>
        </w:trPr>
        <w:tc>
          <w:tcPr>
            <w:tcW w:w="8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the year ended January 30, 2016 due to the net loss reported in that period. Anti-dilutive potential shares from share-based awards are excluded from the calculation of diluted earnings per share for all other periods reported above because either their exercise price exceeded the average market price during the period or the share-based awards were determined to be anti-dilutive based on applying the treasury stock method.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Derivative Financial Instruments</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420"/>
          </w:cols>
          <w:pgMar w:left="240" w:top="459" w:right="23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64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40" w:type="dxa"/>
            <w:vAlign w:val="bottom"/>
            <w:gridSpan w:val="4"/>
          </w:tcPr>
          <w:p>
            <w:pPr>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3640" w:type="dxa"/>
            <w:vAlign w:val="bottom"/>
          </w:tcPr>
          <w:p>
            <w:pPr>
              <w:spacing w:after="0"/>
              <w:rPr>
                <w:sz w:val="11"/>
                <w:szCs w:val="11"/>
                <w:color w:val="auto"/>
              </w:rPr>
            </w:pPr>
          </w:p>
        </w:tc>
        <w:tc>
          <w:tcPr>
            <w:tcW w:w="272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30,</w:t>
            </w:r>
          </w:p>
        </w:tc>
        <w:tc>
          <w:tcPr>
            <w:tcW w:w="20" w:type="dxa"/>
            <w:vAlign w:val="bottom"/>
            <w:tcBorders>
              <w:top w:val="single" w:sz="8" w:color="auto"/>
            </w:tcBorders>
          </w:tcPr>
          <w:p>
            <w:pPr>
              <w:spacing w:after="0"/>
              <w:rPr>
                <w:sz w:val="11"/>
                <w:szCs w:val="11"/>
                <w:color w:val="auto"/>
              </w:rPr>
            </w:pPr>
          </w:p>
        </w:tc>
        <w:tc>
          <w:tcPr>
            <w:tcW w:w="1520" w:type="dxa"/>
            <w:vAlign w:val="bottom"/>
            <w:tcBorders>
              <w:top w:val="single" w:sz="8" w:color="auto"/>
            </w:tcBorders>
            <w:gridSpan w:val="2"/>
          </w:tcPr>
          <w:p>
            <w:pPr>
              <w:jc w:val="center"/>
              <w:ind w:left="752"/>
              <w:spacing w:after="0" w:line="129" w:lineRule="exact"/>
              <w:rPr>
                <w:sz w:val="20"/>
                <w:szCs w:val="20"/>
                <w:color w:val="auto"/>
              </w:rPr>
            </w:pPr>
            <w:r>
              <w:rPr>
                <w:rFonts w:ascii="Arial" w:cs="Arial" w:eastAsia="Arial" w:hAnsi="Arial"/>
                <w:sz w:val="14"/>
                <w:szCs w:val="14"/>
                <w:b w:val="1"/>
                <w:bCs w:val="1"/>
                <w:color w:val="auto"/>
                <w:w w:val="90"/>
              </w:rPr>
              <w:t>January 31,</w:t>
            </w:r>
          </w:p>
        </w:tc>
        <w:tc>
          <w:tcPr>
            <w:tcW w:w="100" w:type="dxa"/>
            <w:vAlign w:val="bottom"/>
          </w:tcPr>
          <w:p>
            <w:pPr>
              <w:spacing w:after="0"/>
              <w:rPr>
                <w:sz w:val="11"/>
                <w:szCs w:val="11"/>
                <w:color w:val="auto"/>
              </w:rPr>
            </w:pPr>
          </w:p>
        </w:tc>
      </w:tr>
      <w:tr>
        <w:trPr>
          <w:trHeight w:val="161"/>
        </w:trPr>
        <w:tc>
          <w:tcPr>
            <w:tcW w:w="3640" w:type="dxa"/>
            <w:vAlign w:val="bottom"/>
          </w:tcPr>
          <w:p>
            <w:pPr>
              <w:spacing w:after="0"/>
              <w:rPr>
                <w:sz w:val="14"/>
                <w:szCs w:val="14"/>
                <w:color w:val="auto"/>
              </w:rPr>
            </w:pPr>
          </w:p>
        </w:tc>
        <w:tc>
          <w:tcPr>
            <w:tcW w:w="3400" w:type="dxa"/>
            <w:vAlign w:val="bottom"/>
            <w:gridSpan w:val="2"/>
          </w:tcPr>
          <w:p>
            <w:pPr>
              <w:jc w:val="center"/>
              <w:ind w:left="2652"/>
              <w:spacing w:after="0"/>
              <w:rPr>
                <w:sz w:val="20"/>
                <w:szCs w:val="20"/>
                <w:color w:val="auto"/>
              </w:rPr>
            </w:pPr>
            <w:r>
              <w:rPr>
                <w:rFonts w:ascii="Arial" w:cs="Arial" w:eastAsia="Arial" w:hAnsi="Arial"/>
                <w:sz w:val="14"/>
                <w:szCs w:val="14"/>
                <w:b w:val="1"/>
                <w:bCs w:val="1"/>
                <w:color w:val="auto"/>
                <w:w w:val="89"/>
              </w:rPr>
              <w:t>2016</w:t>
            </w:r>
          </w:p>
        </w:tc>
        <w:tc>
          <w:tcPr>
            <w:tcW w:w="1540" w:type="dxa"/>
            <w:vAlign w:val="bottom"/>
            <w:gridSpan w:val="3"/>
          </w:tcPr>
          <w:p>
            <w:pPr>
              <w:jc w:val="center"/>
              <w:ind w:left="772"/>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Pr>
          <w:p>
            <w:pPr>
              <w:spacing w:after="0"/>
              <w:rPr>
                <w:sz w:val="14"/>
                <w:szCs w:val="14"/>
                <w:color w:val="auto"/>
              </w:rPr>
            </w:pPr>
          </w:p>
        </w:tc>
      </w:tr>
      <w:tr>
        <w:trPr>
          <w:trHeight w:val="210"/>
        </w:trPr>
        <w:tc>
          <w:tcPr>
            <w:tcW w:w="36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7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19,082</w:t>
            </w:r>
          </w:p>
        </w:tc>
        <w:tc>
          <w:tcPr>
            <w:tcW w:w="2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51,326</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640" w:type="dxa"/>
            <w:vAlign w:val="bottom"/>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ind w:right="180" w:firstLine="456"/>
        <w:spacing w:after="0" w:line="335" w:lineRule="auto"/>
        <w:rPr>
          <w:sz w:val="20"/>
          <w:szCs w:val="20"/>
          <w:color w:val="auto"/>
        </w:rPr>
      </w:pPr>
      <w:r>
        <w:rPr>
          <w:rFonts w:ascii="Arial" w:cs="Arial" w:eastAsia="Arial" w:hAnsi="Arial"/>
          <w:sz w:val="15"/>
          <w:szCs w:val="15"/>
          <w:i w:val="1"/>
          <w:iCs w:val="1"/>
          <w:color w:val="auto"/>
        </w:rPr>
        <w:t xml:space="preserve">Other Foreign Currency Forward Contracts. </w:t>
      </w:r>
      <w:r>
        <w:rPr>
          <w:rFonts w:ascii="Arial" w:cs="Arial" w:eastAsia="Arial" w:hAnsi="Arial"/>
          <w:sz w:val="15"/>
          <w:szCs w:val="15"/>
          <w:color w:val="auto"/>
        </w:rPr>
        <w:t>The Company may enter into foreign currency forward exchange contracts to hedge certain assets and</w:t>
      </w:r>
      <w:r>
        <w:rPr>
          <w:rFonts w:ascii="Arial" w:cs="Arial" w:eastAsia="Arial" w:hAnsi="Arial"/>
          <w:sz w:val="15"/>
          <w:szCs w:val="15"/>
          <w:i w:val="1"/>
          <w:iCs w:val="1"/>
          <w:color w:val="auto"/>
        </w:rPr>
        <w:t xml:space="preserve"> </w:t>
      </w:r>
      <w:r>
        <w:rPr>
          <w:rFonts w:ascii="Arial" w:cs="Arial" w:eastAsia="Arial" w:hAnsi="Arial"/>
          <w:sz w:val="15"/>
          <w:szCs w:val="15"/>
          <w:color w:val="auto"/>
        </w:rPr>
        <w:t>liabilities 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provides information about gains (losses) associated with our derivative financial instruments (in thousands):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040" w:type="dxa"/>
            <w:vAlign w:val="bottom"/>
            <w:gridSpan w:val="10"/>
          </w:tcPr>
          <w:p>
            <w:pPr>
              <w:jc w:val="center"/>
              <w:ind w:right="240"/>
              <w:spacing w:after="0"/>
              <w:rPr>
                <w:sz w:val="20"/>
                <w:szCs w:val="20"/>
                <w:color w:val="auto"/>
              </w:rPr>
            </w:pPr>
            <w:r>
              <w:rPr>
                <w:rFonts w:ascii="Arial" w:cs="Arial" w:eastAsia="Arial" w:hAnsi="Arial"/>
                <w:sz w:val="14"/>
                <w:szCs w:val="14"/>
                <w:b w:val="1"/>
                <w:bCs w:val="1"/>
                <w:color w:val="auto"/>
                <w:w w:val="85"/>
              </w:rPr>
              <w:t>Amount of Gains (Losses) in Statement</w:t>
            </w:r>
          </w:p>
        </w:tc>
        <w:tc>
          <w:tcPr>
            <w:tcW w:w="0" w:type="dxa"/>
            <w:vAlign w:val="bottom"/>
          </w:tcPr>
          <w:p>
            <w:pPr>
              <w:spacing w:after="0"/>
              <w:rPr>
                <w:sz w:val="1"/>
                <w:szCs w:val="1"/>
                <w:color w:val="auto"/>
              </w:rPr>
            </w:pPr>
          </w:p>
        </w:tc>
      </w:tr>
      <w:tr>
        <w:trPr>
          <w:trHeight w:val="161"/>
        </w:trPr>
        <w:tc>
          <w:tcPr>
            <w:tcW w:w="4240" w:type="dxa"/>
            <w:vAlign w:val="bottom"/>
          </w:tcPr>
          <w:p>
            <w:pPr>
              <w:spacing w:after="0"/>
              <w:rPr>
                <w:sz w:val="14"/>
                <w:szCs w:val="14"/>
                <w:color w:val="auto"/>
              </w:rPr>
            </w:pPr>
          </w:p>
        </w:tc>
        <w:tc>
          <w:tcPr>
            <w:tcW w:w="4000" w:type="dxa"/>
            <w:vAlign w:val="bottom"/>
            <w:gridSpan w:val="2"/>
            <w:vMerge w:val="restart"/>
          </w:tcPr>
          <w:p>
            <w:pPr>
              <w:ind w:left="1020"/>
              <w:spacing w:after="0"/>
              <w:rPr>
                <w:sz w:val="20"/>
                <w:szCs w:val="20"/>
                <w:color w:val="auto"/>
              </w:rPr>
            </w:pPr>
            <w:r>
              <w:rPr>
                <w:rFonts w:ascii="Arial" w:cs="Arial" w:eastAsia="Arial" w:hAnsi="Arial"/>
                <w:sz w:val="14"/>
                <w:szCs w:val="14"/>
                <w:b w:val="1"/>
                <w:bCs w:val="1"/>
                <w:color w:val="auto"/>
              </w:rPr>
              <w:t>Location of Gains (Losses)</w:t>
            </w:r>
          </w:p>
        </w:tc>
        <w:tc>
          <w:tcPr>
            <w:tcW w:w="140" w:type="dxa"/>
            <w:vAlign w:val="bottom"/>
            <w:tcBorders>
              <w:bottom w:val="single" w:sz="8" w:color="auto"/>
            </w:tcBorders>
          </w:tcPr>
          <w:p>
            <w:pPr>
              <w:spacing w:after="0"/>
              <w:rPr>
                <w:sz w:val="14"/>
                <w:szCs w:val="14"/>
                <w:color w:val="auto"/>
              </w:rPr>
            </w:pPr>
          </w:p>
        </w:tc>
        <w:tc>
          <w:tcPr>
            <w:tcW w:w="2420" w:type="dxa"/>
            <w:vAlign w:val="bottom"/>
            <w:tcBorders>
              <w:bottom w:val="single" w:sz="8" w:color="auto"/>
            </w:tcBorders>
            <w:gridSpan w:val="8"/>
          </w:tcPr>
          <w:p>
            <w:pPr>
              <w:jc w:val="center"/>
              <w:ind w:left="301"/>
              <w:spacing w:after="0"/>
              <w:rPr>
                <w:sz w:val="20"/>
                <w:szCs w:val="20"/>
                <w:color w:val="auto"/>
              </w:rPr>
            </w:pPr>
            <w:r>
              <w:rPr>
                <w:rFonts w:ascii="Arial" w:cs="Arial" w:eastAsia="Arial" w:hAnsi="Arial"/>
                <w:sz w:val="14"/>
                <w:szCs w:val="14"/>
                <w:b w:val="1"/>
                <w:bCs w:val="1"/>
                <w:color w:val="auto"/>
                <w:w w:val="87"/>
              </w:rPr>
              <w:t>of Operations for the Year Ended</w:t>
            </w:r>
          </w:p>
        </w:tc>
        <w:tc>
          <w:tcPr>
            <w:tcW w:w="5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6"/>
        </w:trPr>
        <w:tc>
          <w:tcPr>
            <w:tcW w:w="4240" w:type="dxa"/>
            <w:vAlign w:val="bottom"/>
          </w:tcPr>
          <w:p>
            <w:pPr>
              <w:spacing w:after="0"/>
              <w:rPr>
                <w:sz w:val="10"/>
                <w:szCs w:val="10"/>
                <w:color w:val="auto"/>
              </w:rPr>
            </w:pPr>
          </w:p>
        </w:tc>
        <w:tc>
          <w:tcPr>
            <w:tcW w:w="4000" w:type="dxa"/>
            <w:vAlign w:val="bottom"/>
            <w:gridSpan w:val="2"/>
            <w:vMerge w:val="continue"/>
          </w:tcPr>
          <w:p>
            <w:pPr>
              <w:spacing w:after="0"/>
              <w:rPr>
                <w:sz w:val="10"/>
                <w:szCs w:val="10"/>
                <w:color w:val="auto"/>
              </w:rPr>
            </w:pPr>
          </w:p>
        </w:tc>
        <w:tc>
          <w:tcPr>
            <w:tcW w:w="960" w:type="dxa"/>
            <w:vAlign w:val="bottom"/>
            <w:gridSpan w:val="3"/>
          </w:tcPr>
          <w:p>
            <w:pPr>
              <w:spacing w:after="0" w:line="116" w:lineRule="exact"/>
              <w:rPr>
                <w:sz w:val="20"/>
                <w:szCs w:val="20"/>
                <w:color w:val="auto"/>
              </w:rPr>
            </w:pPr>
            <w:r>
              <w:rPr>
                <w:rFonts w:ascii="Arial" w:cs="Arial" w:eastAsia="Arial" w:hAnsi="Arial"/>
                <w:sz w:val="12"/>
                <w:szCs w:val="12"/>
                <w:b w:val="1"/>
                <w:bCs w:val="1"/>
                <w:color w:val="auto"/>
              </w:rPr>
              <w:t>January 30,</w:t>
            </w:r>
          </w:p>
        </w:tc>
        <w:tc>
          <w:tcPr>
            <w:tcW w:w="240" w:type="dxa"/>
            <w:vAlign w:val="bottom"/>
          </w:tcPr>
          <w:p>
            <w:pPr>
              <w:spacing w:after="0"/>
              <w:rPr>
                <w:sz w:val="10"/>
                <w:szCs w:val="10"/>
                <w:color w:val="auto"/>
              </w:rPr>
            </w:pPr>
          </w:p>
        </w:tc>
        <w:tc>
          <w:tcPr>
            <w:tcW w:w="960" w:type="dxa"/>
            <w:vAlign w:val="bottom"/>
            <w:gridSpan w:val="3"/>
          </w:tcPr>
          <w:p>
            <w:pPr>
              <w:jc w:val="center"/>
              <w:ind w:right="280"/>
              <w:spacing w:after="0" w:line="116" w:lineRule="exact"/>
              <w:rPr>
                <w:sz w:val="20"/>
                <w:szCs w:val="20"/>
                <w:color w:val="auto"/>
              </w:rPr>
            </w:pPr>
            <w:r>
              <w:rPr>
                <w:rFonts w:ascii="Arial" w:cs="Arial" w:eastAsia="Arial" w:hAnsi="Arial"/>
                <w:sz w:val="12"/>
                <w:szCs w:val="12"/>
                <w:b w:val="1"/>
                <w:bCs w:val="1"/>
                <w:color w:val="auto"/>
              </w:rPr>
              <w:t>January 31,</w:t>
            </w:r>
          </w:p>
        </w:tc>
        <w:tc>
          <w:tcPr>
            <w:tcW w:w="240" w:type="dxa"/>
            <w:vAlign w:val="bottom"/>
          </w:tcPr>
          <w:p>
            <w:pPr>
              <w:spacing w:after="0"/>
              <w:rPr>
                <w:sz w:val="10"/>
                <w:szCs w:val="10"/>
                <w:color w:val="auto"/>
              </w:rPr>
            </w:pPr>
          </w:p>
        </w:tc>
        <w:tc>
          <w:tcPr>
            <w:tcW w:w="680" w:type="dxa"/>
            <w:vAlign w:val="bottom"/>
            <w:gridSpan w:val="2"/>
          </w:tcPr>
          <w:p>
            <w:pPr>
              <w:spacing w:after="0" w:line="116" w:lineRule="exact"/>
              <w:rPr>
                <w:sz w:val="20"/>
                <w:szCs w:val="20"/>
                <w:color w:val="auto"/>
              </w:rPr>
            </w:pPr>
            <w:r>
              <w:rPr>
                <w:rFonts w:ascii="Arial" w:cs="Arial" w:eastAsia="Arial" w:hAnsi="Arial"/>
                <w:sz w:val="12"/>
                <w:szCs w:val="12"/>
                <w:b w:val="1"/>
                <w:bCs w:val="1"/>
                <w:color w:val="auto"/>
              </w:rPr>
              <w:t>February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5"/>
        </w:trPr>
        <w:tc>
          <w:tcPr>
            <w:tcW w:w="4240" w:type="dxa"/>
            <w:vAlign w:val="bottom"/>
          </w:tcPr>
          <w:p>
            <w:pPr>
              <w:spacing w:after="0"/>
              <w:rPr>
                <w:sz w:val="15"/>
                <w:szCs w:val="15"/>
                <w:color w:val="auto"/>
              </w:rPr>
            </w:pPr>
          </w:p>
        </w:tc>
        <w:tc>
          <w:tcPr>
            <w:tcW w:w="4000" w:type="dxa"/>
            <w:vAlign w:val="bottom"/>
            <w:gridSpan w:val="2"/>
          </w:tcPr>
          <w:p>
            <w:pPr>
              <w:ind w:left="1020"/>
              <w:spacing w:after="0"/>
              <w:rPr>
                <w:sz w:val="20"/>
                <w:szCs w:val="20"/>
                <w:color w:val="auto"/>
              </w:rPr>
            </w:pPr>
            <w:r>
              <w:rPr>
                <w:rFonts w:ascii="Arial" w:cs="Arial" w:eastAsia="Arial" w:hAnsi="Arial"/>
                <w:sz w:val="14"/>
                <w:szCs w:val="14"/>
                <w:b w:val="1"/>
                <w:bCs w:val="1"/>
                <w:color w:val="auto"/>
              </w:rPr>
              <w:t>in Statement of Operations</w:t>
            </w:r>
          </w:p>
        </w:tc>
        <w:tc>
          <w:tcPr>
            <w:tcW w:w="140" w:type="dxa"/>
            <w:vAlign w:val="bottom"/>
          </w:tcPr>
          <w:p>
            <w:pPr>
              <w:spacing w:after="0"/>
              <w:rPr>
                <w:sz w:val="15"/>
                <w:szCs w:val="15"/>
                <w:color w:val="auto"/>
              </w:rPr>
            </w:pPr>
          </w:p>
        </w:tc>
        <w:tc>
          <w:tcPr>
            <w:tcW w:w="540" w:type="dxa"/>
            <w:vAlign w:val="bottom"/>
          </w:tcPr>
          <w:p>
            <w:pPr>
              <w:jc w:val="right"/>
              <w:ind w:right="121"/>
              <w:spacing w:after="0"/>
              <w:rPr>
                <w:sz w:val="20"/>
                <w:szCs w:val="20"/>
                <w:color w:val="auto"/>
              </w:rPr>
            </w:pPr>
            <w:r>
              <w:rPr>
                <w:rFonts w:ascii="Arial" w:cs="Arial" w:eastAsia="Arial" w:hAnsi="Arial"/>
                <w:sz w:val="14"/>
                <w:szCs w:val="14"/>
                <w:b w:val="1"/>
                <w:bCs w:val="1"/>
                <w:color w:val="auto"/>
              </w:rPr>
              <w:t>2016</w:t>
            </w: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40" w:type="dxa"/>
            <w:vAlign w:val="bottom"/>
          </w:tcPr>
          <w:p>
            <w:pPr>
              <w:jc w:val="center"/>
              <w:ind w:right="56"/>
              <w:spacing w:after="0"/>
              <w:rPr>
                <w:sz w:val="20"/>
                <w:szCs w:val="20"/>
                <w:color w:val="auto"/>
              </w:rPr>
            </w:pPr>
            <w:r>
              <w:rPr>
                <w:rFonts w:ascii="Arial" w:cs="Arial" w:eastAsia="Arial" w:hAnsi="Arial"/>
                <w:sz w:val="14"/>
                <w:szCs w:val="14"/>
                <w:b w:val="1"/>
                <w:bCs w:val="1"/>
                <w:color w:val="auto"/>
                <w:w w:val="89"/>
              </w:rPr>
              <w:t>2015</w:t>
            </w: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20" w:type="dxa"/>
            <w:vAlign w:val="bottom"/>
          </w:tcPr>
          <w:p>
            <w:pPr>
              <w:jc w:val="right"/>
              <w:ind w:right="11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42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Derivatives designated as cash flow hedges:</w:t>
            </w:r>
          </w:p>
        </w:tc>
        <w:tc>
          <w:tcPr>
            <w:tcW w:w="3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4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4000" w:type="dxa"/>
            <w:vAlign w:val="bottom"/>
            <w:gridSpan w:val="2"/>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(390)</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(1,930)</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3,099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40" w:type="dxa"/>
            <w:vAlign w:val="bottom"/>
            <w:shd w:val="clear" w:color="auto" w:fill="CCEEFF"/>
          </w:tcPr>
          <w:p>
            <w:pPr>
              <w:spacing w:after="0"/>
              <w:rPr>
                <w:sz w:val="18"/>
                <w:szCs w:val="18"/>
                <w:color w:val="auto"/>
              </w:rPr>
            </w:pPr>
          </w:p>
        </w:tc>
        <w:tc>
          <w:tcPr>
            <w:tcW w:w="4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w:t>
            </w: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(24)</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40" w:type="dxa"/>
            <w:vAlign w:val="bottom"/>
          </w:tcPr>
          <w:p>
            <w:pPr>
              <w:spacing w:after="0"/>
              <w:rPr>
                <w:sz w:val="18"/>
                <w:szCs w:val="18"/>
                <w:color w:val="auto"/>
              </w:rPr>
            </w:pPr>
          </w:p>
        </w:tc>
        <w:tc>
          <w:tcPr>
            <w:tcW w:w="4000" w:type="dxa"/>
            <w:vAlign w:val="bottom"/>
            <w:gridSpan w:val="2"/>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(26)</w:t>
            </w: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(157)</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246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240" w:type="dxa"/>
            <w:vAlign w:val="bottom"/>
          </w:tcPr>
          <w:p>
            <w:pPr>
              <w:spacing w:after="0"/>
              <w:rPr>
                <w:sz w:val="2"/>
                <w:szCs w:val="2"/>
                <w:color w:val="auto"/>
              </w:rPr>
            </w:pPr>
          </w:p>
        </w:tc>
        <w:tc>
          <w:tcPr>
            <w:tcW w:w="358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240" w:type="dxa"/>
            <w:vAlign w:val="bottom"/>
            <w:shd w:val="clear" w:color="auto" w:fill="CCEEFF"/>
          </w:tcPr>
          <w:p>
            <w:pPr>
              <w:spacing w:after="0"/>
              <w:rPr>
                <w:sz w:val="18"/>
                <w:szCs w:val="18"/>
                <w:color w:val="auto"/>
              </w:rPr>
            </w:pPr>
          </w:p>
        </w:tc>
        <w:tc>
          <w:tcPr>
            <w:tcW w:w="3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(421)</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(2,111)</w:t>
            </w:r>
          </w:p>
        </w:tc>
        <w:tc>
          <w:tcPr>
            <w:tcW w:w="4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40" w:type="dxa"/>
            <w:vAlign w:val="bottom"/>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60" w:firstLine="456"/>
        <w:spacing w:after="0" w:line="294" w:lineRule="auto"/>
        <w:rPr>
          <w:sz w:val="20"/>
          <w:szCs w:val="20"/>
          <w:color w:val="auto"/>
        </w:rPr>
      </w:pPr>
      <w:r>
        <w:rPr>
          <w:rFonts w:ascii="Arial" w:cs="Arial" w:eastAsia="Arial" w:hAnsi="Arial"/>
          <w:sz w:val="16"/>
          <w:szCs w:val="16"/>
          <w:color w:val="auto"/>
        </w:rPr>
        <w:t>The portion of gains excluded from the assessment of hedge effectiveness are included in interest and other income, net, and these amounts were $0.1 million, $0.2 million and $0.5 million in fiscal 2016, 2015 and 2014, respectively. In addition, realized losses from forward contracts that are not designated as hedging instruments that are included in interest and other income, net, were not material in fiscal 2016, 2015 and 2014. The Company also reports hedge ineffectiveness from derivative financial instruments in current earnings, which were not material in fiscal 2016, 2015 and 2014. No cash flow hedges were terminated as a result of forecasted transactions that did not occur.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Fair Value Measurements</w:t>
      </w:r>
    </w:p>
    <w:p>
      <w:pPr>
        <w:spacing w:after="0" w:line="96"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420"/>
          </w:cols>
          <w:pgMar w:left="240" w:top="459" w:right="2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asset or a liability. As a basis for considering such assumptions, the accounting guidance establishes a three-tier value hierarchy, which prioritizes the inputs used in the valuation methodologies in measuring fair value:</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Other inputs that are directly or indirectly observable in the marketplace.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 securities as the market inputs used to value these instruments consist of market yields, reported trades and broker/dealer quotes, which are corroborated with observable market data. In addition, foreign currency forward contracts and the severance pay fund are classified as Level 2 assets as the valuation inputs are based on quoted prices and market observable data of similar instruments. The Company’s investments in auction rate securities are classified as Level 3 assets because there are currently no active markets for the auction rate securities and consequently the Company is unable to obtain independent valuations from market sources. The auction rate securities are valued using a discounted cash flow model. Some of the inputs to the discounted cash flow model are unobservable in the market. The total amount of assets measured using Level 3 valuation methodologies represented 0.2% of total assets as of January 30, 2016.</w:t>
      </w:r>
    </w:p>
    <w:p>
      <w:pPr>
        <w:spacing w:after="0" w:line="10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380"/>
          </w:cols>
          <w:pgMar w:left="240" w:top="459" w:right="27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and liabilities that were accounted for at fair value as of January 30, 2016 and January 31, 2015. The tables do not include assets and liabilities that are measured at historical cost or any basis other than fair value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340" w:type="dxa"/>
            <w:vAlign w:val="bottom"/>
            <w:tcBorders>
              <w:bottom w:val="single" w:sz="8" w:color="auto"/>
            </w:tcBorders>
            <w:gridSpan w:val="9"/>
          </w:tcPr>
          <w:p>
            <w:pPr>
              <w:jc w:val="right"/>
              <w:ind w:right="594"/>
              <w:spacing w:after="0"/>
              <w:rPr>
                <w:sz w:val="20"/>
                <w:szCs w:val="20"/>
                <w:color w:val="auto"/>
              </w:rPr>
            </w:pPr>
            <w:r>
              <w:rPr>
                <w:rFonts w:ascii="Arial" w:cs="Arial" w:eastAsia="Arial" w:hAnsi="Arial"/>
                <w:sz w:val="14"/>
                <w:szCs w:val="14"/>
                <w:b w:val="1"/>
                <w:bCs w:val="1"/>
                <w:color w:val="auto"/>
                <w:w w:val="87"/>
              </w:rPr>
              <w:t>Fair Value Measurements at January 30, 2016</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3"/>
        </w:trPr>
        <w:tc>
          <w:tcPr>
            <w:tcW w:w="4540" w:type="dxa"/>
            <w:vAlign w:val="bottom"/>
          </w:tcPr>
          <w:p>
            <w:pPr>
              <w:spacing w:after="0"/>
              <w:rPr>
                <w:sz w:val="19"/>
                <w:szCs w:val="19"/>
                <w:color w:val="auto"/>
              </w:rPr>
            </w:pPr>
          </w:p>
        </w:tc>
        <w:tc>
          <w:tcPr>
            <w:tcW w:w="2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ind w:left="40"/>
              <w:spacing w:after="0"/>
              <w:rPr>
                <w:sz w:val="20"/>
                <w:szCs w:val="20"/>
                <w:color w:val="auto"/>
              </w:rPr>
            </w:pPr>
            <w:r>
              <w:rPr>
                <w:rFonts w:ascii="Arial" w:cs="Arial" w:eastAsia="Arial" w:hAnsi="Arial"/>
                <w:sz w:val="14"/>
                <w:szCs w:val="14"/>
                <w:b w:val="1"/>
                <w:bCs w:val="1"/>
                <w:color w:val="auto"/>
              </w:rPr>
              <w:t>Level 1</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2"/>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ind w:left="1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6"/>
        </w:trPr>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27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Assets</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2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20"/>
                <w:szCs w:val="20"/>
                <w:color w:val="auto"/>
              </w:rPr>
            </w:pPr>
            <w:r>
              <w:rPr>
                <w:rFonts w:ascii="Arial" w:cs="Arial" w:eastAsia="Arial" w:hAnsi="Arial"/>
                <w:sz w:val="18"/>
                <w:szCs w:val="18"/>
                <w:color w:val="auto"/>
                <w:w w:val="86"/>
              </w:rPr>
              <w:t>160,400</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160,400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209,405</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20"/>
                <w:szCs w:val="20"/>
                <w:color w:val="auto"/>
              </w:rPr>
            </w:pPr>
            <w:r>
              <w:rPr>
                <w:rFonts w:ascii="Arial" w:cs="Arial" w:eastAsia="Arial" w:hAnsi="Arial"/>
                <w:sz w:val="18"/>
                <w:szCs w:val="18"/>
                <w:color w:val="auto"/>
                <w:w w:val="86"/>
              </w:rPr>
              <w:t>184,374</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184,374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54,689</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54,689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Short-term investments:</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20"/>
                <w:szCs w:val="20"/>
                <w:color w:val="auto"/>
              </w:rPr>
            </w:pPr>
            <w:r>
              <w:rPr>
                <w:rFonts w:ascii="Arial" w:cs="Arial" w:eastAsia="Arial" w:hAnsi="Arial"/>
                <w:sz w:val="18"/>
                <w:szCs w:val="18"/>
                <w:color w:val="auto"/>
                <w:w w:val="86"/>
              </w:rPr>
              <w:t>317,405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557,821</w:t>
            </w:r>
          </w:p>
        </w:tc>
        <w:tc>
          <w:tcPr>
            <w:tcW w:w="100" w:type="dxa"/>
            <w:vAlign w:val="bottom"/>
          </w:tcPr>
          <w:p>
            <w:pPr>
              <w:spacing w:after="0"/>
              <w:rPr>
                <w:sz w:val="18"/>
                <w:szCs w:val="18"/>
                <w:color w:val="auto"/>
              </w:rPr>
            </w:pPr>
          </w:p>
        </w:tc>
        <w:tc>
          <w:tcPr>
            <w:tcW w:w="4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557,821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4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30</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Long-term investments:</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11,296</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678</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vMerge w:val="restart"/>
          </w:tcPr>
          <w:p>
            <w:pPr>
              <w:spacing w:after="0"/>
              <w:rPr>
                <w:sz w:val="20"/>
                <w:szCs w:val="20"/>
                <w:color w:val="auto"/>
              </w:rPr>
            </w:pPr>
            <w:r>
              <w:rPr>
                <w:rFonts w:ascii="Arial" w:cs="Arial" w:eastAsia="Arial" w:hAnsi="Arial"/>
                <w:sz w:val="18"/>
                <w:szCs w:val="18"/>
                <w:color w:val="auto"/>
              </w:rPr>
              <w:t>Total assets</w:t>
            </w:r>
          </w:p>
        </w:tc>
        <w:tc>
          <w:tcPr>
            <w:tcW w:w="27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vMerge w:val="continue"/>
          </w:tcPr>
          <w:p>
            <w:pPr>
              <w:spacing w:after="0"/>
              <w:rPr>
                <w:sz w:val="19"/>
                <w:szCs w:val="19"/>
                <w:color w:val="auto"/>
              </w:rPr>
            </w:pPr>
          </w:p>
        </w:tc>
        <w:tc>
          <w:tcPr>
            <w:tcW w:w="276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spacing w:after="0"/>
              <w:rPr>
                <w:sz w:val="20"/>
                <w:szCs w:val="20"/>
                <w:color w:val="auto"/>
              </w:rPr>
            </w:pPr>
            <w:r>
              <w:rPr>
                <w:rFonts w:ascii="Arial" w:cs="Arial" w:eastAsia="Arial" w:hAnsi="Arial"/>
                <w:sz w:val="18"/>
                <w:szCs w:val="18"/>
                <w:color w:val="auto"/>
                <w:w w:val="86"/>
              </w:rPr>
              <w:t>662,179</w:t>
            </w:r>
          </w:p>
        </w:tc>
        <w:tc>
          <w:tcPr>
            <w:tcW w:w="4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951,966</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11,296</w:t>
            </w:r>
          </w:p>
        </w:tc>
        <w:tc>
          <w:tcPr>
            <w:tcW w:w="5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1,625,441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2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Liabilities</w:t>
            </w:r>
          </w:p>
        </w:tc>
        <w:tc>
          <w:tcPr>
            <w:tcW w:w="2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Accrued liabilities:</w:t>
            </w:r>
          </w:p>
        </w:tc>
        <w:tc>
          <w:tcPr>
            <w:tcW w:w="2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2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195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2760" w:type="dxa"/>
            <w:vAlign w:val="bottom"/>
            <w:vMerge w:val="restart"/>
          </w:tcPr>
          <w:p>
            <w:pPr>
              <w:jc w:val="right"/>
              <w:ind w:right="1412"/>
              <w:spacing w:after="0"/>
              <w:rPr>
                <w:sz w:val="20"/>
                <w:szCs w:val="20"/>
                <w:color w:val="auto"/>
              </w:rPr>
            </w:pPr>
            <w:r>
              <w:rPr>
                <w:rFonts w:ascii="Arial" w:cs="Arial" w:eastAsia="Arial" w:hAnsi="Arial"/>
                <w:sz w:val="18"/>
                <w:szCs w:val="18"/>
                <w:color w:val="auto"/>
              </w:rPr>
              <w:t>83</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540" w:type="dxa"/>
            <w:vAlign w:val="bottom"/>
          </w:tcPr>
          <w:p>
            <w:pPr>
              <w:spacing w:after="0"/>
              <w:rPr>
                <w:sz w:val="24"/>
                <w:szCs w:val="24"/>
                <w:color w:val="auto"/>
              </w:rPr>
            </w:pPr>
          </w:p>
        </w:tc>
        <w:tc>
          <w:tcPr>
            <w:tcW w:w="27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720" w:type="dxa"/>
            <w:vAlign w:val="bottom"/>
            <w:tcBorders>
              <w:bottom w:val="single" w:sz="8" w:color="auto"/>
            </w:tcBorders>
            <w:gridSpan w:val="8"/>
          </w:tcPr>
          <w:p>
            <w:pPr>
              <w:jc w:val="right"/>
              <w:ind w:right="40"/>
              <w:spacing w:after="0"/>
              <w:rPr>
                <w:sz w:val="20"/>
                <w:szCs w:val="20"/>
                <w:color w:val="auto"/>
              </w:rPr>
            </w:pPr>
            <w:r>
              <w:rPr>
                <w:rFonts w:ascii="Arial" w:cs="Arial" w:eastAsia="Arial" w:hAnsi="Arial"/>
                <w:sz w:val="14"/>
                <w:szCs w:val="14"/>
                <w:b w:val="1"/>
                <w:bCs w:val="1"/>
                <w:color w:val="auto"/>
                <w:w w:val="88"/>
              </w:rPr>
              <w:t>Fair Value Measurements at January 31, 2015</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gridSpan w:val="2"/>
          </w:tcPr>
          <w:p>
            <w:pPr>
              <w:ind w:left="20"/>
              <w:spacing w:after="0"/>
              <w:rPr>
                <w:sz w:val="20"/>
                <w:szCs w:val="20"/>
                <w:color w:val="auto"/>
              </w:rPr>
            </w:pPr>
            <w:r>
              <w:rPr>
                <w:rFonts w:ascii="Arial" w:cs="Arial" w:eastAsia="Arial" w:hAnsi="Arial"/>
                <w:sz w:val="14"/>
                <w:szCs w:val="14"/>
                <w:b w:val="1"/>
                <w:bCs w:val="1"/>
                <w:color w:val="auto"/>
              </w:rPr>
              <w:t>Level 1</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4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ind w:left="1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1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w w:val="86"/>
              </w:rPr>
              <w:t>111,286</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111,286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213,012</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213,012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21,999</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21,999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00" w:type="dxa"/>
            <w:vAlign w:val="bottom"/>
          </w:tcPr>
          <w:p>
            <w:pPr>
              <w:spacing w:after="0"/>
              <w:rPr>
                <w:sz w:val="18"/>
                <w:szCs w:val="18"/>
                <w:color w:val="auto"/>
              </w:rPr>
            </w:pP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w w:val="86"/>
              </w:rPr>
              <w:t>179,156</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986,317</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91,531</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28,110</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33,464</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124</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10,226</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1,758</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290,442</w:t>
            </w: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4"/>
              </w:rPr>
              <w:t>1,376,315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10,226</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1,676,983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18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18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1,379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In connection with the early buyout option under an operating lease for corporate equipment in March 2015 (see “Note 8 — Restructuring and Other Charges”), the Company had an asset that it measured and recorded at fair value on a non-recurring basis. Such corporate equipment had a fair value of $9.3 million as of August 1, 2015, the end of the second quarter of fiscal 2016. The corporate equipment was sold in October 2015, prior to the end of the third quarter of fiscal 2016.</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summarizes the change in fair values for Level 3 assets for the years ended January 30, 2016 and January 31, 2015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82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r>
      <w:tr>
        <w:trPr>
          <w:trHeight w:val="196"/>
        </w:trPr>
        <w:tc>
          <w:tcPr>
            <w:tcW w:w="20" w:type="dxa"/>
            <w:vAlign w:val="bottom"/>
          </w:tcPr>
          <w:p>
            <w:pPr>
              <w:spacing w:after="0"/>
              <w:rPr>
                <w:sz w:val="17"/>
                <w:szCs w:val="17"/>
                <w:color w:val="auto"/>
              </w:rPr>
            </w:pPr>
          </w:p>
        </w:tc>
        <w:tc>
          <w:tcPr>
            <w:tcW w:w="78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year (pre-tax):</w:t>
            </w:r>
          </w:p>
        </w:tc>
        <w:tc>
          <w:tcPr>
            <w:tcW w:w="288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820" w:type="dxa"/>
            <w:vAlign w:val="bottom"/>
          </w:tcPr>
          <w:p>
            <w:pPr>
              <w:spacing w:after="0"/>
              <w:rPr>
                <w:sz w:val="20"/>
                <w:szCs w:val="20"/>
                <w:color w:val="auto"/>
              </w:rPr>
            </w:pPr>
            <w:r>
              <w:rPr>
                <w:rFonts w:ascii="Arial" w:cs="Arial" w:eastAsia="Arial" w:hAnsi="Arial"/>
                <w:sz w:val="18"/>
                <w:szCs w:val="18"/>
                <w:color w:val="auto"/>
              </w:rPr>
              <w:t>Balance at February 1, 2014</w:t>
            </w:r>
          </w:p>
        </w:tc>
        <w:tc>
          <w:tcPr>
            <w:tcW w:w="3460" w:type="dxa"/>
            <w:vAlign w:val="bottom"/>
            <w:gridSpan w:val="2"/>
          </w:tcPr>
          <w:p>
            <w:pPr>
              <w:jc w:val="right"/>
              <w:spacing w:after="0"/>
              <w:rPr>
                <w:sz w:val="20"/>
                <w:szCs w:val="20"/>
                <w:color w:val="auto"/>
              </w:rPr>
            </w:pPr>
            <w:r>
              <w:rPr>
                <w:rFonts w:ascii="Arial" w:cs="Arial" w:eastAsia="Arial" w:hAnsi="Arial"/>
                <w:sz w:val="18"/>
                <w:szCs w:val="18"/>
                <w:color w:val="auto"/>
              </w:rPr>
              <w:t>$16,279</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Sales, redemption and settlement</w:t>
            </w:r>
          </w:p>
        </w:tc>
        <w:tc>
          <w:tcPr>
            <w:tcW w:w="35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(3,650)</w:t>
            </w:r>
          </w:p>
        </w:tc>
      </w:tr>
      <w:tr>
        <w:trPr>
          <w:trHeight w:val="216"/>
        </w:trPr>
        <w:tc>
          <w:tcPr>
            <w:tcW w:w="20" w:type="dxa"/>
            <w:vAlign w:val="bottom"/>
          </w:tcPr>
          <w:p>
            <w:pPr>
              <w:spacing w:after="0"/>
              <w:rPr>
                <w:sz w:val="18"/>
                <w:szCs w:val="18"/>
                <w:color w:val="auto"/>
              </w:rPr>
            </w:pPr>
          </w:p>
        </w:tc>
        <w:tc>
          <w:tcPr>
            <w:tcW w:w="7820" w:type="dxa"/>
            <w:vAlign w:val="bottom"/>
          </w:tcPr>
          <w:p>
            <w:pPr>
              <w:spacing w:after="0"/>
              <w:rPr>
                <w:sz w:val="20"/>
                <w:szCs w:val="20"/>
                <w:color w:val="auto"/>
              </w:rPr>
            </w:pPr>
            <w:r>
              <w:rPr>
                <w:rFonts w:ascii="Arial" w:cs="Arial" w:eastAsia="Arial" w:hAnsi="Arial"/>
                <w:sz w:val="18"/>
                <w:szCs w:val="18"/>
                <w:color w:val="auto"/>
              </w:rPr>
              <w:t>Transfer out</w:t>
            </w:r>
          </w:p>
        </w:tc>
        <w:tc>
          <w:tcPr>
            <w:tcW w:w="3580" w:type="dxa"/>
            <w:vAlign w:val="bottom"/>
            <w:gridSpan w:val="3"/>
          </w:tcPr>
          <w:p>
            <w:pPr>
              <w:jc w:val="right"/>
              <w:ind w:right="60"/>
              <w:spacing w:after="0"/>
              <w:rPr>
                <w:sz w:val="20"/>
                <w:szCs w:val="20"/>
                <w:color w:val="auto"/>
              </w:rPr>
            </w:pPr>
            <w:r>
              <w:rPr>
                <w:rFonts w:ascii="Arial" w:cs="Arial" w:eastAsia="Arial" w:hAnsi="Arial"/>
                <w:sz w:val="18"/>
                <w:szCs w:val="18"/>
                <w:color w:val="auto"/>
              </w:rPr>
              <w:t>(3,000)</w:t>
            </w:r>
          </w:p>
        </w:tc>
      </w:tr>
      <w:tr>
        <w:trPr>
          <w:trHeight w:val="216"/>
        </w:trPr>
        <w:tc>
          <w:tcPr>
            <w:tcW w:w="20" w:type="dxa"/>
            <w:vAlign w:val="bottom"/>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288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597</w:t>
            </w:r>
          </w:p>
        </w:tc>
        <w:tc>
          <w:tcPr>
            <w:tcW w:w="120" w:type="dxa"/>
            <w:vAlign w:val="bottom"/>
            <w:shd w:val="clear" w:color="auto" w:fill="CCEEFF"/>
          </w:tcPr>
          <w:p>
            <w:pPr>
              <w:spacing w:after="0"/>
              <w:rPr>
                <w:sz w:val="18"/>
                <w:szCs w:val="18"/>
                <w:color w:val="auto"/>
              </w:rPr>
            </w:pPr>
          </w:p>
        </w:tc>
      </w:tr>
      <w:tr>
        <w:trPr>
          <w:trHeight w:val="221"/>
        </w:trPr>
        <w:tc>
          <w:tcPr>
            <w:tcW w:w="7840" w:type="dxa"/>
            <w:vAlign w:val="bottom"/>
            <w:gridSpan w:val="2"/>
          </w:tcPr>
          <w:p>
            <w:pPr>
              <w:spacing w:after="0"/>
              <w:rPr>
                <w:sz w:val="20"/>
                <w:szCs w:val="20"/>
                <w:color w:val="auto"/>
              </w:rPr>
            </w:pPr>
            <w:r>
              <w:rPr>
                <w:rFonts w:ascii="Arial" w:cs="Arial" w:eastAsia="Arial" w:hAnsi="Arial"/>
                <w:sz w:val="18"/>
                <w:szCs w:val="18"/>
                <w:color w:val="auto"/>
              </w:rPr>
              <w:t>Balance at January 31, 2015</w:t>
            </w:r>
          </w:p>
        </w:tc>
        <w:tc>
          <w:tcPr>
            <w:tcW w:w="3460" w:type="dxa"/>
            <w:vAlign w:val="bottom"/>
            <w:gridSpan w:val="2"/>
          </w:tcPr>
          <w:p>
            <w:pPr>
              <w:jc w:val="right"/>
              <w:spacing w:after="0"/>
              <w:rPr>
                <w:sz w:val="20"/>
                <w:szCs w:val="20"/>
                <w:color w:val="auto"/>
              </w:rPr>
            </w:pPr>
            <w:r>
              <w:rPr>
                <w:rFonts w:ascii="Arial" w:cs="Arial" w:eastAsia="Arial" w:hAnsi="Arial"/>
                <w:sz w:val="18"/>
                <w:szCs w:val="18"/>
                <w:color w:val="auto"/>
              </w:rPr>
              <w:t>10,226</w:t>
            </w:r>
          </w:p>
        </w:tc>
        <w:tc>
          <w:tcPr>
            <w:tcW w:w="120" w:type="dxa"/>
            <w:vAlign w:val="bottom"/>
          </w:tcPr>
          <w:p>
            <w:pPr>
              <w:spacing w:after="0"/>
              <w:rPr>
                <w:sz w:val="19"/>
                <w:szCs w:val="19"/>
                <w:color w:val="auto"/>
              </w:rPr>
            </w:pPr>
          </w:p>
        </w:tc>
      </w:tr>
      <w:tr>
        <w:trPr>
          <w:trHeight w:val="218"/>
        </w:trPr>
        <w:tc>
          <w:tcPr>
            <w:tcW w:w="20" w:type="dxa"/>
            <w:vAlign w:val="bottom"/>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Impairment loss</w:t>
            </w:r>
          </w:p>
        </w:tc>
        <w:tc>
          <w:tcPr>
            <w:tcW w:w="35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(1,204)</w:t>
            </w:r>
          </w:p>
        </w:tc>
      </w:tr>
      <w:tr>
        <w:trPr>
          <w:trHeight w:val="223"/>
        </w:trPr>
        <w:tc>
          <w:tcPr>
            <w:tcW w:w="20" w:type="dxa"/>
            <w:vAlign w:val="bottom"/>
          </w:tcPr>
          <w:p>
            <w:pPr>
              <w:spacing w:after="0"/>
              <w:rPr>
                <w:sz w:val="19"/>
                <w:szCs w:val="19"/>
                <w:color w:val="auto"/>
              </w:rPr>
            </w:pPr>
          </w:p>
        </w:tc>
        <w:tc>
          <w:tcPr>
            <w:tcW w:w="7820" w:type="dxa"/>
            <w:vAlign w:val="bottom"/>
          </w:tcPr>
          <w:p>
            <w:pPr>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288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2,274</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2016</w:t>
            </w:r>
          </w:p>
        </w:tc>
        <w:tc>
          <w:tcPr>
            <w:tcW w:w="34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11,296</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7820" w:type="dxa"/>
            <w:vAlign w:val="bottom"/>
          </w:tcPr>
          <w:p>
            <w:pPr>
              <w:spacing w:after="0" w:line="20" w:lineRule="exact"/>
              <w:rPr>
                <w:sz w:val="1"/>
                <w:szCs w:val="1"/>
                <w:color w:val="auto"/>
              </w:rPr>
            </w:pPr>
          </w:p>
        </w:tc>
        <w:tc>
          <w:tcPr>
            <w:tcW w:w="28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In November 2014, the Company received notification by the issuer of a mandatory full call of an auction rate security to be redeemed at par value and as a result, the security was classified within Level 2 based on the issuer’s quoted price. Subsequently, the auction rate security was fully redeemed at par value before the end of fiscal 2015.</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Goodwill and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was no activity recorded to goodwill in fiscal 2016 and 2015 due to business combinations.</w:t>
      </w:r>
    </w:p>
    <w:p>
      <w:pPr>
        <w:spacing w:after="0" w:line="171"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 has identified that its business operates as a single operating segment with two components that it has concluded can be aggregated into a single reporting unit for which it obtained an independent valuation to complete a step one assessment for goodwill impairment. In the third quarter of fiscal 2016, the Company performed an impairment assessment for testing goodwill due to certain events and circumstances management considered could be indicators of potential impairment, which included the U.S. Court of Appeals for the Federal Circuit (“Federal Circuit”) panel’s decision in August 2015 related to the CMU litigation (see “Note 10 —Commitments and Contingencies”), the Company’s decision to significantly restructure its mobile platform business announced in September 2015 (see “Note 8 — Restructuring and Other Related Charges”) and a significant decline in the Company’s stock price during fiscal 2016. As a result, the Company concluded there was no impairment of its goodwill. The Company’s annual test for goodwill impairment as of the last day of the fourth quarter of fiscal 2016, also did not result in any impairment charges since the excess of fair value over carrying amount for our reporting unit approximated 41% of its carrying amount.</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amounts of acquired intangible assets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4"/>
          </w:tcPr>
          <w:p>
            <w:pPr>
              <w:jc w:val="center"/>
              <w:ind w:left="32"/>
              <w:spacing w:after="0"/>
              <w:rPr>
                <w:sz w:val="20"/>
                <w:szCs w:val="20"/>
                <w:color w:val="auto"/>
              </w:rPr>
            </w:pPr>
            <w:r>
              <w:rPr>
                <w:rFonts w:ascii="Arial" w:cs="Arial" w:eastAsia="Arial" w:hAnsi="Arial"/>
                <w:sz w:val="14"/>
                <w:szCs w:val="14"/>
                <w:b w:val="1"/>
                <w:bCs w:val="1"/>
                <w:color w:val="auto"/>
                <w:w w:val="89"/>
              </w:rPr>
              <w:t>January 30, 2016</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4"/>
          </w:tcPr>
          <w:p>
            <w:pPr>
              <w:jc w:val="center"/>
              <w:ind w:left="22"/>
              <w:spacing w:after="0"/>
              <w:rPr>
                <w:sz w:val="20"/>
                <w:szCs w:val="20"/>
                <w:color w:val="auto"/>
              </w:rPr>
            </w:pPr>
            <w:r>
              <w:rPr>
                <w:rFonts w:ascii="Arial" w:cs="Arial" w:eastAsia="Arial" w:hAnsi="Arial"/>
                <w:sz w:val="14"/>
                <w:szCs w:val="14"/>
                <w:b w:val="1"/>
                <w:bCs w:val="1"/>
                <w:color w:val="auto"/>
                <w:w w:val="87"/>
              </w:rPr>
              <w:t>January 31, 2015</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00" w:type="dxa"/>
            <w:vAlign w:val="bottom"/>
            <w:gridSpan w:val="3"/>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80" w:type="dxa"/>
            <w:vAlign w:val="bottom"/>
            <w:gridSpan w:val="3"/>
          </w:tcPr>
          <w:p>
            <w:pPr>
              <w:jc w:val="center"/>
              <w:ind w:right="2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80" w:type="dxa"/>
            <w:vAlign w:val="bottom"/>
          </w:tcPr>
          <w:p>
            <w:pPr>
              <w:jc w:val="right"/>
              <w:ind w:right="41"/>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100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580" w:type="dxa"/>
            <w:vAlign w:val="bottom"/>
          </w:tcPr>
          <w:p>
            <w:pPr>
              <w:jc w:val="right"/>
              <w:ind w:right="124"/>
              <w:spacing w:after="0" w:line="149" w:lineRule="exact"/>
              <w:rPr>
                <w:sz w:val="20"/>
                <w:szCs w:val="20"/>
                <w:color w:val="auto"/>
              </w:rPr>
            </w:pPr>
            <w:r>
              <w:rPr>
                <w:rFonts w:ascii="Arial" w:cs="Arial" w:eastAsia="Arial" w:hAnsi="Arial"/>
                <w:sz w:val="14"/>
                <w:szCs w:val="14"/>
                <w:b w:val="1"/>
                <w:bCs w:val="1"/>
                <w:color w:val="auto"/>
              </w:rPr>
              <w:t>Net</w:t>
            </w:r>
          </w:p>
        </w:tc>
        <w:tc>
          <w:tcPr>
            <w:tcW w:w="300" w:type="dxa"/>
            <w:vAlign w:val="bottom"/>
          </w:tcPr>
          <w:p>
            <w:pPr>
              <w:spacing w:after="0"/>
              <w:rPr>
                <w:sz w:val="12"/>
                <w:szCs w:val="12"/>
                <w:color w:val="auto"/>
              </w:rPr>
            </w:pPr>
          </w:p>
        </w:tc>
        <w:tc>
          <w:tcPr>
            <w:tcW w:w="580" w:type="dxa"/>
            <w:vAlign w:val="bottom"/>
          </w:tcPr>
          <w:p>
            <w:pPr>
              <w:jc w:val="right"/>
              <w:ind w:right="47"/>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98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4820" w:type="dxa"/>
            <w:vAlign w:val="bottom"/>
          </w:tcPr>
          <w:p>
            <w:pPr>
              <w:spacing w:after="0"/>
              <w:rPr>
                <w:sz w:val="12"/>
                <w:szCs w:val="12"/>
                <w:color w:val="auto"/>
              </w:rPr>
            </w:pPr>
          </w:p>
        </w:tc>
        <w:tc>
          <w:tcPr>
            <w:tcW w:w="110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4820" w:type="dxa"/>
            <w:vAlign w:val="bottom"/>
          </w:tcPr>
          <w:p>
            <w:pPr>
              <w:spacing w:after="0"/>
              <w:rPr>
                <w:sz w:val="14"/>
                <w:szCs w:val="14"/>
                <w:color w:val="auto"/>
              </w:rPr>
            </w:pPr>
          </w:p>
        </w:tc>
        <w:tc>
          <w:tcPr>
            <w:tcW w:w="11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9"/>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8"/>
              </w:rPr>
              <w:t>Amounts</w:t>
            </w:r>
          </w:p>
        </w:tc>
        <w:tc>
          <w:tcPr>
            <w:tcW w:w="300" w:type="dxa"/>
            <w:vAlign w:val="bottom"/>
          </w:tcPr>
          <w:p>
            <w:pPr>
              <w:spacing w:after="0"/>
              <w:rPr>
                <w:sz w:val="14"/>
                <w:szCs w:val="14"/>
                <w:color w:val="auto"/>
              </w:rPr>
            </w:pPr>
          </w:p>
        </w:tc>
        <w:tc>
          <w:tcPr>
            <w:tcW w:w="100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9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4"/>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0" w:type="dxa"/>
            <w:vAlign w:val="bottom"/>
          </w:tcPr>
          <w:p>
            <w:pPr>
              <w:spacing w:after="0"/>
              <w:rPr>
                <w:sz w:val="1"/>
                <w:szCs w:val="1"/>
                <w:color w:val="auto"/>
              </w:rPr>
            </w:pPr>
          </w:p>
        </w:tc>
      </w:tr>
      <w:tr>
        <w:trPr>
          <w:trHeight w:val="210"/>
        </w:trPr>
        <w:tc>
          <w:tcPr>
            <w:tcW w:w="4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and core technology</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4 - 8 years</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$35,498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9"/>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77"/>
              </w:rPr>
              <w:t>(21,910)</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$13,588</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$36,348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(16,107)</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$20,241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tcPr>
          <w:p>
            <w:pPr>
              <w:spacing w:after="0"/>
              <w:rPr>
                <w:sz w:val="20"/>
                <w:szCs w:val="20"/>
                <w:color w:val="auto"/>
              </w:rPr>
            </w:pPr>
            <w:r>
              <w:rPr>
                <w:rFonts w:ascii="Arial" w:cs="Arial" w:eastAsia="Arial" w:hAnsi="Arial"/>
                <w:sz w:val="18"/>
                <w:szCs w:val="18"/>
                <w:color w:val="auto"/>
              </w:rPr>
              <w:t>Trade names</w:t>
            </w: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rPr>
              <w:t>5 years</w:t>
            </w:r>
          </w:p>
        </w:tc>
        <w:tc>
          <w:tcPr>
            <w:tcW w:w="580" w:type="dxa"/>
            <w:vAlign w:val="bottom"/>
          </w:tcPr>
          <w:p>
            <w:pPr>
              <w:jc w:val="right"/>
              <w:ind w:right="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580" w:type="dxa"/>
            <w:vAlign w:val="bottom"/>
          </w:tcPr>
          <w:p>
            <w:pPr>
              <w:jc w:val="right"/>
              <w:ind w:right="24"/>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1,300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(828)</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Customer intangibles</w:t>
            </w: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1"/>
              </w:rPr>
              <w:t>5 - 7 years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(24,178)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4,422</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(18,615)</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9,985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vMerge w:val="restart"/>
          </w:tcPr>
          <w:p>
            <w:pPr>
              <w:ind w:left="440"/>
              <w:spacing w:after="0"/>
              <w:rPr>
                <w:sz w:val="20"/>
                <w:szCs w:val="20"/>
                <w:color w:val="auto"/>
              </w:rPr>
            </w:pPr>
            <w:r>
              <w:rPr>
                <w:rFonts w:ascii="Arial" w:cs="Arial" w:eastAsia="Arial" w:hAnsi="Arial"/>
                <w:sz w:val="18"/>
                <w:szCs w:val="18"/>
                <w:color w:val="auto"/>
              </w:rPr>
              <w:t>Total acquired intangible assets, net</w:t>
            </w: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820" w:type="dxa"/>
            <w:vAlign w:val="bottom"/>
            <w:vMerge w:val="continue"/>
          </w:tcPr>
          <w:p>
            <w:pPr>
              <w:spacing w:after="0"/>
              <w:rPr>
                <w:sz w:val="19"/>
                <w:szCs w:val="19"/>
                <w:color w:val="auto"/>
              </w:rPr>
            </w:pPr>
          </w:p>
        </w:tc>
        <w:tc>
          <w:tcPr>
            <w:tcW w:w="8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64,098</w:t>
            </w:r>
          </w:p>
        </w:tc>
        <w:tc>
          <w:tcPr>
            <w:tcW w:w="300" w:type="dxa"/>
            <w:vAlign w:val="bottom"/>
          </w:tcPr>
          <w:p>
            <w:pPr>
              <w:spacing w:after="0"/>
              <w:rPr>
                <w:sz w:val="19"/>
                <w:szCs w:val="19"/>
                <w:color w:val="auto"/>
              </w:rPr>
            </w:pPr>
          </w:p>
        </w:tc>
        <w:tc>
          <w:tcPr>
            <w:tcW w:w="160" w:type="dxa"/>
            <w:vAlign w:val="bottom"/>
          </w:tcPr>
          <w:p>
            <w:pPr>
              <w:jc w:val="right"/>
              <w:ind w:right="9"/>
              <w:spacing w:after="0"/>
              <w:rPr>
                <w:sz w:val="20"/>
                <w:szCs w:val="20"/>
                <w:color w:val="auto"/>
              </w:rPr>
            </w:pPr>
            <w:r>
              <w:rPr>
                <w:rFonts w:ascii="Arial" w:cs="Arial" w:eastAsia="Arial" w:hAnsi="Arial"/>
                <w:sz w:val="15"/>
                <w:szCs w:val="15"/>
                <w:color w:val="auto"/>
                <w:w w:val="71"/>
              </w:rPr>
              <w:t>$</w:t>
            </w:r>
          </w:p>
        </w:tc>
        <w:tc>
          <w:tcPr>
            <w:tcW w:w="840" w:type="dxa"/>
            <w:vAlign w:val="bottom"/>
            <w:gridSpan w:val="2"/>
          </w:tcPr>
          <w:p>
            <w:pPr>
              <w:ind w:left="80"/>
              <w:spacing w:after="0"/>
              <w:rPr>
                <w:sz w:val="20"/>
                <w:szCs w:val="20"/>
                <w:color w:val="auto"/>
              </w:rPr>
            </w:pPr>
            <w:r>
              <w:rPr>
                <w:rFonts w:ascii="Arial" w:cs="Arial" w:eastAsia="Arial" w:hAnsi="Arial"/>
                <w:sz w:val="18"/>
                <w:szCs w:val="18"/>
                <w:color w:val="auto"/>
              </w:rPr>
              <w:t>(46,088)</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18,010</w:t>
            </w:r>
          </w:p>
        </w:tc>
        <w:tc>
          <w:tcPr>
            <w:tcW w:w="8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66,248</w:t>
            </w:r>
          </w:p>
        </w:tc>
        <w:tc>
          <w:tcPr>
            <w:tcW w:w="46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(35,550)</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30,698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8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Intangible assets, along with the related accumulated amortization, are removed from the table above at the end of the fiscal year they become fully amortized. In fiscal 2016, the Company recorded charges of $0.3 million to write off core technology due to its decision to discontinue the related development project and $0.3 million to write off a trade name that it no longer intends to market. The Company recorded charges of $3.4 million to write off IPR&amp;D in fiscal 2015 upon the Company’s decision to discontinue the related project and $8.1 million in fiscal 2014 for the impairment of an acquired intangible asset. These impairment charges are included in amortization and write-off of acquired intangible assets in the consolidated statements of operations.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Based on the identified intangible assets recorded at January 30, 2016, the future amortization expense of identified intangibles excluding IPR&amp;D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890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210"/>
        </w:trPr>
        <w:tc>
          <w:tcPr>
            <w:tcW w:w="7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2017</w:t>
            </w:r>
          </w:p>
        </w:tc>
        <w:tc>
          <w:tcPr>
            <w:tcW w:w="8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$10,642</w:t>
            </w:r>
          </w:p>
        </w:tc>
        <w:tc>
          <w:tcPr>
            <w:tcW w:w="100" w:type="dxa"/>
            <w:vAlign w:val="bottom"/>
            <w:shd w:val="clear" w:color="auto" w:fill="CCEEFF"/>
          </w:tcPr>
          <w:p>
            <w:pPr>
              <w:spacing w:after="0"/>
              <w:rPr>
                <w:sz w:val="18"/>
                <w:szCs w:val="18"/>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2018</w:t>
            </w:r>
          </w:p>
        </w:tc>
        <w:tc>
          <w:tcPr>
            <w:tcW w:w="8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5,508</w:t>
            </w:r>
          </w:p>
        </w:tc>
        <w:tc>
          <w:tcPr>
            <w:tcW w:w="100" w:type="dxa"/>
            <w:vAlign w:val="bottom"/>
          </w:tcPr>
          <w:p>
            <w:pPr>
              <w:spacing w:after="0"/>
              <w:rPr>
                <w:sz w:val="18"/>
                <w:szCs w:val="18"/>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8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1,860</w:t>
            </w:r>
          </w:p>
        </w:tc>
        <w:tc>
          <w:tcPr>
            <w:tcW w:w="100" w:type="dxa"/>
            <w:vAlign w:val="bottom"/>
            <w:shd w:val="clear" w:color="auto" w:fill="CCEEFF"/>
          </w:tcPr>
          <w:p>
            <w:pPr>
              <w:spacing w:after="0"/>
              <w:rPr>
                <w:sz w:val="18"/>
                <w:szCs w:val="18"/>
                <w:color w:val="auto"/>
              </w:rPr>
            </w:pPr>
          </w:p>
        </w:tc>
      </w:tr>
      <w:tr>
        <w:trPr>
          <w:trHeight w:val="223"/>
        </w:trPr>
        <w:tc>
          <w:tcPr>
            <w:tcW w:w="8900" w:type="dxa"/>
            <w:vAlign w:val="bottom"/>
            <w:gridSpan w:val="2"/>
          </w:tcPr>
          <w:p>
            <w:pPr>
              <w:spacing w:after="0"/>
              <w:rPr>
                <w:sz w:val="20"/>
                <w:szCs w:val="20"/>
                <w:color w:val="auto"/>
              </w:rPr>
            </w:pPr>
            <w:r>
              <w:rPr>
                <w:rFonts w:ascii="Arial" w:cs="Arial" w:eastAsia="Arial" w:hAnsi="Arial"/>
                <w:sz w:val="18"/>
                <w:szCs w:val="18"/>
                <w:color w:val="auto"/>
              </w:rPr>
              <w:t>2020 and thereafter</w:t>
            </w: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r>
      <w:tr>
        <w:trPr>
          <w:trHeight w:val="216"/>
        </w:trPr>
        <w:tc>
          <w:tcPr>
            <w:tcW w:w="700" w:type="dxa"/>
            <w:vAlign w:val="bottom"/>
            <w:shd w:val="clear" w:color="auto" w:fill="CCEEFF"/>
          </w:tcPr>
          <w:p>
            <w:pPr>
              <w:spacing w:after="0"/>
              <w:rPr>
                <w:sz w:val="18"/>
                <w:szCs w:val="18"/>
                <w:color w:val="auto"/>
              </w:rPr>
            </w:pPr>
          </w:p>
        </w:tc>
        <w:tc>
          <w:tcPr>
            <w:tcW w:w="8200" w:type="dxa"/>
            <w:vAlign w:val="bottom"/>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18,010</w:t>
            </w:r>
          </w:p>
        </w:tc>
        <w:tc>
          <w:tcPr>
            <w:tcW w:w="100" w:type="dxa"/>
            <w:vAlign w:val="bottom"/>
            <w:shd w:val="clear" w:color="auto" w:fill="CCEEFF"/>
          </w:tcPr>
          <w:p>
            <w:pPr>
              <w:spacing w:after="0"/>
              <w:rPr>
                <w:sz w:val="18"/>
                <w:szCs w:val="18"/>
                <w:color w:val="auto"/>
              </w:rPr>
            </w:pPr>
          </w:p>
        </w:tc>
      </w:tr>
      <w:tr>
        <w:trPr>
          <w:trHeight w:val="20"/>
        </w:trPr>
        <w:tc>
          <w:tcPr>
            <w:tcW w:w="700" w:type="dxa"/>
            <w:vAlign w:val="bottom"/>
          </w:tcPr>
          <w:p>
            <w:pPr>
              <w:spacing w:after="0" w:line="20" w:lineRule="exact"/>
              <w:rPr>
                <w:sz w:val="1"/>
                <w:szCs w:val="1"/>
                <w:color w:val="auto"/>
              </w:rPr>
            </w:pPr>
          </w:p>
        </w:tc>
        <w:tc>
          <w:tcPr>
            <w:tcW w:w="82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Restructuring and Other Related Charges</w:t>
      </w:r>
    </w:p>
    <w:p>
      <w:pPr>
        <w:spacing w:after="0" w:line="96" w:lineRule="exact"/>
        <w:rPr>
          <w:sz w:val="20"/>
          <w:szCs w:val="20"/>
          <w:color w:val="auto"/>
        </w:rPr>
      </w:pPr>
    </w:p>
    <w:p>
      <w:pPr>
        <w:ind w:right="800" w:firstLine="456"/>
        <w:spacing w:after="0" w:line="268" w:lineRule="auto"/>
        <w:rPr>
          <w:sz w:val="20"/>
          <w:szCs w:val="20"/>
          <w:color w:val="auto"/>
        </w:rPr>
      </w:pPr>
      <w:r>
        <w:rPr>
          <w:rFonts w:ascii="Arial" w:cs="Arial" w:eastAsia="Arial" w:hAnsi="Arial"/>
          <w:sz w:val="18"/>
          <w:szCs w:val="18"/>
          <w:color w:val="auto"/>
        </w:rPr>
        <w:t>The following table provides a summary of restructuring and other related charges as presented in the Consolidated Statements of Operations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40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85"/>
              </w:rPr>
              <w:t>Year Ended</w:t>
            </w:r>
          </w:p>
        </w:tc>
        <w:tc>
          <w:tcPr>
            <w:tcW w:w="6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40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30,</w:t>
            </w:r>
          </w:p>
        </w:tc>
        <w:tc>
          <w:tcPr>
            <w:tcW w:w="62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6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100" w:type="dxa"/>
            <w:vAlign w:val="bottom"/>
          </w:tcPr>
          <w:p>
            <w:pPr>
              <w:spacing w:after="0"/>
              <w:rPr>
                <w:sz w:val="11"/>
                <w:szCs w:val="11"/>
                <w:color w:val="auto"/>
              </w:rPr>
            </w:pPr>
          </w:p>
        </w:tc>
      </w:tr>
      <w:tr>
        <w:trPr>
          <w:trHeight w:val="161"/>
        </w:trPr>
        <w:tc>
          <w:tcPr>
            <w:tcW w:w="5400" w:type="dxa"/>
            <w:vAlign w:val="bottom"/>
            <w:tcBorders>
              <w:bottom w:val="single" w:sz="8" w:color="CCEEFF"/>
            </w:tcBorders>
          </w:tcPr>
          <w:p>
            <w:pPr>
              <w:spacing w:after="0"/>
              <w:rPr>
                <w:sz w:val="14"/>
                <w:szCs w:val="14"/>
                <w:color w:val="auto"/>
              </w:rPr>
            </w:pPr>
          </w:p>
        </w:tc>
        <w:tc>
          <w:tcPr>
            <w:tcW w:w="26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2016</w:t>
            </w:r>
          </w:p>
        </w:tc>
        <w:tc>
          <w:tcPr>
            <w:tcW w:w="6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2015</w:t>
            </w:r>
          </w:p>
        </w:tc>
        <w:tc>
          <w:tcPr>
            <w:tcW w:w="6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5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10,292</w:t>
            </w: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r>
      <w:tr>
        <w:trPr>
          <w:trHeight w:val="216"/>
        </w:trPr>
        <w:tc>
          <w:tcPr>
            <w:tcW w:w="5400" w:type="dxa"/>
            <w:vAlign w:val="bottom"/>
          </w:tcPr>
          <w:p>
            <w:pPr>
              <w:spacing w:after="0"/>
              <w:rPr>
                <w:sz w:val="20"/>
                <w:szCs w:val="20"/>
                <w:color w:val="auto"/>
              </w:rPr>
            </w:pPr>
            <w:r>
              <w:rPr>
                <w:rFonts w:ascii="Arial" w:cs="Arial" w:eastAsia="Arial" w:hAnsi="Arial"/>
                <w:sz w:val="18"/>
                <w:szCs w:val="18"/>
                <w:color w:val="auto"/>
              </w:rPr>
              <w:t>Restructuring and other related charges</w:t>
            </w:r>
          </w:p>
        </w:tc>
        <w:tc>
          <w:tcPr>
            <w:tcW w:w="2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53,251</w:t>
            </w: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10,438</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4,732</w:t>
            </w:r>
          </w:p>
        </w:tc>
        <w:tc>
          <w:tcPr>
            <w:tcW w:w="100" w:type="dxa"/>
            <w:vAlign w:val="bottom"/>
          </w:tcPr>
          <w:p>
            <w:pPr>
              <w:spacing w:after="0"/>
              <w:rPr>
                <w:sz w:val="18"/>
                <w:szCs w:val="18"/>
                <w:color w:val="auto"/>
              </w:rPr>
            </w:pPr>
          </w:p>
        </w:tc>
      </w:tr>
      <w:tr>
        <w:trPr>
          <w:trHeight w:val="216"/>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Write-off of acquired intangible assets</w:t>
            </w:r>
          </w:p>
        </w:tc>
        <w:tc>
          <w:tcPr>
            <w:tcW w:w="26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6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r>
      <w:tr>
        <w:trPr>
          <w:trHeight w:val="222"/>
        </w:trPr>
        <w:tc>
          <w:tcPr>
            <w:tcW w:w="5400" w:type="dxa"/>
            <w:vAlign w:val="bottom"/>
          </w:tcPr>
          <w:p>
            <w:pPr>
              <w:spacing w:after="0"/>
              <w:rPr>
                <w:sz w:val="19"/>
                <w:szCs w:val="19"/>
                <w:color w:val="auto"/>
              </w:rPr>
            </w:pPr>
          </w:p>
        </w:tc>
        <w:tc>
          <w:tcPr>
            <w:tcW w:w="2760" w:type="dxa"/>
            <w:vAlign w:val="bottom"/>
            <w:gridSpan w:val="2"/>
          </w:tcPr>
          <w:p>
            <w:pPr>
              <w:ind w:left="26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63,543</w:t>
            </w:r>
          </w:p>
        </w:tc>
        <w:tc>
          <w:tcPr>
            <w:tcW w:w="780" w:type="dxa"/>
            <w:vAlign w:val="bottom"/>
            <w:gridSpan w:val="2"/>
          </w:tcPr>
          <w:p>
            <w:pPr>
              <w:ind w:left="6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13,824</w:t>
            </w:r>
          </w:p>
        </w:tc>
        <w:tc>
          <w:tcPr>
            <w:tcW w:w="760" w:type="dxa"/>
            <w:vAlign w:val="bottom"/>
            <w:gridSpan w:val="2"/>
          </w:tcPr>
          <w:p>
            <w:pPr>
              <w:ind w:left="6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4,732</w:t>
            </w:r>
          </w:p>
        </w:tc>
        <w:tc>
          <w:tcPr>
            <w:tcW w:w="100" w:type="dxa"/>
            <w:vAlign w:val="bottom"/>
          </w:tcPr>
          <w:p>
            <w:pPr>
              <w:spacing w:after="0"/>
              <w:rPr>
                <w:sz w:val="19"/>
                <w:szCs w:val="19"/>
                <w:color w:val="auto"/>
              </w:rPr>
            </w:pPr>
          </w:p>
        </w:tc>
      </w:tr>
      <w:tr>
        <w:trPr>
          <w:trHeight w:val="20"/>
        </w:trPr>
        <w:tc>
          <w:tcPr>
            <w:tcW w:w="5400" w:type="dxa"/>
            <w:vAlign w:val="bottom"/>
          </w:tcPr>
          <w:p>
            <w:pPr>
              <w:spacing w:after="0" w:line="20" w:lineRule="exact"/>
              <w:rPr>
                <w:sz w:val="1"/>
                <w:szCs w:val="1"/>
                <w:color w:val="auto"/>
              </w:rPr>
            </w:pPr>
          </w:p>
        </w:tc>
        <w:tc>
          <w:tcPr>
            <w:tcW w:w="2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46"/>
        </w:trPr>
        <w:tc>
          <w:tcPr>
            <w:tcW w:w="5400" w:type="dxa"/>
            <w:vAlign w:val="bottom"/>
          </w:tcPr>
          <w:p>
            <w:pPr>
              <w:spacing w:after="0"/>
              <w:rPr>
                <w:sz w:val="24"/>
                <w:szCs w:val="24"/>
                <w:color w:val="auto"/>
              </w:rPr>
            </w:pPr>
          </w:p>
        </w:tc>
        <w:tc>
          <w:tcPr>
            <w:tcW w:w="262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85"/>
              </w:rPr>
              <w:t>Year Ended</w:t>
            </w:r>
          </w:p>
        </w:tc>
        <w:tc>
          <w:tcPr>
            <w:tcW w:w="6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29"/>
        </w:trPr>
        <w:tc>
          <w:tcPr>
            <w:tcW w:w="540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30,</w:t>
            </w:r>
          </w:p>
        </w:tc>
        <w:tc>
          <w:tcPr>
            <w:tcW w:w="62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6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100" w:type="dxa"/>
            <w:vAlign w:val="bottom"/>
          </w:tcPr>
          <w:p>
            <w:pPr>
              <w:spacing w:after="0"/>
              <w:rPr>
                <w:sz w:val="11"/>
                <w:szCs w:val="11"/>
                <w:color w:val="auto"/>
              </w:rPr>
            </w:pPr>
          </w:p>
        </w:tc>
      </w:tr>
      <w:tr>
        <w:trPr>
          <w:trHeight w:val="161"/>
        </w:trPr>
        <w:tc>
          <w:tcPr>
            <w:tcW w:w="5400" w:type="dxa"/>
            <w:vAlign w:val="bottom"/>
            <w:tcBorders>
              <w:bottom w:val="single" w:sz="8" w:color="CCEEFF"/>
            </w:tcBorders>
          </w:tcPr>
          <w:p>
            <w:pPr>
              <w:spacing w:after="0"/>
              <w:rPr>
                <w:sz w:val="14"/>
                <w:szCs w:val="14"/>
                <w:color w:val="auto"/>
              </w:rPr>
            </w:pPr>
          </w:p>
        </w:tc>
        <w:tc>
          <w:tcPr>
            <w:tcW w:w="26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2016</w:t>
            </w:r>
          </w:p>
        </w:tc>
        <w:tc>
          <w:tcPr>
            <w:tcW w:w="6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2015</w:t>
            </w:r>
          </w:p>
        </w:tc>
        <w:tc>
          <w:tcPr>
            <w:tcW w:w="6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5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2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43,926</w:t>
            </w: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5,181</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2,786</w:t>
            </w:r>
          </w:p>
        </w:tc>
        <w:tc>
          <w:tcPr>
            <w:tcW w:w="100" w:type="dxa"/>
            <w:vAlign w:val="bottom"/>
            <w:shd w:val="clear" w:color="auto" w:fill="CCEEFF"/>
          </w:tcPr>
          <w:p>
            <w:pPr>
              <w:spacing w:after="0"/>
              <w:rPr>
                <w:sz w:val="18"/>
                <w:szCs w:val="18"/>
                <w:color w:val="auto"/>
              </w:rPr>
            </w:pPr>
          </w:p>
        </w:tc>
      </w:tr>
      <w:tr>
        <w:trPr>
          <w:trHeight w:val="216"/>
        </w:trPr>
        <w:tc>
          <w:tcPr>
            <w:tcW w:w="540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2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1,407</w:t>
            </w: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1,924</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1,672</w:t>
            </w:r>
          </w:p>
        </w:tc>
        <w:tc>
          <w:tcPr>
            <w:tcW w:w="100" w:type="dxa"/>
            <w:vAlign w:val="bottom"/>
          </w:tcPr>
          <w:p>
            <w:pPr>
              <w:spacing w:after="0"/>
              <w:rPr>
                <w:sz w:val="18"/>
                <w:szCs w:val="18"/>
                <w:color w:val="auto"/>
              </w:rPr>
            </w:pPr>
          </w:p>
        </w:tc>
      </w:tr>
      <w:tr>
        <w:trPr>
          <w:trHeight w:val="216"/>
        </w:trPr>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Loss on early contract termination</w:t>
            </w:r>
          </w:p>
        </w:tc>
        <w:tc>
          <w:tcPr>
            <w:tcW w:w="2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1,644</w:t>
            </w: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3,230</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r>
      <w:tr>
        <w:trPr>
          <w:trHeight w:val="223"/>
        </w:trPr>
        <w:tc>
          <w:tcPr>
            <w:tcW w:w="5400" w:type="dxa"/>
            <w:vAlign w:val="bottom"/>
          </w:tcPr>
          <w:p>
            <w:pPr>
              <w:spacing w:after="0"/>
              <w:rPr>
                <w:sz w:val="20"/>
                <w:szCs w:val="20"/>
                <w:color w:val="auto"/>
              </w:rPr>
            </w:pPr>
            <w:r>
              <w:rPr>
                <w:rFonts w:ascii="Arial" w:cs="Arial" w:eastAsia="Arial" w:hAnsi="Arial"/>
                <w:sz w:val="18"/>
                <w:szCs w:val="18"/>
                <w:color w:val="auto"/>
              </w:rPr>
              <w:t>Other exit-related costs</w:t>
            </w:r>
          </w:p>
        </w:tc>
        <w:tc>
          <w:tcPr>
            <w:tcW w:w="26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534</w:t>
            </w:r>
          </w:p>
        </w:tc>
        <w:tc>
          <w:tcPr>
            <w:tcW w:w="6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w:t>
            </w:r>
          </w:p>
        </w:tc>
        <w:tc>
          <w:tcPr>
            <w:tcW w:w="6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213</w:t>
            </w:r>
          </w:p>
        </w:tc>
        <w:tc>
          <w:tcPr>
            <w:tcW w:w="100" w:type="dxa"/>
            <w:vAlign w:val="bottom"/>
          </w:tcPr>
          <w:p>
            <w:pPr>
              <w:spacing w:after="0"/>
              <w:rPr>
                <w:sz w:val="19"/>
                <w:szCs w:val="19"/>
                <w:color w:val="auto"/>
              </w:rPr>
            </w:pPr>
          </w:p>
        </w:tc>
      </w:tr>
      <w:tr>
        <w:trPr>
          <w:trHeight w:val="216"/>
        </w:trPr>
        <w:tc>
          <w:tcPr>
            <w:tcW w:w="5400" w:type="dxa"/>
            <w:vAlign w:val="bottom"/>
            <w:shd w:val="clear" w:color="auto" w:fill="CCEEFF"/>
          </w:tcPr>
          <w:p>
            <w:pPr>
              <w:spacing w:after="0"/>
              <w:rPr>
                <w:sz w:val="18"/>
                <w:szCs w:val="18"/>
                <w:color w:val="auto"/>
              </w:rPr>
            </w:pPr>
          </w:p>
        </w:tc>
        <w:tc>
          <w:tcPr>
            <w:tcW w:w="2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47,511</w:t>
            </w: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10,421</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4,671</w:t>
            </w:r>
          </w:p>
        </w:tc>
        <w:tc>
          <w:tcPr>
            <w:tcW w:w="100" w:type="dxa"/>
            <w:vAlign w:val="bottom"/>
            <w:shd w:val="clear" w:color="auto" w:fill="CCEEFF"/>
          </w:tcPr>
          <w:p>
            <w:pPr>
              <w:spacing w:after="0"/>
              <w:rPr>
                <w:sz w:val="18"/>
                <w:szCs w:val="18"/>
                <w:color w:val="auto"/>
              </w:rPr>
            </w:pPr>
          </w:p>
        </w:tc>
      </w:tr>
      <w:tr>
        <w:trPr>
          <w:trHeight w:val="216"/>
        </w:trPr>
        <w:tc>
          <w:tcPr>
            <w:tcW w:w="5400" w:type="dxa"/>
            <w:vAlign w:val="bottom"/>
          </w:tcPr>
          <w:p>
            <w:pPr>
              <w:spacing w:after="0"/>
              <w:rPr>
                <w:sz w:val="20"/>
                <w:szCs w:val="20"/>
                <w:color w:val="auto"/>
              </w:rPr>
            </w:pPr>
            <w:r>
              <w:rPr>
                <w:rFonts w:ascii="Arial" w:cs="Arial" w:eastAsia="Arial" w:hAnsi="Arial"/>
                <w:sz w:val="18"/>
                <w:szCs w:val="18"/>
                <w:color w:val="auto"/>
              </w:rPr>
              <w:t>Impairment and write-off of assets:</w:t>
            </w:r>
          </w:p>
        </w:tc>
        <w:tc>
          <w:tcPr>
            <w:tcW w:w="2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5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Inventory</w:t>
            </w:r>
          </w:p>
        </w:tc>
        <w:tc>
          <w:tcPr>
            <w:tcW w:w="2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8,046</w:t>
            </w: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r>
      <w:tr>
        <w:trPr>
          <w:trHeight w:val="216"/>
        </w:trPr>
        <w:tc>
          <w:tcPr>
            <w:tcW w:w="5400" w:type="dxa"/>
            <w:vAlign w:val="bottom"/>
          </w:tcPr>
          <w:p>
            <w:pPr>
              <w:ind w:left="440"/>
              <w:spacing w:after="0"/>
              <w:rPr>
                <w:sz w:val="20"/>
                <w:szCs w:val="20"/>
                <w:color w:val="auto"/>
              </w:rPr>
            </w:pPr>
            <w:r>
              <w:rPr>
                <w:rFonts w:ascii="Arial" w:cs="Arial" w:eastAsia="Arial" w:hAnsi="Arial"/>
                <w:sz w:val="18"/>
                <w:szCs w:val="18"/>
                <w:color w:val="auto"/>
              </w:rPr>
              <w:t>Technology licenses</w:t>
            </w:r>
          </w:p>
        </w:tc>
        <w:tc>
          <w:tcPr>
            <w:tcW w:w="2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1,250</w:t>
            </w: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r>
      <w:tr>
        <w:trPr>
          <w:trHeight w:val="216"/>
        </w:trPr>
        <w:tc>
          <w:tcPr>
            <w:tcW w:w="5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Equipment and other</w:t>
            </w:r>
          </w:p>
        </w:tc>
        <w:tc>
          <w:tcPr>
            <w:tcW w:w="2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6,736</w:t>
            </w: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w:t>
            </w:r>
          </w:p>
        </w:tc>
        <w:tc>
          <w:tcPr>
            <w:tcW w:w="100" w:type="dxa"/>
            <w:vAlign w:val="bottom"/>
            <w:shd w:val="clear" w:color="auto" w:fill="CCEEFF"/>
          </w:tcPr>
          <w:p>
            <w:pPr>
              <w:spacing w:after="0"/>
              <w:rPr>
                <w:sz w:val="18"/>
                <w:szCs w:val="18"/>
                <w:color w:val="auto"/>
              </w:rPr>
            </w:pPr>
          </w:p>
        </w:tc>
      </w:tr>
      <w:tr>
        <w:trPr>
          <w:trHeight w:val="223"/>
        </w:trPr>
        <w:tc>
          <w:tcPr>
            <w:tcW w:w="5400" w:type="dxa"/>
            <w:vAlign w:val="bottom"/>
          </w:tcPr>
          <w:p>
            <w:pPr>
              <w:ind w:left="440"/>
              <w:spacing w:after="0"/>
              <w:rPr>
                <w:sz w:val="20"/>
                <w:szCs w:val="20"/>
                <w:color w:val="auto"/>
              </w:rPr>
            </w:pPr>
            <w:r>
              <w:rPr>
                <w:rFonts w:ascii="Arial" w:cs="Arial" w:eastAsia="Arial" w:hAnsi="Arial"/>
                <w:sz w:val="18"/>
                <w:szCs w:val="18"/>
                <w:color w:val="auto"/>
              </w:rPr>
              <w:t>Acquired intangible asset</w:t>
            </w:r>
          </w:p>
        </w:tc>
        <w:tc>
          <w:tcPr>
            <w:tcW w:w="26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6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5400" w:type="dxa"/>
            <w:vAlign w:val="bottom"/>
            <w:shd w:val="clear" w:color="auto" w:fill="CCEEFF"/>
          </w:tcPr>
          <w:p>
            <w:pPr>
              <w:spacing w:after="0"/>
              <w:rPr>
                <w:sz w:val="18"/>
                <w:szCs w:val="18"/>
                <w:color w:val="auto"/>
              </w:rPr>
            </w:pPr>
          </w:p>
        </w:tc>
        <w:tc>
          <w:tcPr>
            <w:tcW w:w="2760" w:type="dxa"/>
            <w:vAlign w:val="bottom"/>
            <w:gridSpan w:val="2"/>
            <w:shd w:val="clear" w:color="auto" w:fill="CCEEFF"/>
          </w:tcPr>
          <w:p>
            <w:pPr>
              <w:ind w:left="26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63,543</w:t>
            </w:r>
          </w:p>
        </w:tc>
        <w:tc>
          <w:tcPr>
            <w:tcW w:w="78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13,824</w:t>
            </w:r>
          </w:p>
        </w:tc>
        <w:tc>
          <w:tcPr>
            <w:tcW w:w="76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4,732</w:t>
            </w:r>
          </w:p>
        </w:tc>
        <w:tc>
          <w:tcPr>
            <w:tcW w:w="100" w:type="dxa"/>
            <w:vAlign w:val="bottom"/>
            <w:shd w:val="clear" w:color="auto" w:fill="CCEEFF"/>
          </w:tcPr>
          <w:p>
            <w:pPr>
              <w:spacing w:after="0"/>
              <w:rPr>
                <w:sz w:val="18"/>
                <w:szCs w:val="18"/>
                <w:color w:val="auto"/>
              </w:rPr>
            </w:pPr>
          </w:p>
        </w:tc>
      </w:tr>
      <w:tr>
        <w:trPr>
          <w:trHeight w:val="20"/>
        </w:trPr>
        <w:tc>
          <w:tcPr>
            <w:tcW w:w="5400" w:type="dxa"/>
            <w:vAlign w:val="bottom"/>
          </w:tcPr>
          <w:p>
            <w:pPr>
              <w:spacing w:after="0" w:line="20" w:lineRule="exact"/>
              <w:rPr>
                <w:sz w:val="1"/>
                <w:szCs w:val="1"/>
                <w:color w:val="auto"/>
              </w:rPr>
            </w:pPr>
          </w:p>
        </w:tc>
        <w:tc>
          <w:tcPr>
            <w:tcW w:w="2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tabs>
          <w:tab w:leader="none" w:pos="1500" w:val="left"/>
        </w:tabs>
        <w:rPr>
          <w:sz w:val="20"/>
          <w:szCs w:val="20"/>
          <w:color w:val="auto"/>
        </w:rPr>
      </w:pPr>
      <w:r>
        <w:rPr>
          <w:rFonts w:ascii="Arial" w:cs="Arial" w:eastAsia="Arial" w:hAnsi="Arial"/>
          <w:sz w:val="18"/>
          <w:szCs w:val="18"/>
          <w:i w:val="1"/>
          <w:iCs w:val="1"/>
          <w:color w:val="auto"/>
        </w:rPr>
        <w:t>Fiscal 2016.</w:t>
      </w:r>
      <w:r>
        <w:rPr>
          <w:sz w:val="20"/>
          <w:szCs w:val="20"/>
          <w:color w:val="auto"/>
        </w:rPr>
        <w:tab/>
      </w:r>
      <w:r>
        <w:rPr>
          <w:rFonts w:ascii="Arial" w:cs="Arial" w:eastAsia="Arial" w:hAnsi="Arial"/>
          <w:sz w:val="15"/>
          <w:szCs w:val="15"/>
          <w:color w:val="auto"/>
        </w:rPr>
        <w:t>The Company recorded $63.5 million of restructuring and other related charges in fiscal 2016 as described in the following paragraphs.</w:t>
      </w:r>
    </w:p>
    <w:p>
      <w:pPr>
        <w:spacing w:after="0" w:line="171"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In September 2015, the Company announced a significant restructuring of its mobile platform business in order to focus the mobile product line on more profitable opportunities and align its expenses with corporate targets. The Company began implementing actions to significantly downsize the mobile platform organization to refocus its technology to other emerging opportunities, but it will continue its commitment to wireless connectivity such as WiFi and other wireless standards. As a result of these actions, the Company recorded restructuring and other related charges of $44.4 million in fiscal 2016 related to this restructuring. The charge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420"/>
          </w:cols>
          <w:pgMar w:left="240" w:top="459" w:right="2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540"/>
        <w:spacing w:after="0" w:line="370" w:lineRule="auto"/>
        <w:rPr>
          <w:sz w:val="20"/>
          <w:szCs w:val="20"/>
          <w:color w:val="auto"/>
        </w:rPr>
      </w:pPr>
      <w:r>
        <w:rPr>
          <w:rFonts w:ascii="Arial" w:cs="Arial" w:eastAsia="Arial" w:hAnsi="Arial"/>
          <w:sz w:val="15"/>
          <w:szCs w:val="15"/>
          <w:color w:val="auto"/>
        </w:rPr>
        <w:t>primarily included severance benefits for 825 employees who were notified of their termination, a loss on early contract termination, the impairment of technology licenses and certain equipment, and the write down of inventory. Substantially all of the affected employees departed by the end of fiscal 2016.</w:t>
      </w:r>
    </w:p>
    <w:p>
      <w:pPr>
        <w:spacing w:after="0" w:line="6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expects to complete remaining actions, including the finalization of certain additional related activities within the first half of fiscal 2017 and will incur additional charges of approximately $5 million. As a result, total restructuring and other related charges will be lower than the original estimate of $100 million to $130 million primarily due to the Company’s decision to retain approximately 140 more mobile employees to support the remaining mobile business than it originally anticipated and certain equipment planned for disposal was subsequently determined to have alternative use. The Company also decided to offer retention bonuses to another 128 mobile employees to remain through the ramp down of certain operations. Their benefit packages are recognized ratably over the employees’ remaining service periods through the first half of fiscal 2017.</w:t>
      </w:r>
    </w:p>
    <w:p>
      <w:pPr>
        <w:spacing w:after="0" w:line="12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May 2015, the Company decided to further reduce its research and development operations in Israel and close certain other design centers, primarily located in Europe and the U.S. in connection with its ongoing effort to streamline its business. As a result, the Company recorded a total $16.3 million charge in fiscal 2016 comprised of $15.1 million for severance related to the termination of 358 employees who were notified of their termination and $1.2 million for a lease obligation related to a facility that the Company vacated in July 2015. Substantially all of the activities associated with these actions were completed and all affected employees departed before the end of fiscal 2016.</w:t>
      </w:r>
    </w:p>
    <w:p>
      <w:pPr>
        <w:spacing w:after="0" w:line="116"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 March 2015, the Company exercised the early buyout option under an existing operating lease for corporate equipment that it planned to sell as part of a cost reduction action. The Company actively sought a buyer and classified the equipment as held for sale within prepaid and current assets on the consolidated balance sheet. It also ceased depreciation on the asset and recorded impairment charges of $1.4 million through the second quarter ended August 1, 2015. In October 2015, the Company sold the corporate equipment for net proceeds of $9.3 million, which approximated the carrying value and resulted in no gain or loss recognized upon the sale of the asset.</w:t>
      </w:r>
    </w:p>
    <w:p>
      <w:pPr>
        <w:spacing w:after="0" w:line="143"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In addition to the restructuring actions described in the preceding paragraphs, the Company recorded $1.4 million of additional charges primarily associated with ongoing operating expenses of vacated facilities related to restructuring actions in previous fiscal years and maintenance costs for the corporate equipment sold in October 2015.</w:t>
      </w:r>
    </w:p>
    <w:p>
      <w:pPr>
        <w:spacing w:after="0" w:line="140" w:lineRule="exact"/>
        <w:rPr>
          <w:sz w:val="20"/>
          <w:szCs w:val="20"/>
          <w:color w:val="auto"/>
        </w:rPr>
      </w:pPr>
    </w:p>
    <w:p>
      <w:pPr>
        <w:ind w:right="120" w:firstLine="456"/>
        <w:spacing w:after="0" w:line="314" w:lineRule="auto"/>
        <w:rPr>
          <w:sz w:val="20"/>
          <w:szCs w:val="20"/>
          <w:color w:val="auto"/>
        </w:rPr>
      </w:pPr>
      <w:r>
        <w:rPr>
          <w:rFonts w:ascii="Arial" w:cs="Arial" w:eastAsia="Arial" w:hAnsi="Arial"/>
          <w:sz w:val="15"/>
          <w:szCs w:val="15"/>
          <w:i w:val="1"/>
          <w:iCs w:val="1"/>
          <w:color w:val="auto"/>
        </w:rPr>
        <w:t xml:space="preserve">Fiscal 2015. </w:t>
      </w:r>
      <w:r>
        <w:rPr>
          <w:rFonts w:ascii="Arial" w:cs="Arial" w:eastAsia="Arial" w:hAnsi="Arial"/>
          <w:sz w:val="15"/>
          <w:szCs w:val="15"/>
          <w:color w:val="auto"/>
        </w:rPr>
        <w:t>The Company decided to streamline its operations, primarily in Israel to align with its overall strategic plan, and to discontinue the</w:t>
      </w:r>
      <w:r>
        <w:rPr>
          <w:rFonts w:ascii="Arial" w:cs="Arial" w:eastAsia="Arial" w:hAnsi="Arial"/>
          <w:sz w:val="15"/>
          <w:szCs w:val="15"/>
          <w:i w:val="1"/>
          <w:iCs w:val="1"/>
          <w:color w:val="auto"/>
        </w:rPr>
        <w:t xml:space="preserve"> </w:t>
      </w:r>
      <w:r>
        <w:rPr>
          <w:rFonts w:ascii="Arial" w:cs="Arial" w:eastAsia="Arial" w:hAnsi="Arial"/>
          <w:sz w:val="15"/>
          <w:szCs w:val="15"/>
          <w:color w:val="auto"/>
        </w:rPr>
        <w:t>development of a product it originally acquired in a business combination. As a result, the Company recorded $13.8 million of restructuring and other related charges in fiscal 2015. Facilities and related costs primarily included a charge for a portion of the lease obligation related to vacating the floors the Company no longer planned to occupy in one of its Israel facilities. The write-off of an acquired intangible asset in fiscal 2015 was due to the Company’s decision to discontinue the related project. These actions were substantially completed by the end of fiscal 2015. In addition, the Company decided to exercise an early buy out option to acquire an asset under an existing operating lease agreement, and recorded a $3.2 million loss from the termination of the agreement in fiscal 2015.</w:t>
      </w:r>
    </w:p>
    <w:p>
      <w:pPr>
        <w:spacing w:after="0" w:line="105"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i w:val="1"/>
          <w:iCs w:val="1"/>
          <w:color w:val="auto"/>
        </w:rPr>
        <w:t xml:space="preserve">Fiscal 2014. </w:t>
      </w:r>
      <w:r>
        <w:rPr>
          <w:rFonts w:ascii="Arial" w:cs="Arial" w:eastAsia="Arial" w:hAnsi="Arial"/>
          <w:sz w:val="18"/>
          <w:szCs w:val="18"/>
          <w:color w:val="auto"/>
        </w:rPr>
        <w:t>The Company recorded $4.7 million of restructuring and other related charges in fiscal 2014 in connection with its decision to close two</w:t>
      </w:r>
      <w:r>
        <w:rPr>
          <w:rFonts w:ascii="Arial" w:cs="Arial" w:eastAsia="Arial" w:hAnsi="Arial"/>
          <w:sz w:val="18"/>
          <w:szCs w:val="18"/>
          <w:i w:val="1"/>
          <w:iCs w:val="1"/>
          <w:color w:val="auto"/>
        </w:rPr>
        <w:t xml:space="preserve"> </w:t>
      </w:r>
      <w:r>
        <w:rPr>
          <w:rFonts w:ascii="Arial" w:cs="Arial" w:eastAsia="Arial" w:hAnsi="Arial"/>
          <w:sz w:val="18"/>
          <w:szCs w:val="18"/>
          <w:color w:val="auto"/>
        </w:rPr>
        <w:t>sites. As a result, the Company incurred severance and exit-related costs in connection with vacating the facilities, in addition to the write-off of equipment. All activities were substantially completed by the end of fiscal 2014.</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420"/>
          </w:cols>
          <w:pgMar w:left="240" w:top="459" w:right="2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2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w w:val="85"/>
              </w:rPr>
              <w:t>Severance</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40" w:type="dxa"/>
            <w:vAlign w:val="bottom"/>
            <w:gridSpan w:val="2"/>
          </w:tcPr>
          <w:p>
            <w:pPr>
              <w:jc w:val="right"/>
              <w:ind w:right="720"/>
              <w:spacing w:after="0"/>
              <w:rPr>
                <w:sz w:val="20"/>
                <w:szCs w:val="20"/>
                <w:color w:val="auto"/>
              </w:rPr>
            </w:pPr>
            <w:r>
              <w:rPr>
                <w:rFonts w:ascii="Arial" w:cs="Arial" w:eastAsia="Arial" w:hAnsi="Arial"/>
                <w:sz w:val="14"/>
                <w:szCs w:val="14"/>
                <w:b w:val="1"/>
                <w:bCs w:val="1"/>
                <w:color w:val="auto"/>
                <w:w w:val="83"/>
              </w:rPr>
              <w:t>Facilities</w:t>
            </w:r>
          </w:p>
        </w:tc>
        <w:tc>
          <w:tcPr>
            <w:tcW w:w="140" w:type="dxa"/>
            <w:vAlign w:val="bottom"/>
          </w:tcPr>
          <w:p>
            <w:pPr>
              <w:spacing w:after="0"/>
              <w:rPr>
                <w:sz w:val="14"/>
                <w:szCs w:val="14"/>
                <w:color w:val="auto"/>
              </w:rPr>
            </w:pPr>
          </w:p>
        </w:tc>
        <w:tc>
          <w:tcPr>
            <w:tcW w:w="9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Other</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260" w:type="dxa"/>
            <w:vAlign w:val="bottom"/>
          </w:tcPr>
          <w:p>
            <w:pPr>
              <w:spacing w:after="0"/>
              <w:rPr>
                <w:sz w:val="12"/>
                <w:szCs w:val="12"/>
                <w:color w:val="auto"/>
              </w:rPr>
            </w:pPr>
          </w:p>
        </w:tc>
        <w:tc>
          <w:tcPr>
            <w:tcW w:w="13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and Related</w:t>
            </w:r>
          </w:p>
        </w:tc>
        <w:tc>
          <w:tcPr>
            <w:tcW w:w="10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6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2"/>
              </w:rPr>
              <w:t>Costs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40" w:type="dxa"/>
            <w:vAlign w:val="bottom"/>
            <w:gridSpan w:val="2"/>
          </w:tcPr>
          <w:p>
            <w:pPr>
              <w:jc w:val="right"/>
              <w:ind w:right="820"/>
              <w:spacing w:after="0"/>
              <w:rPr>
                <w:sz w:val="20"/>
                <w:szCs w:val="20"/>
                <w:color w:val="auto"/>
              </w:rPr>
            </w:pPr>
            <w:r>
              <w:rPr>
                <w:rFonts w:ascii="Arial" w:cs="Arial" w:eastAsia="Arial" w:hAnsi="Arial"/>
                <w:sz w:val="14"/>
                <w:szCs w:val="14"/>
                <w:b w:val="1"/>
                <w:bCs w:val="1"/>
                <w:color w:val="auto"/>
              </w:rPr>
              <w:t>Costs</w:t>
            </w:r>
          </w:p>
        </w:tc>
        <w:tc>
          <w:tcPr>
            <w:tcW w:w="140" w:type="dxa"/>
            <w:vAlign w:val="bottom"/>
          </w:tcPr>
          <w:p>
            <w:pPr>
              <w:spacing w:after="0"/>
              <w:rPr>
                <w:sz w:val="14"/>
                <w:szCs w:val="14"/>
                <w:color w:val="auto"/>
              </w:rPr>
            </w:pPr>
          </w:p>
        </w:tc>
        <w:tc>
          <w:tcPr>
            <w:tcW w:w="9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2"/>
              </w:rPr>
              <w:t>Costs</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6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3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2,383</w:t>
            </w:r>
          </w:p>
        </w:tc>
        <w:tc>
          <w:tcPr>
            <w:tcW w:w="6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8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5,181</w:t>
            </w: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40" w:type="dxa"/>
            <w:vAlign w:val="bottom"/>
            <w:gridSpan w:val="2"/>
          </w:tcPr>
          <w:p>
            <w:pPr>
              <w:jc w:val="right"/>
              <w:ind w:right="620"/>
              <w:spacing w:after="0"/>
              <w:rPr>
                <w:sz w:val="20"/>
                <w:szCs w:val="20"/>
                <w:color w:val="auto"/>
              </w:rPr>
            </w:pPr>
            <w:r>
              <w:rPr>
                <w:rFonts w:ascii="Arial" w:cs="Arial" w:eastAsia="Arial" w:hAnsi="Arial"/>
                <w:sz w:val="18"/>
                <w:szCs w:val="18"/>
                <w:color w:val="auto"/>
              </w:rPr>
              <w:t>1,924</w:t>
            </w:r>
          </w:p>
        </w:tc>
        <w:tc>
          <w:tcPr>
            <w:tcW w:w="1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3,316</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10,421</w:t>
            </w:r>
          </w:p>
        </w:tc>
        <w:tc>
          <w:tcPr>
            <w:tcW w:w="0" w:type="dxa"/>
            <w:vAlign w:val="bottom"/>
          </w:tcPr>
          <w:p>
            <w:pPr>
              <w:spacing w:after="0"/>
              <w:rPr>
                <w:sz w:val="1"/>
                <w:szCs w:val="1"/>
                <w:color w:val="auto"/>
              </w:rPr>
            </w:pPr>
          </w:p>
        </w:tc>
      </w:tr>
      <w:tr>
        <w:trPr>
          <w:trHeight w:val="216"/>
        </w:trPr>
        <w:tc>
          <w:tcPr>
            <w:tcW w:w="6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(5,232)</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(2,968)</w:t>
            </w: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(8,305)</w:t>
            </w:r>
          </w:p>
        </w:tc>
        <w:tc>
          <w:tcPr>
            <w:tcW w:w="0" w:type="dxa"/>
            <w:vAlign w:val="bottom"/>
          </w:tcPr>
          <w:p>
            <w:pPr>
              <w:spacing w:after="0"/>
              <w:rPr>
                <w:sz w:val="1"/>
                <w:szCs w:val="1"/>
                <w:color w:val="auto"/>
              </w:rPr>
            </w:pPr>
          </w:p>
        </w:tc>
      </w:tr>
      <w:tr>
        <w:trPr>
          <w:trHeight w:val="222"/>
        </w:trPr>
        <w:tc>
          <w:tcPr>
            <w:tcW w:w="6680" w:type="dxa"/>
            <w:vAlign w:val="bottom"/>
          </w:tcPr>
          <w:p>
            <w:pPr>
              <w:spacing w:after="0"/>
              <w:rPr>
                <w:sz w:val="20"/>
                <w:szCs w:val="20"/>
                <w:color w:val="auto"/>
              </w:rPr>
            </w:pPr>
            <w:r>
              <w:rPr>
                <w:rFonts w:ascii="Arial" w:cs="Arial" w:eastAsia="Arial" w:hAnsi="Arial"/>
                <w:sz w:val="18"/>
                <w:szCs w:val="18"/>
                <w:color w:val="auto"/>
              </w:rPr>
              <w:t>Balance at January 31, 2015</w:t>
            </w:r>
          </w:p>
        </w:tc>
        <w:tc>
          <w:tcPr>
            <w:tcW w:w="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1,339</w:t>
            </w:r>
          </w:p>
        </w:tc>
        <w:tc>
          <w:tcPr>
            <w:tcW w:w="6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3,230</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4,569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6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Restructuring charges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43,926</w:t>
            </w:r>
          </w:p>
        </w:tc>
        <w:tc>
          <w:tcPr>
            <w:tcW w:w="3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1,407</w:t>
            </w:r>
          </w:p>
        </w:tc>
        <w:tc>
          <w:tcPr>
            <w:tcW w:w="14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2,178</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47,511</w:t>
            </w:r>
          </w:p>
        </w:tc>
        <w:tc>
          <w:tcPr>
            <w:tcW w:w="0" w:type="dxa"/>
            <w:vAlign w:val="bottom"/>
          </w:tcPr>
          <w:p>
            <w:pPr>
              <w:spacing w:after="0"/>
              <w:rPr>
                <w:sz w:val="1"/>
                <w:szCs w:val="1"/>
                <w:color w:val="auto"/>
              </w:rPr>
            </w:pPr>
          </w:p>
        </w:tc>
      </w:tr>
      <w:tr>
        <w:trPr>
          <w:trHeight w:val="216"/>
        </w:trPr>
        <w:tc>
          <w:tcPr>
            <w:tcW w:w="6680" w:type="dxa"/>
            <w:vAlign w:val="bottom"/>
          </w:tcPr>
          <w:p>
            <w:pPr>
              <w:ind w:left="440"/>
              <w:spacing w:after="0"/>
              <w:rPr>
                <w:sz w:val="20"/>
                <w:szCs w:val="20"/>
                <w:color w:val="auto"/>
              </w:rPr>
            </w:pPr>
            <w:r>
              <w:rPr>
                <w:rFonts w:ascii="Arial" w:cs="Arial" w:eastAsia="Arial" w:hAnsi="Arial"/>
                <w:sz w:val="18"/>
                <w:szCs w:val="18"/>
                <w:color w:val="auto"/>
              </w:rPr>
              <w:t>Net cash payments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(42,741)</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40" w:type="dxa"/>
            <w:vAlign w:val="bottom"/>
            <w:gridSpan w:val="2"/>
          </w:tcPr>
          <w:p>
            <w:pPr>
              <w:jc w:val="right"/>
              <w:ind w:right="560"/>
              <w:spacing w:after="0"/>
              <w:rPr>
                <w:sz w:val="20"/>
                <w:szCs w:val="20"/>
                <w:color w:val="auto"/>
              </w:rPr>
            </w:pPr>
            <w:r>
              <w:rPr>
                <w:rFonts w:ascii="Arial" w:cs="Arial" w:eastAsia="Arial" w:hAnsi="Arial"/>
                <w:sz w:val="18"/>
                <w:szCs w:val="18"/>
                <w:color w:val="auto"/>
              </w:rPr>
              <w:t>(1,597)</w:t>
            </w:r>
          </w:p>
        </w:tc>
        <w:tc>
          <w:tcPr>
            <w:tcW w:w="14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(3,764)</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w w:val="89"/>
              </w:rPr>
              <w:t>(48,102)</w:t>
            </w:r>
          </w:p>
        </w:tc>
        <w:tc>
          <w:tcPr>
            <w:tcW w:w="0" w:type="dxa"/>
            <w:vAlign w:val="bottom"/>
          </w:tcPr>
          <w:p>
            <w:pPr>
              <w:spacing w:after="0"/>
              <w:rPr>
                <w:sz w:val="1"/>
                <w:szCs w:val="1"/>
                <w:color w:val="auto"/>
              </w:rPr>
            </w:pPr>
          </w:p>
        </w:tc>
      </w:tr>
      <w:tr>
        <w:trPr>
          <w:trHeight w:val="216"/>
        </w:trPr>
        <w:tc>
          <w:tcPr>
            <w:tcW w:w="6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Exchange rate adjustment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(106)</w:t>
            </w: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(136)</w:t>
            </w:r>
          </w:p>
        </w:tc>
        <w:tc>
          <w:tcPr>
            <w:tcW w:w="0" w:type="dxa"/>
            <w:vAlign w:val="bottom"/>
          </w:tcPr>
          <w:p>
            <w:pPr>
              <w:spacing w:after="0"/>
              <w:rPr>
                <w:sz w:val="1"/>
                <w:szCs w:val="1"/>
                <w:color w:val="auto"/>
              </w:rPr>
            </w:pPr>
          </w:p>
        </w:tc>
      </w:tr>
      <w:tr>
        <w:trPr>
          <w:trHeight w:val="20"/>
        </w:trPr>
        <w:tc>
          <w:tcPr>
            <w:tcW w:w="6680" w:type="dxa"/>
            <w:vAlign w:val="bottom"/>
            <w:vMerge w:val="restart"/>
          </w:tcPr>
          <w:p>
            <w:pPr>
              <w:spacing w:after="0"/>
              <w:rPr>
                <w:sz w:val="20"/>
                <w:szCs w:val="20"/>
                <w:color w:val="auto"/>
              </w:rPr>
            </w:pPr>
            <w:r>
              <w:rPr>
                <w:rFonts w:ascii="Arial" w:cs="Arial" w:eastAsia="Arial" w:hAnsi="Arial"/>
                <w:sz w:val="18"/>
                <w:szCs w:val="18"/>
                <w:color w:val="auto"/>
              </w:rPr>
              <w:t>Balance at January 30, 2016</w:t>
            </w: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680" w:type="dxa"/>
            <w:vAlign w:val="bottom"/>
            <w:vMerge w:val="continue"/>
          </w:tcPr>
          <w:p>
            <w:pPr>
              <w:spacing w:after="0"/>
              <w:rPr>
                <w:sz w:val="19"/>
                <w:szCs w:val="19"/>
                <w:color w:val="auto"/>
              </w:rPr>
            </w:pPr>
          </w:p>
        </w:tc>
        <w:tc>
          <w:tcPr>
            <w:tcW w:w="120" w:type="dxa"/>
            <w:vAlign w:val="bottom"/>
            <w:gridSpan w:val="2"/>
          </w:tcPr>
          <w:p>
            <w:pPr>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1,155</w:t>
            </w:r>
          </w:p>
        </w:tc>
        <w:tc>
          <w:tcPr>
            <w:tcW w:w="340" w:type="dxa"/>
            <w:vAlign w:val="bottom"/>
          </w:tcPr>
          <w:p>
            <w:pPr>
              <w:spacing w:after="0"/>
              <w:rPr>
                <w:sz w:val="19"/>
                <w:szCs w:val="19"/>
                <w:color w:val="auto"/>
              </w:rPr>
            </w:pPr>
          </w:p>
        </w:tc>
        <w:tc>
          <w:tcPr>
            <w:tcW w:w="360" w:type="dxa"/>
            <w:vAlign w:val="bottom"/>
            <w:gridSpan w:val="2"/>
          </w:tcPr>
          <w:p>
            <w:pPr>
              <w:ind w:left="260"/>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620"/>
              <w:spacing w:after="0"/>
              <w:rPr>
                <w:sz w:val="20"/>
                <w:szCs w:val="20"/>
                <w:color w:val="auto"/>
              </w:rPr>
            </w:pPr>
            <w:r>
              <w:rPr>
                <w:rFonts w:ascii="Arial" w:cs="Arial" w:eastAsia="Arial" w:hAnsi="Arial"/>
                <w:sz w:val="18"/>
                <w:szCs w:val="18"/>
                <w:color w:val="auto"/>
              </w:rPr>
              <w:t>1,043</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1,644</w:t>
            </w:r>
          </w:p>
        </w:tc>
        <w:tc>
          <w:tcPr>
            <w:tcW w:w="340" w:type="dxa"/>
            <w:vAlign w:val="bottom"/>
          </w:tcPr>
          <w:p>
            <w:pPr>
              <w:spacing w:after="0"/>
              <w:rPr>
                <w:sz w:val="19"/>
                <w:szCs w:val="19"/>
                <w:color w:val="auto"/>
              </w:rPr>
            </w:pP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100"/>
              <w:spacing w:after="0"/>
              <w:rPr>
                <w:sz w:val="20"/>
                <w:szCs w:val="20"/>
                <w:color w:val="auto"/>
              </w:rPr>
            </w:pPr>
            <w:r>
              <w:rPr>
                <w:rFonts w:ascii="Arial" w:cs="Arial" w:eastAsia="Arial" w:hAnsi="Arial"/>
                <w:sz w:val="18"/>
                <w:szCs w:val="18"/>
                <w:color w:val="auto"/>
              </w:rPr>
              <w:t>3,842</w:t>
            </w:r>
          </w:p>
        </w:tc>
        <w:tc>
          <w:tcPr>
            <w:tcW w:w="0" w:type="dxa"/>
            <w:vAlign w:val="bottom"/>
          </w:tcPr>
          <w:p>
            <w:pPr>
              <w:spacing w:after="0"/>
              <w:rPr>
                <w:sz w:val="1"/>
                <w:szCs w:val="1"/>
                <w:color w:val="auto"/>
              </w:rPr>
            </w:pPr>
          </w:p>
        </w:tc>
      </w:tr>
      <w:tr>
        <w:trPr>
          <w:trHeight w:val="20"/>
        </w:trPr>
        <w:tc>
          <w:tcPr>
            <w:tcW w:w="66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60" w:firstLine="456"/>
        <w:spacing w:after="0" w:line="256" w:lineRule="auto"/>
        <w:rPr>
          <w:sz w:val="20"/>
          <w:szCs w:val="20"/>
          <w:color w:val="auto"/>
        </w:rPr>
      </w:pPr>
      <w:r>
        <w:rPr>
          <w:rFonts w:ascii="Arial" w:cs="Arial" w:eastAsia="Arial" w:hAnsi="Arial"/>
          <w:sz w:val="18"/>
          <w:szCs w:val="18"/>
          <w:color w:val="auto"/>
        </w:rPr>
        <w:t>During fiscal 2016, the Company paid severance and related benefit costs to a total of 1,191 employees who departed in fiscal 2016 as part of the restructuring actions described above. The remaining severance is expected to be paid within the first half of fiscal 2017. The balance at January 30, 2016 for facility and related costs includes remaining payments under lease obligations related to vacated space that are expected to be paid through fiscal 2018. Other exit-related costs are expected to be paid in the first quarter of fiscal 2017.</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Income Taxes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U.S. and non-U.S. components of income before income taxes consist of the following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840" w:type="dxa"/>
            <w:vAlign w:val="bottom"/>
          </w:tcPr>
          <w:p>
            <w:pPr>
              <w:spacing w:after="0"/>
              <w:rPr>
                <w:sz w:val="11"/>
                <w:szCs w:val="11"/>
                <w:color w:val="auto"/>
              </w:rPr>
            </w:pPr>
          </w:p>
        </w:tc>
        <w:tc>
          <w:tcPr>
            <w:tcW w:w="3380" w:type="dxa"/>
            <w:vAlign w:val="bottom"/>
          </w:tcPr>
          <w:p>
            <w:pPr>
              <w:spacing w:after="0"/>
              <w:rPr>
                <w:sz w:val="11"/>
                <w:szCs w:val="11"/>
                <w:color w:val="auto"/>
              </w:rPr>
            </w:pPr>
          </w:p>
        </w:tc>
        <w:tc>
          <w:tcPr>
            <w:tcW w:w="1200" w:type="dxa"/>
            <w:vAlign w:val="bottom"/>
            <w:gridSpan w:val="3"/>
          </w:tcPr>
          <w:p>
            <w:pPr>
              <w:jc w:val="right"/>
              <w:ind w:right="480"/>
              <w:spacing w:after="0" w:line="129" w:lineRule="exact"/>
              <w:rPr>
                <w:sz w:val="20"/>
                <w:szCs w:val="20"/>
                <w:color w:val="auto"/>
              </w:rPr>
            </w:pPr>
            <w:r>
              <w:rPr>
                <w:rFonts w:ascii="Arial" w:cs="Arial" w:eastAsia="Arial" w:hAnsi="Arial"/>
                <w:sz w:val="14"/>
                <w:szCs w:val="14"/>
                <w:b w:val="1"/>
                <w:bCs w:val="1"/>
                <w:color w:val="auto"/>
                <w:w w:val="90"/>
              </w:rPr>
              <w:t>January 30,</w:t>
            </w: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7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2"/>
              </w:rPr>
              <w:t>February 1,</w:t>
            </w:r>
          </w:p>
        </w:tc>
        <w:tc>
          <w:tcPr>
            <w:tcW w:w="100" w:type="dxa"/>
            <w:vAlign w:val="bottom"/>
          </w:tcPr>
          <w:p>
            <w:pPr>
              <w:spacing w:after="0"/>
              <w:rPr>
                <w:sz w:val="11"/>
                <w:szCs w:val="11"/>
                <w:color w:val="auto"/>
              </w:rPr>
            </w:pPr>
          </w:p>
        </w:tc>
      </w:tr>
      <w:tr>
        <w:trPr>
          <w:trHeight w:val="161"/>
        </w:trPr>
        <w:tc>
          <w:tcPr>
            <w:tcW w:w="4840" w:type="dxa"/>
            <w:vAlign w:val="bottom"/>
            <w:tcBorders>
              <w:bottom w:val="single" w:sz="8" w:color="CCEEFF"/>
            </w:tcBorders>
          </w:tcPr>
          <w:p>
            <w:pPr>
              <w:spacing w:after="0"/>
              <w:rPr>
                <w:sz w:val="14"/>
                <w:szCs w:val="14"/>
                <w:color w:val="auto"/>
              </w:rPr>
            </w:pPr>
          </w:p>
        </w:tc>
        <w:tc>
          <w:tcPr>
            <w:tcW w:w="3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2015</w:t>
            </w: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48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U.S. operations</w:t>
            </w:r>
          </w:p>
        </w:tc>
        <w:tc>
          <w:tcPr>
            <w:tcW w:w="3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33,787</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31,942</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31,339</w:t>
            </w:r>
          </w:p>
        </w:tc>
        <w:tc>
          <w:tcPr>
            <w:tcW w:w="100" w:type="dxa"/>
            <w:vAlign w:val="bottom"/>
            <w:shd w:val="clear" w:color="auto" w:fill="CCEEFF"/>
          </w:tcPr>
          <w:p>
            <w:pPr>
              <w:spacing w:after="0"/>
              <w:rPr>
                <w:sz w:val="18"/>
                <w:szCs w:val="18"/>
                <w:color w:val="auto"/>
              </w:rPr>
            </w:pPr>
          </w:p>
        </w:tc>
      </w:tr>
      <w:tr>
        <w:trPr>
          <w:trHeight w:val="216"/>
        </w:trPr>
        <w:tc>
          <w:tcPr>
            <w:tcW w:w="4840" w:type="dxa"/>
            <w:vAlign w:val="bottom"/>
          </w:tcPr>
          <w:p>
            <w:pPr>
              <w:spacing w:after="0"/>
              <w:rPr>
                <w:sz w:val="20"/>
                <w:szCs w:val="20"/>
                <w:color w:val="auto"/>
              </w:rPr>
            </w:pPr>
            <w:r>
              <w:rPr>
                <w:rFonts w:ascii="Arial" w:cs="Arial" w:eastAsia="Arial" w:hAnsi="Arial"/>
                <w:sz w:val="18"/>
                <w:szCs w:val="18"/>
                <w:color w:val="auto"/>
              </w:rPr>
              <w:t>Non-U.S. operations</w:t>
            </w:r>
          </w:p>
        </w:tc>
        <w:tc>
          <w:tcPr>
            <w:tcW w:w="3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w w:val="90"/>
              </w:rPr>
              <w:t>(832,841)</w:t>
            </w:r>
          </w:p>
        </w:tc>
        <w:tc>
          <w:tcPr>
            <w:tcW w:w="120" w:type="dxa"/>
            <w:vAlign w:val="bottom"/>
          </w:tcPr>
          <w:p>
            <w:pPr>
              <w:spacing w:after="0"/>
              <w:rPr>
                <w:sz w:val="18"/>
                <w:szCs w:val="18"/>
                <w:color w:val="auto"/>
              </w:rPr>
            </w:pPr>
          </w:p>
        </w:tc>
        <w:tc>
          <w:tcPr>
            <w:tcW w:w="1020" w:type="dxa"/>
            <w:vAlign w:val="bottom"/>
            <w:gridSpan w:val="2"/>
          </w:tcPr>
          <w:p>
            <w:pPr>
              <w:jc w:val="right"/>
              <w:ind w:right="420"/>
              <w:spacing w:after="0"/>
              <w:rPr>
                <w:sz w:val="20"/>
                <w:szCs w:val="20"/>
                <w:color w:val="auto"/>
              </w:rPr>
            </w:pPr>
            <w:r>
              <w:rPr>
                <w:rFonts w:ascii="Arial" w:cs="Arial" w:eastAsia="Arial" w:hAnsi="Arial"/>
                <w:sz w:val="18"/>
                <w:szCs w:val="18"/>
                <w:color w:val="auto"/>
                <w:w w:val="89"/>
              </w:rPr>
              <w:t>400,211</w:t>
            </w:r>
          </w:p>
        </w:tc>
        <w:tc>
          <w:tcPr>
            <w:tcW w:w="14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274,918</w:t>
            </w:r>
          </w:p>
        </w:tc>
      </w:tr>
      <w:tr>
        <w:trPr>
          <w:trHeight w:val="27"/>
        </w:trPr>
        <w:tc>
          <w:tcPr>
            <w:tcW w:w="4840" w:type="dxa"/>
            <w:vAlign w:val="bottom"/>
          </w:tcPr>
          <w:p>
            <w:pPr>
              <w:spacing w:after="0"/>
              <w:rPr>
                <w:sz w:val="2"/>
                <w:szCs w:val="2"/>
                <w:color w:val="auto"/>
              </w:rPr>
            </w:pPr>
          </w:p>
        </w:tc>
        <w:tc>
          <w:tcPr>
            <w:tcW w:w="3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840" w:type="dxa"/>
            <w:vAlign w:val="bottom"/>
            <w:shd w:val="clear" w:color="auto" w:fill="CCEEFF"/>
          </w:tcPr>
          <w:p>
            <w:pPr>
              <w:spacing w:after="0"/>
              <w:rPr>
                <w:sz w:val="18"/>
                <w:szCs w:val="18"/>
                <w:color w:val="auto"/>
              </w:rPr>
            </w:pPr>
          </w:p>
        </w:tc>
        <w:tc>
          <w:tcPr>
            <w:tcW w:w="3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0"/>
              </w:rPr>
              <w:t>(799,054)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9"/>
              </w:rPr>
              <w:t>432,153</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306,257</w:t>
            </w:r>
          </w:p>
        </w:tc>
      </w:tr>
      <w:tr>
        <w:trPr>
          <w:trHeight w:val="20"/>
        </w:trPr>
        <w:tc>
          <w:tcPr>
            <w:tcW w:w="4840" w:type="dxa"/>
            <w:vAlign w:val="bottom"/>
          </w:tcPr>
          <w:p>
            <w:pPr>
              <w:spacing w:after="0" w:line="20" w:lineRule="exact"/>
              <w:rPr>
                <w:sz w:val="1"/>
                <w:szCs w:val="1"/>
                <w:color w:val="auto"/>
              </w:rPr>
            </w:pPr>
          </w:p>
        </w:tc>
        <w:tc>
          <w:tcPr>
            <w:tcW w:w="3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provision (benefit) for income taxes consists of the following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4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14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13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40" w:type="dxa"/>
            <w:vAlign w:val="bottom"/>
            <w:tcBorders>
              <w:bottom w:val="single" w:sz="8" w:color="CCEEFF"/>
            </w:tcBorders>
          </w:tcPr>
          <w:p>
            <w:pPr>
              <w:spacing w:after="0"/>
              <w:rPr>
                <w:sz w:val="14"/>
                <w:szCs w:val="14"/>
                <w:color w:val="auto"/>
              </w:rPr>
            </w:pPr>
          </w:p>
        </w:tc>
        <w:tc>
          <w:tcPr>
            <w:tcW w:w="27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2016</w:t>
            </w:r>
          </w:p>
        </w:tc>
        <w:tc>
          <w:tcPr>
            <w:tcW w:w="7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2015</w:t>
            </w:r>
          </w:p>
        </w:tc>
        <w:tc>
          <w:tcPr>
            <w:tcW w:w="7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Current income tax provision (benefit):</w:t>
            </w:r>
          </w:p>
        </w:tc>
        <w:tc>
          <w:tcPr>
            <w:tcW w:w="27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Federal</w:t>
            </w:r>
          </w:p>
        </w:tc>
        <w:tc>
          <w:tcPr>
            <w:tcW w:w="2900" w:type="dxa"/>
            <w:vAlign w:val="bottom"/>
            <w:gridSpan w:val="2"/>
          </w:tcPr>
          <w:p>
            <w:pPr>
              <w:ind w:left="276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10,756</w:t>
            </w:r>
          </w:p>
        </w:tc>
        <w:tc>
          <w:tcPr>
            <w:tcW w:w="7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9,096</w:t>
            </w:r>
          </w:p>
        </w:tc>
        <w:tc>
          <w:tcPr>
            <w:tcW w:w="7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5,774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State</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w:t>
            </w: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(161)</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Foreign</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660"/>
              <w:spacing w:after="0"/>
              <w:rPr>
                <w:sz w:val="20"/>
                <w:szCs w:val="20"/>
                <w:color w:val="auto"/>
              </w:rPr>
            </w:pPr>
            <w:r>
              <w:rPr>
                <w:rFonts w:ascii="Arial" w:cs="Arial" w:eastAsia="Arial" w:hAnsi="Arial"/>
                <w:sz w:val="18"/>
                <w:szCs w:val="18"/>
                <w:color w:val="auto"/>
              </w:rPr>
              <w:t>(4,589)</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785</w:t>
            </w: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(18,829)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40" w:type="dxa"/>
            <w:vAlign w:val="bottom"/>
          </w:tcPr>
          <w:p>
            <w:pPr>
              <w:spacing w:after="0"/>
              <w:rPr>
                <w:sz w:val="2"/>
                <w:szCs w:val="2"/>
                <w:color w:val="auto"/>
              </w:rPr>
            </w:pPr>
          </w:p>
        </w:tc>
        <w:tc>
          <w:tcPr>
            <w:tcW w:w="27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Total current income tax provision (benefit)</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6,250</w:t>
            </w: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9,720</w:t>
            </w: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2"/>
              </w:rPr>
              <w:t>(12,982)</w:t>
            </w:r>
          </w:p>
        </w:tc>
        <w:tc>
          <w:tcPr>
            <w:tcW w:w="0" w:type="dxa"/>
            <w:vAlign w:val="bottom"/>
          </w:tcPr>
          <w:p>
            <w:pPr>
              <w:spacing w:after="0"/>
              <w:rPr>
                <w:sz w:val="1"/>
                <w:szCs w:val="1"/>
                <w:color w:val="auto"/>
              </w:rPr>
            </w:pPr>
          </w:p>
        </w:tc>
      </w:tr>
      <w:tr>
        <w:trPr>
          <w:trHeight w:val="222"/>
        </w:trPr>
        <w:tc>
          <w:tcPr>
            <w:tcW w:w="4160" w:type="dxa"/>
            <w:vAlign w:val="bottom"/>
            <w:gridSpan w:val="2"/>
          </w:tcPr>
          <w:p>
            <w:pPr>
              <w:spacing w:after="0"/>
              <w:rPr>
                <w:sz w:val="20"/>
                <w:szCs w:val="20"/>
                <w:color w:val="auto"/>
              </w:rPr>
            </w:pPr>
            <w:r>
              <w:rPr>
                <w:rFonts w:ascii="Arial" w:cs="Arial" w:eastAsia="Arial" w:hAnsi="Arial"/>
                <w:sz w:val="18"/>
                <w:szCs w:val="18"/>
                <w:color w:val="auto"/>
              </w:rPr>
              <w:t>Deferred income tax provision (benefit):</w:t>
            </w:r>
          </w:p>
        </w:tc>
        <w:tc>
          <w:tcPr>
            <w:tcW w:w="27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560" w:type="dxa"/>
            <w:vAlign w:val="bottom"/>
            <w:tcBorders>
              <w:top w:val="single" w:sz="8" w:color="auto"/>
            </w:tcBorders>
          </w:tcPr>
          <w:p>
            <w:pPr>
              <w:spacing w:after="0"/>
              <w:rPr>
                <w:sz w:val="19"/>
                <w:szCs w:val="19"/>
                <w:color w:val="auto"/>
              </w:rPr>
            </w:pPr>
          </w:p>
        </w:tc>
        <w:tc>
          <w:tcPr>
            <w:tcW w:w="7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60" w:type="dxa"/>
            <w:vAlign w:val="bottom"/>
            <w:tcBorders>
              <w:top w:val="single" w:sz="8" w:color="auto"/>
            </w:tcBorders>
          </w:tcPr>
          <w:p>
            <w:pPr>
              <w:spacing w:after="0"/>
              <w:rPr>
                <w:sz w:val="19"/>
                <w:szCs w:val="19"/>
                <w:color w:val="auto"/>
              </w:rPr>
            </w:pPr>
          </w:p>
        </w:tc>
        <w:tc>
          <w:tcPr>
            <w:tcW w:w="7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Federal</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(4,355)</w:t>
            </w: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(1,775)</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State</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580</w:t>
            </w: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16</w:t>
            </w: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9,871</w:t>
            </w: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89"/>
              </w:rPr>
              <w:t>(11,154)</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3,570</w:t>
            </w:r>
          </w:p>
        </w:tc>
        <w:tc>
          <w:tcPr>
            <w:tcW w:w="0" w:type="dxa"/>
            <w:vAlign w:val="bottom"/>
          </w:tcPr>
          <w:p>
            <w:pPr>
              <w:spacing w:after="0"/>
              <w:rPr>
                <w:sz w:val="1"/>
                <w:szCs w:val="1"/>
                <w:color w:val="auto"/>
              </w:rPr>
            </w:pPr>
          </w:p>
        </w:tc>
      </w:tr>
      <w:tr>
        <w:trPr>
          <w:trHeight w:val="20"/>
        </w:trPr>
        <w:tc>
          <w:tcPr>
            <w:tcW w:w="4160" w:type="dxa"/>
            <w:vAlign w:val="bottom"/>
            <w:gridSpan w:val="2"/>
            <w:vMerge w:val="restart"/>
          </w:tcPr>
          <w:p>
            <w:pPr>
              <w:spacing w:after="0"/>
              <w:rPr>
                <w:sz w:val="20"/>
                <w:szCs w:val="20"/>
                <w:color w:val="auto"/>
              </w:rPr>
            </w:pPr>
            <w:r>
              <w:rPr>
                <w:rFonts w:ascii="Arial" w:cs="Arial" w:eastAsia="Arial" w:hAnsi="Arial"/>
                <w:sz w:val="18"/>
                <w:szCs w:val="18"/>
                <w:color w:val="auto"/>
              </w:rPr>
              <w:t>Total deferred income tax provision (benefit)</w:t>
            </w:r>
          </w:p>
        </w:tc>
        <w:tc>
          <w:tcPr>
            <w:tcW w:w="27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160" w:type="dxa"/>
            <w:vAlign w:val="bottom"/>
            <w:gridSpan w:val="2"/>
            <w:vMerge w:val="continue"/>
          </w:tcPr>
          <w:p>
            <w:pPr>
              <w:spacing w:after="0"/>
              <w:rPr>
                <w:sz w:val="19"/>
                <w:szCs w:val="19"/>
                <w:color w:val="auto"/>
              </w:rPr>
            </w:pPr>
          </w:p>
        </w:tc>
        <w:tc>
          <w:tcPr>
            <w:tcW w:w="27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6,096</w:t>
            </w: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60" w:type="dxa"/>
            <w:vAlign w:val="bottom"/>
            <w:gridSpan w:val="2"/>
          </w:tcPr>
          <w:p>
            <w:pPr>
              <w:jc w:val="right"/>
              <w:ind w:right="640"/>
              <w:spacing w:after="0"/>
              <w:rPr>
                <w:sz w:val="20"/>
                <w:szCs w:val="20"/>
                <w:color w:val="auto"/>
              </w:rPr>
            </w:pPr>
            <w:r>
              <w:rPr>
                <w:rFonts w:ascii="Arial" w:cs="Arial" w:eastAsia="Arial" w:hAnsi="Arial"/>
                <w:sz w:val="18"/>
                <w:szCs w:val="18"/>
                <w:color w:val="auto"/>
                <w:w w:val="89"/>
              </w:rPr>
              <w:t>(12,913)</w:t>
            </w:r>
          </w:p>
        </w:tc>
        <w:tc>
          <w:tcPr>
            <w:tcW w:w="120" w:type="dxa"/>
            <w:vAlign w:val="bottom"/>
          </w:tcPr>
          <w:p>
            <w:pPr>
              <w:spacing w:after="0"/>
              <w:rPr>
                <w:sz w:val="19"/>
                <w:szCs w:val="19"/>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3,919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40" w:type="dxa"/>
            <w:vAlign w:val="bottom"/>
          </w:tcPr>
          <w:p>
            <w:pPr>
              <w:spacing w:after="0"/>
              <w:rPr>
                <w:sz w:val="2"/>
                <w:szCs w:val="2"/>
                <w:color w:val="auto"/>
              </w:rPr>
            </w:pPr>
          </w:p>
        </w:tc>
        <w:tc>
          <w:tcPr>
            <w:tcW w:w="27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Total provision (benefit) for income taxes</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12,346</w:t>
            </w: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2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(3,193)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(9,063)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2760" w:type="dxa"/>
            <w:vAlign w:val="bottom"/>
            <w:vMerge w:val="restart"/>
          </w:tcPr>
          <w:p>
            <w:pPr>
              <w:jc w:val="right"/>
              <w:ind w:right="1492"/>
              <w:spacing w:after="0"/>
              <w:rPr>
                <w:sz w:val="20"/>
                <w:szCs w:val="20"/>
                <w:color w:val="auto"/>
              </w:rPr>
            </w:pPr>
            <w:r>
              <w:rPr>
                <w:rFonts w:ascii="Arial" w:cs="Arial" w:eastAsia="Arial" w:hAnsi="Arial"/>
                <w:sz w:val="18"/>
                <w:szCs w:val="18"/>
                <w:color w:val="auto"/>
              </w:rPr>
              <w:t>88</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40" w:type="dxa"/>
            <w:vAlign w:val="bottom"/>
          </w:tcPr>
          <w:p>
            <w:pPr>
              <w:spacing w:after="0"/>
              <w:rPr>
                <w:sz w:val="24"/>
                <w:szCs w:val="24"/>
                <w:color w:val="auto"/>
              </w:rPr>
            </w:pPr>
          </w:p>
        </w:tc>
        <w:tc>
          <w:tcPr>
            <w:tcW w:w="276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income tax expense for fiscal 2016 includes current income tax liability of $14.5 million, an additional tax provision of $3.1 million related to a $15.4 million payment to the Company’s former Chief Executive Officer (see “Note 14 — Related Party Transactions”) and a $6.1 million reduction in net deferred tax assets that was primarily caused by the recognition of a valuation allowance against certain non-U.S. loss carryforwards that will not be realized in the foreseeable future. These expenses were offset by a net reduction in unrecognized tax benefits of $11.6 million that arose from the release of $20.6 million due to the settlement of an audit in a non-U.S. jurisdiction and the expiration of statutes of limitation in non-U.S. jurisdictions, net of a $9.0 million increase in current unrecognized tax benefits. The income tax benefit for fiscal 2015 includes the current income tax liability of $17.4 million plus a $7.4 million increase in current unrecognized tax benefit. These charges were offset by a reduction in unrecognized tax benefits that arose from the release of $16.4 million due to the expiration of statutes of limitation in non-U.S. jurisdictions and a $12.9 million increase in net deferred tax assets. The income tax benefit for fiscal 2014 included the current income tax liability of $13.2 million plus a $9.1 million increase in current unrecognized tax benefit which were offset by a reduction in unrecognized tax benefits that arose from the release of $31.8 million due to the expiration of statutes of limitation and the settlement of a tax audit in non-U.S. jurisdictions.</w:t>
      </w:r>
    </w:p>
    <w:p>
      <w:pPr>
        <w:spacing w:after="0" w:line="1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Deferred tax assets consist of the following (in thousands):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106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30,</w:t>
            </w:r>
          </w:p>
        </w:tc>
        <w:tc>
          <w:tcPr>
            <w:tcW w:w="280" w:type="dxa"/>
            <w:vAlign w:val="bottom"/>
          </w:tcPr>
          <w:p>
            <w:pPr>
              <w:spacing w:after="0"/>
              <w:rPr>
                <w:sz w:val="14"/>
                <w:szCs w:val="1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8"/>
              </w:rPr>
              <w:t>January 31,</w:t>
            </w:r>
          </w:p>
        </w:tc>
      </w:tr>
      <w:tr>
        <w:trPr>
          <w:trHeight w:val="161"/>
        </w:trPr>
        <w:tc>
          <w:tcPr>
            <w:tcW w:w="8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2016</w:t>
            </w:r>
          </w:p>
        </w:tc>
        <w:tc>
          <w:tcPr>
            <w:tcW w:w="3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83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Deferred tax assets:</w:t>
            </w: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320" w:type="dxa"/>
            <w:vAlign w:val="bottom"/>
          </w:tcPr>
          <w:p>
            <w:pPr>
              <w:ind w:left="440"/>
              <w:spacing w:after="0"/>
              <w:rPr>
                <w:sz w:val="20"/>
                <w:szCs w:val="20"/>
                <w:color w:val="auto"/>
              </w:rPr>
            </w:pPr>
            <w:r>
              <w:rPr>
                <w:rFonts w:ascii="Arial" w:cs="Arial" w:eastAsia="Arial" w:hAnsi="Arial"/>
                <w:sz w:val="18"/>
                <w:szCs w:val="18"/>
                <w:color w:val="auto"/>
              </w:rPr>
              <w:t>Federal and California research and other tax credits</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414,662</w:t>
            </w:r>
          </w:p>
        </w:tc>
        <w:tc>
          <w:tcPr>
            <w:tcW w:w="340" w:type="dxa"/>
            <w:vAlign w:val="bottom"/>
          </w:tcPr>
          <w:p>
            <w:pPr>
              <w:spacing w:after="0"/>
              <w:rPr>
                <w:sz w:val="18"/>
                <w:szCs w:val="18"/>
                <w:color w:val="auto"/>
              </w:rPr>
            </w:pP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382,726</w:t>
            </w:r>
          </w:p>
        </w:tc>
      </w:tr>
      <w:tr>
        <w:trPr>
          <w:trHeight w:val="216"/>
        </w:trPr>
        <w:tc>
          <w:tcPr>
            <w:tcW w:w="8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Reserves and accruals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35,200</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35,538</w:t>
            </w:r>
          </w:p>
        </w:tc>
      </w:tr>
      <w:tr>
        <w:trPr>
          <w:trHeight w:val="216"/>
        </w:trPr>
        <w:tc>
          <w:tcPr>
            <w:tcW w:w="8320" w:type="dxa"/>
            <w:vAlign w:val="bottom"/>
          </w:tcPr>
          <w:p>
            <w:pPr>
              <w:ind w:left="440"/>
              <w:spacing w:after="0"/>
              <w:rPr>
                <w:sz w:val="20"/>
                <w:szCs w:val="20"/>
                <w:color w:val="auto"/>
              </w:rPr>
            </w:pPr>
            <w:r>
              <w:rPr>
                <w:rFonts w:ascii="Arial" w:cs="Arial" w:eastAsia="Arial" w:hAnsi="Arial"/>
                <w:sz w:val="18"/>
                <w:szCs w:val="18"/>
                <w:color w:val="auto"/>
              </w:rPr>
              <w:t>Share-based compensation</w:t>
            </w: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4,476</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4,502</w:t>
            </w:r>
          </w:p>
        </w:tc>
      </w:tr>
      <w:tr>
        <w:trPr>
          <w:trHeight w:val="216"/>
        </w:trPr>
        <w:tc>
          <w:tcPr>
            <w:tcW w:w="8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operating losses</w:t>
            </w: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11,055</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10,740</w:t>
            </w:r>
          </w:p>
        </w:tc>
        <w:tc>
          <w:tcPr>
            <w:tcW w:w="100" w:type="dxa"/>
            <w:vAlign w:val="bottom"/>
            <w:shd w:val="clear" w:color="auto" w:fill="CCEEFF"/>
          </w:tcPr>
          <w:p>
            <w:pPr>
              <w:spacing w:after="0"/>
              <w:rPr>
                <w:sz w:val="18"/>
                <w:szCs w:val="18"/>
                <w:color w:val="auto"/>
              </w:rPr>
            </w:pPr>
          </w:p>
        </w:tc>
      </w:tr>
      <w:tr>
        <w:trPr>
          <w:trHeight w:val="221"/>
        </w:trPr>
        <w:tc>
          <w:tcPr>
            <w:tcW w:w="8320" w:type="dxa"/>
            <w:vAlign w:val="bottom"/>
          </w:tcPr>
          <w:p>
            <w:pPr>
              <w:spacing w:after="0"/>
              <w:rPr>
                <w:sz w:val="20"/>
                <w:szCs w:val="20"/>
                <w:color w:val="auto"/>
              </w:rPr>
            </w:pPr>
            <w:r>
              <w:rPr>
                <w:rFonts w:ascii="Arial" w:cs="Arial" w:eastAsia="Arial" w:hAnsi="Arial"/>
                <w:sz w:val="18"/>
                <w:szCs w:val="18"/>
                <w:color w:val="auto"/>
              </w:rPr>
              <w:t>Gross deferred tax assets</w:t>
            </w: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465,393</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433,506</w:t>
            </w:r>
          </w:p>
        </w:tc>
      </w:tr>
      <w:tr>
        <w:trPr>
          <w:trHeight w:val="218"/>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8"/>
              </w:rPr>
              <w:t>(424,914)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(382,796)</w:t>
            </w:r>
          </w:p>
        </w:tc>
      </w:tr>
      <w:tr>
        <w:trPr>
          <w:trHeight w:val="221"/>
        </w:trPr>
        <w:tc>
          <w:tcPr>
            <w:tcW w:w="8320" w:type="dxa"/>
            <w:vAlign w:val="bottom"/>
          </w:tcPr>
          <w:p>
            <w:pPr>
              <w:spacing w:after="0"/>
              <w:rPr>
                <w:sz w:val="20"/>
                <w:szCs w:val="20"/>
                <w:color w:val="auto"/>
              </w:rPr>
            </w:pPr>
            <w:r>
              <w:rPr>
                <w:rFonts w:ascii="Arial" w:cs="Arial" w:eastAsia="Arial" w:hAnsi="Arial"/>
                <w:sz w:val="18"/>
                <w:szCs w:val="18"/>
                <w:color w:val="auto"/>
              </w:rPr>
              <w:t>Total deferred tax assets</w:t>
            </w: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40,479</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50,710</w:t>
            </w:r>
          </w:p>
        </w:tc>
        <w:tc>
          <w:tcPr>
            <w:tcW w:w="100" w:type="dxa"/>
            <w:vAlign w:val="bottom"/>
          </w:tcPr>
          <w:p>
            <w:pPr>
              <w:spacing w:after="0"/>
              <w:rPr>
                <w:sz w:val="19"/>
                <w:szCs w:val="19"/>
                <w:color w:val="auto"/>
              </w:rPr>
            </w:pPr>
          </w:p>
        </w:tc>
      </w:tr>
      <w:tr>
        <w:trPr>
          <w:trHeight w:val="218"/>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(7,073)</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(11,209)</w:t>
            </w:r>
          </w:p>
        </w:tc>
      </w:tr>
      <w:tr>
        <w:trPr>
          <w:trHeight w:val="222"/>
        </w:trPr>
        <w:tc>
          <w:tcPr>
            <w:tcW w:w="8320" w:type="dxa"/>
            <w:vAlign w:val="bottom"/>
          </w:tcPr>
          <w:p>
            <w:pPr>
              <w:spacing w:after="0"/>
              <w:rPr>
                <w:sz w:val="20"/>
                <w:szCs w:val="20"/>
                <w:color w:val="auto"/>
              </w:rPr>
            </w:pPr>
            <w:r>
              <w:rPr>
                <w:rFonts w:ascii="Arial" w:cs="Arial" w:eastAsia="Arial" w:hAnsi="Arial"/>
                <w:sz w:val="18"/>
                <w:szCs w:val="18"/>
                <w:color w:val="auto"/>
              </w:rPr>
              <w:t>Net deferred tax assets</w:t>
            </w: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33,406</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39,501</w:t>
            </w:r>
          </w:p>
        </w:tc>
        <w:tc>
          <w:tcPr>
            <w:tcW w:w="100" w:type="dxa"/>
            <w:vAlign w:val="bottom"/>
          </w:tcPr>
          <w:p>
            <w:pPr>
              <w:spacing w:after="0"/>
              <w:rPr>
                <w:sz w:val="19"/>
                <w:szCs w:val="19"/>
                <w:color w:val="auto"/>
              </w:rPr>
            </w:pPr>
          </w:p>
        </w:tc>
      </w:tr>
      <w:tr>
        <w:trPr>
          <w:trHeight w:val="20"/>
        </w:trPr>
        <w:tc>
          <w:tcPr>
            <w:tcW w:w="8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As presented in the consolidated balance sheets as of January 30, 2016 and January 31, 2015, and in the table above, unrecognized tax benefits have been offset by deferred tax assets for certain net operating losses that are available to be used in the amount of $6.3 million and $4.2 million, respectively.</w:t>
      </w:r>
    </w:p>
    <w:p>
      <w:pPr>
        <w:spacing w:after="0" w:line="85"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During fiscal 2016, deferred tax assets, net of a corresponding valuation allowance, decreased $6.1 million from the end of fiscal 2015, primarily due to a valuation allowance that was recorded against deferred tax assets in Israel. As of January 30, 2016 and January 31, 2015, the Company had $34.5 million and $22.3 million of deferred tax assets, respectively, classified as non-current included in other non-current assets on the consolidated balance sheet.</w:t>
      </w:r>
    </w:p>
    <w:p>
      <w:pPr>
        <w:spacing w:after="0" w:line="107" w:lineRule="exact"/>
        <w:rPr>
          <w:sz w:val="20"/>
          <w:szCs w:val="20"/>
          <w:color w:val="auto"/>
        </w:rPr>
      </w:pPr>
    </w:p>
    <w:p>
      <w:pPr>
        <w:ind w:right="340" w:firstLine="456"/>
        <w:spacing w:after="0" w:line="254" w:lineRule="auto"/>
        <w:rPr>
          <w:sz w:val="20"/>
          <w:szCs w:val="20"/>
          <w:color w:val="auto"/>
        </w:rPr>
      </w:pPr>
      <w:r>
        <w:rPr>
          <w:rFonts w:ascii="Arial" w:cs="Arial" w:eastAsia="Arial" w:hAnsi="Arial"/>
          <w:sz w:val="18"/>
          <w:szCs w:val="18"/>
          <w:color w:val="auto"/>
        </w:rPr>
        <w:t>At the end of fiscal 2016, the Company recorded a valuation allowance of $424.9 million, an increase of $42.1 million from fiscal 2015. The Company provided a full valuation allowance against its federal and various state research credits which it earns in excess of its current year tax liabilities, as well as a portion against its net operating loss carryforwards in the U.S. federal and California. Based on the available objective positive and negative evidence, the Company determined that it is more likely than not that these research credits and net operating losses will not be realized. The Company also provided a full valuation allowance against the deferred tax assets of a portion of its operations in Israel, which has cumulative losses in recent years and is not projecting sufficient future taxable income.</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420"/>
          </w:cols>
          <w:pgMar w:left="240" w:top="459" w:right="23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As of January 30, 2016, the Company had net operating loss carryforwards available to offset future taxable income of approximately $90.8 million, $1.6 million and $6.3 million for foreign, U.S. federal and state of California purposes, respectively. The federal carryforwards will expire in various fiscal years between 2022 and 2028, and the California carryforwards will expire at various fiscal years between 2018 and 2033, if not utilized before these years. The majority of the Company’s non-U.S. losses carry forward indefinitely. For U.S. federal income tax return purposes, the Company had research tax credit carryforwards of approximately $248.6 million that expire through fiscal 2036. As of January 30, 2016, the Company had unused California research and tax credit carryforwards of approximately $260.6 million, which can be carryforward indefinitely. Included in the U.S. federal and California carryforward amounts are $59.8 million and $57.7 million, respectively, that are attributable to excess tax benefits from stock options. Upon realization, the benefit associated with these credits will increase additional paid-in capital. The Company also has research and investment tax credit carryforwards of approximately $21.6 million in other U.S. states that expire through fiscal 2031 due to the statutes of limitation.</w:t>
      </w:r>
    </w:p>
    <w:p>
      <w:pPr>
        <w:spacing w:after="0" w:line="120"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The Company consists of a Bermuda parent holding company with various foreign and U.S. subsidiaries. The applicable statutory rate in Bermuda is zero for the Company for fiscal 2016, 2015 and 2014. For purposes of the reconciliation between the provision (benefit) for income taxes at the statutory rate and the effective tax rate, a notional U.S. 35% rate is applied as follows: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6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5"/>
          </w:tcPr>
          <w:p>
            <w:pPr>
              <w:jc w:val="center"/>
              <w:ind w:right="920"/>
              <w:spacing w:after="0"/>
              <w:rPr>
                <w:sz w:val="20"/>
                <w:szCs w:val="20"/>
                <w:color w:val="auto"/>
              </w:rPr>
            </w:pPr>
            <w:r>
              <w:rPr>
                <w:rFonts w:ascii="Arial" w:cs="Arial" w:eastAsia="Arial" w:hAnsi="Arial"/>
                <w:sz w:val="14"/>
                <w:szCs w:val="14"/>
                <w:b w:val="1"/>
                <w:bCs w:val="1"/>
                <w:color w:val="auto"/>
                <w:w w:val="88"/>
              </w:rPr>
              <w:t>Year Ended</w:t>
            </w:r>
          </w:p>
        </w:tc>
        <w:tc>
          <w:tcPr>
            <w:tcW w:w="1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60" w:type="dxa"/>
            <w:vAlign w:val="bottom"/>
          </w:tcPr>
          <w:p>
            <w:pPr>
              <w:spacing w:after="0"/>
              <w:rPr>
                <w:sz w:val="11"/>
                <w:szCs w:val="11"/>
                <w:color w:val="auto"/>
              </w:rPr>
            </w:pPr>
          </w:p>
        </w:tc>
        <w:tc>
          <w:tcPr>
            <w:tcW w:w="1040" w:type="dxa"/>
            <w:vAlign w:val="bottom"/>
            <w:gridSpan w:val="3"/>
          </w:tcPr>
          <w:p>
            <w:pPr>
              <w:jc w:val="right"/>
              <w:ind w:right="259"/>
              <w:spacing w:after="0" w:line="129" w:lineRule="exact"/>
              <w:rPr>
                <w:sz w:val="20"/>
                <w:szCs w:val="20"/>
                <w:color w:val="auto"/>
              </w:rPr>
            </w:pPr>
            <w:r>
              <w:rPr>
                <w:rFonts w:ascii="Arial" w:cs="Arial" w:eastAsia="Arial" w:hAnsi="Arial"/>
                <w:sz w:val="14"/>
                <w:szCs w:val="14"/>
                <w:b w:val="1"/>
                <w:bCs w:val="1"/>
                <w:color w:val="auto"/>
                <w:w w:val="88"/>
              </w:rPr>
              <w:t>January 30,</w:t>
            </w:r>
          </w:p>
        </w:tc>
        <w:tc>
          <w:tcPr>
            <w:tcW w:w="5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0" w:type="dxa"/>
            <w:vAlign w:val="bottom"/>
            <w:gridSpan w:val="5"/>
          </w:tcPr>
          <w:p>
            <w:pPr>
              <w:jc w:val="center"/>
              <w:ind w:right="920"/>
              <w:spacing w:after="0" w:line="129" w:lineRule="exact"/>
              <w:rPr>
                <w:sz w:val="20"/>
                <w:szCs w:val="20"/>
                <w:color w:val="auto"/>
              </w:rPr>
            </w:pPr>
            <w:r>
              <w:rPr>
                <w:rFonts w:ascii="Arial" w:cs="Arial" w:eastAsia="Arial" w:hAnsi="Arial"/>
                <w:sz w:val="14"/>
                <w:szCs w:val="14"/>
                <w:b w:val="1"/>
                <w:bCs w:val="1"/>
                <w:color w:val="auto"/>
                <w:w w:val="88"/>
              </w:rPr>
              <w:t>January 31,</w:t>
            </w:r>
          </w:p>
        </w:tc>
        <w:tc>
          <w:tcPr>
            <w:tcW w:w="680" w:type="dxa"/>
            <w:vAlign w:val="bottom"/>
            <w:gridSpan w:val="3"/>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6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2016</w:t>
            </w:r>
          </w:p>
        </w:tc>
        <w:tc>
          <w:tcPr>
            <w:tcW w:w="18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2015</w:t>
            </w: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3"/>
          </w:tcPr>
          <w:p>
            <w:pPr>
              <w:jc w:val="right"/>
              <w:ind w:right="113"/>
              <w:spacing w:after="0"/>
              <w:rPr>
                <w:sz w:val="20"/>
                <w:szCs w:val="20"/>
                <w:color w:val="auto"/>
              </w:rPr>
            </w:pPr>
            <w:r>
              <w:rPr>
                <w:rFonts w:ascii="Arial" w:cs="Arial" w:eastAsia="Arial" w:hAnsi="Arial"/>
                <w:sz w:val="14"/>
                <w:szCs w:val="14"/>
                <w:b w:val="1"/>
                <w:bCs w:val="1"/>
                <w:color w:val="auto"/>
              </w:rPr>
              <w:t>2014</w:t>
            </w: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Provision at U.S. notional statutory rate</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35.0%</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274"/>
              <w:spacing w:after="0"/>
              <w:rPr>
                <w:sz w:val="20"/>
                <w:szCs w:val="20"/>
                <w:color w:val="auto"/>
              </w:rPr>
            </w:pPr>
            <w:r>
              <w:rPr>
                <w:rFonts w:ascii="Arial" w:cs="Arial" w:eastAsia="Arial" w:hAnsi="Arial"/>
                <w:sz w:val="18"/>
                <w:szCs w:val="18"/>
                <w:color w:val="auto"/>
              </w:rPr>
              <w:t>35.0%</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Non-deductible share-based compensation</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(5.9)</w:t>
            </w: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3"/>
          </w:tcPr>
          <w:p>
            <w:pPr>
              <w:jc w:val="right"/>
              <w:ind w:right="434"/>
              <w:spacing w:after="0"/>
              <w:rPr>
                <w:sz w:val="20"/>
                <w:szCs w:val="20"/>
                <w:color w:val="auto"/>
              </w:rPr>
            </w:pPr>
            <w:r>
              <w:rPr>
                <w:rFonts w:ascii="Arial" w:cs="Arial" w:eastAsia="Arial" w:hAnsi="Arial"/>
                <w:sz w:val="18"/>
                <w:szCs w:val="18"/>
                <w:color w:val="auto"/>
              </w:rPr>
              <w:t>11.2</w:t>
            </w: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ind w:right="160"/>
              <w:spacing w:after="0"/>
              <w:rPr>
                <w:sz w:val="20"/>
                <w:szCs w:val="20"/>
                <w:color w:val="auto"/>
              </w:rPr>
            </w:pPr>
            <w:r>
              <w:rPr>
                <w:rFonts w:ascii="Arial" w:cs="Arial" w:eastAsia="Arial" w:hAnsi="Arial"/>
                <w:sz w:val="18"/>
                <w:szCs w:val="18"/>
                <w:color w:val="auto"/>
              </w:rPr>
              <w:t>19.4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Difference in U.S. and non-U.S. tax rates</w:t>
            </w: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(31.3)</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374"/>
              <w:spacing w:after="0"/>
              <w:rPr>
                <w:sz w:val="20"/>
                <w:szCs w:val="20"/>
                <w:color w:val="auto"/>
              </w:rPr>
            </w:pPr>
            <w:r>
              <w:rPr>
                <w:rFonts w:ascii="Arial" w:cs="Arial" w:eastAsia="Arial" w:hAnsi="Arial"/>
                <w:sz w:val="18"/>
                <w:szCs w:val="18"/>
                <w:color w:val="auto"/>
              </w:rPr>
              <w:t>(46.0)</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(55.8)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Benefits from utilization of general business credits</w:t>
            </w: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5.0</w:t>
            </w: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3"/>
          </w:tcPr>
          <w:p>
            <w:pPr>
              <w:jc w:val="right"/>
              <w:ind w:right="374"/>
              <w:spacing w:after="0"/>
              <w:rPr>
                <w:sz w:val="20"/>
                <w:szCs w:val="20"/>
                <w:color w:val="auto"/>
              </w:rPr>
            </w:pPr>
            <w:r>
              <w:rPr>
                <w:rFonts w:ascii="Arial" w:cs="Arial" w:eastAsia="Arial" w:hAnsi="Arial"/>
                <w:sz w:val="18"/>
                <w:szCs w:val="18"/>
                <w:color w:val="auto"/>
              </w:rPr>
              <w:t>(12.0)</w:t>
            </w: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ind w:right="100"/>
              <w:spacing w:after="0"/>
              <w:rPr>
                <w:sz w:val="20"/>
                <w:szCs w:val="20"/>
                <w:color w:val="auto"/>
              </w:rPr>
            </w:pPr>
            <w:r>
              <w:rPr>
                <w:rFonts w:ascii="Arial" w:cs="Arial" w:eastAsia="Arial" w:hAnsi="Arial"/>
                <w:sz w:val="18"/>
                <w:szCs w:val="18"/>
                <w:color w:val="auto"/>
                <w:w w:val="97"/>
              </w:rPr>
              <w:t>(14.1)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Change in valuation allowance</w:t>
            </w: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(4.0)</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434"/>
              <w:spacing w:after="0"/>
              <w:rPr>
                <w:sz w:val="20"/>
                <w:szCs w:val="20"/>
                <w:color w:val="auto"/>
              </w:rPr>
            </w:pPr>
            <w:r>
              <w:rPr>
                <w:rFonts w:ascii="Arial" w:cs="Arial" w:eastAsia="Arial" w:hAnsi="Arial"/>
                <w:sz w:val="18"/>
                <w:szCs w:val="18"/>
                <w:color w:val="auto"/>
              </w:rPr>
              <w:t>10.5</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Other</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(0.3)</w:t>
            </w: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3"/>
          </w:tcPr>
          <w:p>
            <w:pPr>
              <w:jc w:val="right"/>
              <w:ind w:right="434"/>
              <w:spacing w:after="0"/>
              <w:rPr>
                <w:sz w:val="20"/>
                <w:szCs w:val="20"/>
                <w:color w:val="auto"/>
              </w:rPr>
            </w:pPr>
            <w:r>
              <w:rPr>
                <w:rFonts w:ascii="Arial" w:cs="Arial" w:eastAsia="Arial" w:hAnsi="Arial"/>
                <w:sz w:val="18"/>
                <w:szCs w:val="18"/>
                <w:color w:val="auto"/>
              </w:rPr>
              <w:t>0.6</w:t>
            </w: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ind w:right="160"/>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2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60" w:type="dxa"/>
            <w:vAlign w:val="bottom"/>
            <w:tcBorders>
              <w:right w:val="single" w:sz="8" w:color="auto"/>
            </w:tcBorders>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Effective tax rate</w:t>
            </w:r>
          </w:p>
        </w:tc>
        <w:tc>
          <w:tcPr>
            <w:tcW w:w="1040" w:type="dxa"/>
            <w:vAlign w:val="bottom"/>
            <w:gridSpan w:val="3"/>
            <w:shd w:val="clear" w:color="auto" w:fill="CCEEFF"/>
          </w:tcPr>
          <w:p>
            <w:pPr>
              <w:jc w:val="right"/>
              <w:ind w:right="59"/>
              <w:spacing w:after="0"/>
              <w:rPr>
                <w:sz w:val="20"/>
                <w:szCs w:val="20"/>
                <w:color w:val="auto"/>
              </w:rPr>
            </w:pPr>
            <w:r>
              <w:rPr>
                <w:rFonts w:ascii="Arial" w:cs="Arial" w:eastAsia="Arial" w:hAnsi="Arial"/>
                <w:sz w:val="18"/>
                <w:szCs w:val="18"/>
                <w:color w:val="auto"/>
              </w:rPr>
              <w:t>(1.5)%</w:t>
            </w:r>
          </w:p>
        </w:tc>
        <w:tc>
          <w:tcPr>
            <w:tcW w:w="5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214"/>
              <w:spacing w:after="0"/>
              <w:rPr>
                <w:sz w:val="20"/>
                <w:szCs w:val="20"/>
                <w:color w:val="auto"/>
              </w:rPr>
            </w:pPr>
            <w:r>
              <w:rPr>
                <w:rFonts w:ascii="Arial" w:cs="Arial" w:eastAsia="Arial" w:hAnsi="Arial"/>
                <w:sz w:val="18"/>
                <w:szCs w:val="18"/>
                <w:color w:val="auto"/>
              </w:rPr>
              <w:t>(0.7)%</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vMerge w:val="restart"/>
          </w:tcPr>
          <w:p>
            <w:pPr>
              <w:ind w:left="440"/>
              <w:spacing w:after="0"/>
              <w:rPr>
                <w:sz w:val="20"/>
                <w:szCs w:val="20"/>
                <w:color w:val="auto"/>
              </w:rPr>
            </w:pPr>
            <w:r>
              <w:rPr>
                <w:rFonts w:ascii="Arial" w:cs="Arial" w:eastAsia="Arial" w:hAnsi="Arial"/>
                <w:sz w:val="18"/>
                <w:szCs w:val="18"/>
                <w:color w:val="auto"/>
              </w:rPr>
              <w:t>The following table reflects changes in the unrecognized tax benefits (in thousands):</w:t>
            </w: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7260" w:type="dxa"/>
            <w:vAlign w:val="bottom"/>
            <w:vMerge w:val="continue"/>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2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108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400" w:type="dxa"/>
            <w:vAlign w:val="bottom"/>
          </w:tcPr>
          <w:p>
            <w:pPr>
              <w:spacing w:after="0"/>
              <w:rPr>
                <w:sz w:val="11"/>
                <w:szCs w:val="11"/>
                <w:color w:val="auto"/>
              </w:rPr>
            </w:pPr>
          </w:p>
        </w:tc>
        <w:tc>
          <w:tcPr>
            <w:tcW w:w="10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40" w:type="dxa"/>
            <w:vAlign w:val="bottom"/>
          </w:tcPr>
          <w:p>
            <w:pPr>
              <w:spacing w:after="0"/>
              <w:rPr>
                <w:sz w:val="11"/>
                <w:szCs w:val="11"/>
                <w:color w:val="auto"/>
              </w:rPr>
            </w:pPr>
          </w:p>
        </w:tc>
        <w:tc>
          <w:tcPr>
            <w:tcW w:w="7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90"/>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6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w w:val="96"/>
              </w:rPr>
              <w:t>2016</w:t>
            </w: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w w:val="96"/>
              </w:rPr>
              <w:t>2015</w:t>
            </w: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2014</w:t>
            </w: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Unrecognized tax benefits as of the beginning of the period</w:t>
            </w:r>
          </w:p>
        </w:tc>
        <w:tc>
          <w:tcPr>
            <w:tcW w:w="880" w:type="dxa"/>
            <w:vAlign w:val="bottom"/>
            <w:gridSpan w:val="2"/>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45,197</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51,682</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79,031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Increases related to prior year tax positions</w:t>
            </w: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304</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976</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3"/>
          </w:tcPr>
          <w:p>
            <w:pPr>
              <w:jc w:val="right"/>
              <w:ind w:right="100"/>
              <w:spacing w:after="0"/>
              <w:rPr>
                <w:sz w:val="20"/>
                <w:szCs w:val="20"/>
                <w:color w:val="auto"/>
              </w:rPr>
            </w:pPr>
            <w:r>
              <w:rPr>
                <w:rFonts w:ascii="Arial" w:cs="Arial" w:eastAsia="Arial" w:hAnsi="Arial"/>
                <w:sz w:val="18"/>
                <w:szCs w:val="18"/>
                <w:color w:val="auto"/>
              </w:rPr>
              <w:t>499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Decreases related to prior year tax positions</w:t>
            </w: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12"/>
              <w:spacing w:after="0"/>
              <w:rPr>
                <w:sz w:val="20"/>
                <w:szCs w:val="20"/>
                <w:color w:val="auto"/>
              </w:rPr>
            </w:pPr>
            <w:r>
              <w:rPr>
                <w:rFonts w:ascii="Arial" w:cs="Arial" w:eastAsia="Arial" w:hAnsi="Arial"/>
                <w:sz w:val="18"/>
                <w:szCs w:val="18"/>
                <w:color w:val="auto"/>
              </w:rPr>
              <w:t>(4,334)</w:t>
            </w:r>
          </w:p>
        </w:tc>
        <w:tc>
          <w:tcPr>
            <w:tcW w:w="40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(386)</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Increases related to current year tax positions</w:t>
            </w: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4,237</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5,356</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3"/>
          </w:tcPr>
          <w:p>
            <w:pPr>
              <w:jc w:val="right"/>
              <w:ind w:right="100"/>
              <w:spacing w:after="0"/>
              <w:rPr>
                <w:sz w:val="20"/>
                <w:szCs w:val="20"/>
                <w:color w:val="auto"/>
              </w:rPr>
            </w:pPr>
            <w:r>
              <w:rPr>
                <w:rFonts w:ascii="Arial" w:cs="Arial" w:eastAsia="Arial" w:hAnsi="Arial"/>
                <w:sz w:val="18"/>
                <w:szCs w:val="18"/>
                <w:color w:val="auto"/>
              </w:rPr>
              <w:t>2,666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Settlements</w:t>
            </w: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12"/>
              <w:spacing w:after="0"/>
              <w:rPr>
                <w:sz w:val="20"/>
                <w:szCs w:val="20"/>
                <w:color w:val="auto"/>
              </w:rPr>
            </w:pPr>
            <w:r>
              <w:rPr>
                <w:rFonts w:ascii="Arial" w:cs="Arial" w:eastAsia="Arial" w:hAnsi="Arial"/>
                <w:sz w:val="18"/>
                <w:szCs w:val="18"/>
                <w:color w:val="auto"/>
              </w:rPr>
              <w:t>(704)</w:t>
            </w:r>
          </w:p>
        </w:tc>
        <w:tc>
          <w:tcPr>
            <w:tcW w:w="40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9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(7,423)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Lapse in the statute of limitations</w:t>
            </w: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gridSpan w:val="3"/>
          </w:tcPr>
          <w:p>
            <w:pPr>
              <w:jc w:val="right"/>
              <w:ind w:right="12"/>
              <w:spacing w:after="0"/>
              <w:rPr>
                <w:sz w:val="20"/>
                <w:szCs w:val="20"/>
                <w:color w:val="auto"/>
              </w:rPr>
            </w:pPr>
            <w:r>
              <w:rPr>
                <w:rFonts w:ascii="Arial" w:cs="Arial" w:eastAsia="Arial" w:hAnsi="Arial"/>
                <w:sz w:val="18"/>
                <w:szCs w:val="18"/>
                <w:color w:val="auto"/>
              </w:rPr>
              <w:t>(9,739)</w:t>
            </w:r>
          </w:p>
        </w:tc>
        <w:tc>
          <w:tcPr>
            <w:tcW w:w="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w w:val="83"/>
              </w:rPr>
              <w:t>(10,691)</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3"/>
          </w:tcPr>
          <w:p>
            <w:pPr>
              <w:jc w:val="right"/>
              <w:ind w:right="40"/>
              <w:spacing w:after="0"/>
              <w:rPr>
                <w:sz w:val="20"/>
                <w:szCs w:val="20"/>
                <w:color w:val="auto"/>
              </w:rPr>
            </w:pPr>
            <w:r>
              <w:rPr>
                <w:rFonts w:ascii="Arial" w:cs="Arial" w:eastAsia="Arial" w:hAnsi="Arial"/>
                <w:sz w:val="18"/>
                <w:szCs w:val="18"/>
                <w:color w:val="auto"/>
                <w:w w:val="92"/>
              </w:rPr>
              <w:t>(13,969)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Foreign exchange gain</w:t>
            </w: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12"/>
              <w:spacing w:after="0"/>
              <w:rPr>
                <w:sz w:val="20"/>
                <w:szCs w:val="20"/>
                <w:color w:val="auto"/>
              </w:rPr>
            </w:pPr>
            <w:r>
              <w:rPr>
                <w:rFonts w:ascii="Arial" w:cs="Arial" w:eastAsia="Arial" w:hAnsi="Arial"/>
                <w:sz w:val="18"/>
                <w:szCs w:val="18"/>
                <w:color w:val="auto"/>
              </w:rPr>
              <w:t>(5,822)</w:t>
            </w:r>
          </w:p>
        </w:tc>
        <w:tc>
          <w:tcPr>
            <w:tcW w:w="40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(1,740)</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(9,011)</w:t>
            </w:r>
          </w:p>
        </w:tc>
        <w:tc>
          <w:tcPr>
            <w:tcW w:w="0" w:type="dxa"/>
            <w:vAlign w:val="bottom"/>
          </w:tcPr>
          <w:p>
            <w:pPr>
              <w:spacing w:after="0"/>
              <w:rPr>
                <w:sz w:val="1"/>
                <w:szCs w:val="1"/>
                <w:color w:val="auto"/>
              </w:rPr>
            </w:pPr>
          </w:p>
        </w:tc>
      </w:tr>
      <w:tr>
        <w:trPr>
          <w:trHeight w:val="20"/>
        </w:trPr>
        <w:tc>
          <w:tcPr>
            <w:tcW w:w="7280" w:type="dxa"/>
            <w:vAlign w:val="bottom"/>
            <w:gridSpan w:val="2"/>
            <w:vMerge w:val="restart"/>
          </w:tcPr>
          <w:p>
            <w:pPr>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880" w:type="dxa"/>
            <w:vAlign w:val="bottom"/>
            <w:gridSpan w:val="2"/>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60" w:type="dxa"/>
            <w:vAlign w:val="bottom"/>
            <w:tcBorders>
              <w:right w:val="single" w:sz="8" w:color="auto"/>
            </w:tcBorders>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280" w:type="dxa"/>
            <w:vAlign w:val="bottom"/>
            <w:gridSpan w:val="2"/>
            <w:vMerge w:val="continue"/>
          </w:tcPr>
          <w:p>
            <w:pPr>
              <w:spacing w:after="0"/>
              <w:rPr>
                <w:sz w:val="19"/>
                <w:szCs w:val="19"/>
                <w:color w:val="auto"/>
              </w:rPr>
            </w:pPr>
          </w:p>
        </w:tc>
        <w:tc>
          <w:tcPr>
            <w:tcW w:w="880" w:type="dxa"/>
            <w:vAlign w:val="bottom"/>
            <w:gridSpan w:val="2"/>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29,139</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6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w w:val="90"/>
              </w:rPr>
              <w:t>45,197</w:t>
            </w:r>
          </w:p>
        </w:tc>
        <w:tc>
          <w:tcPr>
            <w:tcW w:w="260" w:type="dxa"/>
            <w:vAlign w:val="bottom"/>
            <w:gridSpan w:val="2"/>
          </w:tcPr>
          <w:p>
            <w:pPr>
              <w:ind w:left="140"/>
              <w:spacing w:after="0"/>
              <w:rPr>
                <w:sz w:val="20"/>
                <w:szCs w:val="20"/>
                <w:color w:val="auto"/>
              </w:rPr>
            </w:pPr>
            <w:r>
              <w:rPr>
                <w:rFonts w:ascii="Arial" w:cs="Arial" w:eastAsia="Arial" w:hAnsi="Arial"/>
                <w:sz w:val="18"/>
                <w:szCs w:val="18"/>
                <w:color w:val="auto"/>
                <w:w w:val="99"/>
              </w:rPr>
              <w:t>$</w:t>
            </w:r>
          </w:p>
        </w:tc>
        <w:tc>
          <w:tcPr>
            <w:tcW w:w="680" w:type="dxa"/>
            <w:vAlign w:val="bottom"/>
            <w:gridSpan w:val="3"/>
          </w:tcPr>
          <w:p>
            <w:pPr>
              <w:jc w:val="right"/>
              <w:ind w:right="100"/>
              <w:spacing w:after="0"/>
              <w:rPr>
                <w:sz w:val="20"/>
                <w:szCs w:val="20"/>
                <w:color w:val="auto"/>
              </w:rPr>
            </w:pPr>
            <w:r>
              <w:rPr>
                <w:rFonts w:ascii="Arial" w:cs="Arial" w:eastAsia="Arial" w:hAnsi="Arial"/>
                <w:sz w:val="18"/>
                <w:szCs w:val="18"/>
                <w:color w:val="auto"/>
              </w:rPr>
              <w:t>51,682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Included in the balances as of January 30, 2016 is $27.8 million of unrecognized tax benefit that would affect the effective income tax rate if recognized. Also, $6.3 million and $4.2 million of the gross unrecognized tax benefits presented in the table above are offset against deferred tax assets in the consolidated balance sheets as of January 30, 2016 and January 31, 2015, respectively.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420"/>
          </w:cols>
          <w:pgMar w:left="240" w:top="459" w:right="2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amounts in the table above do not include the related interest and penalties. The Company’s policy is to recognize these interest and penalties as a component of income tax expense. The amount of interest and penalties accrued was approximately $26.4 million as of January 30, 2016, $27.7 million as of January 31, 2015 and $29.6 million as of February 1, 2014. The consolidated statements of operations for fiscal 2016, 2015 and 2014 included $4.6 million, $3.8 million and $6.2 million, respectively, of interest and penalties related to the unrecognized tax benefits.</w:t>
      </w:r>
    </w:p>
    <w:p>
      <w:pPr>
        <w:spacing w:after="0" w:line="11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January 30, 2016, the material jurisdictions that are subject to examination include China, Israel, Singapore, Switzerland and the United States for the Company’s fiscal years 2005 through 2015. As of January 30, 2016, several of the Company’s non-U.S. entities are under examination for fiscal years encompassing 2006 through 2015. The Company is also under examination by the state of California for fiscal year 2013 and 2014.</w:t>
      </w:r>
    </w:p>
    <w:p>
      <w:pPr>
        <w:spacing w:after="0" w:line="11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For fiscal 2017, the Company will continue to review its tax positions and provide for or reverse unrecognized tax benefits as issues arise. 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$16.2 million from the lapse of the statutes of limitation in various jurisdictions during the next 12 months.</w:t>
      </w:r>
    </w:p>
    <w:p>
      <w:pPr>
        <w:spacing w:after="0" w:line="113"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The Singapore Economic Development Board (“EDB”) initially granted a 10-year Pioneer Status in July 1999 to the Company’s Singapore subsidiary. In October 2004, the Company’s subsidiary in Singapore was granted a second incentive known as the Develop and Expansion Incentive (“DEI”), and in June 2006, the EDB agreed to extend the Pioneer status for 15 years to June 2014. The Company re-negotiated with the Singapore government and in fiscal 2015, they extended the DEI tax credits to the Company until June 2019. In order to retain these tax benefits in Singapore, the Company must meet certain operating conditions relating to, among other things, maintenance of a regional headquarters function, and research and development activities in Singapore. In fiscal 2016, 2015 and 2014 tax savings associated with these tax holidays were approximately $5.3 million, $0.1 million and $3.7 million, respectively, which if paid would impact the Company’s earnings per share by $0.01 per share in fiscal 2016 and 2014, and less than $0.01 per share in fiscal 2015.</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Ltd., the GTL branch and the cellular branch (formerly Marvell DSPC), are entitled to approved and benefited tax programs that include reduced tax rates and exemption of certain income, subject to various operating and other conditions. Income from the approved or benefited enterprises, with the exception of capital gains, is eligible up to fiscal 2027. For fiscal 2014, the benefit associated with these approved or benefited enterprise programs was $2.2 million, which provided earnings per share of $0.01 per share in fiscal 2014. There was no such benefit in fiscal 2016 and fiscal 2015.</w:t>
      </w:r>
    </w:p>
    <w:p>
      <w:pPr>
        <w:spacing w:after="0" w:line="116" w:lineRule="exact"/>
        <w:rPr>
          <w:sz w:val="20"/>
          <w:szCs w:val="20"/>
          <w:color w:val="auto"/>
        </w:rPr>
      </w:pPr>
    </w:p>
    <w:p>
      <w:pPr>
        <w:jc w:val="both"/>
        <w:ind w:right="220" w:firstLine="456"/>
        <w:spacing w:after="0" w:line="298" w:lineRule="auto"/>
        <w:rPr>
          <w:sz w:val="20"/>
          <w:szCs w:val="20"/>
          <w:color w:val="auto"/>
        </w:rPr>
      </w:pPr>
      <w:r>
        <w:rPr>
          <w:rFonts w:ascii="Arial" w:cs="Arial" w:eastAsia="Arial" w:hAnsi="Arial"/>
          <w:sz w:val="16"/>
          <w:szCs w:val="16"/>
          <w:color w:val="auto"/>
        </w:rPr>
        <w:t>During fiscal 2007, each of the Swiss Federal Department of Economy and the Vaud Cantonal Tax Administration granted the Company’s subsidiary in Switzerland a 10 year tax holiday on revenues from research and design wafer supply trading activities, which commenced in February 2007 and expired at the end of fiscal 2016. The fiscal 2016, 2015 and 2014 tax savings associated with this tax holiday was approximately $3.7 million, $4.5 million and $5.1 million, respectively, which provided earnings per share of $0.01 per share in fiscal 2016 and 2015, and less than $0.01 per share in fiscal 2014.</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420"/>
          </w:cols>
          <w:pgMar w:left="240" w:top="459" w:right="2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240" w:firstLine="456"/>
        <w:spacing w:after="0" w:line="253" w:lineRule="auto"/>
        <w:rPr>
          <w:sz w:val="20"/>
          <w:szCs w:val="20"/>
          <w:color w:val="auto"/>
        </w:rPr>
      </w:pPr>
      <w:r>
        <w:rPr>
          <w:rFonts w:ascii="Arial" w:cs="Arial" w:eastAsia="Arial" w:hAnsi="Arial"/>
          <w:sz w:val="18"/>
          <w:szCs w:val="18"/>
          <w:color w:val="auto"/>
        </w:rPr>
        <w:t>The Company’s principal source of liquidity as of January 30, 2016 consisted of approximately $2.3 billion of cash, cash equivalents and short-term investments, of which approximately $830 million was held by foreign subsidiaries (outside Bermuda). Approximately $620 million of this amount held by foreign subsidiaries is related to undistributed earnings, which have been indefinitely reinvested outside of Bermuda. These funds are primarily held in China, Israel, Singapore, the United States and Switzerland.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$200 million.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Company’s products carry a standard 90-day warranty with certain exceptions in which the warranty period can extend to more than one year based on contractual agreements. The Company’s warranty expense has not been significant in the periods presented.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The Company leases some of its facilities, equipment and computer aided design software under non-cancelable operating leases. Rent expense, net of sublease income for fiscal 2016, 2015, and 2014 was approximately $23.8 million, $26.1 million and $25.8 million, respectively. The Company also purchases certain intellectual property under technology license obligations. Future minimum lease payments, net of estimated sublease income, and payments under technology license obligations as of January 30, 2016, are presented in the following tables (in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1"/>
              </w:rPr>
              <w:t>Minimum</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8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Operating</w:t>
            </w:r>
          </w:p>
        </w:tc>
        <w:tc>
          <w:tcPr>
            <w:tcW w:w="0" w:type="dxa"/>
            <w:vAlign w:val="bottom"/>
          </w:tcPr>
          <w:p>
            <w:pPr>
              <w:spacing w:after="0"/>
              <w:rPr>
                <w:sz w:val="1"/>
                <w:szCs w:val="1"/>
                <w:color w:val="auto"/>
              </w:rPr>
            </w:pPr>
          </w:p>
        </w:tc>
      </w:tr>
      <w:tr>
        <w:trPr>
          <w:trHeight w:val="149"/>
        </w:trPr>
        <w:tc>
          <w:tcPr>
            <w:tcW w:w="45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60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4"/>
              </w:rPr>
              <w:t>Leases</w:t>
            </w:r>
          </w:p>
        </w:tc>
        <w:tc>
          <w:tcPr>
            <w:tcW w:w="0" w:type="dxa"/>
            <w:vAlign w:val="bottom"/>
          </w:tcPr>
          <w:p>
            <w:pPr>
              <w:spacing w:after="0"/>
              <w:rPr>
                <w:sz w:val="1"/>
                <w:szCs w:val="1"/>
                <w:color w:val="auto"/>
              </w:rPr>
            </w:pPr>
          </w:p>
        </w:tc>
      </w:tr>
      <w:tr>
        <w:trPr>
          <w:trHeight w:val="168"/>
        </w:trPr>
        <w:tc>
          <w:tcPr>
            <w:tcW w:w="4560" w:type="dxa"/>
            <w:vAlign w:val="bottom"/>
            <w:gridSpan w:val="3"/>
            <w:vMerge w:val="continue"/>
          </w:tcPr>
          <w:p>
            <w:pPr>
              <w:spacing w:after="0"/>
              <w:rPr>
                <w:sz w:val="14"/>
                <w:szCs w:val="14"/>
                <w:color w:val="auto"/>
              </w:rPr>
            </w:pPr>
          </w:p>
        </w:tc>
        <w:tc>
          <w:tcPr>
            <w:tcW w:w="60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gridSpan w:val="3"/>
          </w:tcPr>
          <w:p>
            <w:pPr>
              <w:jc w:val="center"/>
              <w:ind w:right="140"/>
              <w:spacing w:after="0" w:line="148" w:lineRule="exact"/>
              <w:rPr>
                <w:sz w:val="20"/>
                <w:szCs w:val="20"/>
                <w:color w:val="auto"/>
              </w:rPr>
            </w:pPr>
            <w:r>
              <w:rPr>
                <w:rFonts w:ascii="Arial" w:cs="Arial" w:eastAsia="Arial" w:hAnsi="Arial"/>
                <w:sz w:val="14"/>
                <w:szCs w:val="14"/>
                <w:b w:val="1"/>
                <w:bCs w:val="1"/>
                <w:color w:val="auto"/>
                <w:w w:val="84"/>
              </w:rPr>
              <w:t>Payments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68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2017</w:t>
            </w:r>
          </w:p>
        </w:tc>
        <w:tc>
          <w:tcPr>
            <w:tcW w:w="3860" w:type="dxa"/>
            <w:vAlign w:val="bottom"/>
            <w:tcBorders>
              <w:top w:val="single" w:sz="8" w:color="CCEEFF"/>
            </w:tcBorders>
            <w:shd w:val="clear" w:color="auto" w:fill="CCEEFF"/>
          </w:tcPr>
          <w:p>
            <w:pPr>
              <w:spacing w:after="0"/>
              <w:rPr>
                <w:sz w:val="17"/>
                <w:szCs w:val="17"/>
                <w:color w:val="auto"/>
              </w:rPr>
            </w:pPr>
          </w:p>
        </w:tc>
        <w:tc>
          <w:tcPr>
            <w:tcW w:w="60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63,296</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 w:type="dxa"/>
            <w:vAlign w:val="bottom"/>
          </w:tcPr>
          <w:p>
            <w:pPr>
              <w:spacing w:after="0"/>
              <w:rPr>
                <w:sz w:val="20"/>
                <w:szCs w:val="20"/>
                <w:color w:val="auto"/>
              </w:rPr>
            </w:pPr>
            <w:r>
              <w:rPr>
                <w:rFonts w:ascii="Arial" w:cs="Arial" w:eastAsia="Arial" w:hAnsi="Arial"/>
                <w:sz w:val="18"/>
                <w:szCs w:val="18"/>
                <w:color w:val="auto"/>
              </w:rPr>
              <w:t>2018</w:t>
            </w:r>
          </w:p>
        </w:tc>
        <w:tc>
          <w:tcPr>
            <w:tcW w:w="3860" w:type="dxa"/>
            <w:vAlign w:val="bottom"/>
          </w:tcPr>
          <w:p>
            <w:pPr>
              <w:spacing w:after="0"/>
              <w:rPr>
                <w:sz w:val="18"/>
                <w:szCs w:val="18"/>
                <w:color w:val="auto"/>
              </w:rPr>
            </w:pPr>
          </w:p>
        </w:tc>
        <w:tc>
          <w:tcPr>
            <w:tcW w:w="60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35,679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3860" w:type="dxa"/>
            <w:vAlign w:val="bottom"/>
            <w:shd w:val="clear" w:color="auto" w:fill="CCEEFF"/>
          </w:tcPr>
          <w:p>
            <w:pPr>
              <w:spacing w:after="0"/>
              <w:rPr>
                <w:sz w:val="18"/>
                <w:szCs w:val="18"/>
                <w:color w:val="auto"/>
              </w:rPr>
            </w:pPr>
          </w:p>
        </w:tc>
        <w:tc>
          <w:tcPr>
            <w:tcW w:w="60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24,407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 w:type="dxa"/>
            <w:vAlign w:val="bottom"/>
          </w:tcPr>
          <w:p>
            <w:pPr>
              <w:spacing w:after="0"/>
              <w:rPr>
                <w:sz w:val="20"/>
                <w:szCs w:val="20"/>
                <w:color w:val="auto"/>
              </w:rPr>
            </w:pPr>
            <w:r>
              <w:rPr>
                <w:rFonts w:ascii="Arial" w:cs="Arial" w:eastAsia="Arial" w:hAnsi="Arial"/>
                <w:sz w:val="18"/>
                <w:szCs w:val="18"/>
                <w:color w:val="auto"/>
              </w:rPr>
              <w:t>2020</w:t>
            </w:r>
          </w:p>
        </w:tc>
        <w:tc>
          <w:tcPr>
            <w:tcW w:w="3860" w:type="dxa"/>
            <w:vAlign w:val="bottom"/>
          </w:tcPr>
          <w:p>
            <w:pPr>
              <w:spacing w:after="0"/>
              <w:rPr>
                <w:sz w:val="18"/>
                <w:szCs w:val="18"/>
                <w:color w:val="auto"/>
              </w:rPr>
            </w:pPr>
          </w:p>
        </w:tc>
        <w:tc>
          <w:tcPr>
            <w:tcW w:w="60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14,280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 w:type="dxa"/>
            <w:vAlign w:val="bottom"/>
            <w:shd w:val="clear" w:color="auto" w:fill="CCEEFF"/>
          </w:tcPr>
          <w:p>
            <w:pPr>
              <w:spacing w:after="0"/>
              <w:rPr>
                <w:sz w:val="20"/>
                <w:szCs w:val="20"/>
                <w:color w:val="auto"/>
              </w:rPr>
            </w:pPr>
            <w:r>
              <w:rPr>
                <w:rFonts w:ascii="Arial" w:cs="Arial" w:eastAsia="Arial" w:hAnsi="Arial"/>
                <w:sz w:val="18"/>
                <w:szCs w:val="18"/>
                <w:color w:val="auto"/>
              </w:rPr>
              <w:t>2021</w:t>
            </w:r>
          </w:p>
        </w:tc>
        <w:tc>
          <w:tcPr>
            <w:tcW w:w="3860" w:type="dxa"/>
            <w:vAlign w:val="bottom"/>
            <w:shd w:val="clear" w:color="auto" w:fill="CCEEFF"/>
          </w:tcPr>
          <w:p>
            <w:pPr>
              <w:spacing w:after="0"/>
              <w:rPr>
                <w:sz w:val="18"/>
                <w:szCs w:val="18"/>
                <w:color w:val="auto"/>
              </w:rPr>
            </w:pPr>
          </w:p>
        </w:tc>
        <w:tc>
          <w:tcPr>
            <w:tcW w:w="60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2,939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4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6040" w:type="dxa"/>
            <w:vAlign w:val="bottom"/>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604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$ 145,547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604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60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8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3"/>
              </w:rPr>
              <w:t>Technology</w:t>
            </w:r>
          </w:p>
        </w:tc>
        <w:tc>
          <w:tcPr>
            <w:tcW w:w="0" w:type="dxa"/>
            <w:vAlign w:val="bottom"/>
          </w:tcPr>
          <w:p>
            <w:pPr>
              <w:spacing w:after="0"/>
              <w:rPr>
                <w:sz w:val="1"/>
                <w:szCs w:val="1"/>
                <w:color w:val="auto"/>
              </w:rPr>
            </w:pPr>
          </w:p>
        </w:tc>
      </w:tr>
      <w:tr>
        <w:trPr>
          <w:trHeight w:val="149"/>
        </w:trPr>
        <w:tc>
          <w:tcPr>
            <w:tcW w:w="45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60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4"/>
              </w:rPr>
              <w:t>License</w:t>
            </w:r>
          </w:p>
        </w:tc>
        <w:tc>
          <w:tcPr>
            <w:tcW w:w="0" w:type="dxa"/>
            <w:vAlign w:val="bottom"/>
          </w:tcPr>
          <w:p>
            <w:pPr>
              <w:spacing w:after="0"/>
              <w:rPr>
                <w:sz w:val="1"/>
                <w:szCs w:val="1"/>
                <w:color w:val="auto"/>
              </w:rPr>
            </w:pPr>
          </w:p>
        </w:tc>
      </w:tr>
      <w:tr>
        <w:trPr>
          <w:trHeight w:val="168"/>
        </w:trPr>
        <w:tc>
          <w:tcPr>
            <w:tcW w:w="4560" w:type="dxa"/>
            <w:vAlign w:val="bottom"/>
            <w:gridSpan w:val="3"/>
            <w:vMerge w:val="continue"/>
          </w:tcPr>
          <w:p>
            <w:pPr>
              <w:spacing w:after="0"/>
              <w:rPr>
                <w:sz w:val="14"/>
                <w:szCs w:val="14"/>
                <w:color w:val="auto"/>
              </w:rPr>
            </w:pPr>
          </w:p>
        </w:tc>
        <w:tc>
          <w:tcPr>
            <w:tcW w:w="60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gridSpan w:val="3"/>
          </w:tcPr>
          <w:p>
            <w:pPr>
              <w:jc w:val="center"/>
              <w:ind w:right="120"/>
              <w:spacing w:after="0" w:line="148" w:lineRule="exact"/>
              <w:rPr>
                <w:sz w:val="20"/>
                <w:szCs w:val="20"/>
                <w:color w:val="auto"/>
              </w:rPr>
            </w:pPr>
            <w:r>
              <w:rPr>
                <w:rFonts w:ascii="Arial" w:cs="Arial" w:eastAsia="Arial" w:hAnsi="Arial"/>
                <w:sz w:val="14"/>
                <w:szCs w:val="14"/>
                <w:b w:val="1"/>
                <w:bCs w:val="1"/>
                <w:color w:val="auto"/>
                <w:w w:val="85"/>
              </w:rPr>
              <w:t>Obligations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68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2017</w:t>
            </w:r>
          </w:p>
        </w:tc>
        <w:tc>
          <w:tcPr>
            <w:tcW w:w="3860" w:type="dxa"/>
            <w:vAlign w:val="bottom"/>
            <w:tcBorders>
              <w:top w:val="single" w:sz="8" w:color="CCEEFF"/>
            </w:tcBorders>
            <w:shd w:val="clear" w:color="auto" w:fill="CCEEFF"/>
          </w:tcPr>
          <w:p>
            <w:pPr>
              <w:spacing w:after="0"/>
              <w:rPr>
                <w:sz w:val="17"/>
                <w:szCs w:val="17"/>
                <w:color w:val="auto"/>
              </w:rPr>
            </w:pPr>
          </w:p>
        </w:tc>
        <w:tc>
          <w:tcPr>
            <w:tcW w:w="6080" w:type="dxa"/>
            <w:vAlign w:val="bottom"/>
            <w:tcBorders>
              <w:top w:val="single" w:sz="8" w:color="CCEEFF"/>
            </w:tcBorders>
            <w:gridSpan w:val="2"/>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14,769</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 w:type="dxa"/>
            <w:vAlign w:val="bottom"/>
          </w:tcPr>
          <w:p>
            <w:pPr>
              <w:spacing w:after="0"/>
              <w:rPr>
                <w:sz w:val="20"/>
                <w:szCs w:val="20"/>
                <w:color w:val="auto"/>
              </w:rPr>
            </w:pPr>
            <w:r>
              <w:rPr>
                <w:rFonts w:ascii="Arial" w:cs="Arial" w:eastAsia="Arial" w:hAnsi="Arial"/>
                <w:sz w:val="18"/>
                <w:szCs w:val="18"/>
                <w:color w:val="auto"/>
              </w:rPr>
              <w:t>2018</w:t>
            </w:r>
          </w:p>
        </w:tc>
        <w:tc>
          <w:tcPr>
            <w:tcW w:w="3860" w:type="dxa"/>
            <w:vAlign w:val="bottom"/>
          </w:tcPr>
          <w:p>
            <w:pPr>
              <w:spacing w:after="0"/>
              <w:rPr>
                <w:sz w:val="18"/>
                <w:szCs w:val="18"/>
                <w:color w:val="auto"/>
              </w:rPr>
            </w:pPr>
          </w:p>
        </w:tc>
        <w:tc>
          <w:tcPr>
            <w:tcW w:w="60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12,630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2019 and thereafter</w:t>
            </w:r>
          </w:p>
        </w:tc>
        <w:tc>
          <w:tcPr>
            <w:tcW w:w="60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60" w:type="dxa"/>
            <w:vAlign w:val="bottom"/>
            <w:gridSpan w:val="3"/>
          </w:tcPr>
          <w:p>
            <w:pPr>
              <w:spacing w:after="0"/>
              <w:rPr>
                <w:sz w:val="20"/>
                <w:szCs w:val="20"/>
                <w:color w:val="auto"/>
              </w:rPr>
            </w:pPr>
            <w:r>
              <w:rPr>
                <w:rFonts w:ascii="Arial" w:cs="Arial" w:eastAsia="Arial" w:hAnsi="Arial"/>
                <w:sz w:val="18"/>
                <w:szCs w:val="18"/>
                <w:color w:val="auto"/>
              </w:rPr>
              <w:t>Total future minimum lease payments</w:t>
            </w:r>
          </w:p>
        </w:tc>
        <w:tc>
          <w:tcPr>
            <w:tcW w:w="61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27,399</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Less: amount representing interest</w:t>
            </w:r>
          </w:p>
        </w:tc>
        <w:tc>
          <w:tcPr>
            <w:tcW w:w="60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gridSpan w:val="2"/>
          </w:tcPr>
          <w:p>
            <w:pPr>
              <w:ind w:left="420"/>
              <w:spacing w:after="0"/>
              <w:rPr>
                <w:sz w:val="20"/>
                <w:szCs w:val="20"/>
                <w:color w:val="auto"/>
              </w:rPr>
            </w:pPr>
            <w:r>
              <w:rPr>
                <w:rFonts w:ascii="Arial" w:cs="Arial" w:eastAsia="Arial" w:hAnsi="Arial"/>
                <w:sz w:val="18"/>
                <w:szCs w:val="18"/>
                <w:color w:val="auto"/>
              </w:rPr>
              <w:t>Present value of future minimum payments</w:t>
            </w:r>
          </w:p>
        </w:tc>
        <w:tc>
          <w:tcPr>
            <w:tcW w:w="60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26,819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860" w:type="dxa"/>
            <w:vAlign w:val="bottom"/>
            <w:shd w:val="clear" w:color="auto" w:fill="CCEEFF"/>
          </w:tcPr>
          <w:p>
            <w:pPr>
              <w:ind w:left="600"/>
              <w:spacing w:after="0"/>
              <w:rPr>
                <w:sz w:val="20"/>
                <w:szCs w:val="20"/>
                <w:color w:val="auto"/>
              </w:rPr>
            </w:pPr>
            <w:r>
              <w:rPr>
                <w:rFonts w:ascii="Arial" w:cs="Arial" w:eastAsia="Arial" w:hAnsi="Arial"/>
                <w:sz w:val="18"/>
                <w:szCs w:val="18"/>
                <w:color w:val="auto"/>
              </w:rPr>
              <w:t>Less: current portion</w:t>
            </w:r>
          </w:p>
        </w:tc>
        <w:tc>
          <w:tcPr>
            <w:tcW w:w="60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2"/>
              </w:rPr>
              <w:t>(14,358)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860" w:type="dxa"/>
            <w:vAlign w:val="bottom"/>
            <w:vMerge w:val="restart"/>
          </w:tcPr>
          <w:p>
            <w:pPr>
              <w:ind w:left="600"/>
              <w:spacing w:after="0"/>
              <w:rPr>
                <w:sz w:val="20"/>
                <w:szCs w:val="20"/>
                <w:color w:val="auto"/>
              </w:rPr>
            </w:pPr>
            <w:r>
              <w:rPr>
                <w:rFonts w:ascii="Arial" w:cs="Arial" w:eastAsia="Arial" w:hAnsi="Arial"/>
                <w:sz w:val="18"/>
                <w:szCs w:val="18"/>
                <w:color w:val="auto"/>
              </w:rPr>
              <w:t>Non-current portion</w:t>
            </w:r>
          </w:p>
        </w:tc>
        <w:tc>
          <w:tcPr>
            <w:tcW w:w="608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860" w:type="dxa"/>
            <w:vAlign w:val="bottom"/>
            <w:vMerge w:val="continue"/>
          </w:tcPr>
          <w:p>
            <w:pPr>
              <w:spacing w:after="0"/>
              <w:rPr>
                <w:sz w:val="19"/>
                <w:szCs w:val="19"/>
                <w:color w:val="auto"/>
              </w:rPr>
            </w:pPr>
          </w:p>
        </w:tc>
        <w:tc>
          <w:tcPr>
            <w:tcW w:w="61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12,461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6040" w:type="dxa"/>
            <w:vAlign w:val="bottom"/>
            <w:vMerge w:val="restart"/>
          </w:tcPr>
          <w:p>
            <w:pPr>
              <w:jc w:val="right"/>
              <w:ind w:right="4712"/>
              <w:spacing w:after="0"/>
              <w:rPr>
                <w:sz w:val="20"/>
                <w:szCs w:val="20"/>
                <w:color w:val="auto"/>
              </w:rPr>
            </w:pPr>
            <w:r>
              <w:rPr>
                <w:rFonts w:ascii="Arial" w:cs="Arial" w:eastAsia="Arial" w:hAnsi="Arial"/>
                <w:sz w:val="18"/>
                <w:szCs w:val="18"/>
                <w:color w:val="auto"/>
              </w:rPr>
              <w:t>92</w:t>
            </w: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6040" w:type="dxa"/>
            <w:vAlign w:val="bottom"/>
            <w:vMerge w:val="continue"/>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Technology license obligations include the liabilities under the subscription agreements for technology licenses between the Company and various vendors.</w:t>
      </w:r>
    </w:p>
    <w:p>
      <w:pPr>
        <w:spacing w:after="0" w:line="28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is allowed but requires payment of all costs and expenses incurred through the date of cancellation. As of January 30, 2016, these foundries had incurred approximately $136.8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vigorously defend against the allegations in these matters.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As of January 30, 2016, the Company has an accrued litigation balance of $739.8 million related to certain legal proceedings described below. Unless otherwise stated, the Company is currently unable to predict the final outcome of these lawsuits and therefore cannot determine the likelihood of loss or estimate a range of possible loss.</w:t>
      </w:r>
    </w:p>
    <w:p>
      <w:pPr>
        <w:spacing w:after="0" w:line="140" w:lineRule="exact"/>
        <w:rPr>
          <w:sz w:val="20"/>
          <w:szCs w:val="20"/>
          <w:color w:val="auto"/>
        </w:rPr>
      </w:pPr>
    </w:p>
    <w:p>
      <w:pPr>
        <w:jc w:val="both"/>
        <w:ind w:right="260" w:firstLine="456"/>
        <w:spacing w:after="0" w:line="259" w:lineRule="auto"/>
        <w:rPr>
          <w:sz w:val="20"/>
          <w:szCs w:val="20"/>
          <w:color w:val="auto"/>
        </w:rPr>
      </w:pPr>
      <w:r>
        <w:rPr>
          <w:rFonts w:ascii="Arial" w:cs="Arial" w:eastAsia="Arial" w:hAnsi="Arial"/>
          <w:sz w:val="18"/>
          <w:szCs w:val="18"/>
          <w:i w:val="1"/>
          <w:iCs w:val="1"/>
          <w:color w:val="auto"/>
        </w:rPr>
        <w:t xml:space="preserve">Carnegie Mellon University Litigation. </w:t>
      </w:r>
      <w:r>
        <w:rPr>
          <w:rFonts w:ascii="Arial" w:cs="Arial" w:eastAsia="Arial" w:hAnsi="Arial"/>
          <w:sz w:val="18"/>
          <w:szCs w:val="18"/>
          <w:color w:val="auto"/>
        </w:rPr>
        <w:t>On March 6, 2009, CMU filed a complaint in the U.S. District Court for the Western District of Pennsylvania</w:t>
      </w:r>
      <w:r>
        <w:rPr>
          <w:rFonts w:ascii="Arial" w:cs="Arial" w:eastAsia="Arial" w:hAnsi="Arial"/>
          <w:sz w:val="18"/>
          <w:szCs w:val="18"/>
          <w:i w:val="1"/>
          <w:iCs w:val="1"/>
          <w:color w:val="auto"/>
        </w:rPr>
        <w:t xml:space="preserve"> </w:t>
      </w:r>
      <w:r>
        <w:rPr>
          <w:rFonts w:ascii="Arial" w:cs="Arial" w:eastAsia="Arial" w:hAnsi="Arial"/>
          <w:sz w:val="18"/>
          <w:szCs w:val="18"/>
          <w:color w:val="auto"/>
        </w:rPr>
        <w:t>(“W.D. of Pennsylvania”). CMU has asserted U.S. Patent Nos. 6,201,839 and 6,438,180 (collectively, the “CMU patents in suit”), which relate to read-channel integrated circuit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420"/>
          </w:cols>
          <w:pgMar w:left="240" w:top="459" w:right="2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Based on post-trial motions and decisions, the W.D. of Pennsylvania calculated the damages including enhancement to total approximately $1.54 billion, and held that, under its decision, CMU is entitled to post judgment interest and an ongoing royalty. On May 7, 2014, the W.D. of Pennsylvania entered final judgment, from which the Company filed a notice of appeal on May 14, 2014. On August 4, 2015, the W.D. of Pennsylvania in a three-judge panel issued an opinion affirming in part, reversing in part, and vacating and remanding in part. On February 16, 2016, the Company and CMU entered into a Settlement Agreement and Patent License pursuant to which the Company has agreed to pay an aggregate of $750 million, without any ongoing royalty payments, to CMU and the parties have agreed to mutually acceptable release, license and covenant not to sue provisions. Please see “Note 15 — Subsequent Events” for additional information on the effect of the settlement in the Company’s consolidated financial statements for fiscal 2016. The Company expects the action to be finally dismissed in the third quarter of fiscal 2017, approximately 6 months after payment of the full amount of the settlement payment. In connection with the settlement, the primary supersedeas bond that the Company entered into in connection with this litigation was reduced to $439 million and the secondary bond, which is secured, was adjusted to $311 million. All of the Company’s obligations under both bonds were discharged pursuant to an order releasing supersedeas bonds on April 21, 2016. Any bond specific indemnity agreement will be terminated and released upon final dismissal of the action.</w:t>
      </w:r>
    </w:p>
    <w:p>
      <w:pPr>
        <w:spacing w:after="0" w:line="121"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(“E.D. of Texas”), in which USEI accused a number of system manufacturers, including the Company’s customers, of patent infringement (the “USEI litigation”). Specifically, USEI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E.D. of Texas issued an order granting the defendants’ motion to transfer the action to the U.S. District Court for the Northern District of California (“N.D. of California”); the case was formally transferred on August 23, 2010. On September 14, 2011, USEI withdrew its allegations against MSI for the ‘459 patent. The N.D. of California issued a first claim construction ruling on January 31, 2012 and a supplemental claim construction ruling on August 29, 2012. On August 16, 2013, the N.D. of California granted defendants’ summary judgment motion to preclude the plaintiff from recovering certain pre-suit damages. On November 7, 2014, on summary judgment, the N.D. of California found that all the patents-in-suit were either invalid or not infringed. On December 1, 2014, the N.D. of California entered a judgment in favor of defendants and awarded defendants’ costs. On December 29, 2014, USEI filed a motion to alter or amend the N.D. of California’s summary judgment order, which the N.D. of California denied on March 31, 2015. On April 24, 2015, USEI filed its notice of appeal. On April 25, 2016, the Federal Circuit affirmed the N.D. of California’s judgment in favor of MSI. On June 29, 2016, the Federal Circuit denied USEI’s petition for rehearing.</w:t>
      </w:r>
    </w:p>
    <w:p>
      <w:pPr>
        <w:spacing w:after="0" w:line="12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(“Azure”) and Tri-County Excelsior Foundation filed suit in the E.D.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E.D. of Texas issued an order denying plaintiff’s motion for reconsideration and adopted the magistrate judge’s claim construction ruling. On May 30, 2013, the E.D. of Texas entered a judgment of non-infringement. On June 24, 2013, Azure appealed.</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On November 6, 2014, the Federal Circuit issued an order vacating the judgment of non-infringement and remanding for further proceedings. MSI filed a petition for writ of certiorari to the United States Supreme Court on February 4, 2015. On February 10, 2015, the E.D. of Texas stayed all proceedings pending the Supreme Court’s ruling on the Company’s petition. On April 20, 2015, the United States Supreme Court granted MSI’s petition, vacating the Federal Circuit’s judgment and remanding the case for further consideration. The case was dismissed with prejudice on October 14, 2015 with no significant impact on the Company’s consolidated financial statements.</w:t>
      </w:r>
    </w:p>
    <w:p>
      <w:pPr>
        <w:spacing w:after="0" w:line="143"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On January 13, 2015, Azure filed a second suit against MSI in the E.D. of Texas, alleging infringement of U.S. Patent Nos. 8,582,570; 8,582,571; 8,588,196; 8,588,231; 8,589,599; 8,675,590; 8,683,092; 8,700,815; 8,732,347; and 8,732,361, purportedly related to certain Wi-Fi and near field communication (“NFC”) technologies. The complaint seeks unspecified damages. On April 6, 2015, MSI filed an amended answer and counterclaims. The case was dismissed with prejudice on January 4, 2016 with no significant impact on the Company’s consolidated financial statements.</w:t>
      </w:r>
    </w:p>
    <w:p>
      <w:pPr>
        <w:spacing w:after="0" w:line="11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filed a complaint against MSI in the U.S. District Court for the Southern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New York. The complaint asserts U.S. Patent No. 5,446,747 against MSI’s communications processors and thin modems. The complaint sought unspecified damages as well as injunctive relief. MSI answered the complaint on July 18, 2012 and August 1, 2012. On July 30, 2012, MSI filed a motion to transfer the lawsuit to the N.D. of California. On September 17, 2012, the Court granted MSI’s motion and transferred the case to the N.D. of California. A claim construction hearing was held on December 13, 2013. On April 14, 2014, the Court denied MSI’s motion for summary judgment of invalidity, and granted MSI’s summary judgment motion concerning certain damages preclusion. A jury trial began on September 17, 2014. On September 30, 2014, a jury delivered a verdict that found the patent in suit was literally, but not willfully, infringed and valid, and awarded damages. The award did not have a significant impact on the Company’s consolidated financial statements. A hearing for post-trial motions and non-jury issues took place on January 14, 2015. On March 2, 2015, the N.D. of California issued an order on post-trial briefs finding no direct infringement by Marvell as a matter of law and entered judgment in favor of Marvell. On March 30, 2015, France Telecom filed a notice of appeal. On April 10, 2015, MSI filed a notice of cross appeal. On July 15, 2015, the Federal Circuit granted the parties’ joint stipulation to dismiss both parties’ appeals.</w:t>
      </w:r>
    </w:p>
    <w:p>
      <w:pPr>
        <w:spacing w:after="0" w:line="12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i w:val="1"/>
          <w:iCs w:val="1"/>
          <w:color w:val="auto"/>
        </w:rPr>
        <w:t xml:space="preserve">Vantage Point Technology Patent Litigation. </w:t>
      </w:r>
      <w:r>
        <w:rPr>
          <w:rFonts w:ascii="Arial" w:cs="Arial" w:eastAsia="Arial" w:hAnsi="Arial"/>
          <w:sz w:val="16"/>
          <w:szCs w:val="16"/>
          <w:color w:val="auto"/>
        </w:rPr>
        <w:t>On November 21, 2013, Vantage Point Technology, Inc. (“VPT”) filed suit against a third-party defendant in</w:t>
      </w:r>
      <w:r>
        <w:rPr>
          <w:rFonts w:ascii="Arial" w:cs="Arial" w:eastAsia="Arial" w:hAnsi="Arial"/>
          <w:sz w:val="16"/>
          <w:szCs w:val="16"/>
          <w:i w:val="1"/>
          <w:iCs w:val="1"/>
          <w:color w:val="auto"/>
        </w:rPr>
        <w:t xml:space="preserve"> </w:t>
      </w:r>
      <w:r>
        <w:rPr>
          <w:rFonts w:ascii="Arial" w:cs="Arial" w:eastAsia="Arial" w:hAnsi="Arial"/>
          <w:sz w:val="16"/>
          <w:szCs w:val="16"/>
          <w:color w:val="auto"/>
        </w:rPr>
        <w:t>the E.D. of Texas for patent infringement relating to processor technology. On February 3, 2014, VPT filed an amended complaint against the third party and added MSI as an additional defendant. The complaint sought unspecified damages. On December 8, 2014, the case was transferred to the N.D. of California. The case was dismissed with prejudice in March, 2015 with no significant impact on the Company’s consolidated financial statements.</w:t>
      </w:r>
    </w:p>
    <w:p>
      <w:pPr>
        <w:spacing w:after="0" w:line="113"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i w:val="1"/>
          <w:iCs w:val="1"/>
          <w:color w:val="auto"/>
        </w:rPr>
        <w:t xml:space="preserve">Bandspeed Litigation. </w:t>
      </w:r>
      <w:r>
        <w:rPr>
          <w:rFonts w:ascii="Arial" w:cs="Arial" w:eastAsia="Arial" w:hAnsi="Arial"/>
          <w:sz w:val="18"/>
          <w:szCs w:val="18"/>
          <w:color w:val="auto"/>
        </w:rPr>
        <w:t>On May 9, 2014, Bandspeed, Inc. filed suit against MSI in the U.S. District Court for the Western District of Texas, alleging</w:t>
      </w:r>
      <w:r>
        <w:rPr>
          <w:rFonts w:ascii="Arial" w:cs="Arial" w:eastAsia="Arial" w:hAnsi="Arial"/>
          <w:sz w:val="18"/>
          <w:szCs w:val="18"/>
          <w:i w:val="1"/>
          <w:iCs w:val="1"/>
          <w:color w:val="auto"/>
        </w:rPr>
        <w:t xml:space="preserve"> </w:t>
      </w:r>
      <w:r>
        <w:rPr>
          <w:rFonts w:ascii="Arial" w:cs="Arial" w:eastAsia="Arial" w:hAnsi="Arial"/>
          <w:sz w:val="18"/>
          <w:szCs w:val="18"/>
          <w:color w:val="auto"/>
        </w:rPr>
        <w:t>infringement of U.S. Patent Nos. 7,027,418; 7,570,614; 7,477,624; 7,903,608; and 8,542,643, purportedly related to certain Bluetooth technology. The complaint sought unspecified damages. On February 13, 2015, Bandspeed amended its complaint and added allegations of infringement of U.S. Patent No. 8,873,500. On April 29, 2015, the parties filed a joint motion to dismiss the case with prejudice. The case was dismissed with prejudice on May 7, 2015 with no significant impact on the Company’s consolidated financial statements.</w:t>
      </w:r>
    </w:p>
    <w:p>
      <w:pPr>
        <w:spacing w:after="0" w:line="14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i w:val="1"/>
          <w:iCs w:val="1"/>
          <w:color w:val="auto"/>
        </w:rPr>
        <w:t>NXP Litigation</w:t>
      </w:r>
      <w:r>
        <w:rPr>
          <w:rFonts w:ascii="Arial" w:cs="Arial" w:eastAsia="Arial" w:hAnsi="Arial"/>
          <w:sz w:val="18"/>
          <w:szCs w:val="18"/>
          <w:color w:val="auto"/>
        </w:rPr>
        <w:t>. On January 22, 2015, NXP Semiconductors N.V. filed suit against MSI in the N.D. of California, alleging infringement of U.S. Patent</w:t>
      </w:r>
      <w:r>
        <w:rPr>
          <w:rFonts w:ascii="Arial" w:cs="Arial" w:eastAsia="Arial" w:hAnsi="Arial"/>
          <w:sz w:val="18"/>
          <w:szCs w:val="18"/>
          <w:i w:val="1"/>
          <w:iCs w:val="1"/>
          <w:color w:val="auto"/>
        </w:rPr>
        <w:t xml:space="preserve"> </w:t>
      </w:r>
      <w:r>
        <w:rPr>
          <w:rFonts w:ascii="Arial" w:cs="Arial" w:eastAsia="Arial" w:hAnsi="Arial"/>
          <w:sz w:val="18"/>
          <w:szCs w:val="18"/>
          <w:color w:val="auto"/>
        </w:rPr>
        <w:t>Nos. 5,939,791; 7,039,133; 8,185,050; and 8,203,432,</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400"/>
          </w:cols>
          <w:pgMar w:left="240" w:top="459" w:right="2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160"/>
        <w:spacing w:after="0" w:line="294" w:lineRule="auto"/>
        <w:rPr>
          <w:sz w:val="20"/>
          <w:szCs w:val="20"/>
          <w:color w:val="auto"/>
        </w:rPr>
      </w:pPr>
      <w:r>
        <w:rPr>
          <w:rFonts w:ascii="Arial" w:cs="Arial" w:eastAsia="Arial" w:hAnsi="Arial"/>
          <w:sz w:val="16"/>
          <w:szCs w:val="16"/>
          <w:color w:val="auto"/>
        </w:rPr>
        <w:t>purportedly related to certain NFC technology. The complaint sought unspecified damages. MSI filed its response and counterclaims on February 26, 2015. Marvell International Limited (“MIL”) also filed counterclaims against NXP Semiconductors U.S.A. (“NXP USA”), alleging infringement of U.S. Patent Nos. 7,047,393; 7,555,065; and 7,302,600. On February 2, 2015, MIL filed suit against NXP USA in the U.S. District Court for the Central District of California, alleging patent infringement of U.S. Patent Nos. 8,171,309; 7,957,777; 7,454,634; and 6,903,448, related to certain NFC and automotive technologies. On April 15, 2015, the parties filed stipulations to dismiss without prejudice their claims and counterclaims in both cases.</w:t>
      </w:r>
    </w:p>
    <w:p>
      <w:pPr>
        <w:spacing w:after="0" w:line="116" w:lineRule="exact"/>
        <w:rPr>
          <w:sz w:val="20"/>
          <w:szCs w:val="20"/>
          <w:color w:val="auto"/>
        </w:rPr>
      </w:pPr>
    </w:p>
    <w:p>
      <w:pPr>
        <w:ind w:right="20" w:firstLine="456"/>
        <w:spacing w:after="0" w:line="335" w:lineRule="auto"/>
        <w:rPr>
          <w:sz w:val="20"/>
          <w:szCs w:val="20"/>
          <w:color w:val="auto"/>
        </w:rPr>
      </w:pPr>
      <w:r>
        <w:rPr>
          <w:rFonts w:ascii="Arial" w:cs="Arial" w:eastAsia="Arial" w:hAnsi="Arial"/>
          <w:sz w:val="15"/>
          <w:szCs w:val="15"/>
          <w:i w:val="1"/>
          <w:iCs w:val="1"/>
          <w:color w:val="auto"/>
        </w:rPr>
        <w:t>Paone Litigation</w:t>
      </w:r>
      <w:r>
        <w:rPr>
          <w:rFonts w:ascii="Arial" w:cs="Arial" w:eastAsia="Arial" w:hAnsi="Arial"/>
          <w:sz w:val="15"/>
          <w:szCs w:val="15"/>
          <w:color w:val="auto"/>
        </w:rPr>
        <w:t>. On February 6, 2015, Luciano F. Paone filed suit against MSI in the U.S. District Court for the Eastern District of New York, alleging</w:t>
      </w:r>
      <w:r>
        <w:rPr>
          <w:rFonts w:ascii="Arial" w:cs="Arial" w:eastAsia="Arial" w:hAnsi="Arial"/>
          <w:sz w:val="15"/>
          <w:szCs w:val="15"/>
          <w:i w:val="1"/>
          <w:iCs w:val="1"/>
          <w:color w:val="auto"/>
        </w:rPr>
        <w:t xml:space="preserve"> </w:t>
      </w:r>
      <w:r>
        <w:rPr>
          <w:rFonts w:ascii="Arial" w:cs="Arial" w:eastAsia="Arial" w:hAnsi="Arial"/>
          <w:sz w:val="15"/>
          <w:szCs w:val="15"/>
          <w:color w:val="auto"/>
        </w:rPr>
        <w:t>infringement of U.S. Patent No. 6,259,789, purportedly related to certain encryption technology. The complaint seeks unspecified damages. MSI filed its response on May 22, 2015. The case was dismissed with prejudice on December 31, 2015 with no significant impact on the Company’s consolidated financial statements.</w:t>
      </w:r>
    </w:p>
    <w:p>
      <w:pPr>
        <w:spacing w:after="0" w:line="88"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i w:val="1"/>
          <w:iCs w:val="1"/>
          <w:color w:val="auto"/>
        </w:rPr>
        <w:t xml:space="preserve">Innovatio Litigation. </w:t>
      </w:r>
      <w:r>
        <w:rPr>
          <w:rFonts w:ascii="Arial" w:cs="Arial" w:eastAsia="Arial" w:hAnsi="Arial"/>
          <w:sz w:val="16"/>
          <w:szCs w:val="16"/>
          <w:color w:val="auto"/>
        </w:rPr>
        <w:t>On March 16, 2015, Innovatio IP Ventures, LLC filed suit against MSI in the U.S. District Court for the Northern District of Illinois,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U.S. Patent Nos. 6,697,415; 5,844,893; 5,740,366; 7,916,747; 6,665,536; 7,013,138; 7,107,052; 5,546,397; 7,710,907; 7,710,935; 6,714,559; 7,457,646; and 6,374,311, purportedly related to certain wireless technology. The complaint seeks unspecified damages.</w:t>
      </w:r>
    </w:p>
    <w:p>
      <w:pPr>
        <w:spacing w:after="0" w:line="107" w:lineRule="exact"/>
        <w:rPr>
          <w:sz w:val="20"/>
          <w:szCs w:val="20"/>
          <w:color w:val="auto"/>
        </w:rPr>
      </w:pPr>
    </w:p>
    <w:p>
      <w:pPr>
        <w:ind w:right="340" w:firstLine="456"/>
        <w:spacing w:after="0" w:line="306" w:lineRule="auto"/>
        <w:rPr>
          <w:sz w:val="20"/>
          <w:szCs w:val="20"/>
          <w:color w:val="auto"/>
        </w:rPr>
      </w:pPr>
      <w:r>
        <w:rPr>
          <w:rFonts w:ascii="Arial" w:cs="Arial" w:eastAsia="Arial" w:hAnsi="Arial"/>
          <w:sz w:val="16"/>
          <w:szCs w:val="16"/>
          <w:i w:val="1"/>
          <w:iCs w:val="1"/>
          <w:color w:val="auto"/>
        </w:rPr>
        <w:t xml:space="preserve">Visual Memory Litigation. </w:t>
      </w:r>
      <w:r>
        <w:rPr>
          <w:rFonts w:ascii="Arial" w:cs="Arial" w:eastAsia="Arial" w:hAnsi="Arial"/>
          <w:sz w:val="16"/>
          <w:szCs w:val="16"/>
          <w:color w:val="auto"/>
        </w:rPr>
        <w:t>On May 8, 2015, Visual Memory LLC (“Visual Memory”) filed suit against MSI in the District of Delaware, alleging</w:t>
      </w:r>
      <w:r>
        <w:rPr>
          <w:rFonts w:ascii="Arial" w:cs="Arial" w:eastAsia="Arial" w:hAnsi="Arial"/>
          <w:sz w:val="16"/>
          <w:szCs w:val="16"/>
          <w:i w:val="1"/>
          <w:iCs w:val="1"/>
          <w:color w:val="auto"/>
        </w:rPr>
        <w:t xml:space="preserve"> </w:t>
      </w:r>
      <w:r>
        <w:rPr>
          <w:rFonts w:ascii="Arial" w:cs="Arial" w:eastAsia="Arial" w:hAnsi="Arial"/>
          <w:sz w:val="16"/>
          <w:szCs w:val="16"/>
          <w:color w:val="auto"/>
        </w:rPr>
        <w:t>infringement of U.S. Patent Nos. 5,654,932 and 6,026,027, purportedly related to certain memory technology. The complaint seeks unspecified damages. The case was dismissed with prejudice on September 4, 2015, with no significant impact on the Company’s consolidated financial statements.</w:t>
      </w:r>
    </w:p>
    <w:p>
      <w:pPr>
        <w:spacing w:after="0" w:line="107"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 xml:space="preserve">Luna Litigation and Consolidated Cases. </w:t>
      </w:r>
      <w:r>
        <w:rPr>
          <w:rFonts w:ascii="Arial" w:cs="Arial" w:eastAsia="Arial" w:hAnsi="Arial"/>
          <w:sz w:val="16"/>
          <w:szCs w:val="16"/>
          <w:color w:val="auto"/>
        </w:rPr>
        <w:t>On September 11, 2015, Daniel Luna filed an action asserting putative class action claims on behalf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20"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 xml:space="preserve">On November 18, 2015, the S.D. of New York granted the Company’s motion to transfer the consolidated cases to the N.D. of California. On December 21, 2015, the N.D. of California granted the Company’s motion to deem the consolidated cases related to the </w:t>
      </w:r>
      <w:r>
        <w:rPr>
          <w:rFonts w:ascii="Arial" w:cs="Arial" w:eastAsia="Arial" w:hAnsi="Arial"/>
          <w:sz w:val="15"/>
          <w:szCs w:val="15"/>
          <w:i w:val="1"/>
          <w:iCs w:val="1"/>
          <w:color w:val="auto"/>
        </w:rPr>
        <w:t>Saratoga</w:t>
      </w:r>
      <w:r>
        <w:rPr>
          <w:rFonts w:ascii="Arial" w:cs="Arial" w:eastAsia="Arial" w:hAnsi="Arial"/>
          <w:sz w:val="15"/>
          <w:szCs w:val="15"/>
          <w:color w:val="auto"/>
        </w:rPr>
        <w:t xml:space="preserve">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Lead Plaintiff’s oppositions were filed on June 10, 2016; and defendants’ replies are due by July 15, 2016. The hearing on the motions to dismiss is set for July 29, 2016.</w:t>
      </w:r>
    </w:p>
    <w:p>
      <w:pPr>
        <w:spacing w:after="0" w:line="10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i w:val="1"/>
          <w:iCs w:val="1"/>
          <w:color w:val="auto"/>
        </w:rPr>
        <w:t xml:space="preserve">Saratoga Litigation. </w:t>
      </w:r>
      <w:r>
        <w:rPr>
          <w:rFonts w:ascii="Arial" w:cs="Arial" w:eastAsia="Arial" w:hAnsi="Arial"/>
          <w:sz w:val="18"/>
          <w:szCs w:val="18"/>
          <w:color w:val="auto"/>
        </w:rPr>
        <w:t>On October 16, 2015, Saratoga Advantage Trust Technology &amp; Communications Portfolio (“Saratoga”) filed an action asserting</w:t>
      </w:r>
      <w:r>
        <w:rPr>
          <w:rFonts w:ascii="Arial" w:cs="Arial" w:eastAsia="Arial" w:hAnsi="Arial"/>
          <w:sz w:val="18"/>
          <w:szCs w:val="18"/>
          <w:i w:val="1"/>
          <w:iCs w:val="1"/>
          <w:color w:val="auto"/>
        </w:rPr>
        <w:t xml:space="preserve"> </w:t>
      </w:r>
      <w:r>
        <w:rPr>
          <w:rFonts w:ascii="Arial" w:cs="Arial" w:eastAsia="Arial" w:hAnsi="Arial"/>
          <w:sz w:val="18"/>
          <w:szCs w:val="18"/>
          <w:color w:val="auto"/>
        </w:rPr>
        <w:t>shareholder derivative claims ostensibly on behalf of the Company in the Superior Court of the State of California, County of Santa Clara. The complaint names eight current or former officers and/or directors (Sehat Sutardja, Weili Dai, Juergen Gromer, Arturo Krueger, John Kassakian, Randhir Thakur, Michael Rashkin, and Sukhi Nagesh) as defendants and asserts various California</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200"/>
        <w:spacing w:after="0" w:line="256" w:lineRule="auto"/>
        <w:rPr>
          <w:sz w:val="20"/>
          <w:szCs w:val="20"/>
          <w:color w:val="auto"/>
        </w:rPr>
      </w:pPr>
      <w:r>
        <w:rPr>
          <w:rFonts w:ascii="Arial" w:cs="Arial" w:eastAsia="Arial" w:hAnsi="Arial"/>
          <w:sz w:val="18"/>
          <w:szCs w:val="18"/>
          <w:color w:val="auto"/>
        </w:rPr>
        <w:t>state law causes of action based on allegations that the Company and the named officers and directors made, caused to be made, or failed to correct false and/or misleading statements in the Company’s press releases and public filings, leading to the filing of securities class actions that allegedly damaged the Company. The Company was named as a nominal defendant. The complaint requests damages and restitution in unspecified amounts, equitable and/or injunctive relief, costs and fees of bringing the action, and other unspecified relief.</w:t>
      </w:r>
    </w:p>
    <w:p>
      <w:pPr>
        <w:spacing w:after="0" w:line="143"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 xml:space="preserve">On October 23, 2015, the Company removed the action to the N.D. of California. On December 21, 2015, the N.D. of California denied Saratoga’s motion to remand. On December 21, 2015, the N.D. of California granted the Company’s motion to deem the action related to the consolidated </w:t>
      </w:r>
      <w:r>
        <w:rPr>
          <w:rFonts w:ascii="Arial" w:cs="Arial" w:eastAsia="Arial" w:hAnsi="Arial"/>
          <w:sz w:val="18"/>
          <w:szCs w:val="18"/>
          <w:i w:val="1"/>
          <w:iCs w:val="1"/>
          <w:color w:val="auto"/>
        </w:rPr>
        <w:t>Luna</w:t>
      </w:r>
      <w:r>
        <w:rPr>
          <w:rFonts w:ascii="Arial" w:cs="Arial" w:eastAsia="Arial" w:hAnsi="Arial"/>
          <w:sz w:val="18"/>
          <w:szCs w:val="18"/>
          <w:color w:val="auto"/>
        </w:rPr>
        <w:t xml:space="preserve"> actions, discussed above. On January 22, 2016, the Company filed a motion to dismiss the complaint; on February 19, 2016, Saratoga filed an opposition; and on March 4, 2016, the Company filed a reply. On March 25, 2016, the District Court held a hearing on the motion and took the matter under submission. To the Company’s knowledge, none of the individual defendants has yet been served.</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On May 14, 2014, the Company filed a Notice of Appeal to appeal the final judgment issued by the W.D of Pennsylvania in the CMU litigation. In order to stay the execution of the final judgment pending its appeal, the Company filed a supersedeas bond for $1.54 billion with the W.D. of Pennsylvania in the event the Company did not fully satisfy a final judgment as affirmed after the completion of all appellate proceedings. The bond was issued by a consortium of sureties authorized by the U.S. Treasury.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w:t>
      </w:r>
    </w:p>
    <w:p>
      <w:pPr>
        <w:spacing w:after="0" w:line="118"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On November 14, 2014, the Company filed a second surety bond for $216 million and filed a commitment letter from the sureties to issue up to an additional $95 million in bonding under certain conditions. The second bond and commitment are secured by the Company’s campus located in Santa Clara, California, which has a carrying value of $133.0 million at January 30, 2016.</w:t>
      </w:r>
    </w:p>
    <w:p>
      <w:pPr>
        <w:spacing w:after="0" w:line="14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In connection with the settlement that was reached with CMU for a total $750 million in February 2016, the primary supersedeas bond that the Company entered into was reduced to $439 million and the secondary bond was adjusted to $311 million and both were discharged pursuant to an order releasing supersedeas bonds on April 21, 2016. The underlying indemnity agreements will terminate upon the final dismissal of the case in the third quarter of fiscal 2017. For additional information, see CMU litigation under “Contingencies” above.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96"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The Company sponsors a 401(k) savings and investment plan that allows eligible U.S. employees to participate by making pre-tax contributions to the 401(k) plan ranging from 1% to 50% of eligible earnings subject to a required annual limit. The Company matches 100% of the employee contribution up to $500 per eligible employee per quarter. The participant must be employed by the Company on the last day of the calendar quarter to qualify for the match. At the end of the calendar year, the eligible employees receive a true-up match equal to the accumulated employee contribution for the calendar year up to $2,000. The Company made matching contributions to employees of $4.9 million in fiscal 2016, and $5.1 million in each of fiscal 2015 and 2014. As of January 30, 2016, the 401(k) plan offers a variety of investment alternatives, representing different asset classes. Employees may not invest in the Company’s common shares through the 401(k) plan.</w:t>
      </w:r>
    </w:p>
    <w:p>
      <w:pPr>
        <w:spacing w:after="0" w:line="14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also has voluntary defined contribution plans in various non-U.S. locations. In connection with these plans, the Company made contributions on behalf of employees totaling $14.5 million, $18.5 million and $20.5 million during fiscal 2016, 2015 and 2014, respectively. The Company also maintains a limited number of defined benefit plans for certain non-U.S. locations. Total costs under these plans were $1.5 million in fiscal 2016, and $0.1 million in each of fiscal 2015 and 2014.</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As of January 30, 2016, the Company is authorized to issue 992.0 million shares of $0.002 par value common stock and 8.0 million shares of $0.002 par value preferred stock. As of January 30, 2016 and January 31, 2015, no shares of preferred stock were outstanding.</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90" w:lineRule="exact"/>
        <w:rPr>
          <w:sz w:val="20"/>
          <w:szCs w:val="20"/>
          <w:color w:val="auto"/>
        </w:rPr>
      </w:pPr>
    </w:p>
    <w:p>
      <w:pPr>
        <w:ind w:right="40" w:firstLine="456"/>
        <w:spacing w:after="0" w:line="314" w:lineRule="auto"/>
        <w:rPr>
          <w:sz w:val="20"/>
          <w:szCs w:val="20"/>
          <w:color w:val="auto"/>
        </w:rPr>
      </w:pPr>
      <w:r>
        <w:rPr>
          <w:rFonts w:ascii="Arial" w:cs="Arial" w:eastAsia="Arial" w:hAnsi="Arial"/>
          <w:sz w:val="15"/>
          <w:szCs w:val="15"/>
          <w:color w:val="auto"/>
        </w:rPr>
        <w:t>In April 1995, the Company adopted the 1995 Stock Option Plan (the “Option Plan”). The Option Plan, as amended from time to time, had 383.4 million common shares reserved for issuance thereunder as of January 30, 2016. Options granted under the Option Plan generally have a term of 10 years and generally must be issued at prices equal to the fair market value of the stock on the date of grant. Incentive stock options granted to shareholders who own greater than 10% of the outstanding stock at the time of the grant may not have a term exceeding five years and these options must be issued at prices of at least 110% of the fair market value of the stock on the date of grant. Equity awards to new hires under the Option Plan generally vest 20% one year after the vesting commencement date and the remaining shares vest one-sixtieth per month over the remaining 48 months. Other equity awards generally vest annually in four equal installments.</w:t>
      </w:r>
    </w:p>
    <w:p>
      <w:pPr>
        <w:spacing w:after="0" w:line="105"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The Company can also grant stock awards, which may be subject to vesting. Further, the Company can grant restricted stock unit (“RSU”) awards. RSU awards are denominated in shares of stock, but may be settled in cash or shares upon vesting, as determined by the Company at the time of grant.</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420"/>
          </w:cols>
          <w:pgMar w:left="240" w:top="45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30, 2016, approximately 91.4 million shares remained available for future issuance under the Option Plan.</w:t>
      </w:r>
    </w:p>
    <w:p>
      <w:pPr>
        <w:spacing w:after="0" w:line="17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Fiscal 2016. </w:t>
      </w:r>
      <w:r>
        <w:rPr>
          <w:rFonts w:ascii="Arial" w:cs="Arial" w:eastAsia="Arial" w:hAnsi="Arial"/>
          <w:sz w:val="16"/>
          <w:szCs w:val="16"/>
          <w:color w:val="auto"/>
        </w:rPr>
        <w:t>In April 2015, the Company granted performance-based equity awards to each of its executive officers, which are based on their</w:t>
      </w:r>
      <w:r>
        <w:rPr>
          <w:rFonts w:ascii="Arial" w:cs="Arial" w:eastAsia="Arial" w:hAnsi="Arial"/>
          <w:sz w:val="16"/>
          <w:szCs w:val="16"/>
          <w:i w:val="1"/>
          <w:iCs w:val="1"/>
          <w:color w:val="auto"/>
        </w:rPr>
        <w:t xml:space="preserve"> </w:t>
      </w:r>
      <w:r>
        <w:rPr>
          <w:rFonts w:ascii="Arial" w:cs="Arial" w:eastAsia="Arial" w:hAnsi="Arial"/>
          <w:sz w:val="16"/>
          <w:szCs w:val="16"/>
          <w:color w:val="auto"/>
        </w:rPr>
        <w:t>achievement of certain performance goals for a new performance period beginning in fiscal 2016. These equity awards include RSUs which vest based on the achievement of certain financial goals (each a “Financial Performance RSU”), and performance awards for which a portion shall vest based on the achievement of individual strategic objectives (each a “Strategic Objective Award”) and a portion shall vest based on total shareholder return (each a “Total Shareholder Return Award”). These awards are reported as “Performance-Based,” except for the Total Shareholder Return Award which is reported as “Market-Based.” The Financial Performance RSUs will be earned based on the achievement of revenue and modified non-GAAP operating income that have been established at “threshold,” “target” and “maximum” levels and will vest on the first anniversary of the vest commencement date. The Strategic Objective Awards will vest on the first anniversary of the commencement date at the target level based on the achievement of individual strategic goals and, with respect to a portion of each Strategic Objective Award, the further achievement of either the revenue or modified non-GAAP operating income objective established for the Financial Performance RSU. The Total Shareholder Return Awards will vest on the second anniversary of the commencement date based on the Company’s stock price performance in comparison to the Philadelphia Semiconductor Sector Index. Share-based compensation for the Total Shareholder Return Award is measured using the Monte Carlo valuation method since the award is indexed to the price of the Company’s common stock as set forth under the terms of the award.</w:t>
      </w:r>
    </w:p>
    <w:p>
      <w:pPr>
        <w:spacing w:after="0" w:line="124" w:lineRule="exact"/>
        <w:rPr>
          <w:sz w:val="20"/>
          <w:szCs w:val="20"/>
          <w:color w:val="auto"/>
        </w:rPr>
      </w:pPr>
    </w:p>
    <w:p>
      <w:pPr>
        <w:ind w:right="140" w:firstLine="456"/>
        <w:spacing w:after="0" w:line="308" w:lineRule="auto"/>
        <w:rPr>
          <w:sz w:val="20"/>
          <w:szCs w:val="20"/>
          <w:color w:val="auto"/>
        </w:rPr>
      </w:pPr>
      <w:r>
        <w:rPr>
          <w:rFonts w:ascii="Arial" w:cs="Arial" w:eastAsia="Arial" w:hAnsi="Arial"/>
          <w:sz w:val="15"/>
          <w:szCs w:val="15"/>
          <w:i w:val="1"/>
          <w:iCs w:val="1"/>
          <w:color w:val="auto"/>
        </w:rPr>
        <w:t>Fiscal 2015</w:t>
      </w:r>
      <w:r>
        <w:rPr>
          <w:rFonts w:ascii="Arial" w:cs="Arial" w:eastAsia="Arial" w:hAnsi="Arial"/>
          <w:sz w:val="15"/>
          <w:szCs w:val="15"/>
          <w:color w:val="auto"/>
        </w:rPr>
        <w:t>. In April 2014, the Company granted performance-based equity awards to each of our executive officers which are based on their</w:t>
      </w:r>
      <w:r>
        <w:rPr>
          <w:rFonts w:ascii="Arial" w:cs="Arial" w:eastAsia="Arial" w:hAnsi="Arial"/>
          <w:sz w:val="15"/>
          <w:szCs w:val="15"/>
          <w:i w:val="1"/>
          <w:iCs w:val="1"/>
          <w:color w:val="auto"/>
        </w:rPr>
        <w:t xml:space="preserve"> </w:t>
      </w:r>
      <w:r>
        <w:rPr>
          <w:rFonts w:ascii="Arial" w:cs="Arial" w:eastAsia="Arial" w:hAnsi="Arial"/>
          <w:sz w:val="15"/>
          <w:szCs w:val="15"/>
          <w:color w:val="auto"/>
        </w:rPr>
        <w:t>achievement of certain performance goals in fiscal 2015 and 2016. These equity awards include RSUs which vest based on financial performance criteria (“Financial Performance RSU”) and restricted stock units which vest based on both financial performance criteria and individual strategic goals (“Strategic Performance Award”). The Financial Performance RSUs will be earned based on the achievement of revenue and modified non-GAAP operating income that have been established at “threshold,” “target” and “maximum” levels. Each Financial Performance RSU will vest 50% on the first anniversary of the commencement date based on achievement of fiscal 2015 financial performance criteria and 50% on the second anniversary of the vesting commencement date based on the achievement of fiscal 2016 financial performance criteria. The Strategic Performance Awards will vest based on achievement at the threshold level of either the revenue or modified non-GAAP operating income objective established for the Financial Performance RSU, in addition to the achievement of additional individual strategic goals. Each Strategic Performance Award will vest 50% on the first anniversary of the commencement date based on achievement of fiscal 2015 individual strategic goals and 50% on second anniversary date based on the achievement of the fiscal 2016 individual strategic goals.</w:t>
      </w:r>
    </w:p>
    <w:p>
      <w:pPr>
        <w:spacing w:after="0" w:line="109"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June 2014, the Company granted performance-based RSU (“PSUs”) to certain members of senior management. Pursuant to the PSUs, each eligible employee is entitled to vest in a certain number of shares based on such employee’s achievement of individual financial and strategic performance goals for fiscal 2015, including, for example, net revenue and operating expense targets, and other individual strategic milestones. The actual number of shares that vest for each eligible employee is based on the achievement of such performance goals determined at the end of fiscal 2015 and vest over two years, with 50% vesting on April 1, 2015 and 50% vesting on April 1, 2016.</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90"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In October 2007, the Company adopted the 2007 Directors’ Stock Incentive Plan, (“2007 Director Plan”) for which shareholders approved a total of 750,000 common shares that could be issued under the plan to all eligible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420"/>
          </w:cols>
          <w:pgMar w:left="240" w:top="459" w:right="2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outside directors. Beginning in fiscal 2015, each outside director is eligible to receive equity awards under the 2007 Director Plan. Upon election or appointment at the annual general meeting of shareholders, each outside director will be granted an RSU award for a number of shares with an aggregate fair market value equal to $220,000 immediately following each annual general meeting of shareholders. The RSU award vests 100% on the earlier of the date of the next annual general meeting of shareholders or the one-year anniversary of the date of grant. An outside director who is elected or appointed after an annual general meeting of shareholders will receive a pro rata RSU award based on the number of quarters completed since the prior annual general meeting of shareholders. In no event shall any outside director be awarded in any calendar year an annual RSU award under the 2007 Director Plan for more than 20,000 shares.</w:t>
      </w:r>
    </w:p>
    <w:p>
      <w:pPr>
        <w:spacing w:after="0" w:line="12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fiscal 2014, each outside director who was appointed at the annual general meeting of shareholders was granted an option to purchase a number of common shares with an aggregate grant date fair value equal to $110,000 immediately following the annual general meeting of shareholders. In addition, each outside director who was elected or appointed at the annual general meeting of shareholders was granted an RSU award for a number of shares with an aggregate fair market value equal to $110,000 immediately following each annual general meeting. The option awards, which have a term of 10 years, and the RSU awards each vest 100% on the earlier of the date of the next annual general meeting of shareholders or the one-year anniversary of the date of grant. An outside director elected or appointed after an annual general meeting of shareholders would receive a pro rata stock option award and RSU award based on the number of quarters completed since the previous annual general meeting of shareholders. In no event would any outside director be awarded in any calendar year an annual option award or annual RSU award under the 2007 Director Plan for more than 25,000 shares and 10,000 shares, respectively. As of January 30, 2016, approximately 77,952 shares remained available for future issuance under the 2007 Directors’ Plan.</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Under the 2000 Employee Stock Purchase Plan, as amended and restated on October 31, 2011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shares on any purchase date is less than it was on the first day of the offering period. Participants in a 24-month offering period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18"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Under the ESPP, a total of 5.9 million shares were issued in fiscal 2016 at a weighted-average price of $10.00 per share, a total of 9.7 million shares were issued in fiscal 2015 at a weighted-average price of $7.67 per share and a total of 9.7 million shares were issued in fiscal 2014 at a weighted-average price of $7.39 per share. As of January 30, 2016, there was $47.4 million of unamortized compensation cost related to the ESPP.</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30, 2016, approximately 16.6 million shares remained available for future issuance under the ESPP.</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380"/>
          </w:cols>
          <w:pgMar w:left="240" w:top="459" w:right="27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Option Plan and Stock Award Activity</w:t>
      </w:r>
    </w:p>
    <w:p>
      <w:pPr>
        <w:spacing w:after="0" w:line="90"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for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1800" w:type="dxa"/>
            <w:vAlign w:val="bottom"/>
            <w:gridSpan w:val="5"/>
          </w:tcPr>
          <w:p>
            <w:pPr>
              <w:ind w:left="160"/>
              <w:spacing w:after="0"/>
              <w:rPr>
                <w:sz w:val="20"/>
                <w:szCs w:val="20"/>
                <w:color w:val="auto"/>
              </w:rPr>
            </w:pPr>
            <w:r>
              <w:rPr>
                <w:rFonts w:ascii="Arial" w:cs="Arial" w:eastAsia="Arial" w:hAnsi="Arial"/>
                <w:sz w:val="14"/>
                <w:szCs w:val="14"/>
                <w:b w:val="1"/>
                <w:bCs w:val="1"/>
                <w:color w:val="auto"/>
              </w:rPr>
              <w:t>Time-Based Options</w:t>
            </w:r>
          </w:p>
        </w:tc>
        <w:tc>
          <w:tcPr>
            <w:tcW w:w="1780" w:type="dxa"/>
            <w:vAlign w:val="bottom"/>
            <w:gridSpan w:val="4"/>
          </w:tcPr>
          <w:p>
            <w:pPr>
              <w:jc w:val="right"/>
              <w:ind w:right="380"/>
              <w:spacing w:after="0"/>
              <w:rPr>
                <w:sz w:val="20"/>
                <w:szCs w:val="20"/>
                <w:color w:val="auto"/>
              </w:rPr>
            </w:pPr>
            <w:r>
              <w:rPr>
                <w:rFonts w:ascii="Arial" w:cs="Arial" w:eastAsia="Arial" w:hAnsi="Arial"/>
                <w:sz w:val="14"/>
                <w:szCs w:val="14"/>
                <w:b w:val="1"/>
                <w:bCs w:val="1"/>
                <w:color w:val="auto"/>
                <w:w w:val="92"/>
              </w:rPr>
              <w:t>Market-Based Options</w:t>
            </w:r>
          </w:p>
        </w:tc>
        <w:tc>
          <w:tcPr>
            <w:tcW w:w="96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22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Weighted</w:t>
            </w:r>
          </w:p>
        </w:tc>
        <w:tc>
          <w:tcPr>
            <w:tcW w:w="30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3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2"/>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6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Average</w:t>
            </w:r>
          </w:p>
        </w:tc>
        <w:tc>
          <w:tcPr>
            <w:tcW w:w="6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220" w:type="dxa"/>
            <w:vAlign w:val="bottom"/>
          </w:tcPr>
          <w:p>
            <w:pPr>
              <w:spacing w:after="0"/>
              <w:rPr>
                <w:sz w:val="12"/>
                <w:szCs w:val="12"/>
                <w:color w:val="auto"/>
              </w:rPr>
            </w:pPr>
          </w:p>
        </w:tc>
        <w:tc>
          <w:tcPr>
            <w:tcW w:w="94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5"/>
              </w:rPr>
              <w:t>Number of</w:t>
            </w:r>
          </w:p>
        </w:tc>
        <w:tc>
          <w:tcPr>
            <w:tcW w:w="86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Exercise</w:t>
            </w:r>
          </w:p>
        </w:tc>
        <w:tc>
          <w:tcPr>
            <w:tcW w:w="94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5"/>
              </w:rPr>
              <w:t>Number of</w:t>
            </w:r>
          </w:p>
        </w:tc>
        <w:tc>
          <w:tcPr>
            <w:tcW w:w="8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3"/>
              </w:rPr>
              <w:t>Exercise</w:t>
            </w: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8"/>
              </w:rPr>
              <w:t>Number of</w:t>
            </w: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9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7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7"/>
              </w:rPr>
              <w:t>Price</w:t>
            </w:r>
          </w:p>
        </w:tc>
        <w:tc>
          <w:tcPr>
            <w:tcW w:w="9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Shares</w:t>
            </w:r>
          </w:p>
        </w:tc>
        <w:tc>
          <w:tcPr>
            <w:tcW w:w="8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7"/>
              </w:rPr>
              <w:t>Price</w:t>
            </w:r>
          </w:p>
        </w:tc>
        <w:tc>
          <w:tcPr>
            <w:tcW w:w="9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5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2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49,637</w:t>
            </w:r>
          </w:p>
        </w:tc>
        <w:tc>
          <w:tcPr>
            <w:tcW w:w="3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13.28</w:t>
            </w:r>
          </w:p>
        </w:tc>
        <w:tc>
          <w:tcPr>
            <w:tcW w:w="30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2,759</w:t>
            </w:r>
          </w:p>
        </w:tc>
        <w:tc>
          <w:tcPr>
            <w:tcW w:w="32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$ 15.43</w:t>
            </w:r>
          </w:p>
        </w:tc>
        <w:tc>
          <w:tcPr>
            <w:tcW w:w="3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52,396</w:t>
            </w:r>
          </w:p>
        </w:tc>
        <w:tc>
          <w:tcPr>
            <w:tcW w:w="3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13.39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420"/>
              <w:spacing w:after="0"/>
              <w:rPr>
                <w:sz w:val="20"/>
                <w:szCs w:val="20"/>
                <w:color w:val="auto"/>
              </w:rPr>
            </w:pPr>
            <w:r>
              <w:rPr>
                <w:rFonts w:ascii="Arial" w:cs="Arial" w:eastAsia="Arial" w:hAnsi="Arial"/>
                <w:sz w:val="18"/>
                <w:szCs w:val="18"/>
                <w:color w:val="auto"/>
              </w:rPr>
              <w:t>Granted</w:t>
            </w:r>
          </w:p>
        </w:tc>
        <w:tc>
          <w:tcPr>
            <w:tcW w:w="620" w:type="dxa"/>
            <w:vAlign w:val="bottom"/>
          </w:tcPr>
          <w:p>
            <w:pPr>
              <w:jc w:val="right"/>
              <w:spacing w:after="0"/>
              <w:rPr>
                <w:sz w:val="20"/>
                <w:szCs w:val="20"/>
                <w:color w:val="auto"/>
              </w:rPr>
            </w:pPr>
            <w:r>
              <w:rPr>
                <w:rFonts w:ascii="Arial" w:cs="Arial" w:eastAsia="Arial" w:hAnsi="Arial"/>
                <w:sz w:val="18"/>
                <w:szCs w:val="18"/>
                <w:color w:val="auto"/>
              </w:rPr>
              <w:t>18,922</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10.82</w:t>
            </w:r>
          </w:p>
        </w:tc>
        <w:tc>
          <w:tcPr>
            <w:tcW w:w="300" w:type="dxa"/>
            <w:vAlign w:val="bottom"/>
          </w:tcPr>
          <w:p>
            <w:pPr>
              <w:spacing w:after="0"/>
              <w:rPr>
                <w:sz w:val="18"/>
                <w:szCs w:val="18"/>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18,922</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10.82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(15,482)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9.40</w:t>
            </w:r>
          </w:p>
        </w:tc>
        <w:tc>
          <w:tcPr>
            <w:tcW w:w="3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(15,482)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2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(3,921)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15.15</w:t>
            </w:r>
          </w:p>
        </w:tc>
        <w:tc>
          <w:tcPr>
            <w:tcW w:w="30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(136)</w:t>
            </w: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$ 15.43</w:t>
            </w:r>
          </w:p>
        </w:tc>
        <w:tc>
          <w:tcPr>
            <w:tcW w:w="3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(4,057)</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15.16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1, 2014</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49,156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13.40</w:t>
            </w:r>
          </w:p>
        </w:tc>
        <w:tc>
          <w:tcPr>
            <w:tcW w:w="300" w:type="dxa"/>
            <w:vAlign w:val="bottom"/>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2,623</w:t>
            </w:r>
          </w:p>
        </w:tc>
        <w:tc>
          <w:tcPr>
            <w:tcW w:w="320" w:type="dxa"/>
            <w:vAlign w:val="bottom"/>
            <w:shd w:val="clear" w:color="auto" w:fill="CCEEFF"/>
          </w:tcPr>
          <w:p>
            <w:pPr>
              <w:spacing w:after="0"/>
              <w:rPr>
                <w:sz w:val="18"/>
                <w:szCs w:val="18"/>
                <w:color w:val="auto"/>
              </w:rPr>
            </w:pP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$ 15.43</w:t>
            </w:r>
          </w:p>
        </w:tc>
        <w:tc>
          <w:tcPr>
            <w:tcW w:w="300" w:type="dxa"/>
            <w:vAlign w:val="bottom"/>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51,779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13.51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420"/>
              <w:spacing w:after="0"/>
              <w:rPr>
                <w:sz w:val="20"/>
                <w:szCs w:val="20"/>
                <w:color w:val="auto"/>
              </w:rPr>
            </w:pPr>
            <w:r>
              <w:rPr>
                <w:rFonts w:ascii="Arial" w:cs="Arial" w:eastAsia="Arial" w:hAnsi="Arial"/>
                <w:sz w:val="18"/>
                <w:szCs w:val="18"/>
                <w:color w:val="auto"/>
              </w:rPr>
              <w:t>Granted</w:t>
            </w:r>
          </w:p>
        </w:tc>
        <w:tc>
          <w:tcPr>
            <w:tcW w:w="620" w:type="dxa"/>
            <w:vAlign w:val="bottom"/>
          </w:tcPr>
          <w:p>
            <w:pPr>
              <w:jc w:val="right"/>
              <w:spacing w:after="0"/>
              <w:rPr>
                <w:sz w:val="20"/>
                <w:szCs w:val="20"/>
                <w:color w:val="auto"/>
              </w:rPr>
            </w:pPr>
            <w:r>
              <w:rPr>
                <w:rFonts w:ascii="Arial" w:cs="Arial" w:eastAsia="Arial" w:hAnsi="Arial"/>
                <w:sz w:val="18"/>
                <w:szCs w:val="18"/>
                <w:color w:val="auto"/>
              </w:rPr>
              <w:t>6,365</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15.33</w:t>
            </w:r>
          </w:p>
        </w:tc>
        <w:tc>
          <w:tcPr>
            <w:tcW w:w="300" w:type="dxa"/>
            <w:vAlign w:val="bottom"/>
          </w:tcPr>
          <w:p>
            <w:pPr>
              <w:spacing w:after="0"/>
              <w:rPr>
                <w:sz w:val="18"/>
                <w:szCs w:val="18"/>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6,365</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15.33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(3,732)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10.19</w:t>
            </w:r>
          </w:p>
        </w:tc>
        <w:tc>
          <w:tcPr>
            <w:tcW w:w="3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(3,732)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2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(4,649)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14.66</w:t>
            </w:r>
          </w:p>
        </w:tc>
        <w:tc>
          <w:tcPr>
            <w:tcW w:w="30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(391)</w:t>
            </w: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$ 15.43</w:t>
            </w:r>
          </w:p>
        </w:tc>
        <w:tc>
          <w:tcPr>
            <w:tcW w:w="3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(5,040)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14.72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2015</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47,140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13.79</w:t>
            </w:r>
          </w:p>
        </w:tc>
        <w:tc>
          <w:tcPr>
            <w:tcW w:w="300" w:type="dxa"/>
            <w:vAlign w:val="bottom"/>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2,232</w:t>
            </w:r>
          </w:p>
        </w:tc>
        <w:tc>
          <w:tcPr>
            <w:tcW w:w="320" w:type="dxa"/>
            <w:vAlign w:val="bottom"/>
            <w:shd w:val="clear" w:color="auto" w:fill="CCEEFF"/>
          </w:tcPr>
          <w:p>
            <w:pPr>
              <w:spacing w:after="0"/>
              <w:rPr>
                <w:sz w:val="18"/>
                <w:szCs w:val="18"/>
                <w:color w:val="auto"/>
              </w:rPr>
            </w:pP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$ 15.43</w:t>
            </w:r>
          </w:p>
        </w:tc>
        <w:tc>
          <w:tcPr>
            <w:tcW w:w="300" w:type="dxa"/>
            <w:vAlign w:val="bottom"/>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49,372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13.88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420"/>
              <w:spacing w:after="0"/>
              <w:rPr>
                <w:sz w:val="20"/>
                <w:szCs w:val="20"/>
                <w:color w:val="auto"/>
              </w:rPr>
            </w:pPr>
            <w:r>
              <w:rPr>
                <w:rFonts w:ascii="Arial" w:cs="Arial" w:eastAsia="Arial" w:hAnsi="Arial"/>
                <w:sz w:val="18"/>
                <w:szCs w:val="18"/>
                <w:color w:val="auto"/>
              </w:rPr>
              <w:t>Granted</w:t>
            </w:r>
          </w:p>
        </w:tc>
        <w:tc>
          <w:tcPr>
            <w:tcW w:w="620" w:type="dxa"/>
            <w:vAlign w:val="bottom"/>
          </w:tcPr>
          <w:p>
            <w:pPr>
              <w:jc w:val="right"/>
              <w:spacing w:after="0"/>
              <w:rPr>
                <w:sz w:val="20"/>
                <w:szCs w:val="20"/>
                <w:color w:val="auto"/>
              </w:rPr>
            </w:pPr>
            <w:r>
              <w:rPr>
                <w:rFonts w:ascii="Arial" w:cs="Arial" w:eastAsia="Arial" w:hAnsi="Arial"/>
                <w:sz w:val="18"/>
                <w:szCs w:val="18"/>
                <w:color w:val="auto"/>
              </w:rPr>
              <w:t>6,170</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14.13</w:t>
            </w:r>
          </w:p>
        </w:tc>
        <w:tc>
          <w:tcPr>
            <w:tcW w:w="300" w:type="dxa"/>
            <w:vAlign w:val="bottom"/>
          </w:tcPr>
          <w:p>
            <w:pPr>
              <w:spacing w:after="0"/>
              <w:rPr>
                <w:sz w:val="18"/>
                <w:szCs w:val="18"/>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6,170</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14.13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(2,225)</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9.79</w:t>
            </w:r>
          </w:p>
        </w:tc>
        <w:tc>
          <w:tcPr>
            <w:tcW w:w="3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(2,225)</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2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w w:val="98"/>
              </w:rPr>
              <w:t>(10,211)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15.68</w:t>
            </w:r>
          </w:p>
        </w:tc>
        <w:tc>
          <w:tcPr>
            <w:tcW w:w="30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(76)</w:t>
            </w: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$ 15.43</w:t>
            </w:r>
          </w:p>
        </w:tc>
        <w:tc>
          <w:tcPr>
            <w:tcW w:w="3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(10,287)</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2016</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40,874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13.59</w:t>
            </w:r>
          </w:p>
        </w:tc>
        <w:tc>
          <w:tcPr>
            <w:tcW w:w="300" w:type="dxa"/>
            <w:vAlign w:val="bottom"/>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2,156</w:t>
            </w:r>
          </w:p>
        </w:tc>
        <w:tc>
          <w:tcPr>
            <w:tcW w:w="320" w:type="dxa"/>
            <w:vAlign w:val="bottom"/>
            <w:shd w:val="clear" w:color="auto" w:fill="CCEEFF"/>
          </w:tcPr>
          <w:p>
            <w:pPr>
              <w:spacing w:after="0"/>
              <w:rPr>
                <w:sz w:val="18"/>
                <w:szCs w:val="18"/>
                <w:color w:val="auto"/>
              </w:rPr>
            </w:pP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$ 15.43</w:t>
            </w:r>
          </w:p>
        </w:tc>
        <w:tc>
          <w:tcPr>
            <w:tcW w:w="30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43,030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13.68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4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January 30, 2016</w:t>
            </w: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460" w:type="dxa"/>
            <w:vAlign w:val="bottom"/>
            <w:vMerge w:val="restart"/>
          </w:tcPr>
          <w:p>
            <w:pPr>
              <w:jc w:val="right"/>
              <w:spacing w:after="0"/>
              <w:rPr>
                <w:sz w:val="20"/>
                <w:szCs w:val="20"/>
                <w:color w:val="auto"/>
              </w:rPr>
            </w:pPr>
            <w:r>
              <w:rPr>
                <w:rFonts w:ascii="Arial" w:cs="Arial" w:eastAsia="Arial" w:hAnsi="Arial"/>
                <w:sz w:val="18"/>
                <w:szCs w:val="18"/>
                <w:color w:val="auto"/>
                <w:w w:val="97"/>
              </w:rPr>
              <w:t>13.58</w:t>
            </w:r>
          </w:p>
        </w:tc>
        <w:tc>
          <w:tcPr>
            <w:tcW w:w="30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40" w:type="dxa"/>
            <w:vAlign w:val="bottom"/>
            <w:gridSpan w:val="2"/>
            <w:vMerge w:val="continue"/>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38,773</w:t>
            </w:r>
          </w:p>
        </w:tc>
        <w:tc>
          <w:tcPr>
            <w:tcW w:w="320" w:type="dxa"/>
            <w:vAlign w:val="bottom"/>
          </w:tcPr>
          <w:p>
            <w:pPr>
              <w:spacing w:after="0"/>
              <w:rPr>
                <w:sz w:val="18"/>
                <w:szCs w:val="18"/>
                <w:color w:val="auto"/>
              </w:rPr>
            </w:pPr>
          </w:p>
        </w:tc>
        <w:tc>
          <w:tcPr>
            <w:tcW w:w="100" w:type="dxa"/>
            <w:vAlign w:val="bottom"/>
            <w:vMerge w:val="continue"/>
          </w:tcPr>
          <w:p>
            <w:pPr>
              <w:spacing w:after="0"/>
              <w:rPr>
                <w:sz w:val="18"/>
                <w:szCs w:val="18"/>
                <w:color w:val="auto"/>
              </w:rPr>
            </w:pPr>
          </w:p>
        </w:tc>
        <w:tc>
          <w:tcPr>
            <w:tcW w:w="460" w:type="dxa"/>
            <w:vAlign w:val="bottom"/>
            <w:vMerge w:val="continue"/>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2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For time-based stock options vested and expected to vest at January 30, 2016, the aggregate intrinsic value was $6.7 million. For time-based stock options exercisable at January 30, 2016, the aggregate intrinsic value was $6.6 million. The aggregate intrinsic value of stock options exercised during fiscal 2016, 2015 and 2014 was $9.7 million, $19.3 million and $51.1 million, respectively. There was no aggregate intrinsic value for market-based stock options at January 30, 2016 and the weighted average remaining contractual term of market-based stock options vested and expected to reach the end of the vesting period at January 30, 2016 was 5.2 years. The Company’s closing stock price of $8.85 as reported on the NASDAQ Global Select Market as of January 29, 2016 was used to calculate the aggregate intrinsic value for all in-the-money options.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30, 2016, outstanding options and exercisable options information, by range of exercise prices, was as follows: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8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20" w:type="dxa"/>
            <w:vAlign w:val="bottom"/>
            <w:gridSpan w:val="3"/>
          </w:tcPr>
          <w:p>
            <w:pPr>
              <w:ind w:left="520"/>
              <w:spacing w:after="0"/>
              <w:rPr>
                <w:sz w:val="20"/>
                <w:szCs w:val="20"/>
                <w:color w:val="auto"/>
              </w:rPr>
            </w:pPr>
            <w:r>
              <w:rPr>
                <w:rFonts w:ascii="Arial" w:cs="Arial" w:eastAsia="Arial" w:hAnsi="Arial"/>
                <w:sz w:val="14"/>
                <w:szCs w:val="14"/>
                <w:b w:val="1"/>
                <w:bCs w:val="1"/>
                <w:color w:val="auto"/>
              </w:rPr>
              <w:t>Outstanding Options</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440" w:type="dxa"/>
            <w:vAlign w:val="bottom"/>
            <w:gridSpan w:val="5"/>
          </w:tcPr>
          <w:p>
            <w:pPr>
              <w:ind w:left="600"/>
              <w:spacing w:after="0"/>
              <w:rPr>
                <w:sz w:val="20"/>
                <w:szCs w:val="20"/>
                <w:color w:val="auto"/>
              </w:rPr>
            </w:pPr>
            <w:r>
              <w:rPr>
                <w:rFonts w:ascii="Arial" w:cs="Arial" w:eastAsia="Arial" w:hAnsi="Arial"/>
                <w:sz w:val="14"/>
                <w:szCs w:val="14"/>
                <w:b w:val="1"/>
                <w:bCs w:val="1"/>
                <w:color w:val="auto"/>
              </w:rPr>
              <w:t>Exercisable Options</w:t>
            </w:r>
          </w:p>
        </w:tc>
        <w:tc>
          <w:tcPr>
            <w:tcW w:w="0" w:type="dxa"/>
            <w:vAlign w:val="bottom"/>
          </w:tcPr>
          <w:p>
            <w:pPr>
              <w:spacing w:after="0"/>
              <w:rPr>
                <w:sz w:val="1"/>
                <w:szCs w:val="1"/>
                <w:color w:val="auto"/>
              </w:rPr>
            </w:pPr>
          </w:p>
        </w:tc>
      </w:tr>
      <w:tr>
        <w:trPr>
          <w:trHeight w:val="129"/>
        </w:trPr>
        <w:tc>
          <w:tcPr>
            <w:tcW w:w="28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380" w:type="dxa"/>
            <w:vAlign w:val="bottom"/>
            <w:tcBorders>
              <w:top w:val="single" w:sz="8" w:color="auto"/>
            </w:tcBorders>
            <w:gridSpan w:val="2"/>
          </w:tcPr>
          <w:p>
            <w:pPr>
              <w:jc w:val="center"/>
              <w:ind w:right="360"/>
              <w:spacing w:after="0" w:line="129" w:lineRule="exact"/>
              <w:rPr>
                <w:sz w:val="20"/>
                <w:szCs w:val="20"/>
                <w:color w:val="auto"/>
              </w:rPr>
            </w:pPr>
            <w:r>
              <w:rPr>
                <w:rFonts w:ascii="Arial" w:cs="Arial" w:eastAsia="Arial" w:hAnsi="Arial"/>
                <w:sz w:val="14"/>
                <w:szCs w:val="14"/>
                <w:b w:val="1"/>
                <w:bCs w:val="1"/>
                <w:color w:val="auto"/>
                <w:w w:val="85"/>
              </w:rPr>
              <w:t>Weighted</w:t>
            </w: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620" w:type="dxa"/>
            <w:vAlign w:val="bottom"/>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8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3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Average</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840" w:type="dxa"/>
            <w:vAlign w:val="bottom"/>
            <w:vMerge w:val="restart"/>
          </w:tcPr>
          <w:p>
            <w:pPr>
              <w:ind w:left="1640"/>
              <w:spacing w:after="0"/>
              <w:rPr>
                <w:sz w:val="20"/>
                <w:szCs w:val="20"/>
                <w:color w:val="auto"/>
              </w:rPr>
            </w:pPr>
            <w:r>
              <w:rPr>
                <w:rFonts w:ascii="Arial" w:cs="Arial" w:eastAsia="Arial" w:hAnsi="Arial"/>
                <w:sz w:val="14"/>
                <w:szCs w:val="14"/>
                <w:b w:val="1"/>
                <w:bCs w:val="1"/>
                <w:color w:val="auto"/>
              </w:rPr>
              <w:t>Range of</w:t>
            </w:r>
          </w:p>
        </w:tc>
        <w:tc>
          <w:tcPr>
            <w:tcW w:w="5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Number of</w:t>
            </w:r>
          </w:p>
        </w:tc>
        <w:tc>
          <w:tcPr>
            <w:tcW w:w="640" w:type="dxa"/>
            <w:vAlign w:val="bottom"/>
          </w:tcPr>
          <w:p>
            <w:pPr>
              <w:spacing w:after="0"/>
              <w:rPr>
                <w:sz w:val="12"/>
                <w:szCs w:val="12"/>
                <w:color w:val="auto"/>
              </w:rPr>
            </w:pPr>
          </w:p>
        </w:tc>
        <w:tc>
          <w:tcPr>
            <w:tcW w:w="13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Remaining</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4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8"/>
              </w:rPr>
              <w:t>Weighted</w:t>
            </w: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35"/>
        </w:trPr>
        <w:tc>
          <w:tcPr>
            <w:tcW w:w="2840" w:type="dxa"/>
            <w:vAlign w:val="bottom"/>
            <w:vMerge w:val="continue"/>
          </w:tcPr>
          <w:p>
            <w:pPr>
              <w:spacing w:after="0"/>
              <w:rPr>
                <w:sz w:val="11"/>
                <w:szCs w:val="11"/>
                <w:color w:val="auto"/>
              </w:rPr>
            </w:pPr>
          </w:p>
        </w:tc>
        <w:tc>
          <w:tcPr>
            <w:tcW w:w="5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5"/>
              </w:rPr>
              <w:t>Shares</w:t>
            </w:r>
          </w:p>
        </w:tc>
        <w:tc>
          <w:tcPr>
            <w:tcW w:w="640" w:type="dxa"/>
            <w:vAlign w:val="bottom"/>
          </w:tcPr>
          <w:p>
            <w:pPr>
              <w:spacing w:after="0"/>
              <w:rPr>
                <w:sz w:val="11"/>
                <w:szCs w:val="11"/>
                <w:color w:val="auto"/>
              </w:rPr>
            </w:pPr>
          </w:p>
        </w:tc>
        <w:tc>
          <w:tcPr>
            <w:tcW w:w="1380" w:type="dxa"/>
            <w:vAlign w:val="bottom"/>
            <w:gridSpan w:val="2"/>
          </w:tcPr>
          <w:p>
            <w:pPr>
              <w:jc w:val="right"/>
              <w:ind w:right="340"/>
              <w:spacing w:after="0" w:line="135" w:lineRule="exact"/>
              <w:rPr>
                <w:sz w:val="20"/>
                <w:szCs w:val="20"/>
                <w:color w:val="auto"/>
              </w:rPr>
            </w:pPr>
            <w:r>
              <w:rPr>
                <w:rFonts w:ascii="Arial" w:cs="Arial" w:eastAsia="Arial" w:hAnsi="Arial"/>
                <w:sz w:val="14"/>
                <w:szCs w:val="14"/>
                <w:b w:val="1"/>
                <w:bCs w:val="1"/>
                <w:color w:val="auto"/>
                <w:w w:val="87"/>
              </w:rPr>
              <w:t>Contractual Term</w:t>
            </w: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40" w:type="dxa"/>
            <w:vAlign w:val="bottom"/>
            <w:gridSpan w:val="2"/>
          </w:tcPr>
          <w:p>
            <w:pPr>
              <w:jc w:val="center"/>
              <w:ind w:right="740"/>
              <w:spacing w:after="0" w:line="135" w:lineRule="exact"/>
              <w:rPr>
                <w:sz w:val="20"/>
                <w:szCs w:val="20"/>
                <w:color w:val="auto"/>
              </w:rPr>
            </w:pPr>
            <w:r>
              <w:rPr>
                <w:rFonts w:ascii="Arial" w:cs="Arial" w:eastAsia="Arial" w:hAnsi="Arial"/>
                <w:sz w:val="14"/>
                <w:szCs w:val="14"/>
                <w:b w:val="1"/>
                <w:bCs w:val="1"/>
                <w:color w:val="auto"/>
                <w:w w:val="86"/>
              </w:rPr>
              <w:t>Average</w:t>
            </w:r>
          </w:p>
        </w:tc>
        <w:tc>
          <w:tcPr>
            <w:tcW w:w="8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1"/>
              </w:rPr>
              <w:t>Shares</w:t>
            </w: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75"/>
        </w:trPr>
        <w:tc>
          <w:tcPr>
            <w:tcW w:w="2840" w:type="dxa"/>
            <w:vAlign w:val="bottom"/>
          </w:tcPr>
          <w:p>
            <w:pPr>
              <w:ind w:left="1480"/>
              <w:spacing w:after="0"/>
              <w:rPr>
                <w:sz w:val="20"/>
                <w:szCs w:val="20"/>
                <w:color w:val="auto"/>
              </w:rPr>
            </w:pPr>
            <w:r>
              <w:rPr>
                <w:rFonts w:ascii="Arial" w:cs="Arial" w:eastAsia="Arial" w:hAnsi="Arial"/>
                <w:sz w:val="14"/>
                <w:szCs w:val="14"/>
                <w:b w:val="1"/>
                <w:bCs w:val="1"/>
                <w:color w:val="auto"/>
              </w:rPr>
              <w:t>Exercise Prices</w:t>
            </w:r>
          </w:p>
        </w:tc>
        <w:tc>
          <w:tcPr>
            <w:tcW w:w="5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7"/>
              </w:rPr>
              <w:t>(in Thousands)</w:t>
            </w:r>
          </w:p>
        </w:tc>
        <w:tc>
          <w:tcPr>
            <w:tcW w:w="640" w:type="dxa"/>
            <w:vAlign w:val="bottom"/>
          </w:tcPr>
          <w:p>
            <w:pPr>
              <w:spacing w:after="0"/>
              <w:rPr>
                <w:sz w:val="15"/>
                <w:szCs w:val="15"/>
                <w:color w:val="auto"/>
              </w:rPr>
            </w:pPr>
          </w:p>
        </w:tc>
        <w:tc>
          <w:tcPr>
            <w:tcW w:w="13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7"/>
              </w:rPr>
              <w:t>(in Years)</w:t>
            </w:r>
          </w:p>
        </w:tc>
        <w:tc>
          <w:tcPr>
            <w:tcW w:w="300" w:type="dxa"/>
            <w:vAlign w:val="bottom"/>
          </w:tcPr>
          <w:p>
            <w:pPr>
              <w:spacing w:after="0"/>
              <w:rPr>
                <w:sz w:val="15"/>
                <w:szCs w:val="15"/>
                <w:color w:val="auto"/>
              </w:rPr>
            </w:pPr>
          </w:p>
        </w:tc>
        <w:tc>
          <w:tcPr>
            <w:tcW w:w="144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85"/>
              </w:rPr>
              <w:t>Exercise Price</w:t>
            </w: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5"/>
              </w:rPr>
              <w:t>(in Thousands)</w:t>
            </w:r>
          </w:p>
        </w:tc>
        <w:tc>
          <w:tcPr>
            <w:tcW w:w="640" w:type="dxa"/>
            <w:vAlign w:val="bottom"/>
          </w:tcPr>
          <w:p>
            <w:pPr>
              <w:spacing w:after="0"/>
              <w:rPr>
                <w:sz w:val="15"/>
                <w:szCs w:val="15"/>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8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$ 5.70</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9.49</w:t>
            </w:r>
          </w:p>
        </w:tc>
        <w:tc>
          <w:tcPr>
            <w:tcW w:w="54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3,673</w:t>
            </w:r>
          </w:p>
        </w:tc>
        <w:tc>
          <w:tcPr>
            <w:tcW w:w="64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w:t>
            </w:r>
          </w:p>
        </w:tc>
        <w:tc>
          <w:tcPr>
            <w:tcW w:w="3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7.04</w:t>
            </w:r>
          </w:p>
        </w:tc>
        <w:tc>
          <w:tcPr>
            <w:tcW w:w="6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6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40" w:type="dxa"/>
            <w:vAlign w:val="bottom"/>
          </w:tcPr>
          <w:p>
            <w:pPr>
              <w:spacing w:after="0"/>
              <w:rPr>
                <w:sz w:val="20"/>
                <w:szCs w:val="20"/>
                <w:color w:val="auto"/>
              </w:rPr>
            </w:pPr>
            <w:r>
              <w:rPr>
                <w:rFonts w:ascii="Arial" w:cs="Arial" w:eastAsia="Arial" w:hAnsi="Arial"/>
                <w:sz w:val="18"/>
                <w:szCs w:val="18"/>
                <w:color w:val="auto"/>
              </w:rPr>
              <w:t>$10.31</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10.76</w:t>
            </w:r>
          </w:p>
        </w:tc>
        <w:tc>
          <w:tcPr>
            <w:tcW w:w="5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11,574</w:t>
            </w:r>
          </w:p>
        </w:tc>
        <w:tc>
          <w:tcPr>
            <w:tcW w:w="2020" w:type="dxa"/>
            <w:vAlign w:val="bottom"/>
            <w:gridSpan w:val="3"/>
          </w:tcPr>
          <w:p>
            <w:pPr>
              <w:jc w:val="right"/>
              <w:ind w:right="340"/>
              <w:spacing w:after="0"/>
              <w:rPr>
                <w:sz w:val="20"/>
                <w:szCs w:val="20"/>
                <w:color w:val="auto"/>
              </w:rPr>
            </w:pPr>
            <w:r>
              <w:rPr>
                <w:rFonts w:ascii="Arial" w:cs="Arial" w:eastAsia="Arial" w:hAnsi="Arial"/>
                <w:sz w:val="18"/>
                <w:szCs w:val="18"/>
                <w:color w:val="auto"/>
              </w:rPr>
              <w:t>7.09</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10.76</w:t>
            </w:r>
          </w:p>
        </w:tc>
        <w:tc>
          <w:tcPr>
            <w:tcW w:w="6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3,570</w:t>
            </w:r>
          </w:p>
        </w:tc>
        <w:tc>
          <w:tcPr>
            <w:tcW w:w="760" w:type="dxa"/>
            <w:vAlign w:val="bottom"/>
            <w:gridSpan w:val="2"/>
          </w:tcPr>
          <w:p>
            <w:pPr>
              <w:ind w:left="64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40" w:type="dxa"/>
            <w:vAlign w:val="bottom"/>
            <w:shd w:val="clear" w:color="auto" w:fill="CCEEFF"/>
          </w:tcPr>
          <w:p>
            <w:pPr>
              <w:spacing w:after="0"/>
              <w:rPr>
                <w:sz w:val="20"/>
                <w:szCs w:val="20"/>
                <w:color w:val="auto"/>
              </w:rPr>
            </w:pPr>
            <w:r>
              <w:rPr>
                <w:rFonts w:ascii="Arial" w:cs="Arial" w:eastAsia="Arial" w:hAnsi="Arial"/>
                <w:sz w:val="18"/>
                <w:szCs w:val="18"/>
                <w:color w:val="auto"/>
              </w:rPr>
              <w:t>$10.80</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14.35</w:t>
            </w:r>
          </w:p>
        </w:tc>
        <w:tc>
          <w:tcPr>
            <w:tcW w:w="54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9,275</w:t>
            </w:r>
          </w:p>
        </w:tc>
        <w:tc>
          <w:tcPr>
            <w:tcW w:w="202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6.60</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13.25</w:t>
            </w:r>
          </w:p>
        </w:tc>
        <w:tc>
          <w:tcPr>
            <w:tcW w:w="6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3,661</w:t>
            </w:r>
          </w:p>
        </w:tc>
        <w:tc>
          <w:tcPr>
            <w:tcW w:w="760" w:type="dxa"/>
            <w:vAlign w:val="bottom"/>
            <w:gridSpan w:val="2"/>
            <w:shd w:val="clear" w:color="auto" w:fill="CCEEFF"/>
          </w:tcPr>
          <w:p>
            <w:pPr>
              <w:ind w:left="64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40" w:type="dxa"/>
            <w:vAlign w:val="bottom"/>
          </w:tcPr>
          <w:p>
            <w:pPr>
              <w:spacing w:after="0"/>
              <w:rPr>
                <w:sz w:val="20"/>
                <w:szCs w:val="20"/>
                <w:color w:val="auto"/>
              </w:rPr>
            </w:pPr>
            <w:r>
              <w:rPr>
                <w:rFonts w:ascii="Arial" w:cs="Arial" w:eastAsia="Arial" w:hAnsi="Arial"/>
                <w:sz w:val="18"/>
                <w:szCs w:val="18"/>
                <w:color w:val="auto"/>
              </w:rPr>
              <w:t>$14.45</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15.43</w:t>
            </w:r>
          </w:p>
        </w:tc>
        <w:tc>
          <w:tcPr>
            <w:tcW w:w="5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9,842</w:t>
            </w:r>
          </w:p>
        </w:tc>
        <w:tc>
          <w:tcPr>
            <w:tcW w:w="2020" w:type="dxa"/>
            <w:vAlign w:val="bottom"/>
            <w:gridSpan w:val="3"/>
          </w:tcPr>
          <w:p>
            <w:pPr>
              <w:jc w:val="right"/>
              <w:ind w:right="340"/>
              <w:spacing w:after="0"/>
              <w:rPr>
                <w:sz w:val="20"/>
                <w:szCs w:val="20"/>
                <w:color w:val="auto"/>
              </w:rPr>
            </w:pPr>
            <w:r>
              <w:rPr>
                <w:rFonts w:ascii="Arial" w:cs="Arial" w:eastAsia="Arial" w:hAnsi="Arial"/>
                <w:sz w:val="18"/>
                <w:szCs w:val="18"/>
                <w:color w:val="auto"/>
              </w:rPr>
              <w:t>6.07</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15.16</w:t>
            </w:r>
          </w:p>
        </w:tc>
        <w:tc>
          <w:tcPr>
            <w:tcW w:w="6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4,843</w:t>
            </w:r>
          </w:p>
        </w:tc>
        <w:tc>
          <w:tcPr>
            <w:tcW w:w="760" w:type="dxa"/>
            <w:vAlign w:val="bottom"/>
            <w:gridSpan w:val="2"/>
          </w:tcPr>
          <w:p>
            <w:pPr>
              <w:ind w:left="64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40" w:type="dxa"/>
            <w:vAlign w:val="bottom"/>
            <w:shd w:val="clear" w:color="auto" w:fill="CCEEFF"/>
          </w:tcPr>
          <w:p>
            <w:pPr>
              <w:spacing w:after="0"/>
              <w:rPr>
                <w:sz w:val="20"/>
                <w:szCs w:val="20"/>
                <w:color w:val="auto"/>
              </w:rPr>
            </w:pPr>
            <w:r>
              <w:rPr>
                <w:rFonts w:ascii="Arial" w:cs="Arial" w:eastAsia="Arial" w:hAnsi="Arial"/>
                <w:sz w:val="18"/>
                <w:szCs w:val="18"/>
                <w:color w:val="auto"/>
              </w:rPr>
              <w:t>$15.43</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34.38</w:t>
            </w:r>
          </w:p>
        </w:tc>
        <w:tc>
          <w:tcPr>
            <w:tcW w:w="540" w:type="dxa"/>
            <w:vAlign w:val="bottom"/>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8,666</w:t>
            </w:r>
          </w:p>
        </w:tc>
        <w:tc>
          <w:tcPr>
            <w:tcW w:w="202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3.80</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19.18</w:t>
            </w:r>
          </w:p>
        </w:tc>
        <w:tc>
          <w:tcPr>
            <w:tcW w:w="620" w:type="dxa"/>
            <w:vAlign w:val="bottom"/>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5,763</w:t>
            </w:r>
          </w:p>
        </w:tc>
        <w:tc>
          <w:tcPr>
            <w:tcW w:w="760" w:type="dxa"/>
            <w:vAlign w:val="bottom"/>
            <w:gridSpan w:val="2"/>
            <w:shd w:val="clear" w:color="auto" w:fill="CCEEFF"/>
          </w:tcPr>
          <w:p>
            <w:pPr>
              <w:ind w:left="64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840" w:type="dxa"/>
            <w:vAlign w:val="bottom"/>
          </w:tcPr>
          <w:p>
            <w:pPr>
              <w:spacing w:after="0"/>
              <w:rPr>
                <w:sz w:val="20"/>
                <w:szCs w:val="20"/>
                <w:color w:val="auto"/>
              </w:rPr>
            </w:pPr>
            <w:r>
              <w:rPr>
                <w:rFonts w:ascii="Arial" w:cs="Arial" w:eastAsia="Arial" w:hAnsi="Arial"/>
                <w:sz w:val="18"/>
                <w:szCs w:val="18"/>
                <w:color w:val="auto"/>
              </w:rPr>
              <w:t>Total</w:t>
            </w:r>
          </w:p>
        </w:tc>
        <w:tc>
          <w:tcPr>
            <w:tcW w:w="5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43,030</w:t>
            </w:r>
          </w:p>
        </w:tc>
        <w:tc>
          <w:tcPr>
            <w:tcW w:w="2020" w:type="dxa"/>
            <w:vAlign w:val="bottom"/>
            <w:gridSpan w:val="3"/>
          </w:tcPr>
          <w:p>
            <w:pPr>
              <w:jc w:val="right"/>
              <w:ind w:right="340"/>
              <w:spacing w:after="0"/>
              <w:rPr>
                <w:sz w:val="20"/>
                <w:szCs w:val="20"/>
                <w:color w:val="auto"/>
              </w:rPr>
            </w:pPr>
            <w:r>
              <w:rPr>
                <w:rFonts w:ascii="Arial" w:cs="Arial" w:eastAsia="Arial" w:hAnsi="Arial"/>
                <w:sz w:val="18"/>
                <w:szCs w:val="18"/>
                <w:color w:val="auto"/>
              </w:rPr>
              <w:t>5.77</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13.68</w:t>
            </w:r>
          </w:p>
        </w:tc>
        <w:tc>
          <w:tcPr>
            <w:tcW w:w="620" w:type="dxa"/>
            <w:vAlign w:val="bottom"/>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21,223</w:t>
            </w:r>
          </w:p>
        </w:tc>
        <w:tc>
          <w:tcPr>
            <w:tcW w:w="760" w:type="dxa"/>
            <w:vAlign w:val="bottom"/>
            <w:gridSpan w:val="2"/>
          </w:tcPr>
          <w:p>
            <w:pPr>
              <w:ind w:left="64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14.13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8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640" w:type="dxa"/>
            <w:vAlign w:val="bottom"/>
            <w:vMerge w:val="restart"/>
          </w:tcPr>
          <w:p>
            <w:pPr>
              <w:jc w:val="right"/>
              <w:spacing w:after="0"/>
              <w:rPr>
                <w:sz w:val="20"/>
                <w:szCs w:val="20"/>
                <w:color w:val="auto"/>
              </w:rPr>
            </w:pPr>
            <w:r>
              <w:rPr>
                <w:rFonts w:ascii="Arial" w:cs="Arial" w:eastAsia="Arial" w:hAnsi="Arial"/>
                <w:sz w:val="18"/>
                <w:szCs w:val="18"/>
                <w:color w:val="auto"/>
              </w:rPr>
              <w:t>101</w:t>
            </w:r>
          </w:p>
        </w:tc>
        <w:tc>
          <w:tcPr>
            <w:tcW w:w="10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8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40" w:type="dxa"/>
            <w:vAlign w:val="bottom"/>
            <w:vMerge w:val="continue"/>
          </w:tcPr>
          <w:p>
            <w:pPr>
              <w:spacing w:after="0"/>
              <w:rPr>
                <w:sz w:val="24"/>
                <w:szCs w:val="24"/>
                <w:color w:val="auto"/>
              </w:rPr>
            </w:pPr>
          </w:p>
        </w:tc>
        <w:tc>
          <w:tcPr>
            <w:tcW w:w="10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As of January 30, 2016, the unamortized compensation expense for time-based stock options was $38.2 million and market-based stock options were fully amortized in fiscal 2014. The unamortized compensation expense for time-based options will be amortized on a straight-line basis and is expected to be recognized over a weighted-average period of 1.9 years.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220" w:type="dxa"/>
            <w:vAlign w:val="bottom"/>
            <w:gridSpan w:val="3"/>
          </w:tcPr>
          <w:p>
            <w:pPr>
              <w:ind w:left="480"/>
              <w:spacing w:after="0"/>
              <w:rPr>
                <w:sz w:val="20"/>
                <w:szCs w:val="20"/>
                <w:color w:val="auto"/>
              </w:rPr>
            </w:pPr>
            <w:r>
              <w:rPr>
                <w:rFonts w:ascii="Arial" w:cs="Arial" w:eastAsia="Arial" w:hAnsi="Arial"/>
                <w:sz w:val="14"/>
                <w:szCs w:val="14"/>
                <w:b w:val="1"/>
                <w:bCs w:val="1"/>
                <w:color w:val="auto"/>
                <w:w w:val="90"/>
              </w:rPr>
              <w:t>Time-Based</w:t>
            </w:r>
          </w:p>
        </w:tc>
        <w:tc>
          <w:tcPr>
            <w:tcW w:w="4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80" w:type="dxa"/>
            <w:vAlign w:val="bottom"/>
            <w:gridSpan w:val="5"/>
          </w:tcPr>
          <w:p>
            <w:pPr>
              <w:ind w:left="300"/>
              <w:spacing w:after="0"/>
              <w:rPr>
                <w:sz w:val="20"/>
                <w:szCs w:val="20"/>
                <w:color w:val="auto"/>
              </w:rPr>
            </w:pPr>
            <w:r>
              <w:rPr>
                <w:rFonts w:ascii="Arial" w:cs="Arial" w:eastAsia="Arial" w:hAnsi="Arial"/>
                <w:sz w:val="14"/>
                <w:szCs w:val="14"/>
                <w:b w:val="1"/>
                <w:bCs w:val="1"/>
                <w:color w:val="auto"/>
              </w:rPr>
              <w:t>Performance-Based</w:t>
            </w:r>
          </w:p>
        </w:tc>
        <w:tc>
          <w:tcPr>
            <w:tcW w:w="1300" w:type="dxa"/>
            <w:vAlign w:val="bottom"/>
            <w:gridSpan w:val="3"/>
          </w:tcPr>
          <w:p>
            <w:pPr>
              <w:ind w:left="460"/>
              <w:spacing w:after="0"/>
              <w:rPr>
                <w:sz w:val="20"/>
                <w:szCs w:val="20"/>
                <w:color w:val="auto"/>
              </w:rPr>
            </w:pPr>
            <w:r>
              <w:rPr>
                <w:rFonts w:ascii="Arial" w:cs="Arial" w:eastAsia="Arial" w:hAnsi="Arial"/>
                <w:sz w:val="14"/>
                <w:szCs w:val="14"/>
                <w:b w:val="1"/>
                <w:bCs w:val="1"/>
                <w:color w:val="auto"/>
                <w:w w:val="89"/>
              </w:rPr>
              <w:t>Market-Based</w:t>
            </w:r>
          </w:p>
        </w:tc>
        <w:tc>
          <w:tcPr>
            <w:tcW w:w="4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60" w:type="dxa"/>
            <w:vAlign w:val="bottom"/>
          </w:tcPr>
          <w:p>
            <w:pPr>
              <w:jc w:val="right"/>
              <w:spacing w:after="0"/>
              <w:rPr>
                <w:sz w:val="20"/>
                <w:szCs w:val="20"/>
                <w:color w:val="auto"/>
              </w:rPr>
            </w:pPr>
            <w:r>
              <w:rPr>
                <w:rFonts w:ascii="Arial" w:cs="Arial" w:eastAsia="Arial" w:hAnsi="Arial"/>
                <w:sz w:val="14"/>
                <w:szCs w:val="14"/>
                <w:b w:val="1"/>
                <w:bCs w:val="1"/>
                <w:color w:val="auto"/>
                <w:w w:val="95"/>
              </w:rPr>
              <w:t>Total</w:t>
            </w: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4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w w:val="95"/>
              </w:rPr>
              <w:t>Weighted</w:t>
            </w:r>
          </w:p>
        </w:tc>
        <w:tc>
          <w:tcPr>
            <w:tcW w:w="3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4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w w:val="95"/>
              </w:rPr>
              <w:t>Weighted</w:t>
            </w:r>
          </w:p>
        </w:tc>
        <w:tc>
          <w:tcPr>
            <w:tcW w:w="3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4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w w:val="95"/>
              </w:rPr>
              <w:t>Weighted</w:t>
            </w:r>
          </w:p>
        </w:tc>
        <w:tc>
          <w:tcPr>
            <w:tcW w:w="3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Average</w:t>
            </w: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Average</w:t>
            </w: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Average</w:t>
            </w: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6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6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8"/>
              </w:rPr>
              <w:t>Number of</w:t>
            </w:r>
          </w:p>
        </w:tc>
        <w:tc>
          <w:tcPr>
            <w:tcW w:w="440" w:type="dxa"/>
            <w:vAlign w:val="bottom"/>
          </w:tcPr>
          <w:p>
            <w:pPr>
              <w:spacing w:after="0"/>
              <w:rPr>
                <w:sz w:val="12"/>
                <w:szCs w:val="12"/>
                <w:color w:val="auto"/>
              </w:rPr>
            </w:pP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108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1000" w:type="dxa"/>
            <w:vAlign w:val="bottom"/>
            <w:gridSpan w:val="2"/>
          </w:tcPr>
          <w:p>
            <w:pPr>
              <w:jc w:val="right"/>
              <w:ind w:right="292"/>
              <w:spacing w:after="0" w:line="149" w:lineRule="exact"/>
              <w:rPr>
                <w:sz w:val="20"/>
                <w:szCs w:val="20"/>
                <w:color w:val="auto"/>
              </w:rPr>
            </w:pPr>
            <w:r>
              <w:rPr>
                <w:rFonts w:ascii="Arial" w:cs="Arial" w:eastAsia="Arial" w:hAnsi="Arial"/>
                <w:sz w:val="14"/>
                <w:szCs w:val="14"/>
                <w:b w:val="1"/>
                <w:bCs w:val="1"/>
                <w:color w:val="auto"/>
                <w:w w:val="88"/>
              </w:rPr>
              <w:t>Number of</w:t>
            </w: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00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640" w:type="dxa"/>
            <w:vAlign w:val="bottom"/>
          </w:tcPr>
          <w:p>
            <w:pPr>
              <w:jc w:val="right"/>
              <w:ind w:right="36"/>
              <w:spacing w:after="0"/>
              <w:rPr>
                <w:sz w:val="20"/>
                <w:szCs w:val="20"/>
                <w:color w:val="auto"/>
              </w:rPr>
            </w:pPr>
            <w:r>
              <w:rPr>
                <w:rFonts w:ascii="Arial" w:cs="Arial" w:eastAsia="Arial" w:hAnsi="Arial"/>
                <w:sz w:val="14"/>
                <w:szCs w:val="14"/>
                <w:b w:val="1"/>
                <w:bCs w:val="1"/>
                <w:color w:val="auto"/>
              </w:rPr>
              <w:t>Shares</w:t>
            </w:r>
          </w:p>
        </w:tc>
        <w:tc>
          <w:tcPr>
            <w:tcW w:w="440" w:type="dxa"/>
            <w:vAlign w:val="bottom"/>
          </w:tcPr>
          <w:p>
            <w:pPr>
              <w:spacing w:after="0"/>
              <w:rPr>
                <w:sz w:val="14"/>
                <w:szCs w:val="14"/>
                <w:color w:val="auto"/>
              </w:rPr>
            </w:pPr>
          </w:p>
        </w:tc>
        <w:tc>
          <w:tcPr>
            <w:tcW w:w="100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10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Shares</w:t>
            </w:r>
          </w:p>
        </w:tc>
        <w:tc>
          <w:tcPr>
            <w:tcW w:w="100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100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Shares</w:t>
            </w: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4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12,739</w:t>
            </w:r>
          </w:p>
        </w:tc>
        <w:tc>
          <w:tcPr>
            <w:tcW w:w="3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15.78</w:t>
            </w:r>
          </w:p>
        </w:tc>
        <w:tc>
          <w:tcPr>
            <w:tcW w:w="3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12,739</w:t>
            </w:r>
          </w:p>
        </w:tc>
        <w:tc>
          <w:tcPr>
            <w:tcW w:w="3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tcPr>
          <w:p>
            <w:pPr>
              <w:ind w:left="420"/>
              <w:spacing w:after="0"/>
              <w:rPr>
                <w:sz w:val="20"/>
                <w:szCs w:val="20"/>
                <w:color w:val="auto"/>
              </w:rPr>
            </w:pPr>
            <w:r>
              <w:rPr>
                <w:rFonts w:ascii="Arial" w:cs="Arial" w:eastAsia="Arial" w:hAnsi="Arial"/>
                <w:sz w:val="18"/>
                <w:szCs w:val="18"/>
                <w:color w:val="auto"/>
              </w:rPr>
              <w:t>Granted</w:t>
            </w: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3,728</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w w:val="93"/>
              </w:rPr>
              <w:t>10.79</w:t>
            </w:r>
          </w:p>
        </w:tc>
        <w:tc>
          <w:tcPr>
            <w:tcW w:w="640" w:type="dxa"/>
            <w:vAlign w:val="bottom"/>
          </w:tcPr>
          <w:p>
            <w:pPr>
              <w:jc w:val="right"/>
              <w:spacing w:after="0"/>
              <w:rPr>
                <w:sz w:val="20"/>
                <w:szCs w:val="20"/>
                <w:color w:val="auto"/>
              </w:rPr>
            </w:pPr>
            <w:r>
              <w:rPr>
                <w:rFonts w:ascii="Arial" w:cs="Arial" w:eastAsia="Arial" w:hAnsi="Arial"/>
                <w:sz w:val="18"/>
                <w:szCs w:val="18"/>
                <w:color w:val="auto"/>
              </w:rPr>
              <w:t>100</w:t>
            </w:r>
          </w:p>
        </w:tc>
        <w:tc>
          <w:tcPr>
            <w:tcW w:w="44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10.52</w:t>
            </w: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3,828</w:t>
            </w:r>
          </w:p>
        </w:tc>
        <w:tc>
          <w:tcPr>
            <w:tcW w:w="360" w:type="dxa"/>
            <w:vAlign w:val="bottom"/>
          </w:tcPr>
          <w:p>
            <w:pPr>
              <w:spacing w:after="0"/>
              <w:rPr>
                <w:sz w:val="18"/>
                <w:szCs w:val="18"/>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10.78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(3,925)</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3"/>
              </w:rPr>
              <w:t>16.19</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(3,925)</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(1,288)</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w w:val="93"/>
              </w:rPr>
              <w:t>14.39</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gridSpan w:val="2"/>
          </w:tcPr>
          <w:p>
            <w:pPr>
              <w:jc w:val="right"/>
              <w:ind w:right="232"/>
              <w:spacing w:after="0"/>
              <w:rPr>
                <w:sz w:val="20"/>
                <w:szCs w:val="20"/>
                <w:color w:val="auto"/>
              </w:rPr>
            </w:pPr>
            <w:r>
              <w:rPr>
                <w:rFonts w:ascii="Arial" w:cs="Arial" w:eastAsia="Arial" w:hAnsi="Arial"/>
                <w:sz w:val="18"/>
                <w:szCs w:val="18"/>
                <w:color w:val="auto"/>
              </w:rPr>
              <w:t>(1,288)</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14.39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4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44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tcPr>
          <w:p>
            <w:pPr>
              <w:spacing w:after="0"/>
              <w:rPr>
                <w:sz w:val="2"/>
                <w:szCs w:val="2"/>
                <w:color w:val="auto"/>
              </w:rPr>
            </w:pPr>
          </w:p>
        </w:tc>
        <w:tc>
          <w:tcPr>
            <w:tcW w:w="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44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1, 2014</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11,254</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3"/>
              </w:rPr>
              <w:t>14.14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10.52</w:t>
            </w:r>
          </w:p>
        </w:tc>
        <w:tc>
          <w:tcPr>
            <w:tcW w:w="6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11,354</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tcPr>
          <w:p>
            <w:pPr>
              <w:ind w:left="420"/>
              <w:spacing w:after="0"/>
              <w:rPr>
                <w:sz w:val="20"/>
                <w:szCs w:val="20"/>
                <w:color w:val="auto"/>
              </w:rPr>
            </w:pPr>
            <w:r>
              <w:rPr>
                <w:rFonts w:ascii="Arial" w:cs="Arial" w:eastAsia="Arial" w:hAnsi="Arial"/>
                <w:sz w:val="18"/>
                <w:szCs w:val="18"/>
                <w:color w:val="auto"/>
              </w:rPr>
              <w:t>Granted</w:t>
            </w: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5,534</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w w:val="93"/>
              </w:rPr>
              <w:t>15.20</w:t>
            </w:r>
          </w:p>
        </w:tc>
        <w:tc>
          <w:tcPr>
            <w:tcW w:w="640" w:type="dxa"/>
            <w:vAlign w:val="bottom"/>
          </w:tcPr>
          <w:p>
            <w:pPr>
              <w:jc w:val="right"/>
              <w:spacing w:after="0"/>
              <w:rPr>
                <w:sz w:val="20"/>
                <w:szCs w:val="20"/>
                <w:color w:val="auto"/>
              </w:rPr>
            </w:pPr>
            <w:r>
              <w:rPr>
                <w:rFonts w:ascii="Arial" w:cs="Arial" w:eastAsia="Arial" w:hAnsi="Arial"/>
                <w:sz w:val="18"/>
                <w:szCs w:val="18"/>
                <w:color w:val="auto"/>
              </w:rPr>
              <w:t>1,277</w:t>
            </w:r>
          </w:p>
        </w:tc>
        <w:tc>
          <w:tcPr>
            <w:tcW w:w="440" w:type="dxa"/>
            <w:vAlign w:val="bottom"/>
          </w:tcPr>
          <w:p>
            <w:pPr>
              <w:jc w:val="right"/>
              <w:ind w:right="212"/>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14.98</w:t>
            </w: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6,811</w:t>
            </w:r>
          </w:p>
        </w:tc>
        <w:tc>
          <w:tcPr>
            <w:tcW w:w="360" w:type="dxa"/>
            <w:vAlign w:val="bottom"/>
          </w:tcPr>
          <w:p>
            <w:pPr>
              <w:spacing w:after="0"/>
              <w:rPr>
                <w:sz w:val="18"/>
                <w:szCs w:val="18"/>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15.16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(5,938)</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3"/>
              </w:rPr>
              <w:t>13.96</w:t>
            </w:r>
          </w:p>
        </w:tc>
        <w:tc>
          <w:tcPr>
            <w:tcW w:w="1080" w:type="dxa"/>
            <w:vAlign w:val="bottom"/>
            <w:gridSpan w:val="2"/>
            <w:shd w:val="clear" w:color="auto" w:fill="CCEEFF"/>
          </w:tcPr>
          <w:p>
            <w:pPr>
              <w:jc w:val="right"/>
              <w:ind w:right="292"/>
              <w:spacing w:after="0"/>
              <w:rPr>
                <w:sz w:val="20"/>
                <w:szCs w:val="20"/>
                <w:color w:val="auto"/>
              </w:rPr>
            </w:pPr>
            <w:r>
              <w:rPr>
                <w:rFonts w:ascii="Arial" w:cs="Arial" w:eastAsia="Arial" w:hAnsi="Arial"/>
                <w:sz w:val="18"/>
                <w:szCs w:val="18"/>
                <w:color w:val="auto"/>
              </w:rPr>
              <w:t>(3)</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10.52</w:t>
            </w:r>
          </w:p>
        </w:tc>
        <w:tc>
          <w:tcPr>
            <w:tcW w:w="6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(5,941)</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(1,102)</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w w:val="93"/>
              </w:rPr>
              <w:t>14.32</w:t>
            </w:r>
          </w:p>
        </w:tc>
        <w:tc>
          <w:tcPr>
            <w:tcW w:w="1080" w:type="dxa"/>
            <w:vAlign w:val="bottom"/>
            <w:gridSpan w:val="2"/>
          </w:tcPr>
          <w:p>
            <w:pPr>
              <w:jc w:val="right"/>
              <w:ind w:right="292"/>
              <w:spacing w:after="0"/>
              <w:rPr>
                <w:sz w:val="20"/>
                <w:szCs w:val="20"/>
                <w:color w:val="auto"/>
              </w:rPr>
            </w:pPr>
            <w:r>
              <w:rPr>
                <w:rFonts w:ascii="Arial" w:cs="Arial" w:eastAsia="Arial" w:hAnsi="Arial"/>
                <w:sz w:val="18"/>
                <w:szCs w:val="18"/>
                <w:color w:val="auto"/>
              </w:rPr>
              <w:t>(120)</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11.23</w:t>
            </w: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gridSpan w:val="2"/>
          </w:tcPr>
          <w:p>
            <w:pPr>
              <w:jc w:val="right"/>
              <w:ind w:right="232"/>
              <w:spacing w:after="0"/>
              <w:rPr>
                <w:sz w:val="20"/>
                <w:szCs w:val="20"/>
                <w:color w:val="auto"/>
              </w:rPr>
            </w:pPr>
            <w:r>
              <w:rPr>
                <w:rFonts w:ascii="Arial" w:cs="Arial" w:eastAsia="Arial" w:hAnsi="Arial"/>
                <w:sz w:val="18"/>
                <w:szCs w:val="18"/>
                <w:color w:val="auto"/>
              </w:rPr>
              <w:t>(1,222)</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14.02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4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44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tcPr>
          <w:p>
            <w:pPr>
              <w:spacing w:after="0"/>
              <w:rPr>
                <w:sz w:val="2"/>
                <w:szCs w:val="2"/>
                <w:color w:val="auto"/>
              </w:rPr>
            </w:pPr>
          </w:p>
        </w:tc>
        <w:tc>
          <w:tcPr>
            <w:tcW w:w="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44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2015</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9,748</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3"/>
              </w:rPr>
              <w:t>14.84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1,254</w:t>
            </w: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14.99</w:t>
            </w:r>
          </w:p>
        </w:tc>
        <w:tc>
          <w:tcPr>
            <w:tcW w:w="6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11,002</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tcPr>
          <w:p>
            <w:pPr>
              <w:ind w:left="420"/>
              <w:spacing w:after="0"/>
              <w:rPr>
                <w:sz w:val="20"/>
                <w:szCs w:val="20"/>
                <w:color w:val="auto"/>
              </w:rPr>
            </w:pPr>
            <w:r>
              <w:rPr>
                <w:rFonts w:ascii="Arial" w:cs="Arial" w:eastAsia="Arial" w:hAnsi="Arial"/>
                <w:sz w:val="18"/>
                <w:szCs w:val="18"/>
                <w:color w:val="auto"/>
              </w:rPr>
              <w:t>Granted</w:t>
            </w: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5,689</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w w:val="93"/>
              </w:rPr>
              <w:t>12.88</w:t>
            </w:r>
          </w:p>
        </w:tc>
        <w:tc>
          <w:tcPr>
            <w:tcW w:w="640" w:type="dxa"/>
            <w:vAlign w:val="bottom"/>
          </w:tcPr>
          <w:p>
            <w:pPr>
              <w:jc w:val="right"/>
              <w:spacing w:after="0"/>
              <w:rPr>
                <w:sz w:val="20"/>
                <w:szCs w:val="20"/>
                <w:color w:val="auto"/>
              </w:rPr>
            </w:pPr>
            <w:r>
              <w:rPr>
                <w:rFonts w:ascii="Arial" w:cs="Arial" w:eastAsia="Arial" w:hAnsi="Arial"/>
                <w:sz w:val="18"/>
                <w:szCs w:val="18"/>
                <w:color w:val="auto"/>
              </w:rPr>
              <w:t>669</w:t>
            </w:r>
          </w:p>
        </w:tc>
        <w:tc>
          <w:tcPr>
            <w:tcW w:w="440" w:type="dxa"/>
            <w:vAlign w:val="bottom"/>
          </w:tcPr>
          <w:p>
            <w:pPr>
              <w:jc w:val="right"/>
              <w:ind w:right="212"/>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14.08</w:t>
            </w: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407 *</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w w:val="93"/>
              </w:rPr>
              <w:t>12.24</w:t>
            </w:r>
          </w:p>
        </w:tc>
        <w:tc>
          <w:tcPr>
            <w:tcW w:w="640" w:type="dxa"/>
            <w:vAlign w:val="bottom"/>
          </w:tcPr>
          <w:p>
            <w:pPr>
              <w:jc w:val="right"/>
              <w:spacing w:after="0"/>
              <w:rPr>
                <w:sz w:val="20"/>
                <w:szCs w:val="20"/>
                <w:color w:val="auto"/>
              </w:rPr>
            </w:pPr>
            <w:r>
              <w:rPr>
                <w:rFonts w:ascii="Arial" w:cs="Arial" w:eastAsia="Arial" w:hAnsi="Arial"/>
                <w:sz w:val="18"/>
                <w:szCs w:val="18"/>
                <w:color w:val="auto"/>
              </w:rPr>
              <w:t>6,765</w:t>
            </w:r>
          </w:p>
        </w:tc>
        <w:tc>
          <w:tcPr>
            <w:tcW w:w="360" w:type="dxa"/>
            <w:vAlign w:val="bottom"/>
          </w:tcPr>
          <w:p>
            <w:pPr>
              <w:spacing w:after="0"/>
              <w:rPr>
                <w:sz w:val="18"/>
                <w:szCs w:val="18"/>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12.96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(5,139)</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3"/>
              </w:rPr>
              <w:t>15.06</w:t>
            </w:r>
          </w:p>
        </w:tc>
        <w:tc>
          <w:tcPr>
            <w:tcW w:w="1080" w:type="dxa"/>
            <w:vAlign w:val="bottom"/>
            <w:gridSpan w:val="2"/>
            <w:shd w:val="clear" w:color="auto" w:fill="CCEEFF"/>
          </w:tcPr>
          <w:p>
            <w:pPr>
              <w:jc w:val="right"/>
              <w:ind w:right="292"/>
              <w:spacing w:after="0"/>
              <w:rPr>
                <w:sz w:val="20"/>
                <w:szCs w:val="20"/>
                <w:color w:val="auto"/>
              </w:rPr>
            </w:pPr>
            <w:r>
              <w:rPr>
                <w:rFonts w:ascii="Arial" w:cs="Arial" w:eastAsia="Arial" w:hAnsi="Arial"/>
                <w:sz w:val="18"/>
                <w:szCs w:val="18"/>
                <w:color w:val="auto"/>
              </w:rPr>
              <w:t>(658)</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15.15</w:t>
            </w:r>
          </w:p>
        </w:tc>
        <w:tc>
          <w:tcPr>
            <w:tcW w:w="10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(5,797)</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(1,955)</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w w:val="93"/>
              </w:rPr>
              <w:t>13.99</w:t>
            </w:r>
          </w:p>
        </w:tc>
        <w:tc>
          <w:tcPr>
            <w:tcW w:w="1080" w:type="dxa"/>
            <w:vAlign w:val="bottom"/>
            <w:gridSpan w:val="2"/>
          </w:tcPr>
          <w:p>
            <w:pPr>
              <w:jc w:val="right"/>
              <w:ind w:right="292"/>
              <w:spacing w:after="0"/>
              <w:rPr>
                <w:sz w:val="20"/>
                <w:szCs w:val="20"/>
                <w:color w:val="auto"/>
              </w:rPr>
            </w:pPr>
            <w:r>
              <w:rPr>
                <w:rFonts w:ascii="Arial" w:cs="Arial" w:eastAsia="Arial" w:hAnsi="Arial"/>
                <w:sz w:val="18"/>
                <w:szCs w:val="18"/>
                <w:color w:val="auto"/>
              </w:rPr>
              <w:t>(288)</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14.39</w:t>
            </w:r>
          </w:p>
        </w:tc>
        <w:tc>
          <w:tcPr>
            <w:tcW w:w="1080" w:type="dxa"/>
            <w:vAlign w:val="bottom"/>
            <w:gridSpan w:val="2"/>
          </w:tcPr>
          <w:p>
            <w:pPr>
              <w:jc w:val="right"/>
              <w:ind w:right="380"/>
              <w:spacing w:after="0"/>
              <w:rPr>
                <w:sz w:val="20"/>
                <w:szCs w:val="20"/>
                <w:color w:val="auto"/>
              </w:rPr>
            </w:pPr>
            <w:r>
              <w:rPr>
                <w:rFonts w:ascii="Arial" w:cs="Arial" w:eastAsia="Arial" w:hAnsi="Arial"/>
                <w:sz w:val="18"/>
                <w:szCs w:val="18"/>
                <w:color w:val="auto"/>
              </w:rPr>
              <w:t>(54)</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w w:val="93"/>
              </w:rPr>
              <w:t>12.24</w:t>
            </w:r>
          </w:p>
        </w:tc>
        <w:tc>
          <w:tcPr>
            <w:tcW w:w="1000" w:type="dxa"/>
            <w:vAlign w:val="bottom"/>
            <w:gridSpan w:val="2"/>
          </w:tcPr>
          <w:p>
            <w:pPr>
              <w:jc w:val="right"/>
              <w:ind w:right="232"/>
              <w:spacing w:after="0"/>
              <w:rPr>
                <w:sz w:val="20"/>
                <w:szCs w:val="20"/>
                <w:color w:val="auto"/>
              </w:rPr>
            </w:pPr>
            <w:r>
              <w:rPr>
                <w:rFonts w:ascii="Arial" w:cs="Arial" w:eastAsia="Arial" w:hAnsi="Arial"/>
                <w:sz w:val="18"/>
                <w:szCs w:val="18"/>
                <w:color w:val="auto"/>
              </w:rPr>
              <w:t>(2,297)</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4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44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44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2016</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8,343</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3"/>
              </w:rPr>
              <w:t>13.57</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977</w:t>
            </w: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14.43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353</w:t>
            </w: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9,673</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ind w:left="460" w:right="80" w:hanging="452"/>
        <w:spacing w:after="0" w:line="268" w:lineRule="auto"/>
        <w:tabs>
          <w:tab w:leader="none" w:pos="4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awards granted to our executive officers, up to 200% of the target restricted stock units may vest if the maximum level for financial and strategic goals is achieved.</w:t>
      </w:r>
    </w:p>
    <w:p>
      <w:pPr>
        <w:spacing w:after="0" w:line="132"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connection with the performance-based equity awards granted in fiscal 2016 to each of the Company’s executive officers, a total of 33,616 shares vested on April 1, 2016 based on achieving certain individual strategic goals as evaluated by the Executive Compensation Committee of the Company’s Board of Directors. No shares vested for the achievement of financial performance goals since the financial performance criteria were below the threshold level. The amount of canceled shares reported in the table above includes the unvested shares that were not earned.</w:t>
      </w:r>
    </w:p>
    <w:p>
      <w:pPr>
        <w:spacing w:after="0" w:line="113" w:lineRule="exact"/>
        <w:rPr>
          <w:sz w:val="20"/>
          <w:szCs w:val="20"/>
          <w:color w:val="auto"/>
        </w:rPr>
      </w:pPr>
    </w:p>
    <w:p>
      <w:pPr>
        <w:ind w:right="280" w:firstLine="456"/>
        <w:spacing w:after="0" w:line="291" w:lineRule="auto"/>
        <w:rPr>
          <w:sz w:val="20"/>
          <w:szCs w:val="20"/>
          <w:color w:val="auto"/>
        </w:rPr>
      </w:pPr>
      <w:r>
        <w:rPr>
          <w:rFonts w:ascii="Arial" w:cs="Arial" w:eastAsia="Arial" w:hAnsi="Arial"/>
          <w:sz w:val="16"/>
          <w:szCs w:val="16"/>
          <w:color w:val="auto"/>
        </w:rPr>
        <w:t>In connection with the performance-based equity awards granted in fiscal 2015 to each of the Company’s executive officers, a total of 478,001 shares vested on April 1, 2015 in connection with the first performance period completed at the end of fiscal 2015. Of this amount, an additional 107,954 shares are included as granted in the table above for fiscal 2015 since each executive officer achieved greater than their target shares for one of the financial performance goals. The amount of canceled shares reported in the table above includes the portion of unvested shares that were not earned since performance objectives for each executive officer’s other financial and strategic performance goals were not fully achieved. No shares will be issued in connection with the second performance period since the financial and strategic performance goals for fiscal 2016 were not achieved.</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420"/>
          </w:cols>
          <w:pgMar w:left="240" w:top="459" w:right="23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jc w:val="both"/>
        <w:ind w:right="180" w:firstLine="456"/>
        <w:spacing w:after="0" w:line="255" w:lineRule="auto"/>
        <w:rPr>
          <w:sz w:val="20"/>
          <w:szCs w:val="20"/>
          <w:color w:val="auto"/>
        </w:rPr>
      </w:pPr>
      <w:r>
        <w:rPr>
          <w:rFonts w:ascii="Arial" w:cs="Arial" w:eastAsia="Arial" w:hAnsi="Arial"/>
          <w:sz w:val="18"/>
          <w:szCs w:val="18"/>
          <w:color w:val="auto"/>
        </w:rPr>
        <w:t>In connection with the PSUs granted in fiscal 2015 to certain members of senior management, final evaluation for each individual’s achievement of their performance was measured in the first quarter of fiscal 2016. As a result, a total of 360,723 shares vested on April 1, 2015 and are included in the above table. There was no material adjustment to share-based compensation expense related to these performance-based restricted stock units in fiscal 2016. The amount of canceled shares reported in the table above includes the portion of unvested shares that were not earned since certain performance achievements were not fully achieved.</w:t>
      </w:r>
    </w:p>
    <w:p>
      <w:pPr>
        <w:spacing w:after="0" w:line="143"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January 30, 2016 was $81.7 million. The number of restricted stock units that are expected to vest is 9.2 million shares.</w:t>
      </w:r>
    </w:p>
    <w:p>
      <w:pPr>
        <w:spacing w:after="0" w:line="132"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As of January 30, 2016, unamortized compensation expense related to restricted stock units was $53.2 million. The unamortized compensation expense for restricted stock units will be amortized on a straight-line basis and is expected to be recognized over a weighted-average period of 1.0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2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3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5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30,</w:t>
            </w:r>
          </w:p>
        </w:tc>
        <w:tc>
          <w:tcPr>
            <w:tcW w:w="600" w:type="dxa"/>
            <w:vAlign w:val="bottom"/>
          </w:tcPr>
          <w:p>
            <w:pPr>
              <w:spacing w:after="0"/>
              <w:rPr>
                <w:sz w:val="11"/>
                <w:szCs w:val="11"/>
                <w:color w:val="auto"/>
              </w:rPr>
            </w:pPr>
          </w:p>
        </w:tc>
        <w:tc>
          <w:tcPr>
            <w:tcW w:w="10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3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100" w:type="dxa"/>
            <w:vAlign w:val="bottom"/>
          </w:tcPr>
          <w:p>
            <w:pPr>
              <w:spacing w:after="0"/>
              <w:rPr>
                <w:sz w:val="11"/>
                <w:szCs w:val="11"/>
                <w:color w:val="auto"/>
              </w:rPr>
            </w:pPr>
          </w:p>
        </w:tc>
      </w:tr>
      <w:tr>
        <w:trPr>
          <w:trHeight w:val="161"/>
        </w:trPr>
        <w:tc>
          <w:tcPr>
            <w:tcW w:w="4520" w:type="dxa"/>
            <w:vAlign w:val="bottom"/>
            <w:tcBorders>
              <w:bottom w:val="single" w:sz="8" w:color="CCEEFF"/>
            </w:tcBorders>
          </w:tcPr>
          <w:p>
            <w:pPr>
              <w:spacing w:after="0"/>
              <w:rPr>
                <w:sz w:val="14"/>
                <w:szCs w:val="14"/>
                <w:color w:val="auto"/>
              </w:rPr>
            </w:pPr>
          </w:p>
        </w:tc>
        <w:tc>
          <w:tcPr>
            <w:tcW w:w="26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2016</w:t>
            </w:r>
          </w:p>
        </w:tc>
        <w:tc>
          <w:tcPr>
            <w:tcW w:w="6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45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7,916</w:t>
            </w: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7,972</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8,863</w:t>
            </w:r>
          </w:p>
        </w:tc>
        <w:tc>
          <w:tcPr>
            <w:tcW w:w="100" w:type="dxa"/>
            <w:vAlign w:val="bottom"/>
            <w:shd w:val="clear" w:color="auto" w:fill="CCEEFF"/>
          </w:tcPr>
          <w:p>
            <w:pPr>
              <w:spacing w:after="0"/>
              <w:rPr>
                <w:sz w:val="18"/>
                <w:szCs w:val="18"/>
                <w:color w:val="auto"/>
              </w:rPr>
            </w:pPr>
          </w:p>
        </w:tc>
      </w:tr>
      <w:tr>
        <w:trPr>
          <w:trHeight w:val="216"/>
        </w:trPr>
        <w:tc>
          <w:tcPr>
            <w:tcW w:w="45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98,792</w:t>
            </w: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94,432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109,432</w:t>
            </w:r>
          </w:p>
        </w:tc>
        <w:tc>
          <w:tcPr>
            <w:tcW w:w="100" w:type="dxa"/>
            <w:vAlign w:val="bottom"/>
          </w:tcPr>
          <w:p>
            <w:pPr>
              <w:spacing w:after="0"/>
              <w:rPr>
                <w:sz w:val="18"/>
                <w:szCs w:val="18"/>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11,106</w:t>
            </w: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11,469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13,940</w:t>
            </w:r>
          </w:p>
        </w:tc>
        <w:tc>
          <w:tcPr>
            <w:tcW w:w="100" w:type="dxa"/>
            <w:vAlign w:val="bottom"/>
            <w:shd w:val="clear" w:color="auto" w:fill="CCEEFF"/>
          </w:tcPr>
          <w:p>
            <w:pPr>
              <w:spacing w:after="0"/>
              <w:rPr>
                <w:sz w:val="18"/>
                <w:szCs w:val="18"/>
                <w:color w:val="auto"/>
              </w:rPr>
            </w:pPr>
          </w:p>
        </w:tc>
      </w:tr>
      <w:tr>
        <w:trPr>
          <w:trHeight w:val="216"/>
        </w:trPr>
        <w:tc>
          <w:tcPr>
            <w:tcW w:w="45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15,965</w:t>
            </w: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23,373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23,638</w:t>
            </w:r>
          </w:p>
        </w:tc>
        <w:tc>
          <w:tcPr>
            <w:tcW w:w="100" w:type="dxa"/>
            <w:vAlign w:val="bottom"/>
          </w:tcPr>
          <w:p>
            <w:pPr>
              <w:spacing w:after="0"/>
              <w:rPr>
                <w:sz w:val="18"/>
                <w:szCs w:val="18"/>
                <w:color w:val="auto"/>
              </w:rPr>
            </w:pPr>
          </w:p>
        </w:tc>
      </w:tr>
      <w:tr>
        <w:trPr>
          <w:trHeight w:val="27"/>
        </w:trPr>
        <w:tc>
          <w:tcPr>
            <w:tcW w:w="4520" w:type="dxa"/>
            <w:vAlign w:val="bottom"/>
          </w:tcPr>
          <w:p>
            <w:pPr>
              <w:spacing w:after="0"/>
              <w:rPr>
                <w:sz w:val="2"/>
                <w:szCs w:val="2"/>
                <w:color w:val="auto"/>
              </w:rPr>
            </w:pPr>
          </w:p>
        </w:tc>
        <w:tc>
          <w:tcPr>
            <w:tcW w:w="26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520" w:type="dxa"/>
            <w:vAlign w:val="bottom"/>
            <w:shd w:val="clear" w:color="auto" w:fill="CCEEFF"/>
          </w:tcPr>
          <w:p>
            <w:pPr>
              <w:spacing w:after="0"/>
              <w:rPr>
                <w:sz w:val="18"/>
                <w:szCs w:val="18"/>
                <w:color w:val="auto"/>
              </w:rPr>
            </w:pP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133,779</w:t>
            </w: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137,246</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155,873</w:t>
            </w:r>
          </w:p>
        </w:tc>
        <w:tc>
          <w:tcPr>
            <w:tcW w:w="100" w:type="dxa"/>
            <w:vAlign w:val="bottom"/>
            <w:shd w:val="clear" w:color="auto" w:fill="CCEEFF"/>
          </w:tcPr>
          <w:p>
            <w:pPr>
              <w:spacing w:after="0"/>
              <w:rPr>
                <w:sz w:val="18"/>
                <w:szCs w:val="18"/>
                <w:color w:val="auto"/>
              </w:rPr>
            </w:pPr>
          </w:p>
        </w:tc>
      </w:tr>
      <w:tr>
        <w:trPr>
          <w:trHeight w:val="20"/>
        </w:trPr>
        <w:tc>
          <w:tcPr>
            <w:tcW w:w="452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Share-based compensation capitalized in inventory was $1.5 million at January 30, 2016, $1.5 million at January 31, 2015, and $1.7 million at February 1,</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2014.</w:t>
      </w:r>
    </w:p>
    <w:p>
      <w:pPr>
        <w:spacing w:after="0" w:line="16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Upon the termination of certain members of our executive management in April 2016, it was determined that the vesting in certain of their unvested stock awards was not probable. As a result, the Company recorded a reversal of the previously recognized related share-based compensation expense in the first quarter of fiscal 2017.</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expected volatility for awards granted during fiscal 2016, 2015, and 2014 was based on an equally weighted combination of historical stock price volatility and implied volatility derived from traded options on the Company’s stock in the marketplace. The Company believes that the combination of historical volatility and implied volatility provides a better estimate of future stock price volatility.</w:t>
      </w:r>
    </w:p>
    <w:p>
      <w:pPr>
        <w:spacing w:after="0" w:line="140" w:lineRule="exact"/>
        <w:rPr>
          <w:sz w:val="20"/>
          <w:szCs w:val="20"/>
          <w:color w:val="auto"/>
        </w:rPr>
      </w:pPr>
    </w:p>
    <w:p>
      <w:pPr>
        <w:jc w:val="center"/>
        <w:ind w:right="200"/>
        <w:spacing w:after="0" w:line="440" w:lineRule="auto"/>
        <w:rPr>
          <w:sz w:val="20"/>
          <w:szCs w:val="20"/>
          <w:color w:val="auto"/>
        </w:rPr>
      </w:pPr>
      <w:r>
        <w:rPr>
          <w:rFonts w:ascii="Arial" w:cs="Arial" w:eastAsia="Arial" w:hAnsi="Arial"/>
          <w:sz w:val="18"/>
          <w:szCs w:val="18"/>
          <w:color w:val="auto"/>
        </w:rPr>
        <w:t>The expected dividend yield is calculated by dividing the current annualized dividend by the closing stock price on the date of grant of the option. 103</w:t>
      </w:r>
    </w:p>
    <w:p>
      <w:pPr>
        <w:sectPr>
          <w:pgSz w:w="11900" w:h="16838" w:orient="portrait"/>
          <w:cols w:equalWidth="0" w:num="1">
            <w:col w:w="11380"/>
          </w:cols>
          <w:pgMar w:left="240" w:top="459" w:right="27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stock option award on the date of grant using the Black-Scholes option pricing model and of each market-based stock option award using a Monte Carlo simulation model:</w:t>
      </w:r>
    </w:p>
    <w:p>
      <w:pPr>
        <w:spacing w:after="0" w:line="12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54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4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5420" w:type="dxa"/>
            <w:vAlign w:val="bottom"/>
          </w:tcPr>
          <w:p>
            <w:pPr>
              <w:spacing w:after="0"/>
              <w:rPr>
                <w:sz w:val="11"/>
                <w:szCs w:val="11"/>
                <w:color w:val="auto"/>
              </w:rPr>
            </w:pPr>
          </w:p>
        </w:tc>
        <w:tc>
          <w:tcPr>
            <w:tcW w:w="16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12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4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200" w:type="dxa"/>
            <w:vAlign w:val="bottom"/>
          </w:tcPr>
          <w:p>
            <w:pPr>
              <w:spacing w:after="0"/>
              <w:rPr>
                <w:sz w:val="11"/>
                <w:szCs w:val="11"/>
                <w:color w:val="auto"/>
              </w:rPr>
            </w:pPr>
          </w:p>
        </w:tc>
      </w:tr>
      <w:tr>
        <w:trPr>
          <w:trHeight w:val="161"/>
        </w:trPr>
        <w:tc>
          <w:tcPr>
            <w:tcW w:w="54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2016</w:t>
            </w:r>
          </w:p>
        </w:tc>
        <w:tc>
          <w:tcPr>
            <w:tcW w:w="9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56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200" w:type="dxa"/>
            <w:vAlign w:val="bottom"/>
            <w:tcBorders>
              <w:bottom w:val="single" w:sz="8" w:color="CCEEFF"/>
            </w:tcBorders>
          </w:tcPr>
          <w:p>
            <w:pPr>
              <w:spacing w:after="0"/>
              <w:rPr>
                <w:sz w:val="14"/>
                <w:szCs w:val="14"/>
                <w:color w:val="auto"/>
              </w:rPr>
            </w:pPr>
          </w:p>
        </w:tc>
      </w:tr>
      <w:tr>
        <w:trPr>
          <w:trHeight w:val="196"/>
        </w:trPr>
        <w:tc>
          <w:tcPr>
            <w:tcW w:w="5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42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480" w:type="dxa"/>
            <w:vAlign w:val="bottom"/>
            <w:gridSpan w:val="2"/>
          </w:tcPr>
          <w:p>
            <w:pPr>
              <w:jc w:val="right"/>
              <w:ind w:right="940"/>
              <w:spacing w:after="0"/>
              <w:rPr>
                <w:sz w:val="20"/>
                <w:szCs w:val="20"/>
                <w:color w:val="auto"/>
              </w:rPr>
            </w:pPr>
            <w:r>
              <w:rPr>
                <w:rFonts w:ascii="Arial" w:cs="Arial" w:eastAsia="Arial" w:hAnsi="Arial"/>
                <w:sz w:val="18"/>
                <w:szCs w:val="18"/>
                <w:color w:val="auto"/>
              </w:rPr>
              <w:t>3.93</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4.35</w:t>
            </w:r>
          </w:p>
        </w:tc>
        <w:tc>
          <w:tcPr>
            <w:tcW w:w="56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3.43</w:t>
            </w:r>
          </w:p>
        </w:tc>
        <w:tc>
          <w:tcPr>
            <w:tcW w:w="200" w:type="dxa"/>
            <w:vAlign w:val="bottom"/>
          </w:tcPr>
          <w:p>
            <w:pPr>
              <w:spacing w:after="0"/>
              <w:rPr>
                <w:sz w:val="18"/>
                <w:szCs w:val="18"/>
                <w:color w:val="auto"/>
              </w:rPr>
            </w:pPr>
          </w:p>
        </w:tc>
      </w:tr>
      <w:tr>
        <w:trPr>
          <w:trHeight w:val="216"/>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34%</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35%</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54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tcPr>
          <w:p>
            <w:pPr>
              <w:spacing w:after="0"/>
              <w:rPr>
                <w:sz w:val="18"/>
                <w:szCs w:val="18"/>
                <w:color w:val="auto"/>
              </w:rPr>
            </w:pPr>
          </w:p>
        </w:tc>
        <w:tc>
          <w:tcPr>
            <w:tcW w:w="1480" w:type="dxa"/>
            <w:vAlign w:val="bottom"/>
            <w:gridSpan w:val="2"/>
          </w:tcPr>
          <w:p>
            <w:pPr>
              <w:jc w:val="right"/>
              <w:ind w:right="940"/>
              <w:spacing w:after="0"/>
              <w:rPr>
                <w:sz w:val="20"/>
                <w:szCs w:val="20"/>
                <w:color w:val="auto"/>
              </w:rPr>
            </w:pPr>
            <w:r>
              <w:rPr>
                <w:rFonts w:ascii="Arial" w:cs="Arial" w:eastAsia="Arial" w:hAnsi="Arial"/>
                <w:sz w:val="18"/>
                <w:szCs w:val="18"/>
                <w:color w:val="auto"/>
              </w:rPr>
              <w:t>5.4</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5.0</w:t>
            </w: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r>
      <w:tr>
        <w:trPr>
          <w:trHeight w:val="216"/>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1.6%</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1.6%</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0.8%</w:t>
            </w:r>
          </w:p>
        </w:tc>
      </w:tr>
      <w:tr>
        <w:trPr>
          <w:trHeight w:val="222"/>
        </w:trPr>
        <w:tc>
          <w:tcPr>
            <w:tcW w:w="542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60" w:type="dxa"/>
            <w:vAlign w:val="bottom"/>
          </w:tcPr>
          <w:p>
            <w:pPr>
              <w:spacing w:after="0"/>
              <w:rPr>
                <w:sz w:val="19"/>
                <w:szCs w:val="19"/>
                <w:color w:val="auto"/>
              </w:rPr>
            </w:pPr>
          </w:p>
        </w:tc>
        <w:tc>
          <w:tcPr>
            <w:tcW w:w="1480" w:type="dxa"/>
            <w:vAlign w:val="bottom"/>
            <w:gridSpan w:val="2"/>
          </w:tcPr>
          <w:p>
            <w:pPr>
              <w:jc w:val="right"/>
              <w:ind w:right="800"/>
              <w:spacing w:after="0"/>
              <w:rPr>
                <w:sz w:val="20"/>
                <w:szCs w:val="20"/>
                <w:color w:val="auto"/>
              </w:rPr>
            </w:pPr>
            <w:r>
              <w:rPr>
                <w:rFonts w:ascii="Arial" w:cs="Arial" w:eastAsia="Arial" w:hAnsi="Arial"/>
                <w:sz w:val="18"/>
                <w:szCs w:val="18"/>
                <w:color w:val="auto"/>
              </w:rPr>
              <w:t>1.8%</w:t>
            </w:r>
          </w:p>
        </w:tc>
        <w:tc>
          <w:tcPr>
            <w:tcW w:w="140" w:type="dxa"/>
            <w:vAlign w:val="bottom"/>
          </w:tcPr>
          <w:p>
            <w:pPr>
              <w:spacing w:after="0"/>
              <w:rPr>
                <w:sz w:val="19"/>
                <w:szCs w:val="19"/>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1.6%</w:t>
            </w: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2.4%</w:t>
            </w:r>
          </w:p>
        </w:tc>
      </w:tr>
    </w:tbl>
    <w:p>
      <w:pPr>
        <w:spacing w:after="0" w:line="14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There have been no market-based stock option grants since fiscal 2012, when the Company issued 3.1 million stock options with a market-based condition for a group of senior employees. The market price conditions were not met within the five years from date of grant and these stock options automatically expired in April 2016. The fair value of each market-based stock option award was estimated on the date of grant using a Monte Carlo simulation model that uses assumptions as then determined, including the same volatility applied to the Company’s time-based options that were granted in the same period. Because a Monte Carlo simulation model incorporates ranges of assumptions for inputs, those ranges are disclosed where applicable. The Company uses historical data to estimate employee termination within the valuation model. The expected term was 2.66 years for market-based stock options granted in fiscal 2012 and was derived from the output of the valuation model and represents the period of time that options granted are expected to be outstanding.</w:t>
      </w:r>
    </w:p>
    <w:p>
      <w:pPr>
        <w:spacing w:after="0" w:line="15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54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4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5420" w:type="dxa"/>
            <w:vAlign w:val="bottom"/>
          </w:tcPr>
          <w:p>
            <w:pPr>
              <w:spacing w:after="0"/>
              <w:rPr>
                <w:sz w:val="11"/>
                <w:szCs w:val="11"/>
                <w:color w:val="auto"/>
              </w:rPr>
            </w:pPr>
          </w:p>
        </w:tc>
        <w:tc>
          <w:tcPr>
            <w:tcW w:w="16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12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400" w:type="dxa"/>
            <w:vAlign w:val="bottom"/>
          </w:tcPr>
          <w:p>
            <w:pPr>
              <w:spacing w:after="0"/>
              <w:rPr>
                <w:sz w:val="11"/>
                <w:szCs w:val="11"/>
                <w:color w:val="auto"/>
              </w:rPr>
            </w:pPr>
          </w:p>
        </w:tc>
        <w:tc>
          <w:tcPr>
            <w:tcW w:w="68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200" w:type="dxa"/>
            <w:vAlign w:val="bottom"/>
          </w:tcPr>
          <w:p>
            <w:pPr>
              <w:spacing w:after="0"/>
              <w:rPr>
                <w:sz w:val="11"/>
                <w:szCs w:val="11"/>
                <w:color w:val="auto"/>
              </w:rPr>
            </w:pPr>
          </w:p>
        </w:tc>
      </w:tr>
      <w:tr>
        <w:trPr>
          <w:trHeight w:val="161"/>
        </w:trPr>
        <w:tc>
          <w:tcPr>
            <w:tcW w:w="54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2016</w:t>
            </w:r>
          </w:p>
        </w:tc>
        <w:tc>
          <w:tcPr>
            <w:tcW w:w="9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56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83"/>
              </w:rPr>
              <w:t>2014</w:t>
            </w:r>
          </w:p>
        </w:tc>
        <w:tc>
          <w:tcPr>
            <w:tcW w:w="200" w:type="dxa"/>
            <w:vAlign w:val="bottom"/>
            <w:tcBorders>
              <w:bottom w:val="single" w:sz="8" w:color="CCEEFF"/>
            </w:tcBorders>
          </w:tcPr>
          <w:p>
            <w:pPr>
              <w:spacing w:after="0"/>
              <w:rPr>
                <w:sz w:val="14"/>
                <w:szCs w:val="14"/>
                <w:color w:val="auto"/>
              </w:rPr>
            </w:pPr>
          </w:p>
        </w:tc>
      </w:tr>
      <w:tr>
        <w:trPr>
          <w:trHeight w:val="196"/>
        </w:trPr>
        <w:tc>
          <w:tcPr>
            <w:tcW w:w="5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420" w:type="dxa"/>
            <w:vAlign w:val="bottom"/>
          </w:tcPr>
          <w:p>
            <w:pPr>
              <w:spacing w:after="0"/>
              <w:rPr>
                <w:sz w:val="20"/>
                <w:szCs w:val="20"/>
                <w:color w:val="auto"/>
              </w:rPr>
            </w:pPr>
            <w:r>
              <w:rPr>
                <w:rFonts w:ascii="Arial" w:cs="Arial" w:eastAsia="Arial" w:hAnsi="Arial"/>
                <w:sz w:val="18"/>
                <w:szCs w:val="18"/>
                <w:color w:val="auto"/>
              </w:rPr>
              <w:t>Estimated fair value</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480" w:type="dxa"/>
            <w:vAlign w:val="bottom"/>
            <w:gridSpan w:val="2"/>
          </w:tcPr>
          <w:p>
            <w:pPr>
              <w:jc w:val="right"/>
              <w:ind w:right="940"/>
              <w:spacing w:after="0"/>
              <w:rPr>
                <w:sz w:val="20"/>
                <w:szCs w:val="20"/>
                <w:color w:val="auto"/>
              </w:rPr>
            </w:pPr>
            <w:r>
              <w:rPr>
                <w:rFonts w:ascii="Arial" w:cs="Arial" w:eastAsia="Arial" w:hAnsi="Arial"/>
                <w:sz w:val="18"/>
                <w:szCs w:val="18"/>
                <w:color w:val="auto"/>
              </w:rPr>
              <w:t>3.24</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4.10</w:t>
            </w:r>
          </w:p>
        </w:tc>
        <w:tc>
          <w:tcPr>
            <w:tcW w:w="56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3.65</w:t>
            </w:r>
          </w:p>
        </w:tc>
        <w:tc>
          <w:tcPr>
            <w:tcW w:w="200" w:type="dxa"/>
            <w:vAlign w:val="bottom"/>
          </w:tcPr>
          <w:p>
            <w:pPr>
              <w:spacing w:after="0"/>
              <w:rPr>
                <w:sz w:val="18"/>
                <w:szCs w:val="18"/>
                <w:color w:val="auto"/>
              </w:rPr>
            </w:pPr>
          </w:p>
        </w:tc>
      </w:tr>
      <w:tr>
        <w:trPr>
          <w:trHeight w:val="216"/>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41%</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30%</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w:t>
            </w:r>
          </w:p>
        </w:tc>
      </w:tr>
      <w:tr>
        <w:trPr>
          <w:trHeight w:val="216"/>
        </w:trPr>
        <w:tc>
          <w:tcPr>
            <w:tcW w:w="54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tcPr>
          <w:p>
            <w:pPr>
              <w:spacing w:after="0"/>
              <w:rPr>
                <w:sz w:val="18"/>
                <w:szCs w:val="18"/>
                <w:color w:val="auto"/>
              </w:rPr>
            </w:pPr>
          </w:p>
        </w:tc>
        <w:tc>
          <w:tcPr>
            <w:tcW w:w="1480" w:type="dxa"/>
            <w:vAlign w:val="bottom"/>
            <w:gridSpan w:val="2"/>
          </w:tcPr>
          <w:p>
            <w:pPr>
              <w:jc w:val="right"/>
              <w:ind w:right="940"/>
              <w:spacing w:after="0"/>
              <w:rPr>
                <w:sz w:val="20"/>
                <w:szCs w:val="20"/>
                <w:color w:val="auto"/>
              </w:rPr>
            </w:pPr>
            <w:r>
              <w:rPr>
                <w:rFonts w:ascii="Arial" w:cs="Arial" w:eastAsia="Arial" w:hAnsi="Arial"/>
                <w:sz w:val="18"/>
                <w:szCs w:val="18"/>
                <w:color w:val="auto"/>
              </w:rPr>
              <w:t>1.3</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1.3</w:t>
            </w: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r>
      <w:tr>
        <w:trPr>
          <w:trHeight w:val="216"/>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0.6%</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0.3%</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r>
      <w:tr>
        <w:trPr>
          <w:trHeight w:val="222"/>
        </w:trPr>
        <w:tc>
          <w:tcPr>
            <w:tcW w:w="542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60" w:type="dxa"/>
            <w:vAlign w:val="bottom"/>
          </w:tcPr>
          <w:p>
            <w:pPr>
              <w:spacing w:after="0"/>
              <w:rPr>
                <w:sz w:val="19"/>
                <w:szCs w:val="19"/>
                <w:color w:val="auto"/>
              </w:rPr>
            </w:pPr>
          </w:p>
        </w:tc>
        <w:tc>
          <w:tcPr>
            <w:tcW w:w="1480" w:type="dxa"/>
            <w:vAlign w:val="bottom"/>
            <w:gridSpan w:val="2"/>
          </w:tcPr>
          <w:p>
            <w:pPr>
              <w:jc w:val="right"/>
              <w:ind w:right="800"/>
              <w:spacing w:after="0"/>
              <w:rPr>
                <w:sz w:val="20"/>
                <w:szCs w:val="20"/>
                <w:color w:val="auto"/>
              </w:rPr>
            </w:pPr>
            <w:r>
              <w:rPr>
                <w:rFonts w:ascii="Arial" w:cs="Arial" w:eastAsia="Arial" w:hAnsi="Arial"/>
                <w:sz w:val="18"/>
                <w:szCs w:val="18"/>
                <w:color w:val="auto"/>
              </w:rPr>
              <w:t>2.4%</w:t>
            </w:r>
          </w:p>
        </w:tc>
        <w:tc>
          <w:tcPr>
            <w:tcW w:w="140" w:type="dxa"/>
            <w:vAlign w:val="bottom"/>
          </w:tcPr>
          <w:p>
            <w:pPr>
              <w:spacing w:after="0"/>
              <w:rPr>
                <w:sz w:val="19"/>
                <w:szCs w:val="19"/>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1.6%</w:t>
            </w: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2.0%</w:t>
            </w:r>
          </w:p>
        </w:tc>
      </w:tr>
      <w:tr>
        <w:trPr>
          <w:trHeight w:val="345"/>
        </w:trPr>
        <w:tc>
          <w:tcPr>
            <w:tcW w:w="5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r>
      <w:tr>
        <w:trPr>
          <w:trHeight w:val="129"/>
        </w:trPr>
        <w:tc>
          <w:tcPr>
            <w:tcW w:w="5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8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January 30,</w:t>
            </w:r>
          </w:p>
        </w:tc>
        <w:tc>
          <w:tcPr>
            <w:tcW w:w="200" w:type="dxa"/>
            <w:vAlign w:val="bottom"/>
          </w:tcPr>
          <w:p>
            <w:pPr>
              <w:spacing w:after="0"/>
              <w:rPr>
                <w:sz w:val="11"/>
                <w:szCs w:val="11"/>
                <w:color w:val="auto"/>
              </w:rPr>
            </w:pPr>
          </w:p>
        </w:tc>
      </w:tr>
      <w:tr>
        <w:trPr>
          <w:trHeight w:val="161"/>
        </w:trPr>
        <w:tc>
          <w:tcPr>
            <w:tcW w:w="54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9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56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83"/>
              </w:rPr>
              <w:t>2016</w:t>
            </w:r>
          </w:p>
        </w:tc>
        <w:tc>
          <w:tcPr>
            <w:tcW w:w="200" w:type="dxa"/>
            <w:vAlign w:val="bottom"/>
            <w:tcBorders>
              <w:bottom w:val="single" w:sz="8" w:color="CCEEFF"/>
            </w:tcBorders>
          </w:tcPr>
          <w:p>
            <w:pPr>
              <w:spacing w:after="0"/>
              <w:rPr>
                <w:sz w:val="14"/>
                <w:szCs w:val="14"/>
                <w:color w:val="auto"/>
              </w:rPr>
            </w:pPr>
          </w:p>
        </w:tc>
      </w:tr>
      <w:tr>
        <w:trPr>
          <w:trHeight w:val="196"/>
        </w:trPr>
        <w:tc>
          <w:tcPr>
            <w:tcW w:w="5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Total Shareholder Return Awards:</w:t>
            </w: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4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2.0</w:t>
            </w:r>
          </w:p>
        </w:tc>
        <w:tc>
          <w:tcPr>
            <w:tcW w:w="200" w:type="dxa"/>
            <w:vAlign w:val="bottom"/>
          </w:tcPr>
          <w:p>
            <w:pPr>
              <w:spacing w:after="0"/>
              <w:rPr>
                <w:sz w:val="18"/>
                <w:szCs w:val="18"/>
                <w:color w:val="auto"/>
              </w:rPr>
            </w:pPr>
          </w:p>
        </w:tc>
      </w:tr>
      <w:tr>
        <w:trPr>
          <w:trHeight w:val="216"/>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w:t>
            </w:r>
          </w:p>
        </w:tc>
      </w:tr>
      <w:tr>
        <w:trPr>
          <w:trHeight w:val="216"/>
        </w:trPr>
        <w:tc>
          <w:tcPr>
            <w:tcW w:w="5420" w:type="dxa"/>
            <w:vAlign w:val="bottom"/>
          </w:tcPr>
          <w:p>
            <w:pPr>
              <w:spacing w:after="0"/>
              <w:rPr>
                <w:sz w:val="20"/>
                <w:szCs w:val="20"/>
                <w:color w:val="auto"/>
              </w:rPr>
            </w:pPr>
            <w:r>
              <w:rPr>
                <w:rFonts w:ascii="Arial" w:cs="Arial" w:eastAsia="Arial" w:hAnsi="Arial"/>
                <w:sz w:val="18"/>
                <w:szCs w:val="18"/>
                <w:color w:val="auto"/>
              </w:rPr>
              <w:t>Average correlation coefficient of peer companies</w:t>
            </w: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0.4%</w:t>
            </w:r>
          </w:p>
        </w:tc>
      </w:tr>
      <w:tr>
        <w:trPr>
          <w:trHeight w:val="216"/>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0.5%</w:t>
            </w:r>
          </w:p>
        </w:tc>
      </w:tr>
      <w:tr>
        <w:trPr>
          <w:trHeight w:val="222"/>
        </w:trPr>
        <w:tc>
          <w:tcPr>
            <w:tcW w:w="542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1.7%</w:t>
            </w:r>
          </w:p>
        </w:tc>
      </w:tr>
    </w:tbl>
    <w:p>
      <w:pPr>
        <w:spacing w:after="0" w:line="147"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correlation coefficients are calculated based upon the price data used to calculate the historical volatilities and is used to model the way in which each entity tends to move in relation to its peers.</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340"/>
          </w:cols>
          <w:pgMar w:left="240" w:top="459" w:right="31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Company’s board of directors initially authorized its current share repurchase program to repurchase up to $500 million of its outstanding common shares in August 2010. Since then, the Company’s board of directors has authorized an additional $2.75 billion for a total available under the program of $3.25 billion to be used to repurchase its common shares.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20"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The Company repurchased 19.7 million of its common shares for $260.9 million, 5.1 million of its common shares for $65.0 million and 33.1 million of its common shares for $354.1 million in cash during fiscal 2016, 2015 and 2014, respectively. All of the repurchased shares were retired immediately after the repurchases were completed. The Company records all repurchases, as well as investment purchases and sales, based on their trade date. As of January 30, 2016, a total of 241.6 million shares have been repurchased to date under the Company’s share repurchase program for a total $3.1 billion in cash and there was $182.6 million remaining available for future share repurchases. The Company has made no subsequent share repurchases since its third quarter of fiscal 2016.</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3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3"/>
              </w:rPr>
              <w:t>January 30,</w:t>
            </w:r>
          </w:p>
        </w:tc>
        <w:tc>
          <w:tcPr>
            <w:tcW w:w="660" w:type="dxa"/>
            <w:vAlign w:val="bottom"/>
          </w:tcPr>
          <w:p>
            <w:pPr>
              <w:spacing w:after="0"/>
              <w:rPr>
                <w:sz w:val="11"/>
                <w:szCs w:val="11"/>
                <w:color w:val="auto"/>
              </w:rPr>
            </w:pPr>
          </w:p>
        </w:tc>
        <w:tc>
          <w:tcPr>
            <w:tcW w:w="10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34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2016</w:t>
            </w:r>
          </w:p>
        </w:tc>
        <w:tc>
          <w:tcPr>
            <w:tcW w:w="6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6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3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00" w:type="dxa"/>
            <w:vAlign w:val="bottom"/>
            <w:vMerge w:val="restart"/>
          </w:tcPr>
          <w:p>
            <w:pPr>
              <w:spacing w:after="0"/>
              <w:rPr>
                <w:sz w:val="20"/>
                <w:szCs w:val="20"/>
                <w:color w:val="auto"/>
              </w:rPr>
            </w:pPr>
            <w:r>
              <w:rPr>
                <w:rFonts w:ascii="Arial" w:cs="Arial" w:eastAsia="Arial" w:hAnsi="Arial"/>
                <w:sz w:val="18"/>
                <w:szCs w:val="18"/>
                <w:color w:val="auto"/>
              </w:rPr>
              <w:t>Total payment to shareholders (in thousands)</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00" w:type="dxa"/>
            <w:vAlign w:val="bottom"/>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122,821</w:t>
            </w:r>
          </w:p>
        </w:tc>
        <w:tc>
          <w:tcPr>
            <w:tcW w:w="780" w:type="dxa"/>
            <w:vAlign w:val="bottom"/>
            <w:gridSpan w:val="2"/>
          </w:tcPr>
          <w:p>
            <w:pPr>
              <w:ind w:left="660"/>
              <w:spacing w:after="0"/>
              <w:rPr>
                <w:sz w:val="20"/>
                <w:szCs w:val="20"/>
                <w:color w:val="auto"/>
              </w:rPr>
            </w:pPr>
            <w:r>
              <w:rPr>
                <w:rFonts w:ascii="Arial" w:cs="Arial" w:eastAsia="Arial" w:hAnsi="Arial"/>
                <w:sz w:val="18"/>
                <w:szCs w:val="18"/>
                <w:color w:val="auto"/>
                <w:w w:val="9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122,801</w:t>
            </w:r>
          </w:p>
        </w:tc>
        <w:tc>
          <w:tcPr>
            <w:tcW w:w="440" w:type="dxa"/>
            <w:vAlign w:val="bottom"/>
            <w:gridSpan w:val="2"/>
          </w:tcPr>
          <w:p>
            <w:pPr>
              <w:ind w:left="34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119,449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On March 16, 2016, the Company announced that its board of directors declared a cash dividend of $0.06 per share that was paid on April 22, 2016 to shareholders of record as of March 29, 2016 and on May 18, 2016, it announced that its board of directors declared a cash dividend of $0.06 per share that was paid on July 12, 2016 to shareholders of record as of June 14, 2016.</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operates in one reportable segment — the design, development and sale of integrated circuits. The chief executive officer was identified as the chief operating decision maker (“CODM”) for the years ended January 30, 2016, January 31, 2015 and February 1, 2014. The Company’s CODM is ultimately responsible and actively involved in the allocation of resources and the assessment of the Company’s performance. The fact that the Company operates in only one reportable segment is based on the following:</w:t>
      </w:r>
    </w:p>
    <w:p>
      <w:pPr>
        <w:spacing w:after="0" w:line="62" w:lineRule="exact"/>
        <w:rPr>
          <w:sz w:val="20"/>
          <w:szCs w:val="20"/>
          <w:color w:val="auto"/>
        </w:rPr>
      </w:pPr>
    </w:p>
    <w:p>
      <w:pPr>
        <w:ind w:left="900" w:right="200" w:hanging="325"/>
        <w:spacing w:after="0" w:line="259" w:lineRule="auto"/>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Company uses a highly-integrated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59"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380"/>
          </w:cols>
          <w:pgMar w:left="240" w:top="459" w:right="27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left="900" w:right="360" w:hanging="325"/>
        <w:spacing w:after="0" w:line="268" w:lineRule="auto"/>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spacing w:after="0" w:line="50" w:lineRule="exact"/>
        <w:rPr>
          <w:rFonts w:ascii="Arial" w:cs="Arial" w:eastAsia="Arial" w:hAnsi="Arial"/>
          <w:sz w:val="18"/>
          <w:szCs w:val="18"/>
          <w:color w:val="auto"/>
        </w:rPr>
      </w:pPr>
    </w:p>
    <w:p>
      <w:pPr>
        <w:ind w:left="900" w:right="600" w:hanging="325"/>
        <w:spacing w:after="0" w:line="268" w:lineRule="auto"/>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hands-on involvement with the Company’s operations and product development.</w:t>
      </w:r>
    </w:p>
    <w:p>
      <w:pPr>
        <w:spacing w:after="0" w:line="132"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7520" w:type="dxa"/>
            <w:vAlign w:val="bottom"/>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4"/>
          </w:tcPr>
          <w:p>
            <w:pPr>
              <w:jc w:val="center"/>
              <w:ind w:right="40"/>
              <w:spacing w:after="0"/>
              <w:rPr>
                <w:sz w:val="20"/>
                <w:szCs w:val="20"/>
                <w:color w:val="auto"/>
              </w:rPr>
            </w:pPr>
            <w:r>
              <w:rPr>
                <w:rFonts w:ascii="Arial" w:cs="Arial" w:eastAsia="Arial" w:hAnsi="Arial"/>
                <w:sz w:val="14"/>
                <w:szCs w:val="14"/>
                <w:b w:val="1"/>
                <w:bCs w:val="1"/>
                <w:color w:val="auto"/>
                <w:w w:val="88"/>
              </w:rPr>
              <w:t>Year Ended</w:t>
            </w:r>
          </w:p>
        </w:tc>
        <w:tc>
          <w:tcPr>
            <w:tcW w:w="6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7520" w:type="dxa"/>
            <w:vAlign w:val="bottom"/>
          </w:tcPr>
          <w:p>
            <w:pPr>
              <w:spacing w:after="0"/>
              <w:rPr>
                <w:sz w:val="11"/>
                <w:szCs w:val="11"/>
                <w:color w:val="auto"/>
              </w:rPr>
            </w:pPr>
          </w:p>
        </w:tc>
        <w:tc>
          <w:tcPr>
            <w:tcW w:w="900" w:type="dxa"/>
            <w:vAlign w:val="bottom"/>
            <w:gridSpan w:val="2"/>
          </w:tcPr>
          <w:p>
            <w:pPr>
              <w:jc w:val="center"/>
              <w:ind w:right="60"/>
              <w:spacing w:after="0" w:line="129" w:lineRule="exact"/>
              <w:rPr>
                <w:sz w:val="20"/>
                <w:szCs w:val="20"/>
                <w:color w:val="auto"/>
              </w:rPr>
            </w:pPr>
            <w:r>
              <w:rPr>
                <w:rFonts w:ascii="Arial" w:cs="Arial" w:eastAsia="Arial" w:hAnsi="Arial"/>
                <w:sz w:val="14"/>
                <w:szCs w:val="14"/>
                <w:b w:val="1"/>
                <w:bCs w:val="1"/>
                <w:color w:val="auto"/>
                <w:w w:val="88"/>
              </w:rPr>
              <w:t>January 30,</w:t>
            </w:r>
          </w:p>
        </w:tc>
        <w:tc>
          <w:tcPr>
            <w:tcW w:w="360" w:type="dxa"/>
            <w:vAlign w:val="bottom"/>
          </w:tcPr>
          <w:p>
            <w:pPr>
              <w:spacing w:after="0"/>
              <w:rPr>
                <w:sz w:val="11"/>
                <w:szCs w:val="11"/>
                <w:color w:val="auto"/>
              </w:rPr>
            </w:pPr>
          </w:p>
        </w:tc>
        <w:tc>
          <w:tcPr>
            <w:tcW w:w="880" w:type="dxa"/>
            <w:vAlign w:val="bottom"/>
            <w:gridSpan w:val="4"/>
          </w:tcPr>
          <w:p>
            <w:pPr>
              <w:jc w:val="center"/>
              <w:ind w:right="80"/>
              <w:spacing w:after="0" w:line="129" w:lineRule="exact"/>
              <w:rPr>
                <w:sz w:val="20"/>
                <w:szCs w:val="20"/>
                <w:color w:val="auto"/>
              </w:rPr>
            </w:pPr>
            <w:r>
              <w:rPr>
                <w:rFonts w:ascii="Arial" w:cs="Arial" w:eastAsia="Arial" w:hAnsi="Arial"/>
                <w:sz w:val="14"/>
                <w:szCs w:val="14"/>
                <w:b w:val="1"/>
                <w:bCs w:val="1"/>
                <w:color w:val="auto"/>
                <w:w w:val="88"/>
              </w:rPr>
              <w:t>January 31,</w:t>
            </w:r>
          </w:p>
        </w:tc>
        <w:tc>
          <w:tcPr>
            <w:tcW w:w="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40" w:type="dxa"/>
            <w:vAlign w:val="bottom"/>
            <w:gridSpan w:val="4"/>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Borders>
              <w:bottom w:val="single" w:sz="8" w:color="CCEEFF"/>
            </w:tcBorders>
          </w:tcPr>
          <w:p>
            <w:pPr>
              <w:spacing w:after="0"/>
              <w:rPr>
                <w:sz w:val="14"/>
                <w:szCs w:val="14"/>
                <w:color w:val="auto"/>
              </w:rPr>
            </w:pPr>
          </w:p>
        </w:tc>
        <w:tc>
          <w:tcPr>
            <w:tcW w:w="7520" w:type="dxa"/>
            <w:vAlign w:val="bottom"/>
            <w:tcBorders>
              <w:bottom w:val="single" w:sz="8" w:color="CCEEFF"/>
            </w:tcBorders>
          </w:tcPr>
          <w:p>
            <w:pPr>
              <w:spacing w:after="0"/>
              <w:rPr>
                <w:sz w:val="14"/>
                <w:szCs w:val="14"/>
                <w:color w:val="auto"/>
              </w:rPr>
            </w:pPr>
          </w:p>
        </w:tc>
        <w:tc>
          <w:tcPr>
            <w:tcW w:w="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2016</w:t>
            </w:r>
          </w:p>
        </w:tc>
        <w:tc>
          <w:tcPr>
            <w:tcW w:w="8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89"/>
              </w:rPr>
              <w:t>2015</w:t>
            </w:r>
          </w:p>
        </w:tc>
        <w:tc>
          <w:tcPr>
            <w:tcW w:w="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gridSpan w:val="3"/>
          </w:tcPr>
          <w:p>
            <w:pPr>
              <w:jc w:val="center"/>
              <w:ind w:right="120"/>
              <w:spacing w:after="0"/>
              <w:rPr>
                <w:sz w:val="20"/>
                <w:szCs w:val="20"/>
                <w:color w:val="auto"/>
              </w:rPr>
            </w:pPr>
            <w:r>
              <w:rPr>
                <w:rFonts w:ascii="Arial" w:cs="Arial" w:eastAsia="Arial" w:hAnsi="Arial"/>
                <w:sz w:val="14"/>
                <w:szCs w:val="14"/>
                <w:b w:val="1"/>
                <w:bCs w:val="1"/>
                <w:color w:val="auto"/>
                <w:w w:val="89"/>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9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Net Revenue:</w:t>
            </w:r>
          </w:p>
        </w:tc>
        <w:tc>
          <w:tcPr>
            <w:tcW w:w="8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980" w:type="dxa"/>
            <w:vAlign w:val="bottom"/>
            <w:gridSpan w:val="2"/>
          </w:tcPr>
          <w:p>
            <w:pPr>
              <w:ind w:left="440"/>
              <w:spacing w:after="0"/>
              <w:rPr>
                <w:sz w:val="20"/>
                <w:szCs w:val="20"/>
                <w:color w:val="auto"/>
              </w:rPr>
            </w:pPr>
            <w:r>
              <w:rPr>
                <w:rFonts w:ascii="Arial" w:cs="Arial" w:eastAsia="Arial" w:hAnsi="Arial"/>
                <w:sz w:val="18"/>
                <w:szCs w:val="18"/>
                <w:color w:val="auto"/>
              </w:rPr>
              <w:t>United States</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   42,854</w:t>
            </w:r>
          </w:p>
        </w:tc>
        <w:tc>
          <w:tcPr>
            <w:tcW w:w="80" w:type="dxa"/>
            <w:vAlign w:val="bottom"/>
          </w:tcPr>
          <w:p>
            <w:pPr>
              <w:spacing w:after="0"/>
              <w:rPr>
                <w:sz w:val="18"/>
                <w:szCs w:val="18"/>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3"/>
          </w:tcPr>
          <w:p>
            <w:pPr>
              <w:jc w:val="right"/>
              <w:ind w:right="60"/>
              <w:spacing w:after="0"/>
              <w:rPr>
                <w:sz w:val="20"/>
                <w:szCs w:val="20"/>
                <w:color w:val="auto"/>
              </w:rPr>
            </w:pPr>
            <w:r>
              <w:rPr>
                <w:rFonts w:ascii="Arial" w:cs="Arial" w:eastAsia="Arial" w:hAnsi="Arial"/>
                <w:sz w:val="18"/>
                <w:szCs w:val="18"/>
                <w:color w:val="auto"/>
              </w:rPr>
              <w:t>62,333</w:t>
            </w:r>
          </w:p>
        </w:tc>
        <w:tc>
          <w:tcPr>
            <w:tcW w:w="480" w:type="dxa"/>
            <w:vAlign w:val="bottom"/>
            <w:gridSpan w:val="3"/>
          </w:tcPr>
          <w:p>
            <w:pPr>
              <w:jc w:val="center"/>
              <w:ind w:left="254"/>
              <w:spacing w:after="0"/>
              <w:rPr>
                <w:sz w:val="20"/>
                <w:szCs w:val="20"/>
                <w:color w:val="auto"/>
              </w:rPr>
            </w:pPr>
            <w:r>
              <w:rPr>
                <w:rFonts w:ascii="Arial" w:cs="Arial" w:eastAsia="Arial" w:hAnsi="Arial"/>
                <w:sz w:val="18"/>
                <w:szCs w:val="18"/>
                <w:color w:val="auto"/>
                <w:w w:val="99"/>
              </w:rPr>
              <w:t>$</w:t>
            </w:r>
          </w:p>
        </w:tc>
        <w:tc>
          <w:tcPr>
            <w:tcW w:w="820" w:type="dxa"/>
            <w:vAlign w:val="bottom"/>
            <w:gridSpan w:val="4"/>
          </w:tcPr>
          <w:p>
            <w:pPr>
              <w:jc w:val="right"/>
              <w:ind w:right="100"/>
              <w:spacing w:after="0"/>
              <w:rPr>
                <w:sz w:val="20"/>
                <w:szCs w:val="20"/>
                <w:color w:val="auto"/>
              </w:rPr>
            </w:pPr>
            <w:r>
              <w:rPr>
                <w:rFonts w:ascii="Arial" w:cs="Arial" w:eastAsia="Arial" w:hAnsi="Arial"/>
                <w:sz w:val="18"/>
                <w:szCs w:val="18"/>
                <w:color w:val="auto"/>
              </w:rPr>
              <w:t>68,321</w:t>
            </w:r>
          </w:p>
        </w:tc>
        <w:tc>
          <w:tcPr>
            <w:tcW w:w="0" w:type="dxa"/>
            <w:vAlign w:val="bottom"/>
          </w:tcPr>
          <w:p>
            <w:pPr>
              <w:spacing w:after="0"/>
              <w:rPr>
                <w:sz w:val="1"/>
                <w:szCs w:val="1"/>
                <w:color w:val="auto"/>
              </w:rPr>
            </w:pPr>
          </w:p>
        </w:tc>
      </w:tr>
      <w:tr>
        <w:trPr>
          <w:trHeight w:val="216"/>
        </w:trPr>
        <w:tc>
          <w:tcPr>
            <w:tcW w:w="79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China</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1,569,147</w:t>
            </w: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87"/>
              </w:rPr>
              <w:t>2,214,876</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w w:val="87"/>
              </w:rPr>
              <w:t>1,869,381</w:t>
            </w:r>
          </w:p>
        </w:tc>
        <w:tc>
          <w:tcPr>
            <w:tcW w:w="0" w:type="dxa"/>
            <w:vAlign w:val="bottom"/>
          </w:tcPr>
          <w:p>
            <w:pPr>
              <w:spacing w:after="0"/>
              <w:rPr>
                <w:sz w:val="1"/>
                <w:szCs w:val="1"/>
                <w:color w:val="auto"/>
              </w:rPr>
            </w:pPr>
          </w:p>
        </w:tc>
      </w:tr>
      <w:tr>
        <w:trPr>
          <w:trHeight w:val="216"/>
        </w:trPr>
        <w:tc>
          <w:tcPr>
            <w:tcW w:w="7980" w:type="dxa"/>
            <w:vAlign w:val="bottom"/>
            <w:gridSpan w:val="2"/>
          </w:tcPr>
          <w:p>
            <w:pPr>
              <w:ind w:left="440"/>
              <w:spacing w:after="0"/>
              <w:rPr>
                <w:sz w:val="20"/>
                <w:szCs w:val="20"/>
                <w:color w:val="auto"/>
              </w:rPr>
            </w:pPr>
            <w:r>
              <w:rPr>
                <w:rFonts w:ascii="Arial" w:cs="Arial" w:eastAsia="Arial" w:hAnsi="Arial"/>
                <w:sz w:val="18"/>
                <w:szCs w:val="18"/>
                <w:color w:val="auto"/>
              </w:rPr>
              <w:t>Thailand</w:t>
            </w:r>
          </w:p>
        </w:tc>
        <w:tc>
          <w:tcPr>
            <w:tcW w:w="820" w:type="dxa"/>
            <w:vAlign w:val="bottom"/>
          </w:tcPr>
          <w:p>
            <w:pPr>
              <w:jc w:val="right"/>
              <w:spacing w:after="0"/>
              <w:rPr>
                <w:sz w:val="20"/>
                <w:szCs w:val="20"/>
                <w:color w:val="auto"/>
              </w:rPr>
            </w:pPr>
            <w:r>
              <w:rPr>
                <w:rFonts w:ascii="Arial" w:cs="Arial" w:eastAsia="Arial" w:hAnsi="Arial"/>
                <w:sz w:val="18"/>
                <w:szCs w:val="18"/>
                <w:color w:val="auto"/>
              </w:rPr>
              <w:t>189,299</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8"/>
                <w:szCs w:val="18"/>
                <w:color w:val="auto"/>
              </w:rPr>
              <w:t>294,706</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4"/>
          </w:tcPr>
          <w:p>
            <w:pPr>
              <w:jc w:val="right"/>
              <w:ind w:right="100"/>
              <w:spacing w:after="0"/>
              <w:rPr>
                <w:sz w:val="20"/>
                <w:szCs w:val="20"/>
                <w:color w:val="auto"/>
              </w:rPr>
            </w:pPr>
            <w:r>
              <w:rPr>
                <w:rFonts w:ascii="Arial" w:cs="Arial" w:eastAsia="Arial" w:hAnsi="Arial"/>
                <w:sz w:val="18"/>
                <w:szCs w:val="18"/>
                <w:color w:val="auto"/>
              </w:rPr>
              <w:t>353,363</w:t>
            </w:r>
          </w:p>
        </w:tc>
        <w:tc>
          <w:tcPr>
            <w:tcW w:w="0" w:type="dxa"/>
            <w:vAlign w:val="bottom"/>
          </w:tcPr>
          <w:p>
            <w:pPr>
              <w:spacing w:after="0"/>
              <w:rPr>
                <w:sz w:val="1"/>
                <w:szCs w:val="1"/>
                <w:color w:val="auto"/>
              </w:rPr>
            </w:pPr>
          </w:p>
        </w:tc>
      </w:tr>
      <w:tr>
        <w:trPr>
          <w:trHeight w:val="216"/>
        </w:trPr>
        <w:tc>
          <w:tcPr>
            <w:tcW w:w="79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Malaysia</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302,953</w:t>
            </w: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377,903</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352,756</w:t>
            </w:r>
          </w:p>
        </w:tc>
        <w:tc>
          <w:tcPr>
            <w:tcW w:w="0" w:type="dxa"/>
            <w:vAlign w:val="bottom"/>
          </w:tcPr>
          <w:p>
            <w:pPr>
              <w:spacing w:after="0"/>
              <w:rPr>
                <w:sz w:val="1"/>
                <w:szCs w:val="1"/>
                <w:color w:val="auto"/>
              </w:rPr>
            </w:pPr>
          </w:p>
        </w:tc>
      </w:tr>
      <w:tr>
        <w:trPr>
          <w:trHeight w:val="216"/>
        </w:trPr>
        <w:tc>
          <w:tcPr>
            <w:tcW w:w="7980" w:type="dxa"/>
            <w:vAlign w:val="bottom"/>
            <w:gridSpan w:val="2"/>
          </w:tcPr>
          <w:p>
            <w:pPr>
              <w:ind w:left="440"/>
              <w:spacing w:after="0"/>
              <w:rPr>
                <w:sz w:val="20"/>
                <w:szCs w:val="20"/>
                <w:color w:val="auto"/>
              </w:rPr>
            </w:pPr>
            <w:r>
              <w:rPr>
                <w:rFonts w:ascii="Arial" w:cs="Arial" w:eastAsia="Arial" w:hAnsi="Arial"/>
                <w:sz w:val="18"/>
                <w:szCs w:val="18"/>
                <w:color w:val="auto"/>
              </w:rPr>
              <w:t>Philippines</w:t>
            </w:r>
          </w:p>
        </w:tc>
        <w:tc>
          <w:tcPr>
            <w:tcW w:w="820" w:type="dxa"/>
            <w:vAlign w:val="bottom"/>
          </w:tcPr>
          <w:p>
            <w:pPr>
              <w:jc w:val="right"/>
              <w:spacing w:after="0"/>
              <w:rPr>
                <w:sz w:val="20"/>
                <w:szCs w:val="20"/>
                <w:color w:val="auto"/>
              </w:rPr>
            </w:pPr>
            <w:r>
              <w:rPr>
                <w:rFonts w:ascii="Arial" w:cs="Arial" w:eastAsia="Arial" w:hAnsi="Arial"/>
                <w:sz w:val="18"/>
                <w:szCs w:val="18"/>
                <w:color w:val="auto"/>
              </w:rPr>
              <w:t>211,602</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8"/>
                <w:szCs w:val="18"/>
                <w:color w:val="auto"/>
              </w:rPr>
              <w:t>254,381</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4"/>
          </w:tcPr>
          <w:p>
            <w:pPr>
              <w:jc w:val="right"/>
              <w:ind w:right="100"/>
              <w:spacing w:after="0"/>
              <w:rPr>
                <w:sz w:val="20"/>
                <w:szCs w:val="20"/>
                <w:color w:val="auto"/>
              </w:rPr>
            </w:pPr>
            <w:r>
              <w:rPr>
                <w:rFonts w:ascii="Arial" w:cs="Arial" w:eastAsia="Arial" w:hAnsi="Arial"/>
                <w:sz w:val="18"/>
                <w:szCs w:val="18"/>
                <w:color w:val="auto"/>
              </w:rPr>
              <w:t>257,899</w:t>
            </w:r>
          </w:p>
        </w:tc>
        <w:tc>
          <w:tcPr>
            <w:tcW w:w="0" w:type="dxa"/>
            <w:vAlign w:val="bottom"/>
          </w:tcPr>
          <w:p>
            <w:pPr>
              <w:spacing w:after="0"/>
              <w:rPr>
                <w:sz w:val="1"/>
                <w:szCs w:val="1"/>
                <w:color w:val="auto"/>
              </w:rPr>
            </w:pPr>
          </w:p>
        </w:tc>
      </w:tr>
      <w:tr>
        <w:trPr>
          <w:trHeight w:val="216"/>
        </w:trPr>
        <w:tc>
          <w:tcPr>
            <w:tcW w:w="79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Others</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409,973</w:t>
            </w: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502,764</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502,680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0" w:type="dxa"/>
            <w:vAlign w:val="bottom"/>
          </w:tcPr>
          <w:p>
            <w:pPr>
              <w:spacing w:after="0"/>
              <w:rPr>
                <w:sz w:val="19"/>
                <w:szCs w:val="19"/>
                <w:color w:val="auto"/>
              </w:rPr>
            </w:pPr>
          </w:p>
        </w:tc>
        <w:tc>
          <w:tcPr>
            <w:tcW w:w="752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u w:val="single" w:color="auto"/>
                <w:color w:val="auto"/>
                <w:w w:val="84"/>
              </w:rPr>
              <w:t>$</w:t>
            </w:r>
            <w:r>
              <w:rPr>
                <w:rFonts w:ascii="Arial" w:cs="Arial" w:eastAsia="Arial" w:hAnsi="Arial"/>
                <w:sz w:val="18"/>
                <w:szCs w:val="18"/>
                <w:color w:val="auto"/>
                <w:w w:val="84"/>
              </w:rPr>
              <w:t xml:space="preserve"> 2,725,828</w:t>
            </w:r>
          </w:p>
        </w:tc>
        <w:tc>
          <w:tcPr>
            <w:tcW w:w="80" w:type="dxa"/>
            <w:vAlign w:val="bottom"/>
          </w:tcPr>
          <w:p>
            <w:pPr>
              <w:spacing w:after="0"/>
              <w:rPr>
                <w:sz w:val="19"/>
                <w:szCs w:val="19"/>
                <w:color w:val="auto"/>
              </w:rPr>
            </w:pPr>
          </w:p>
        </w:tc>
        <w:tc>
          <w:tcPr>
            <w:tcW w:w="1240" w:type="dxa"/>
            <w:vAlign w:val="bottom"/>
            <w:gridSpan w:val="5"/>
          </w:tcPr>
          <w:p>
            <w:pPr>
              <w:jc w:val="right"/>
              <w:ind w:right="60"/>
              <w:spacing w:after="0"/>
              <w:rPr>
                <w:sz w:val="20"/>
                <w:szCs w:val="20"/>
                <w:color w:val="auto"/>
              </w:rPr>
            </w:pPr>
            <w:r>
              <w:rPr>
                <w:rFonts w:ascii="Arial" w:cs="Arial" w:eastAsia="Arial" w:hAnsi="Arial"/>
                <w:sz w:val="18"/>
                <w:szCs w:val="18"/>
                <w:color w:val="auto"/>
              </w:rPr>
              <w:t>$ 3,706,963</w:t>
            </w:r>
          </w:p>
        </w:tc>
        <w:tc>
          <w:tcPr>
            <w:tcW w:w="1300" w:type="dxa"/>
            <w:vAlign w:val="bottom"/>
            <w:gridSpan w:val="7"/>
          </w:tcPr>
          <w:p>
            <w:pPr>
              <w:jc w:val="right"/>
              <w:ind w:right="100"/>
              <w:spacing w:after="0"/>
              <w:rPr>
                <w:sz w:val="20"/>
                <w:szCs w:val="20"/>
                <w:color w:val="auto"/>
              </w:rPr>
            </w:pPr>
            <w:r>
              <w:rPr>
                <w:rFonts w:ascii="Arial" w:cs="Arial" w:eastAsia="Arial" w:hAnsi="Arial"/>
                <w:sz w:val="18"/>
                <w:szCs w:val="18"/>
                <w:color w:val="auto"/>
              </w:rPr>
              <w:t>$ 3,404,400</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752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gridSpan w:val="2"/>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460" w:type="dxa"/>
            <w:vAlign w:val="bottom"/>
          </w:tcPr>
          <w:p>
            <w:pPr>
              <w:spacing w:after="0"/>
              <w:rPr>
                <w:sz w:val="24"/>
                <w:szCs w:val="24"/>
                <w:color w:val="auto"/>
              </w:rPr>
            </w:pPr>
          </w:p>
        </w:tc>
        <w:tc>
          <w:tcPr>
            <w:tcW w:w="75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40" w:type="dxa"/>
            <w:vAlign w:val="bottom"/>
            <w:gridSpan w:val="5"/>
          </w:tcPr>
          <w:p>
            <w:pPr>
              <w:jc w:val="center"/>
              <w:ind w:right="560"/>
              <w:spacing w:after="0"/>
              <w:rPr>
                <w:sz w:val="20"/>
                <w:szCs w:val="20"/>
                <w:color w:val="auto"/>
              </w:rPr>
            </w:pPr>
            <w:r>
              <w:rPr>
                <w:rFonts w:ascii="Arial" w:cs="Arial" w:eastAsia="Arial" w:hAnsi="Arial"/>
                <w:sz w:val="14"/>
                <w:szCs w:val="14"/>
                <w:b w:val="1"/>
                <w:bCs w:val="1"/>
                <w:color w:val="auto"/>
                <w:w w:val="88"/>
              </w:rPr>
              <w:t>January 30,</w:t>
            </w:r>
          </w:p>
        </w:tc>
        <w:tc>
          <w:tcPr>
            <w:tcW w:w="60" w:type="dxa"/>
            <w:vAlign w:val="bottom"/>
          </w:tcPr>
          <w:p>
            <w:pPr>
              <w:spacing w:after="0"/>
              <w:rPr>
                <w:sz w:val="24"/>
                <w:szCs w:val="24"/>
                <w:color w:val="auto"/>
              </w:rPr>
            </w:pPr>
          </w:p>
        </w:tc>
        <w:tc>
          <w:tcPr>
            <w:tcW w:w="1240" w:type="dxa"/>
            <w:vAlign w:val="bottom"/>
            <w:gridSpan w:val="6"/>
          </w:tcPr>
          <w:p>
            <w:pPr>
              <w:jc w:val="center"/>
              <w:ind w:right="56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75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gridSpan w:val="3"/>
          </w:tcPr>
          <w:p>
            <w:pPr>
              <w:jc w:val="right"/>
              <w:ind w:right="116"/>
              <w:spacing w:after="0"/>
              <w:rPr>
                <w:sz w:val="20"/>
                <w:szCs w:val="20"/>
                <w:color w:val="auto"/>
              </w:rPr>
            </w:pPr>
            <w:r>
              <w:rPr>
                <w:rFonts w:ascii="Arial" w:cs="Arial" w:eastAsia="Arial" w:hAnsi="Arial"/>
                <w:sz w:val="14"/>
                <w:szCs w:val="14"/>
                <w:b w:val="1"/>
                <w:bCs w:val="1"/>
                <w:color w:val="auto"/>
              </w:rPr>
              <w:t>2016</w:t>
            </w:r>
          </w:p>
        </w:tc>
        <w:tc>
          <w:tcPr>
            <w:tcW w:w="5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gridSpan w:val="4"/>
          </w:tcPr>
          <w:p>
            <w:pPr>
              <w:jc w:val="center"/>
              <w:spacing w:after="0"/>
              <w:rPr>
                <w:sz w:val="20"/>
                <w:szCs w:val="20"/>
                <w:color w:val="auto"/>
              </w:rPr>
            </w:pPr>
            <w:r>
              <w:rPr>
                <w:rFonts w:ascii="Arial" w:cs="Arial" w:eastAsia="Arial" w:hAnsi="Arial"/>
                <w:sz w:val="14"/>
                <w:szCs w:val="14"/>
                <w:b w:val="1"/>
                <w:bCs w:val="1"/>
                <w:color w:val="auto"/>
                <w:w w:val="89"/>
              </w:rPr>
              <w:t>2015</w:t>
            </w: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60" w:type="dxa"/>
            <w:vAlign w:val="bottom"/>
          </w:tcPr>
          <w:p>
            <w:pPr>
              <w:spacing w:after="0"/>
              <w:rPr>
                <w:sz w:val="17"/>
                <w:szCs w:val="17"/>
                <w:color w:val="auto"/>
              </w:rPr>
            </w:pPr>
          </w:p>
        </w:tc>
        <w:tc>
          <w:tcPr>
            <w:tcW w:w="75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8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520" w:type="dxa"/>
            <w:vAlign w:val="bottom"/>
          </w:tcPr>
          <w:p>
            <w:pPr>
              <w:spacing w:after="0"/>
              <w:rPr>
                <w:sz w:val="20"/>
                <w:szCs w:val="20"/>
                <w:color w:val="auto"/>
              </w:rPr>
            </w:pPr>
            <w:r>
              <w:rPr>
                <w:rFonts w:ascii="Arial" w:cs="Arial" w:eastAsia="Arial" w:hAnsi="Arial"/>
                <w:sz w:val="18"/>
                <w:szCs w:val="18"/>
                <w:color w:val="auto"/>
              </w:rPr>
              <w:t>Bermuda</w:t>
            </w:r>
          </w:p>
        </w:tc>
        <w:tc>
          <w:tcPr>
            <w:tcW w:w="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4"/>
          </w:tcPr>
          <w:p>
            <w:pPr>
              <w:jc w:val="right"/>
              <w:ind w:right="500"/>
              <w:spacing w:after="0"/>
              <w:rPr>
                <w:sz w:val="20"/>
                <w:szCs w:val="20"/>
                <w:color w:val="auto"/>
              </w:rPr>
            </w:pPr>
            <w:r>
              <w:rPr>
                <w:rFonts w:ascii="Arial" w:cs="Arial" w:eastAsia="Arial" w:hAnsi="Arial"/>
                <w:sz w:val="18"/>
                <w:szCs w:val="18"/>
                <w:color w:val="auto"/>
              </w:rPr>
              <w:t>$  3,093</w:t>
            </w:r>
          </w:p>
        </w:tc>
        <w:tc>
          <w:tcPr>
            <w:tcW w:w="60" w:type="dxa"/>
            <w:vAlign w:val="bottom"/>
          </w:tcPr>
          <w:p>
            <w:pPr>
              <w:spacing w:after="0"/>
              <w:rPr>
                <w:sz w:val="18"/>
                <w:szCs w:val="18"/>
                <w:color w:val="auto"/>
              </w:rPr>
            </w:pPr>
          </w:p>
        </w:tc>
        <w:tc>
          <w:tcPr>
            <w:tcW w:w="740" w:type="dxa"/>
            <w:vAlign w:val="bottom"/>
            <w:gridSpan w:val="4"/>
          </w:tcPr>
          <w:p>
            <w:pPr>
              <w:jc w:val="right"/>
              <w:spacing w:after="0"/>
              <w:rPr>
                <w:sz w:val="20"/>
                <w:szCs w:val="20"/>
                <w:color w:val="auto"/>
              </w:rPr>
            </w:pPr>
            <w:r>
              <w:rPr>
                <w:rFonts w:ascii="Arial" w:cs="Arial" w:eastAsia="Arial" w:hAnsi="Arial"/>
                <w:sz w:val="18"/>
                <w:szCs w:val="18"/>
                <w:color w:val="auto"/>
              </w:rPr>
              <w:t>$  3,358</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China</w:t>
            </w:r>
          </w:p>
        </w:tc>
        <w:tc>
          <w:tcPr>
            <w:tcW w:w="8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4"/>
            <w:shd w:val="clear" w:color="auto" w:fill="CCEEFF"/>
          </w:tcPr>
          <w:p>
            <w:pPr>
              <w:jc w:val="right"/>
              <w:ind w:right="500"/>
              <w:spacing w:after="0"/>
              <w:rPr>
                <w:sz w:val="20"/>
                <w:szCs w:val="20"/>
                <w:color w:val="auto"/>
              </w:rPr>
            </w:pPr>
            <w:r>
              <w:rPr>
                <w:rFonts w:ascii="Arial" w:cs="Arial" w:eastAsia="Arial" w:hAnsi="Arial"/>
                <w:sz w:val="18"/>
                <w:szCs w:val="18"/>
                <w:color w:val="auto"/>
              </w:rPr>
              <w:t>22,917</w:t>
            </w:r>
          </w:p>
        </w:tc>
        <w:tc>
          <w:tcPr>
            <w:tcW w:w="60" w:type="dxa"/>
            <w:vAlign w:val="bottom"/>
            <w:shd w:val="clear" w:color="auto" w:fill="CCEEFF"/>
          </w:tcPr>
          <w:p>
            <w:pPr>
              <w:spacing w:after="0"/>
              <w:rPr>
                <w:sz w:val="18"/>
                <w:szCs w:val="18"/>
                <w:color w:val="auto"/>
              </w:rPr>
            </w:pPr>
          </w:p>
        </w:tc>
        <w:tc>
          <w:tcPr>
            <w:tcW w:w="7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25,910</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520" w:type="dxa"/>
            <w:vAlign w:val="bottom"/>
          </w:tcPr>
          <w:p>
            <w:pPr>
              <w:spacing w:after="0"/>
              <w:rPr>
                <w:sz w:val="20"/>
                <w:szCs w:val="20"/>
                <w:color w:val="auto"/>
              </w:rPr>
            </w:pPr>
            <w:r>
              <w:rPr>
                <w:rFonts w:ascii="Arial" w:cs="Arial" w:eastAsia="Arial" w:hAnsi="Arial"/>
                <w:sz w:val="18"/>
                <w:szCs w:val="18"/>
                <w:color w:val="auto"/>
              </w:rPr>
              <w:t>Israel</w:t>
            </w:r>
          </w:p>
        </w:tc>
        <w:tc>
          <w:tcPr>
            <w:tcW w:w="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4"/>
          </w:tcPr>
          <w:p>
            <w:pPr>
              <w:jc w:val="right"/>
              <w:ind w:right="500"/>
              <w:spacing w:after="0"/>
              <w:rPr>
                <w:sz w:val="20"/>
                <w:szCs w:val="20"/>
                <w:color w:val="auto"/>
              </w:rPr>
            </w:pPr>
            <w:r>
              <w:rPr>
                <w:rFonts w:ascii="Arial" w:cs="Arial" w:eastAsia="Arial" w:hAnsi="Arial"/>
                <w:sz w:val="18"/>
                <w:szCs w:val="18"/>
                <w:color w:val="auto"/>
              </w:rPr>
              <w:t>15,069</w:t>
            </w:r>
          </w:p>
        </w:tc>
        <w:tc>
          <w:tcPr>
            <w:tcW w:w="60" w:type="dxa"/>
            <w:vAlign w:val="bottom"/>
          </w:tcPr>
          <w:p>
            <w:pPr>
              <w:spacing w:after="0"/>
              <w:rPr>
                <w:sz w:val="18"/>
                <w:szCs w:val="18"/>
                <w:color w:val="auto"/>
              </w:rPr>
            </w:pPr>
          </w:p>
        </w:tc>
        <w:tc>
          <w:tcPr>
            <w:tcW w:w="740" w:type="dxa"/>
            <w:vAlign w:val="bottom"/>
            <w:gridSpan w:val="4"/>
          </w:tcPr>
          <w:p>
            <w:pPr>
              <w:jc w:val="right"/>
              <w:spacing w:after="0"/>
              <w:rPr>
                <w:sz w:val="20"/>
                <w:szCs w:val="20"/>
                <w:color w:val="auto"/>
              </w:rPr>
            </w:pPr>
            <w:r>
              <w:rPr>
                <w:rFonts w:ascii="Arial" w:cs="Arial" w:eastAsia="Arial" w:hAnsi="Arial"/>
                <w:sz w:val="18"/>
                <w:szCs w:val="18"/>
                <w:color w:val="auto"/>
              </w:rPr>
              <w:t>26,728</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Singapore</w:t>
            </w:r>
          </w:p>
        </w:tc>
        <w:tc>
          <w:tcPr>
            <w:tcW w:w="8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4"/>
            <w:shd w:val="clear" w:color="auto" w:fill="CCEEFF"/>
          </w:tcPr>
          <w:p>
            <w:pPr>
              <w:jc w:val="right"/>
              <w:ind w:right="500"/>
              <w:spacing w:after="0"/>
              <w:rPr>
                <w:sz w:val="20"/>
                <w:szCs w:val="20"/>
                <w:color w:val="auto"/>
              </w:rPr>
            </w:pPr>
            <w:r>
              <w:rPr>
                <w:rFonts w:ascii="Arial" w:cs="Arial" w:eastAsia="Arial" w:hAnsi="Arial"/>
                <w:sz w:val="18"/>
                <w:szCs w:val="18"/>
                <w:color w:val="auto"/>
              </w:rPr>
              <w:t>69,241</w:t>
            </w:r>
          </w:p>
        </w:tc>
        <w:tc>
          <w:tcPr>
            <w:tcW w:w="60" w:type="dxa"/>
            <w:vAlign w:val="bottom"/>
            <w:shd w:val="clear" w:color="auto" w:fill="CCEEFF"/>
          </w:tcPr>
          <w:p>
            <w:pPr>
              <w:spacing w:after="0"/>
              <w:rPr>
                <w:sz w:val="18"/>
                <w:szCs w:val="18"/>
                <w:color w:val="auto"/>
              </w:rPr>
            </w:pPr>
          </w:p>
        </w:tc>
        <w:tc>
          <w:tcPr>
            <w:tcW w:w="7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79,216</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520" w:type="dxa"/>
            <w:vAlign w:val="bottom"/>
          </w:tcPr>
          <w:p>
            <w:pPr>
              <w:spacing w:after="0"/>
              <w:rPr>
                <w:sz w:val="20"/>
                <w:szCs w:val="20"/>
                <w:color w:val="auto"/>
              </w:rPr>
            </w:pPr>
            <w:r>
              <w:rPr>
                <w:rFonts w:ascii="Arial" w:cs="Arial" w:eastAsia="Arial" w:hAnsi="Arial"/>
                <w:sz w:val="18"/>
                <w:szCs w:val="18"/>
                <w:color w:val="auto"/>
              </w:rPr>
              <w:t>United States</w:t>
            </w:r>
          </w:p>
        </w:tc>
        <w:tc>
          <w:tcPr>
            <w:tcW w:w="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4"/>
          </w:tcPr>
          <w:p>
            <w:pPr>
              <w:jc w:val="right"/>
              <w:ind w:right="500"/>
              <w:spacing w:after="0"/>
              <w:rPr>
                <w:sz w:val="20"/>
                <w:szCs w:val="20"/>
                <w:color w:val="auto"/>
              </w:rPr>
            </w:pPr>
            <w:r>
              <w:rPr>
                <w:rFonts w:ascii="Arial" w:cs="Arial" w:eastAsia="Arial" w:hAnsi="Arial"/>
                <w:sz w:val="18"/>
                <w:szCs w:val="18"/>
                <w:color w:val="auto"/>
              </w:rPr>
              <w:t>173,537</w:t>
            </w:r>
          </w:p>
        </w:tc>
        <w:tc>
          <w:tcPr>
            <w:tcW w:w="60" w:type="dxa"/>
            <w:vAlign w:val="bottom"/>
          </w:tcPr>
          <w:p>
            <w:pPr>
              <w:spacing w:after="0"/>
              <w:rPr>
                <w:sz w:val="18"/>
                <w:szCs w:val="18"/>
                <w:color w:val="auto"/>
              </w:rPr>
            </w:pPr>
          </w:p>
        </w:tc>
        <w:tc>
          <w:tcPr>
            <w:tcW w:w="740" w:type="dxa"/>
            <w:vAlign w:val="bottom"/>
            <w:gridSpan w:val="4"/>
          </w:tcPr>
          <w:p>
            <w:pPr>
              <w:jc w:val="right"/>
              <w:spacing w:after="0"/>
              <w:rPr>
                <w:sz w:val="20"/>
                <w:szCs w:val="20"/>
                <w:color w:val="auto"/>
              </w:rPr>
            </w:pPr>
            <w:r>
              <w:rPr>
                <w:rFonts w:ascii="Arial" w:cs="Arial" w:eastAsia="Arial" w:hAnsi="Arial"/>
                <w:sz w:val="18"/>
                <w:szCs w:val="18"/>
                <w:color w:val="auto"/>
              </w:rPr>
              <w:t>186,321</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Others</w:t>
            </w:r>
          </w:p>
        </w:tc>
        <w:tc>
          <w:tcPr>
            <w:tcW w:w="8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4"/>
            <w:shd w:val="clear" w:color="auto" w:fill="CCEEFF"/>
          </w:tcPr>
          <w:p>
            <w:pPr>
              <w:jc w:val="right"/>
              <w:ind w:right="500"/>
              <w:spacing w:after="0"/>
              <w:rPr>
                <w:sz w:val="20"/>
                <w:szCs w:val="20"/>
                <w:color w:val="auto"/>
              </w:rPr>
            </w:pPr>
            <w:r>
              <w:rPr>
                <w:rFonts w:ascii="Arial" w:cs="Arial" w:eastAsia="Arial" w:hAnsi="Arial"/>
                <w:sz w:val="18"/>
                <w:szCs w:val="18"/>
                <w:color w:val="auto"/>
              </w:rPr>
              <w:t>15,683</w:t>
            </w:r>
          </w:p>
        </w:tc>
        <w:tc>
          <w:tcPr>
            <w:tcW w:w="60" w:type="dxa"/>
            <w:vAlign w:val="bottom"/>
            <w:shd w:val="clear" w:color="auto" w:fill="CCEEFF"/>
          </w:tcPr>
          <w:p>
            <w:pPr>
              <w:spacing w:after="0"/>
              <w:rPr>
                <w:sz w:val="18"/>
                <w:szCs w:val="18"/>
                <w:color w:val="auto"/>
              </w:rPr>
            </w:pPr>
          </w:p>
        </w:tc>
        <w:tc>
          <w:tcPr>
            <w:tcW w:w="7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19,106</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75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gridSpan w:val="3"/>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gridSpan w:val="3"/>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60" w:type="dxa"/>
            <w:vAlign w:val="bottom"/>
          </w:tcPr>
          <w:p>
            <w:pPr>
              <w:spacing w:after="0"/>
              <w:rPr>
                <w:sz w:val="19"/>
                <w:szCs w:val="19"/>
                <w:color w:val="auto"/>
              </w:rPr>
            </w:pPr>
          </w:p>
        </w:tc>
        <w:tc>
          <w:tcPr>
            <w:tcW w:w="75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4"/>
          </w:tcPr>
          <w:p>
            <w:pPr>
              <w:jc w:val="right"/>
              <w:ind w:right="500"/>
              <w:spacing w:after="0"/>
              <w:rPr>
                <w:sz w:val="20"/>
                <w:szCs w:val="20"/>
                <w:color w:val="auto"/>
              </w:rPr>
            </w:pPr>
            <w:r>
              <w:rPr>
                <w:rFonts w:ascii="Arial" w:cs="Arial" w:eastAsia="Arial" w:hAnsi="Arial"/>
                <w:sz w:val="18"/>
                <w:szCs w:val="18"/>
                <w:color w:val="auto"/>
                <w:w w:val="82"/>
              </w:rPr>
              <w:t>$ 299,540</w:t>
            </w:r>
          </w:p>
        </w:tc>
        <w:tc>
          <w:tcPr>
            <w:tcW w:w="60" w:type="dxa"/>
            <w:vAlign w:val="bottom"/>
          </w:tcPr>
          <w:p>
            <w:pPr>
              <w:spacing w:after="0"/>
              <w:rPr>
                <w:sz w:val="19"/>
                <w:szCs w:val="19"/>
                <w:color w:val="auto"/>
              </w:rPr>
            </w:pPr>
          </w:p>
        </w:tc>
        <w:tc>
          <w:tcPr>
            <w:tcW w:w="740" w:type="dxa"/>
            <w:vAlign w:val="bottom"/>
            <w:gridSpan w:val="4"/>
          </w:tcPr>
          <w:p>
            <w:pPr>
              <w:jc w:val="right"/>
              <w:spacing w:after="0"/>
              <w:rPr>
                <w:sz w:val="20"/>
                <w:szCs w:val="20"/>
                <w:color w:val="auto"/>
              </w:rPr>
            </w:pPr>
            <w:r>
              <w:rPr>
                <w:rFonts w:ascii="Arial" w:cs="Arial" w:eastAsia="Arial" w:hAnsi="Arial"/>
                <w:sz w:val="18"/>
                <w:szCs w:val="18"/>
                <w:color w:val="auto"/>
                <w:w w:val="89"/>
              </w:rPr>
              <w:t>$ 340,639</w:t>
            </w: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ind w:left="460"/>
              <w:spacing w:after="0"/>
              <w:rPr>
                <w:sz w:val="20"/>
                <w:szCs w:val="20"/>
                <w:color w:val="auto"/>
              </w:rPr>
            </w:pPr>
            <w:r>
              <w:rPr>
                <w:rFonts w:ascii="Arial" w:cs="Arial" w:eastAsia="Arial" w:hAnsi="Arial"/>
                <w:sz w:val="18"/>
                <w:szCs w:val="18"/>
                <w:color w:val="auto"/>
              </w:rPr>
              <w:t>The following table presents net revenue by end market (in thousands):</w:t>
            </w:r>
          </w:p>
        </w:tc>
        <w:tc>
          <w:tcPr>
            <w:tcW w:w="8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7980" w:type="dxa"/>
            <w:vAlign w:val="bottom"/>
            <w:gridSpan w:val="2"/>
            <w:vMerge w:val="continue"/>
          </w:tcPr>
          <w:p>
            <w:pPr>
              <w:spacing w:after="0"/>
              <w:rPr>
                <w:sz w:val="24"/>
                <w:szCs w:val="24"/>
                <w:color w:val="auto"/>
              </w:rPr>
            </w:pPr>
          </w:p>
        </w:tc>
        <w:tc>
          <w:tcPr>
            <w:tcW w:w="8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7520" w:type="dxa"/>
            <w:vAlign w:val="bottom"/>
          </w:tcPr>
          <w:p>
            <w:pPr>
              <w:spacing w:after="0"/>
              <w:rPr>
                <w:sz w:val="24"/>
                <w:szCs w:val="24"/>
                <w:color w:val="auto"/>
              </w:rPr>
            </w:pPr>
          </w:p>
        </w:tc>
        <w:tc>
          <w:tcPr>
            <w:tcW w:w="8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gridSpan w:val="4"/>
          </w:tcPr>
          <w:p>
            <w:pPr>
              <w:jc w:val="center"/>
              <w:ind w:right="40"/>
              <w:spacing w:after="0"/>
              <w:rPr>
                <w:sz w:val="20"/>
                <w:szCs w:val="20"/>
                <w:color w:val="auto"/>
              </w:rPr>
            </w:pPr>
            <w:r>
              <w:rPr>
                <w:rFonts w:ascii="Arial" w:cs="Arial" w:eastAsia="Arial" w:hAnsi="Arial"/>
                <w:sz w:val="14"/>
                <w:szCs w:val="14"/>
                <w:b w:val="1"/>
                <w:bCs w:val="1"/>
                <w:color w:val="auto"/>
                <w:w w:val="88"/>
              </w:rPr>
              <w:t>Year Ended</w:t>
            </w:r>
          </w:p>
        </w:tc>
        <w:tc>
          <w:tcPr>
            <w:tcW w:w="6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7520" w:type="dxa"/>
            <w:vAlign w:val="bottom"/>
          </w:tcPr>
          <w:p>
            <w:pPr>
              <w:spacing w:after="0"/>
              <w:rPr>
                <w:sz w:val="11"/>
                <w:szCs w:val="11"/>
                <w:color w:val="auto"/>
              </w:rPr>
            </w:pPr>
          </w:p>
        </w:tc>
        <w:tc>
          <w:tcPr>
            <w:tcW w:w="900" w:type="dxa"/>
            <w:vAlign w:val="bottom"/>
            <w:gridSpan w:val="2"/>
          </w:tcPr>
          <w:p>
            <w:pPr>
              <w:jc w:val="center"/>
              <w:ind w:right="60"/>
              <w:spacing w:after="0" w:line="129" w:lineRule="exact"/>
              <w:rPr>
                <w:sz w:val="20"/>
                <w:szCs w:val="20"/>
                <w:color w:val="auto"/>
              </w:rPr>
            </w:pPr>
            <w:r>
              <w:rPr>
                <w:rFonts w:ascii="Arial" w:cs="Arial" w:eastAsia="Arial" w:hAnsi="Arial"/>
                <w:sz w:val="14"/>
                <w:szCs w:val="14"/>
                <w:b w:val="1"/>
                <w:bCs w:val="1"/>
                <w:color w:val="auto"/>
                <w:w w:val="88"/>
              </w:rPr>
              <w:t>January 30,</w:t>
            </w:r>
          </w:p>
        </w:tc>
        <w:tc>
          <w:tcPr>
            <w:tcW w:w="360" w:type="dxa"/>
            <w:vAlign w:val="bottom"/>
          </w:tcPr>
          <w:p>
            <w:pPr>
              <w:spacing w:after="0"/>
              <w:rPr>
                <w:sz w:val="11"/>
                <w:szCs w:val="11"/>
                <w:color w:val="auto"/>
              </w:rPr>
            </w:pPr>
          </w:p>
        </w:tc>
        <w:tc>
          <w:tcPr>
            <w:tcW w:w="880" w:type="dxa"/>
            <w:vAlign w:val="bottom"/>
            <w:gridSpan w:val="4"/>
          </w:tcPr>
          <w:p>
            <w:pPr>
              <w:jc w:val="center"/>
              <w:ind w:right="80"/>
              <w:spacing w:after="0" w:line="129" w:lineRule="exact"/>
              <w:rPr>
                <w:sz w:val="20"/>
                <w:szCs w:val="20"/>
                <w:color w:val="auto"/>
              </w:rPr>
            </w:pPr>
            <w:r>
              <w:rPr>
                <w:rFonts w:ascii="Arial" w:cs="Arial" w:eastAsia="Arial" w:hAnsi="Arial"/>
                <w:sz w:val="14"/>
                <w:szCs w:val="14"/>
                <w:b w:val="1"/>
                <w:bCs w:val="1"/>
                <w:color w:val="auto"/>
                <w:w w:val="88"/>
              </w:rPr>
              <w:t>January 31,</w:t>
            </w:r>
          </w:p>
        </w:tc>
        <w:tc>
          <w:tcPr>
            <w:tcW w:w="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40" w:type="dxa"/>
            <w:vAlign w:val="bottom"/>
            <w:gridSpan w:val="4"/>
          </w:tcPr>
          <w:p>
            <w:pPr>
              <w:jc w:val="center"/>
              <w:spacing w:after="0" w:line="129" w:lineRule="exact"/>
              <w:rPr>
                <w:sz w:val="20"/>
                <w:szCs w:val="20"/>
                <w:color w:val="auto"/>
              </w:rPr>
            </w:pPr>
            <w:r>
              <w:rPr>
                <w:rFonts w:ascii="Arial" w:cs="Arial" w:eastAsia="Arial" w:hAnsi="Arial"/>
                <w:sz w:val="14"/>
                <w:szCs w:val="14"/>
                <w:b w:val="1"/>
                <w:bCs w:val="1"/>
                <w:color w:val="auto"/>
                <w:w w:val="90"/>
              </w:rPr>
              <w:t>February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Borders>
              <w:bottom w:val="single" w:sz="8" w:color="CCEEFF"/>
            </w:tcBorders>
          </w:tcPr>
          <w:p>
            <w:pPr>
              <w:spacing w:after="0"/>
              <w:rPr>
                <w:sz w:val="14"/>
                <w:szCs w:val="14"/>
                <w:color w:val="auto"/>
              </w:rPr>
            </w:pPr>
          </w:p>
        </w:tc>
        <w:tc>
          <w:tcPr>
            <w:tcW w:w="7520" w:type="dxa"/>
            <w:vAlign w:val="bottom"/>
            <w:tcBorders>
              <w:bottom w:val="single" w:sz="8" w:color="CCEEFF"/>
            </w:tcBorders>
          </w:tcPr>
          <w:p>
            <w:pPr>
              <w:spacing w:after="0"/>
              <w:rPr>
                <w:sz w:val="14"/>
                <w:szCs w:val="14"/>
                <w:color w:val="auto"/>
              </w:rPr>
            </w:pPr>
          </w:p>
        </w:tc>
        <w:tc>
          <w:tcPr>
            <w:tcW w:w="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2016</w:t>
            </w:r>
          </w:p>
        </w:tc>
        <w:tc>
          <w:tcPr>
            <w:tcW w:w="8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89"/>
              </w:rPr>
              <w:t>2015</w:t>
            </w:r>
          </w:p>
        </w:tc>
        <w:tc>
          <w:tcPr>
            <w:tcW w:w="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gridSpan w:val="3"/>
          </w:tcPr>
          <w:p>
            <w:pPr>
              <w:jc w:val="center"/>
              <w:ind w:right="120"/>
              <w:spacing w:after="0"/>
              <w:rPr>
                <w:sz w:val="20"/>
                <w:szCs w:val="20"/>
                <w:color w:val="auto"/>
              </w:rPr>
            </w:pPr>
            <w:r>
              <w:rPr>
                <w:rFonts w:ascii="Arial" w:cs="Arial" w:eastAsia="Arial" w:hAnsi="Arial"/>
                <w:sz w:val="14"/>
                <w:szCs w:val="14"/>
                <w:b w:val="1"/>
                <w:bCs w:val="1"/>
                <w:color w:val="auto"/>
                <w:w w:val="89"/>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9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Net Revenue by End Market</w:t>
            </w:r>
          </w:p>
        </w:tc>
        <w:tc>
          <w:tcPr>
            <w:tcW w:w="8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980" w:type="dxa"/>
            <w:vAlign w:val="bottom"/>
            <w:gridSpan w:val="2"/>
          </w:tcPr>
          <w:p>
            <w:pPr>
              <w:ind w:left="440"/>
              <w:spacing w:after="0"/>
              <w:rPr>
                <w:sz w:val="20"/>
                <w:szCs w:val="20"/>
                <w:color w:val="auto"/>
              </w:rPr>
            </w:pPr>
            <w:r>
              <w:rPr>
                <w:rFonts w:ascii="Arial" w:cs="Arial" w:eastAsia="Arial" w:hAnsi="Arial"/>
                <w:sz w:val="18"/>
                <w:szCs w:val="18"/>
                <w:color w:val="auto"/>
              </w:rPr>
              <w:t>Storage</w:t>
            </w:r>
          </w:p>
        </w:tc>
        <w:tc>
          <w:tcPr>
            <w:tcW w:w="820" w:type="dxa"/>
            <w:vAlign w:val="bottom"/>
          </w:tcPr>
          <w:p>
            <w:pPr>
              <w:jc w:val="right"/>
              <w:spacing w:after="0"/>
              <w:rPr>
                <w:sz w:val="20"/>
                <w:szCs w:val="20"/>
                <w:color w:val="auto"/>
              </w:rPr>
            </w:pPr>
            <w:r>
              <w:rPr>
                <w:rFonts w:ascii="Arial" w:cs="Arial" w:eastAsia="Arial" w:hAnsi="Arial"/>
                <w:sz w:val="18"/>
                <w:szCs w:val="18"/>
                <w:color w:val="auto"/>
                <w:w w:val="84"/>
              </w:rPr>
              <w:t>$ 1,201,378</w:t>
            </w:r>
          </w:p>
        </w:tc>
        <w:tc>
          <w:tcPr>
            <w:tcW w:w="80" w:type="dxa"/>
            <w:vAlign w:val="bottom"/>
          </w:tcPr>
          <w:p>
            <w:pPr>
              <w:spacing w:after="0"/>
              <w:rPr>
                <w:sz w:val="18"/>
                <w:szCs w:val="18"/>
                <w:color w:val="auto"/>
              </w:rPr>
            </w:pPr>
          </w:p>
        </w:tc>
        <w:tc>
          <w:tcPr>
            <w:tcW w:w="1240" w:type="dxa"/>
            <w:vAlign w:val="bottom"/>
            <w:gridSpan w:val="5"/>
          </w:tcPr>
          <w:p>
            <w:pPr>
              <w:jc w:val="right"/>
              <w:ind w:right="60"/>
              <w:spacing w:after="0"/>
              <w:rPr>
                <w:sz w:val="20"/>
                <w:szCs w:val="20"/>
                <w:color w:val="auto"/>
              </w:rPr>
            </w:pPr>
            <w:r>
              <w:rPr>
                <w:rFonts w:ascii="Arial" w:cs="Arial" w:eastAsia="Arial" w:hAnsi="Arial"/>
                <w:sz w:val="18"/>
                <w:szCs w:val="18"/>
                <w:color w:val="auto"/>
              </w:rPr>
              <w:t>$ 1,744,656</w:t>
            </w:r>
          </w:p>
        </w:tc>
        <w:tc>
          <w:tcPr>
            <w:tcW w:w="1300" w:type="dxa"/>
            <w:vAlign w:val="bottom"/>
            <w:gridSpan w:val="7"/>
          </w:tcPr>
          <w:p>
            <w:pPr>
              <w:jc w:val="right"/>
              <w:ind w:right="100"/>
              <w:spacing w:after="0"/>
              <w:rPr>
                <w:sz w:val="20"/>
                <w:szCs w:val="20"/>
                <w:color w:val="auto"/>
              </w:rPr>
            </w:pPr>
            <w:r>
              <w:rPr>
                <w:rFonts w:ascii="Arial" w:cs="Arial" w:eastAsia="Arial" w:hAnsi="Arial"/>
                <w:sz w:val="18"/>
                <w:szCs w:val="18"/>
                <w:color w:val="auto"/>
              </w:rPr>
              <w:t>$ 1,681,953</w:t>
            </w:r>
          </w:p>
        </w:tc>
        <w:tc>
          <w:tcPr>
            <w:tcW w:w="0" w:type="dxa"/>
            <w:vAlign w:val="bottom"/>
          </w:tcPr>
          <w:p>
            <w:pPr>
              <w:spacing w:after="0"/>
              <w:rPr>
                <w:sz w:val="1"/>
                <w:szCs w:val="1"/>
                <w:color w:val="auto"/>
              </w:rPr>
            </w:pPr>
          </w:p>
        </w:tc>
      </w:tr>
      <w:tr>
        <w:trPr>
          <w:trHeight w:val="216"/>
        </w:trPr>
        <w:tc>
          <w:tcPr>
            <w:tcW w:w="79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Mobile and Wireless</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786,239</w:t>
            </w: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87"/>
              </w:rPr>
              <w:t>1,071,777</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839,407</w:t>
            </w:r>
          </w:p>
        </w:tc>
        <w:tc>
          <w:tcPr>
            <w:tcW w:w="0" w:type="dxa"/>
            <w:vAlign w:val="bottom"/>
          </w:tcPr>
          <w:p>
            <w:pPr>
              <w:spacing w:after="0"/>
              <w:rPr>
                <w:sz w:val="1"/>
                <w:szCs w:val="1"/>
                <w:color w:val="auto"/>
              </w:rPr>
            </w:pPr>
          </w:p>
        </w:tc>
      </w:tr>
      <w:tr>
        <w:trPr>
          <w:trHeight w:val="216"/>
        </w:trPr>
        <w:tc>
          <w:tcPr>
            <w:tcW w:w="7980" w:type="dxa"/>
            <w:vAlign w:val="bottom"/>
            <w:gridSpan w:val="2"/>
          </w:tcPr>
          <w:p>
            <w:pPr>
              <w:ind w:left="440"/>
              <w:spacing w:after="0"/>
              <w:rPr>
                <w:sz w:val="20"/>
                <w:szCs w:val="20"/>
                <w:color w:val="auto"/>
              </w:rPr>
            </w:pPr>
            <w:r>
              <w:rPr>
                <w:rFonts w:ascii="Arial" w:cs="Arial" w:eastAsia="Arial" w:hAnsi="Arial"/>
                <w:sz w:val="18"/>
                <w:szCs w:val="18"/>
                <w:color w:val="auto"/>
              </w:rPr>
              <w:t>Networking</w:t>
            </w:r>
          </w:p>
        </w:tc>
        <w:tc>
          <w:tcPr>
            <w:tcW w:w="820" w:type="dxa"/>
            <w:vAlign w:val="bottom"/>
          </w:tcPr>
          <w:p>
            <w:pPr>
              <w:jc w:val="right"/>
              <w:spacing w:after="0"/>
              <w:rPr>
                <w:sz w:val="20"/>
                <w:szCs w:val="20"/>
                <w:color w:val="auto"/>
              </w:rPr>
            </w:pPr>
            <w:r>
              <w:rPr>
                <w:rFonts w:ascii="Arial" w:cs="Arial" w:eastAsia="Arial" w:hAnsi="Arial"/>
                <w:sz w:val="18"/>
                <w:szCs w:val="18"/>
                <w:color w:val="auto"/>
              </w:rPr>
              <w:t>551,743</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8"/>
                <w:szCs w:val="18"/>
                <w:color w:val="auto"/>
              </w:rPr>
              <w:t>674,701</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4"/>
          </w:tcPr>
          <w:p>
            <w:pPr>
              <w:jc w:val="right"/>
              <w:ind w:right="100"/>
              <w:spacing w:after="0"/>
              <w:rPr>
                <w:sz w:val="20"/>
                <w:szCs w:val="20"/>
                <w:color w:val="auto"/>
              </w:rPr>
            </w:pPr>
            <w:r>
              <w:rPr>
                <w:rFonts w:ascii="Arial" w:cs="Arial" w:eastAsia="Arial" w:hAnsi="Arial"/>
                <w:sz w:val="18"/>
                <w:szCs w:val="18"/>
                <w:color w:val="auto"/>
              </w:rPr>
              <w:t>670,249</w:t>
            </w:r>
          </w:p>
        </w:tc>
        <w:tc>
          <w:tcPr>
            <w:tcW w:w="0" w:type="dxa"/>
            <w:vAlign w:val="bottom"/>
          </w:tcPr>
          <w:p>
            <w:pPr>
              <w:spacing w:after="0"/>
              <w:rPr>
                <w:sz w:val="1"/>
                <w:szCs w:val="1"/>
                <w:color w:val="auto"/>
              </w:rPr>
            </w:pPr>
          </w:p>
        </w:tc>
      </w:tr>
      <w:tr>
        <w:trPr>
          <w:trHeight w:val="216"/>
        </w:trPr>
        <w:tc>
          <w:tcPr>
            <w:tcW w:w="79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Other</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186,468</w:t>
            </w: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215,829</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212,791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0" w:type="dxa"/>
            <w:vAlign w:val="bottom"/>
          </w:tcPr>
          <w:p>
            <w:pPr>
              <w:spacing w:after="0"/>
              <w:rPr>
                <w:sz w:val="19"/>
                <w:szCs w:val="19"/>
                <w:color w:val="auto"/>
              </w:rPr>
            </w:pPr>
          </w:p>
        </w:tc>
        <w:tc>
          <w:tcPr>
            <w:tcW w:w="752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u w:val="single" w:color="auto"/>
                <w:color w:val="auto"/>
                <w:w w:val="84"/>
              </w:rPr>
              <w:t>$</w:t>
            </w:r>
            <w:r>
              <w:rPr>
                <w:rFonts w:ascii="Arial" w:cs="Arial" w:eastAsia="Arial" w:hAnsi="Arial"/>
                <w:sz w:val="18"/>
                <w:szCs w:val="18"/>
                <w:color w:val="auto"/>
                <w:w w:val="84"/>
              </w:rPr>
              <w:t xml:space="preserve"> 2,725,828</w:t>
            </w:r>
          </w:p>
        </w:tc>
        <w:tc>
          <w:tcPr>
            <w:tcW w:w="80" w:type="dxa"/>
            <w:vAlign w:val="bottom"/>
          </w:tcPr>
          <w:p>
            <w:pPr>
              <w:spacing w:after="0"/>
              <w:rPr>
                <w:sz w:val="19"/>
                <w:szCs w:val="19"/>
                <w:color w:val="auto"/>
              </w:rPr>
            </w:pPr>
          </w:p>
        </w:tc>
        <w:tc>
          <w:tcPr>
            <w:tcW w:w="1240" w:type="dxa"/>
            <w:vAlign w:val="bottom"/>
            <w:gridSpan w:val="5"/>
          </w:tcPr>
          <w:p>
            <w:pPr>
              <w:jc w:val="right"/>
              <w:ind w:right="60"/>
              <w:spacing w:after="0"/>
              <w:rPr>
                <w:sz w:val="20"/>
                <w:szCs w:val="20"/>
                <w:color w:val="auto"/>
              </w:rPr>
            </w:pPr>
            <w:r>
              <w:rPr>
                <w:rFonts w:ascii="Arial" w:cs="Arial" w:eastAsia="Arial" w:hAnsi="Arial"/>
                <w:sz w:val="18"/>
                <w:szCs w:val="18"/>
                <w:color w:val="auto"/>
              </w:rPr>
              <w:t>$ 3,706,963</w:t>
            </w:r>
          </w:p>
        </w:tc>
        <w:tc>
          <w:tcPr>
            <w:tcW w:w="1300" w:type="dxa"/>
            <w:vAlign w:val="bottom"/>
            <w:gridSpan w:val="7"/>
          </w:tcPr>
          <w:p>
            <w:pPr>
              <w:jc w:val="right"/>
              <w:ind w:right="100"/>
              <w:spacing w:after="0"/>
              <w:rPr>
                <w:sz w:val="20"/>
                <w:szCs w:val="20"/>
                <w:color w:val="auto"/>
              </w:rPr>
            </w:pPr>
            <w:r>
              <w:rPr>
                <w:rFonts w:ascii="Arial" w:cs="Arial" w:eastAsia="Arial" w:hAnsi="Arial"/>
                <w:sz w:val="18"/>
                <w:szCs w:val="18"/>
                <w:color w:val="auto"/>
              </w:rPr>
              <w:t>$ 3,404,400</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752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96" w:lineRule="exact"/>
        <w:rPr>
          <w:sz w:val="20"/>
          <w:szCs w:val="20"/>
          <w:color w:val="auto"/>
        </w:rPr>
      </w:pPr>
    </w:p>
    <w:p>
      <w:pPr>
        <w:ind w:right="540" w:firstLine="456"/>
        <w:spacing w:after="0" w:line="306" w:lineRule="auto"/>
        <w:rPr>
          <w:sz w:val="20"/>
          <w:szCs w:val="20"/>
          <w:color w:val="auto"/>
        </w:rPr>
      </w:pPr>
      <w:r>
        <w:rPr>
          <w:rFonts w:ascii="Arial" w:cs="Arial" w:eastAsia="Arial" w:hAnsi="Arial"/>
          <w:sz w:val="16"/>
          <w:szCs w:val="16"/>
          <w:color w:val="auto"/>
        </w:rPr>
        <w:t>MIL is party to a technology license agreement with VeriSilicon Holdings Co., Ltd. (“VeriSilicon”). MIL assumed the technology license agreement between VeriSilicon and UTStarcom, Inc. after the Company’s acquisition of the semiconductor business of UTStarcom in December 2005. MIL has subsequently entered into various addenda to the agreement for additional technology beyond the scope of the original agreement. In</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420"/>
          </w:cols>
          <w:pgMar w:left="240" w:top="459" w:right="23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addition, in September 2010, MIL entered into a services agreement with VeriSilicon, pursuant to which VeriSilicon has agreed to provide design support services to MIL. Under the services agreement, VeriSilicon helped on three projects for MIL during fiscal 2013. In connection with all of its transactions with VeriSilicon, MIL paid $1.8 million, $3.7 million and $2.0 million to VeriSilicon during fiscal 2016, 2015 and 2014, respectively. As of January 30, 2016, the Company had $0.3 million of liability to VeriSilicon. Weili Dai’s brother (and Dr. Sehat Sutardja’s brother-in-law) Wayne Dai, is the Chairman, President and Chief Executive Officer of VeriSilicon. Ms. Dai and Dr. Sutardja are also shareholders of VeriSilicon. Ms. Dai was the President of the Company and Dr. Sehat Sutardja was the Company’s Chief Executive Officer until their departures in April 2016 (see “Note 15 — Subsequent Events”), and continue to serve as members of the Company’s Board of Directors. Dr. Sehat Sutardja and Ms. Dai are husband and wife.</w:t>
      </w:r>
    </w:p>
    <w:p>
      <w:pPr>
        <w:spacing w:after="0" w:line="118"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separate services agreement, pursuant to which Vivante agreed to provide support services to MIL. In connection with all of its transactions with Vivante, MIL paid $4.0 million, $9.1 million and $6.9 million to Vivante during fiscal 2016, 2015 and 2014, respectively. As of January 30, 2016, the Company had $1.5 million of liability to Vivante. As a result of their ownership of and control of Estopia LLC and their existing shareholdings, Dr. Sutardja and Ms. Dai are now direct and indirect shareholders of VeriSilicon. In addition, as a result of the acquisition of Vivante by VeriSilicon in late 2015, Ms. Dai’s brother Weijin Dai, who was the Chief Executive Officer and member of the board of directors of Vivante is now an executive officer and board member of VeriSilicon. Dr. Sutardja, who was Chairman of the board of directors of Vivante, is not on the board of directors of VeriSilicon.</w:t>
      </w:r>
    </w:p>
    <w:p>
      <w:pPr>
        <w:spacing w:after="0" w:line="123"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In February 2015, the Executive Compensation Committee (“Committee”) of the Company’s Board of Directors approved a cash payment of approximately $15.4 million to Dr. Sehat Sutardja. The U.S. Court of Federal Claims ruled against Dr. Sutardja in his legal challenge with the Internal Revenue Service and the California Franchise Tax Board related to the tax treatment of several stock options granted in fiscal 2004. After discussing and evaluating the alternatives to a continuing legal challenge of the court’s determination, the likelihood of success of further appeal by Dr. Sutardja and the potential negative impact on the Company of a continuation of the case regardless of the outcome, the Committee determined to provide Dr. Sutardja with relief from the financial effects of the penalty taxes. Accordingly, the Committee approved the cash payment to Dr. Sutardja equal to the amount of his penalty taxes owed under the Tax Codes, plus accrued interest owed with respect to such liabilities, all grossed-up for income taxes that will be owed by Dr. Sutardja on receipt of such cash payment. The Company recorded the payment in general and administrative expense in fiscal 2016. A payment of $8.4 million was made to Dr. Sutardja in fiscal 2016 representing reimbursement for the U.S. federal tax portion. As of January 30, 2016, the Company had a remaining $7.0 million liability to Dr. Sutardja.</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Subsequent Events</w:t>
      </w:r>
    </w:p>
    <w:p>
      <w:pPr>
        <w:spacing w:after="0" w:line="96"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In April 2016, the employment of Dr. Sehat Sutardja as Chief Executive Officer and Weili Dai as President was terminated by the Company’s Board of Directors. Dr. Sutardja and Ms. Dai remain on the Board of Directors at this time. The Board of Directors then formed an Interim Office of the Chief Executive and appointed Maya Strelar-Migotti, Executive Vice President of the Smart Networked Devices and Solutions Business Group, and Dr. Pantelis Alexopoulos, Executive Vice President of the Storage Business Group, as Interim Co-Chief Executive Officers, each having the authority to exercise all powers of the Chief Executive Officer. In June 2016, the Board of Directors appointed Matthew J. Murphy to serve as the Company’s President and Chief Executive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400"/>
          </w:cols>
          <w:pgMar w:left="240" w:top="459" w:right="2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18"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Officer, effective July 11, 2016. Upon the commencement of Mr. Murphy’s employment, Ms. Strelar-Migotti and Dr. Alexopoulos returned to their roles as Executive Vice Presidents of the Company. The Board subsequently appointed Richard S. Hill, the Chairman of the Board, as the Company’s Interim Principal Executive Officer, to serve in that capacity until the Company files its Quarterly Report on Form 10-Q for the second quarter of fiscal 2017 (“Q217 Form 10-Q”). Mr. Murphy will assume the role of the Company’s principal executive officer immediately following the filing of the Q217 Form 10-Q. Mr. Murphy also joined the Board of Directors on July 11, 2016.</w:t>
      </w:r>
    </w:p>
    <w:p>
      <w:pPr>
        <w:spacing w:after="0" w:line="143"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Also in April 2016, the Company announced that it entered into an agreement with Starboard Value LP (“Starboard”), regarding the composition of its Board of Directors. Under the terms of the agreement, the Company elected Peter A. Feld, Richard S. Hill, Oleg Khaykin, Michael Strachan and Robert Switz to serve on its board. Mr. Hill replaced Dr. Sutardja as the Chairman of the Board in May 2016. The agreement specifies that the Board will recommend and the Company will support and solicit proxies only for the election at the 2016 annual general meeting of Messrs. Feld, Hill, Khaykin, Murphy, Strachan and Switz and the four independent directors serving on the Board immediately prior to the execution of the agreement, Dr. Gromer, Dr. Kassakian, Mr. Krueger and Dr. Thakur.</w:t>
      </w:r>
    </w:p>
    <w:p>
      <w:pPr>
        <w:spacing w:after="0" w:line="144"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February 2016, the Company and CMU settled their patent infringement lawsuit pursuant to a court-ordered mediation and entered into a Settlement Agreement and Patent License (the “Agreement”). The parties agreed to mutual release of claims, license and covenant not to sue provisions for which the Company will pay an aggregate of $750 million to CMU. See CMU litigation under “Note 10 — Commitments and Contingencies” for further information about the lawsuit.</w:t>
      </w:r>
    </w:p>
    <w:p>
      <w:pPr>
        <w:spacing w:after="0" w:line="143"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The Agreement was accounted for as a multiple-element arrangement and accordingly, a valuation was completed to determine the estimated fair value of each identifiable element. As a result, the Company allocated $654.7 million to the mutual release of claims and covenant not to sue provisions; $81.3 million to the licensing of intellectual property in fiscal 2016; and the remaining $14.0 million representing the future use of the license through April 2018.</w:t>
      </w:r>
    </w:p>
    <w:p>
      <w:pPr>
        <w:spacing w:after="0" w:line="107" w:lineRule="exact"/>
        <w:rPr>
          <w:sz w:val="20"/>
          <w:szCs w:val="20"/>
          <w:color w:val="auto"/>
        </w:rPr>
      </w:pPr>
    </w:p>
    <w:p>
      <w:pPr>
        <w:jc w:val="both"/>
        <w:ind w:right="40" w:firstLine="456"/>
        <w:spacing w:after="0" w:line="335" w:lineRule="auto"/>
        <w:rPr>
          <w:sz w:val="20"/>
          <w:szCs w:val="20"/>
          <w:color w:val="auto"/>
        </w:rPr>
      </w:pPr>
      <w:r>
        <w:rPr>
          <w:rFonts w:ascii="Arial" w:cs="Arial" w:eastAsia="Arial" w:hAnsi="Arial"/>
          <w:sz w:val="15"/>
          <w:szCs w:val="15"/>
          <w:color w:val="auto"/>
        </w:rPr>
        <w:t>The $654.7 million for the mutual release of claims and covenant not to sue was recorded in fiscal 2016 as a settlement charge in operating expenses since there is no future benefit. The $81.3 million license fee was recorded in fiscal 2016 as a charge in cost of goods sold for past use of the license. The $14.0 million representing the future use of the license, will be recognized in cost of goods sold over the remaining term of the license from February 2016 through April 2018.</w:t>
      </w:r>
    </w:p>
    <w:p>
      <w:pPr>
        <w:spacing w:after="0" w:line="88"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Company considers its existing cash, cash equivalents and short-term investments to be sufficient to cover payment of the $750 million settlement, and in April 2016, the Company completed full payment of the $750 million to CMU.</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400"/>
          </w:cols>
          <w:pgMar w:left="240" w:top="459" w:right="25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4680"/>
        <w:spacing w:after="0"/>
        <w:rPr>
          <w:sz w:val="20"/>
          <w:szCs w:val="20"/>
          <w:color w:val="auto"/>
        </w:rPr>
      </w:pPr>
      <w:r>
        <w:rPr>
          <w:rFonts w:ascii="Arial" w:cs="Arial" w:eastAsia="Arial" w:hAnsi="Arial"/>
          <w:sz w:val="18"/>
          <w:szCs w:val="18"/>
          <w:b w:val="1"/>
          <w:bCs w:val="1"/>
          <w:color w:val="auto"/>
        </w:rPr>
        <w:t>SUPPLEMENTARY DATA</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65"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January 30, 2016. 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2"/>
          </w:tcPr>
          <w:p>
            <w:pPr>
              <w:jc w:val="center"/>
              <w:ind w:left="398"/>
              <w:spacing w:after="0"/>
              <w:rPr>
                <w:sz w:val="20"/>
                <w:szCs w:val="20"/>
                <w:color w:val="auto"/>
              </w:rPr>
            </w:pPr>
            <w:r>
              <w:rPr>
                <w:rFonts w:ascii="Arial" w:cs="Arial" w:eastAsia="Arial" w:hAnsi="Arial"/>
                <w:sz w:val="14"/>
                <w:szCs w:val="14"/>
                <w:b w:val="1"/>
                <w:bCs w:val="1"/>
                <w:color w:val="auto"/>
                <w:w w:val="85"/>
              </w:rPr>
              <w:t>Fiscal 2016</w:t>
            </w:r>
          </w:p>
        </w:tc>
        <w:tc>
          <w:tcPr>
            <w:tcW w:w="8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74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jc w:val="right"/>
              <w:ind w:right="157"/>
              <w:spacing w:after="0" w:line="129" w:lineRule="exact"/>
              <w:rPr>
                <w:sz w:val="20"/>
                <w:szCs w:val="20"/>
                <w:color w:val="auto"/>
              </w:rPr>
            </w:pPr>
            <w:r>
              <w:rPr>
                <w:rFonts w:ascii="Arial" w:cs="Arial" w:eastAsia="Arial" w:hAnsi="Arial"/>
                <w:sz w:val="14"/>
                <w:szCs w:val="14"/>
                <w:b w:val="1"/>
                <w:bCs w:val="1"/>
                <w:color w:val="auto"/>
              </w:rPr>
              <w:t>First</w:t>
            </w:r>
          </w:p>
        </w:tc>
        <w:tc>
          <w:tcPr>
            <w:tcW w:w="420" w:type="dxa"/>
            <w:vAlign w:val="bottom"/>
          </w:tcPr>
          <w:p>
            <w:pPr>
              <w:spacing w:after="0"/>
              <w:rPr>
                <w:sz w:val="11"/>
                <w:szCs w:val="11"/>
                <w:color w:val="auto"/>
              </w:rPr>
            </w:pPr>
          </w:p>
        </w:tc>
        <w:tc>
          <w:tcPr>
            <w:tcW w:w="820" w:type="dxa"/>
            <w:vAlign w:val="bottom"/>
          </w:tcPr>
          <w:p>
            <w:pPr>
              <w:jc w:val="center"/>
              <w:ind w:right="238"/>
              <w:spacing w:after="0" w:line="129" w:lineRule="exact"/>
              <w:rPr>
                <w:sz w:val="20"/>
                <w:szCs w:val="20"/>
                <w:color w:val="auto"/>
              </w:rPr>
            </w:pPr>
            <w:r>
              <w:rPr>
                <w:rFonts w:ascii="Arial" w:cs="Arial" w:eastAsia="Arial" w:hAnsi="Arial"/>
                <w:sz w:val="14"/>
                <w:szCs w:val="14"/>
                <w:b w:val="1"/>
                <w:bCs w:val="1"/>
                <w:color w:val="auto"/>
                <w:w w:val="82"/>
              </w:rPr>
              <w:t>Second</w:t>
            </w:r>
          </w:p>
        </w:tc>
        <w:tc>
          <w:tcPr>
            <w:tcW w:w="300" w:type="dxa"/>
            <w:vAlign w:val="bottom"/>
          </w:tcPr>
          <w:p>
            <w:pPr>
              <w:spacing w:after="0"/>
              <w:rPr>
                <w:sz w:val="11"/>
                <w:szCs w:val="11"/>
                <w:color w:val="auto"/>
              </w:rPr>
            </w:pPr>
          </w:p>
        </w:tc>
        <w:tc>
          <w:tcPr>
            <w:tcW w:w="880" w:type="dxa"/>
            <w:vAlign w:val="bottom"/>
          </w:tcPr>
          <w:p>
            <w:pPr>
              <w:jc w:val="center"/>
              <w:ind w:right="418"/>
              <w:spacing w:after="0" w:line="129" w:lineRule="exact"/>
              <w:rPr>
                <w:sz w:val="20"/>
                <w:szCs w:val="20"/>
                <w:color w:val="auto"/>
              </w:rPr>
            </w:pPr>
            <w:r>
              <w:rPr>
                <w:rFonts w:ascii="Arial" w:cs="Arial" w:eastAsia="Arial" w:hAnsi="Arial"/>
                <w:sz w:val="14"/>
                <w:szCs w:val="14"/>
                <w:b w:val="1"/>
                <w:bCs w:val="1"/>
                <w:color w:val="auto"/>
                <w:w w:val="97"/>
              </w:rPr>
              <w:t>Third</w:t>
            </w:r>
          </w:p>
        </w:tc>
        <w:tc>
          <w:tcPr>
            <w:tcW w:w="120" w:type="dxa"/>
            <w:vAlign w:val="bottom"/>
          </w:tcPr>
          <w:p>
            <w:pPr>
              <w:spacing w:after="0"/>
              <w:rPr>
                <w:sz w:val="11"/>
                <w:szCs w:val="11"/>
                <w:color w:val="auto"/>
              </w:rPr>
            </w:pPr>
          </w:p>
        </w:tc>
        <w:tc>
          <w:tcPr>
            <w:tcW w:w="640" w:type="dxa"/>
            <w:vAlign w:val="bottom"/>
          </w:tcPr>
          <w:p>
            <w:pPr>
              <w:jc w:val="center"/>
              <w:ind w:right="36"/>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7400" w:type="dxa"/>
            <w:vAlign w:val="bottom"/>
          </w:tcPr>
          <w:p>
            <w:pPr>
              <w:spacing w:after="0"/>
              <w:rPr>
                <w:sz w:val="14"/>
                <w:szCs w:val="14"/>
                <w:color w:val="auto"/>
              </w:rPr>
            </w:pPr>
          </w:p>
        </w:tc>
        <w:tc>
          <w:tcPr>
            <w:tcW w:w="740" w:type="dxa"/>
            <w:vAlign w:val="bottom"/>
            <w:gridSpan w:val="2"/>
          </w:tcPr>
          <w:p>
            <w:pPr>
              <w:ind w:left="20"/>
              <w:spacing w:after="0"/>
              <w:rPr>
                <w:sz w:val="20"/>
                <w:szCs w:val="20"/>
                <w:color w:val="auto"/>
              </w:rPr>
            </w:pPr>
            <w:r>
              <w:rPr>
                <w:rFonts w:ascii="Arial" w:cs="Arial" w:eastAsia="Arial" w:hAnsi="Arial"/>
                <w:sz w:val="14"/>
                <w:szCs w:val="14"/>
                <w:b w:val="1"/>
                <w:bCs w:val="1"/>
                <w:color w:val="auto"/>
                <w:w w:val="97"/>
              </w:rPr>
              <w:t>Quarter (1)</w:t>
            </w:r>
          </w:p>
        </w:tc>
        <w:tc>
          <w:tcPr>
            <w:tcW w:w="1240" w:type="dxa"/>
            <w:vAlign w:val="bottom"/>
            <w:gridSpan w:val="2"/>
          </w:tcPr>
          <w:p>
            <w:pPr>
              <w:jc w:val="center"/>
              <w:ind w:left="18"/>
              <w:spacing w:after="0"/>
              <w:rPr>
                <w:sz w:val="20"/>
                <w:szCs w:val="20"/>
                <w:color w:val="auto"/>
              </w:rPr>
            </w:pPr>
            <w:r>
              <w:rPr>
                <w:rFonts w:ascii="Arial" w:cs="Arial" w:eastAsia="Arial" w:hAnsi="Arial"/>
                <w:sz w:val="14"/>
                <w:szCs w:val="14"/>
                <w:b w:val="1"/>
                <w:bCs w:val="1"/>
                <w:color w:val="auto"/>
                <w:w w:val="92"/>
              </w:rPr>
              <w:t>Quarter (2)</w:t>
            </w:r>
          </w:p>
        </w:tc>
        <w:tc>
          <w:tcPr>
            <w:tcW w:w="1180" w:type="dxa"/>
            <w:vAlign w:val="bottom"/>
            <w:gridSpan w:val="2"/>
          </w:tcPr>
          <w:p>
            <w:pPr>
              <w:jc w:val="center"/>
              <w:ind w:right="118"/>
              <w:spacing w:after="0"/>
              <w:rPr>
                <w:sz w:val="20"/>
                <w:szCs w:val="20"/>
                <w:color w:val="auto"/>
              </w:rPr>
            </w:pPr>
            <w:r>
              <w:rPr>
                <w:rFonts w:ascii="Arial" w:cs="Arial" w:eastAsia="Arial" w:hAnsi="Arial"/>
                <w:sz w:val="14"/>
                <w:szCs w:val="14"/>
                <w:b w:val="1"/>
                <w:bCs w:val="1"/>
                <w:color w:val="auto"/>
                <w:w w:val="92"/>
              </w:rPr>
              <w:t>Quarter (3)</w:t>
            </w:r>
          </w:p>
        </w:tc>
        <w:tc>
          <w:tcPr>
            <w:tcW w:w="8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2"/>
              </w:rPr>
              <w:t>Quarter (4)</w:t>
            </w:r>
          </w:p>
        </w:tc>
      </w:tr>
      <w:tr>
        <w:trPr>
          <w:trHeight w:val="142"/>
        </w:trPr>
        <w:tc>
          <w:tcPr>
            <w:tcW w:w="740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420" w:type="dxa"/>
            <w:vAlign w:val="bottom"/>
            <w:tcBorders>
              <w:top w:val="single" w:sz="8" w:color="auto"/>
            </w:tcBorders>
            <w:gridSpan w:val="4"/>
          </w:tcPr>
          <w:p>
            <w:pPr>
              <w:jc w:val="center"/>
              <w:spacing w:after="0" w:line="142" w:lineRule="exact"/>
              <w:rPr>
                <w:sz w:val="20"/>
                <w:szCs w:val="20"/>
                <w:color w:val="auto"/>
              </w:rPr>
            </w:pPr>
            <w:r>
              <w:rPr>
                <w:rFonts w:ascii="Arial" w:cs="Arial" w:eastAsia="Arial" w:hAnsi="Arial"/>
                <w:sz w:val="14"/>
                <w:szCs w:val="14"/>
                <w:b w:val="1"/>
                <w:bCs w:val="1"/>
                <w:color w:val="auto"/>
                <w:w w:val="84"/>
              </w:rPr>
              <w:t>(In thousands, except per share amounts)</w:t>
            </w:r>
          </w:p>
        </w:tc>
        <w:tc>
          <w:tcPr>
            <w:tcW w:w="12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$ 724,288</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98"/>
              <w:spacing w:after="0"/>
              <w:rPr>
                <w:sz w:val="20"/>
                <w:szCs w:val="20"/>
                <w:color w:val="auto"/>
              </w:rPr>
            </w:pPr>
            <w:r>
              <w:rPr>
                <w:rFonts w:ascii="Arial" w:cs="Arial" w:eastAsia="Arial" w:hAnsi="Arial"/>
                <w:sz w:val="18"/>
                <w:szCs w:val="18"/>
                <w:color w:val="auto"/>
                <w:w w:val="95"/>
              </w:rPr>
              <w:t>710,492</w:t>
            </w:r>
          </w:p>
        </w:tc>
        <w:tc>
          <w:tcPr>
            <w:tcW w:w="1180" w:type="dxa"/>
            <w:vAlign w:val="bottom"/>
            <w:gridSpan w:val="2"/>
            <w:shd w:val="clear" w:color="auto" w:fill="CCEEFF"/>
          </w:tcPr>
          <w:p>
            <w:pPr>
              <w:jc w:val="right"/>
              <w:ind w:right="238"/>
              <w:spacing w:after="0"/>
              <w:rPr>
                <w:sz w:val="20"/>
                <w:szCs w:val="20"/>
                <w:color w:val="auto"/>
              </w:rPr>
            </w:pPr>
            <w:r>
              <w:rPr>
                <w:rFonts w:ascii="Arial" w:cs="Arial" w:eastAsia="Arial" w:hAnsi="Arial"/>
                <w:sz w:val="18"/>
                <w:szCs w:val="18"/>
                <w:color w:val="auto"/>
              </w:rPr>
              <w:t>$ 674,890</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616,158</w:t>
            </w: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Gross profit</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w w:val="87"/>
              </w:rPr>
              <w:t>$ 373,135</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98"/>
              <w:spacing w:after="0"/>
              <w:rPr>
                <w:sz w:val="20"/>
                <w:szCs w:val="20"/>
                <w:color w:val="auto"/>
              </w:rPr>
            </w:pPr>
            <w:r>
              <w:rPr>
                <w:rFonts w:ascii="Arial" w:cs="Arial" w:eastAsia="Arial" w:hAnsi="Arial"/>
                <w:sz w:val="18"/>
                <w:szCs w:val="18"/>
                <w:color w:val="auto"/>
                <w:w w:val="95"/>
              </w:rPr>
              <w:t>248,773</w:t>
            </w:r>
          </w:p>
        </w:tc>
        <w:tc>
          <w:tcPr>
            <w:tcW w:w="1180" w:type="dxa"/>
            <w:vAlign w:val="bottom"/>
            <w:gridSpan w:val="2"/>
          </w:tcPr>
          <w:p>
            <w:pPr>
              <w:jc w:val="right"/>
              <w:ind w:right="238"/>
              <w:spacing w:after="0"/>
              <w:rPr>
                <w:sz w:val="20"/>
                <w:szCs w:val="20"/>
                <w:color w:val="auto"/>
              </w:rPr>
            </w:pPr>
            <w:r>
              <w:rPr>
                <w:rFonts w:ascii="Arial" w:cs="Arial" w:eastAsia="Arial" w:hAnsi="Arial"/>
                <w:sz w:val="18"/>
                <w:szCs w:val="18"/>
                <w:color w:val="auto"/>
              </w:rPr>
              <w:t>$ 295,636</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313,548</w:t>
            </w: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14,090</w:t>
            </w:r>
          </w:p>
        </w:tc>
        <w:tc>
          <w:tcPr>
            <w:tcW w:w="1240" w:type="dxa"/>
            <w:vAlign w:val="bottom"/>
            <w:gridSpan w:val="2"/>
            <w:shd w:val="clear" w:color="auto" w:fill="CCEEFF"/>
          </w:tcPr>
          <w:p>
            <w:pPr>
              <w:jc w:val="right"/>
              <w:ind w:right="38"/>
              <w:spacing w:after="0"/>
              <w:rPr>
                <w:sz w:val="20"/>
                <w:szCs w:val="20"/>
                <w:color w:val="auto"/>
              </w:rPr>
            </w:pPr>
            <w:r>
              <w:rPr>
                <w:rFonts w:ascii="Arial" w:cs="Arial" w:eastAsia="Arial" w:hAnsi="Arial"/>
                <w:sz w:val="18"/>
                <w:szCs w:val="18"/>
                <w:color w:val="auto"/>
              </w:rPr>
              <w:t>$ (771,940)</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178"/>
              <w:spacing w:after="0"/>
              <w:rPr>
                <w:sz w:val="20"/>
                <w:szCs w:val="20"/>
                <w:color w:val="auto"/>
              </w:rPr>
            </w:pPr>
            <w:r>
              <w:rPr>
                <w:rFonts w:ascii="Arial" w:cs="Arial" w:eastAsia="Arial" w:hAnsi="Arial"/>
                <w:sz w:val="18"/>
                <w:szCs w:val="18"/>
                <w:color w:val="auto"/>
                <w:w w:val="89"/>
              </w:rPr>
              <w:t>(57,750)</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4,200</w:t>
            </w: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38"/>
              <w:spacing w:after="0"/>
              <w:rPr>
                <w:sz w:val="20"/>
                <w:szCs w:val="20"/>
                <w:color w:val="auto"/>
              </w:rPr>
            </w:pPr>
            <w:r>
              <w:rPr>
                <w:rFonts w:ascii="Arial" w:cs="Arial" w:eastAsia="Arial" w:hAnsi="Arial"/>
                <w:sz w:val="18"/>
                <w:szCs w:val="18"/>
                <w:color w:val="auto"/>
              </w:rPr>
              <w:t>(1.49)</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178"/>
              <w:spacing w:after="0"/>
              <w:rPr>
                <w:sz w:val="20"/>
                <w:szCs w:val="20"/>
                <w:color w:val="auto"/>
              </w:rPr>
            </w:pPr>
            <w:r>
              <w:rPr>
                <w:rFonts w:ascii="Arial" w:cs="Arial" w:eastAsia="Arial" w:hAnsi="Arial"/>
                <w:sz w:val="18"/>
                <w:szCs w:val="18"/>
                <w:color w:val="auto"/>
              </w:rPr>
              <w:t>(0.11)</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0.01</w:t>
            </w:r>
          </w:p>
        </w:tc>
      </w:tr>
      <w:tr>
        <w:trPr>
          <w:trHeight w:val="222"/>
        </w:trPr>
        <w:tc>
          <w:tcPr>
            <w:tcW w:w="7400" w:type="dxa"/>
            <w:vAlign w:val="bottom"/>
          </w:tcPr>
          <w:p>
            <w:pPr>
              <w:ind w:left="440"/>
              <w:spacing w:after="0"/>
              <w:rPr>
                <w:sz w:val="20"/>
                <w:szCs w:val="20"/>
                <w:color w:val="auto"/>
              </w:rPr>
            </w:pPr>
            <w:r>
              <w:rPr>
                <w:rFonts w:ascii="Arial" w:cs="Arial" w:eastAsia="Arial" w:hAnsi="Arial"/>
                <w:sz w:val="18"/>
                <w:szCs w:val="18"/>
                <w:color w:val="auto"/>
              </w:rPr>
              <w:t>Diluted</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0.03</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38"/>
              <w:spacing w:after="0"/>
              <w:rPr>
                <w:sz w:val="20"/>
                <w:szCs w:val="20"/>
                <w:color w:val="auto"/>
              </w:rPr>
            </w:pPr>
            <w:r>
              <w:rPr>
                <w:rFonts w:ascii="Arial" w:cs="Arial" w:eastAsia="Arial" w:hAnsi="Arial"/>
                <w:sz w:val="18"/>
                <w:szCs w:val="18"/>
                <w:color w:val="auto"/>
              </w:rPr>
              <w:t>(1.49)</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78"/>
              <w:spacing w:after="0"/>
              <w:rPr>
                <w:sz w:val="20"/>
                <w:szCs w:val="20"/>
                <w:color w:val="auto"/>
              </w:rPr>
            </w:pPr>
            <w:r>
              <w:rPr>
                <w:rFonts w:ascii="Arial" w:cs="Arial" w:eastAsia="Arial" w:hAnsi="Arial"/>
                <w:sz w:val="18"/>
                <w:szCs w:val="18"/>
                <w:color w:val="auto"/>
              </w:rPr>
              <w:t>(0.11)</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0.01</w:t>
            </w:r>
          </w:p>
        </w:tc>
      </w:tr>
      <w:tr>
        <w:trPr>
          <w:trHeight w:val="358"/>
        </w:trPr>
        <w:tc>
          <w:tcPr>
            <w:tcW w:w="740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gridSpan w:val="2"/>
          </w:tcPr>
          <w:p>
            <w:pPr>
              <w:jc w:val="center"/>
              <w:ind w:left="398"/>
              <w:spacing w:after="0"/>
              <w:rPr>
                <w:sz w:val="20"/>
                <w:szCs w:val="20"/>
                <w:color w:val="auto"/>
              </w:rPr>
            </w:pPr>
            <w:r>
              <w:rPr>
                <w:rFonts w:ascii="Arial" w:cs="Arial" w:eastAsia="Arial" w:hAnsi="Arial"/>
                <w:sz w:val="14"/>
                <w:szCs w:val="14"/>
                <w:b w:val="1"/>
                <w:bCs w:val="1"/>
                <w:color w:val="auto"/>
                <w:w w:val="85"/>
              </w:rPr>
              <w:t>Fiscal 2015</w:t>
            </w:r>
          </w:p>
        </w:tc>
        <w:tc>
          <w:tcPr>
            <w:tcW w:w="8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29"/>
        </w:trPr>
        <w:tc>
          <w:tcPr>
            <w:tcW w:w="74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jc w:val="right"/>
              <w:ind w:right="157"/>
              <w:spacing w:after="0" w:line="129" w:lineRule="exact"/>
              <w:rPr>
                <w:sz w:val="20"/>
                <w:szCs w:val="20"/>
                <w:color w:val="auto"/>
              </w:rPr>
            </w:pPr>
            <w:r>
              <w:rPr>
                <w:rFonts w:ascii="Arial" w:cs="Arial" w:eastAsia="Arial" w:hAnsi="Arial"/>
                <w:sz w:val="14"/>
                <w:szCs w:val="14"/>
                <w:b w:val="1"/>
                <w:bCs w:val="1"/>
                <w:color w:val="auto"/>
              </w:rPr>
              <w:t>First</w:t>
            </w:r>
          </w:p>
        </w:tc>
        <w:tc>
          <w:tcPr>
            <w:tcW w:w="420" w:type="dxa"/>
            <w:vAlign w:val="bottom"/>
          </w:tcPr>
          <w:p>
            <w:pPr>
              <w:spacing w:after="0"/>
              <w:rPr>
                <w:sz w:val="11"/>
                <w:szCs w:val="11"/>
                <w:color w:val="auto"/>
              </w:rPr>
            </w:pPr>
          </w:p>
        </w:tc>
        <w:tc>
          <w:tcPr>
            <w:tcW w:w="820" w:type="dxa"/>
            <w:vAlign w:val="bottom"/>
          </w:tcPr>
          <w:p>
            <w:pPr>
              <w:jc w:val="center"/>
              <w:ind w:right="238"/>
              <w:spacing w:after="0" w:line="129" w:lineRule="exact"/>
              <w:rPr>
                <w:sz w:val="20"/>
                <w:szCs w:val="20"/>
                <w:color w:val="auto"/>
              </w:rPr>
            </w:pPr>
            <w:r>
              <w:rPr>
                <w:rFonts w:ascii="Arial" w:cs="Arial" w:eastAsia="Arial" w:hAnsi="Arial"/>
                <w:sz w:val="14"/>
                <w:szCs w:val="14"/>
                <w:b w:val="1"/>
                <w:bCs w:val="1"/>
                <w:color w:val="auto"/>
                <w:w w:val="82"/>
              </w:rPr>
              <w:t>Second</w:t>
            </w:r>
          </w:p>
        </w:tc>
        <w:tc>
          <w:tcPr>
            <w:tcW w:w="300" w:type="dxa"/>
            <w:vAlign w:val="bottom"/>
          </w:tcPr>
          <w:p>
            <w:pPr>
              <w:spacing w:after="0"/>
              <w:rPr>
                <w:sz w:val="11"/>
                <w:szCs w:val="11"/>
                <w:color w:val="auto"/>
              </w:rPr>
            </w:pPr>
          </w:p>
        </w:tc>
        <w:tc>
          <w:tcPr>
            <w:tcW w:w="880" w:type="dxa"/>
            <w:vAlign w:val="bottom"/>
          </w:tcPr>
          <w:p>
            <w:pPr>
              <w:jc w:val="center"/>
              <w:ind w:right="418"/>
              <w:spacing w:after="0" w:line="129" w:lineRule="exact"/>
              <w:rPr>
                <w:sz w:val="20"/>
                <w:szCs w:val="20"/>
                <w:color w:val="auto"/>
              </w:rPr>
            </w:pPr>
            <w:r>
              <w:rPr>
                <w:rFonts w:ascii="Arial" w:cs="Arial" w:eastAsia="Arial" w:hAnsi="Arial"/>
                <w:sz w:val="14"/>
                <w:szCs w:val="14"/>
                <w:b w:val="1"/>
                <w:bCs w:val="1"/>
                <w:color w:val="auto"/>
                <w:w w:val="97"/>
              </w:rPr>
              <w:t>Third</w:t>
            </w:r>
          </w:p>
        </w:tc>
        <w:tc>
          <w:tcPr>
            <w:tcW w:w="120" w:type="dxa"/>
            <w:vAlign w:val="bottom"/>
          </w:tcPr>
          <w:p>
            <w:pPr>
              <w:spacing w:after="0"/>
              <w:rPr>
                <w:sz w:val="11"/>
                <w:szCs w:val="11"/>
                <w:color w:val="auto"/>
              </w:rPr>
            </w:pPr>
          </w:p>
        </w:tc>
        <w:tc>
          <w:tcPr>
            <w:tcW w:w="640" w:type="dxa"/>
            <w:vAlign w:val="bottom"/>
          </w:tcPr>
          <w:p>
            <w:pPr>
              <w:jc w:val="center"/>
              <w:ind w:right="36"/>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7400" w:type="dxa"/>
            <w:vAlign w:val="bottom"/>
          </w:tcPr>
          <w:p>
            <w:pPr>
              <w:spacing w:after="0"/>
              <w:rPr>
                <w:sz w:val="14"/>
                <w:szCs w:val="14"/>
                <w:color w:val="auto"/>
              </w:rPr>
            </w:pPr>
          </w:p>
        </w:tc>
        <w:tc>
          <w:tcPr>
            <w:tcW w:w="740" w:type="dxa"/>
            <w:vAlign w:val="bottom"/>
            <w:gridSpan w:val="2"/>
          </w:tcPr>
          <w:p>
            <w:pPr>
              <w:ind w:left="20"/>
              <w:spacing w:after="0"/>
              <w:rPr>
                <w:sz w:val="20"/>
                <w:szCs w:val="20"/>
                <w:color w:val="auto"/>
              </w:rPr>
            </w:pPr>
            <w:r>
              <w:rPr>
                <w:rFonts w:ascii="Arial" w:cs="Arial" w:eastAsia="Arial" w:hAnsi="Arial"/>
                <w:sz w:val="14"/>
                <w:szCs w:val="14"/>
                <w:b w:val="1"/>
                <w:bCs w:val="1"/>
                <w:color w:val="auto"/>
                <w:w w:val="97"/>
              </w:rPr>
              <w:t>Quarter (5)</w:t>
            </w:r>
          </w:p>
        </w:tc>
        <w:tc>
          <w:tcPr>
            <w:tcW w:w="1240" w:type="dxa"/>
            <w:vAlign w:val="bottom"/>
            <w:gridSpan w:val="2"/>
          </w:tcPr>
          <w:p>
            <w:pPr>
              <w:jc w:val="center"/>
              <w:ind w:left="18"/>
              <w:spacing w:after="0"/>
              <w:rPr>
                <w:sz w:val="20"/>
                <w:szCs w:val="20"/>
                <w:color w:val="auto"/>
              </w:rPr>
            </w:pPr>
            <w:r>
              <w:rPr>
                <w:rFonts w:ascii="Arial" w:cs="Arial" w:eastAsia="Arial" w:hAnsi="Arial"/>
                <w:sz w:val="14"/>
                <w:szCs w:val="14"/>
                <w:b w:val="1"/>
                <w:bCs w:val="1"/>
                <w:color w:val="auto"/>
                <w:w w:val="92"/>
              </w:rPr>
              <w:t>Quarter (6)</w:t>
            </w:r>
          </w:p>
        </w:tc>
        <w:tc>
          <w:tcPr>
            <w:tcW w:w="1180" w:type="dxa"/>
            <w:vAlign w:val="bottom"/>
            <w:gridSpan w:val="2"/>
          </w:tcPr>
          <w:p>
            <w:pPr>
              <w:jc w:val="center"/>
              <w:ind w:right="118"/>
              <w:spacing w:after="0"/>
              <w:rPr>
                <w:sz w:val="20"/>
                <w:szCs w:val="20"/>
                <w:color w:val="auto"/>
              </w:rPr>
            </w:pPr>
            <w:r>
              <w:rPr>
                <w:rFonts w:ascii="Arial" w:cs="Arial" w:eastAsia="Arial" w:hAnsi="Arial"/>
                <w:sz w:val="14"/>
                <w:szCs w:val="14"/>
                <w:b w:val="1"/>
                <w:bCs w:val="1"/>
                <w:color w:val="auto"/>
                <w:w w:val="92"/>
              </w:rPr>
              <w:t>Quarter (7)</w:t>
            </w:r>
          </w:p>
        </w:tc>
        <w:tc>
          <w:tcPr>
            <w:tcW w:w="8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2"/>
              </w:rPr>
              <w:t>Quarter (8)</w:t>
            </w:r>
          </w:p>
        </w:tc>
      </w:tr>
      <w:tr>
        <w:trPr>
          <w:trHeight w:val="142"/>
        </w:trPr>
        <w:tc>
          <w:tcPr>
            <w:tcW w:w="740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420" w:type="dxa"/>
            <w:vAlign w:val="bottom"/>
            <w:tcBorders>
              <w:top w:val="single" w:sz="8" w:color="auto"/>
            </w:tcBorders>
            <w:gridSpan w:val="4"/>
          </w:tcPr>
          <w:p>
            <w:pPr>
              <w:jc w:val="center"/>
              <w:spacing w:after="0" w:line="142" w:lineRule="exact"/>
              <w:rPr>
                <w:sz w:val="20"/>
                <w:szCs w:val="20"/>
                <w:color w:val="auto"/>
              </w:rPr>
            </w:pPr>
            <w:r>
              <w:rPr>
                <w:rFonts w:ascii="Arial" w:cs="Arial" w:eastAsia="Arial" w:hAnsi="Arial"/>
                <w:sz w:val="14"/>
                <w:szCs w:val="14"/>
                <w:b w:val="1"/>
                <w:bCs w:val="1"/>
                <w:color w:val="auto"/>
                <w:w w:val="84"/>
              </w:rPr>
              <w:t>(In thousands, except per share amounts)</w:t>
            </w:r>
          </w:p>
        </w:tc>
        <w:tc>
          <w:tcPr>
            <w:tcW w:w="12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$ 957,830</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98"/>
              <w:spacing w:after="0"/>
              <w:rPr>
                <w:sz w:val="20"/>
                <w:szCs w:val="20"/>
                <w:color w:val="auto"/>
              </w:rPr>
            </w:pPr>
            <w:r>
              <w:rPr>
                <w:rFonts w:ascii="Arial" w:cs="Arial" w:eastAsia="Arial" w:hAnsi="Arial"/>
                <w:sz w:val="18"/>
                <w:szCs w:val="18"/>
                <w:color w:val="auto"/>
                <w:w w:val="95"/>
              </w:rPr>
              <w:t>961,545</w:t>
            </w:r>
          </w:p>
        </w:tc>
        <w:tc>
          <w:tcPr>
            <w:tcW w:w="1180" w:type="dxa"/>
            <w:vAlign w:val="bottom"/>
            <w:gridSpan w:val="2"/>
            <w:shd w:val="clear" w:color="auto" w:fill="CCEEFF"/>
          </w:tcPr>
          <w:p>
            <w:pPr>
              <w:jc w:val="right"/>
              <w:ind w:right="238"/>
              <w:spacing w:after="0"/>
              <w:rPr>
                <w:sz w:val="20"/>
                <w:szCs w:val="20"/>
                <w:color w:val="auto"/>
              </w:rPr>
            </w:pPr>
            <w:r>
              <w:rPr>
                <w:rFonts w:ascii="Arial" w:cs="Arial" w:eastAsia="Arial" w:hAnsi="Arial"/>
                <w:sz w:val="18"/>
                <w:szCs w:val="18"/>
                <w:color w:val="auto"/>
              </w:rPr>
              <w:t>$ 930,136</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857,452</w:t>
            </w: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Gross profit</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w w:val="87"/>
              </w:rPr>
              <w:t>$ 463,970</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98"/>
              <w:spacing w:after="0"/>
              <w:rPr>
                <w:sz w:val="20"/>
                <w:szCs w:val="20"/>
                <w:color w:val="auto"/>
              </w:rPr>
            </w:pPr>
            <w:r>
              <w:rPr>
                <w:rFonts w:ascii="Arial" w:cs="Arial" w:eastAsia="Arial" w:hAnsi="Arial"/>
                <w:sz w:val="18"/>
                <w:szCs w:val="18"/>
                <w:color w:val="auto"/>
                <w:w w:val="95"/>
              </w:rPr>
              <w:t>483,804</w:t>
            </w:r>
          </w:p>
        </w:tc>
        <w:tc>
          <w:tcPr>
            <w:tcW w:w="1180" w:type="dxa"/>
            <w:vAlign w:val="bottom"/>
            <w:gridSpan w:val="2"/>
          </w:tcPr>
          <w:p>
            <w:pPr>
              <w:jc w:val="right"/>
              <w:ind w:right="238"/>
              <w:spacing w:after="0"/>
              <w:rPr>
                <w:sz w:val="20"/>
                <w:szCs w:val="20"/>
                <w:color w:val="auto"/>
              </w:rPr>
            </w:pPr>
            <w:r>
              <w:rPr>
                <w:rFonts w:ascii="Arial" w:cs="Arial" w:eastAsia="Arial" w:hAnsi="Arial"/>
                <w:sz w:val="18"/>
                <w:szCs w:val="18"/>
                <w:color w:val="auto"/>
              </w:rPr>
              <w:t>$ 475,162</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440,321</w:t>
            </w: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99,479</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98"/>
              <w:spacing w:after="0"/>
              <w:rPr>
                <w:sz w:val="20"/>
                <w:szCs w:val="20"/>
                <w:color w:val="auto"/>
              </w:rPr>
            </w:pPr>
            <w:r>
              <w:rPr>
                <w:rFonts w:ascii="Arial" w:cs="Arial" w:eastAsia="Arial" w:hAnsi="Arial"/>
                <w:sz w:val="18"/>
                <w:szCs w:val="18"/>
                <w:color w:val="auto"/>
                <w:w w:val="95"/>
              </w:rPr>
              <w:t>138,870</w:t>
            </w:r>
          </w:p>
        </w:tc>
        <w:tc>
          <w:tcPr>
            <w:tcW w:w="1180" w:type="dxa"/>
            <w:vAlign w:val="bottom"/>
            <w:gridSpan w:val="2"/>
            <w:shd w:val="clear" w:color="auto" w:fill="CCEEFF"/>
          </w:tcPr>
          <w:p>
            <w:pPr>
              <w:jc w:val="right"/>
              <w:ind w:right="238"/>
              <w:spacing w:after="0"/>
              <w:rPr>
                <w:sz w:val="20"/>
                <w:szCs w:val="20"/>
                <w:color w:val="auto"/>
              </w:rPr>
            </w:pPr>
            <w:r>
              <w:rPr>
                <w:rFonts w:ascii="Arial" w:cs="Arial" w:eastAsia="Arial" w:hAnsi="Arial"/>
                <w:sz w:val="18"/>
                <w:szCs w:val="18"/>
                <w:color w:val="auto"/>
              </w:rPr>
              <w:t>$ 115,304</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81,693</w:t>
            </w: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Net income per share:</w:t>
            </w: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98"/>
              <w:spacing w:after="0"/>
              <w:rPr>
                <w:sz w:val="20"/>
                <w:szCs w:val="20"/>
                <w:color w:val="auto"/>
              </w:rPr>
            </w:pPr>
            <w:r>
              <w:rPr>
                <w:rFonts w:ascii="Arial" w:cs="Arial" w:eastAsia="Arial" w:hAnsi="Arial"/>
                <w:sz w:val="18"/>
                <w:szCs w:val="18"/>
                <w:color w:val="auto"/>
              </w:rPr>
              <w:t>0.27</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238"/>
              <w:spacing w:after="0"/>
              <w:rPr>
                <w:sz w:val="20"/>
                <w:szCs w:val="20"/>
                <w:color w:val="auto"/>
              </w:rPr>
            </w:pPr>
            <w:r>
              <w:rPr>
                <w:rFonts w:ascii="Arial" w:cs="Arial" w:eastAsia="Arial" w:hAnsi="Arial"/>
                <w:sz w:val="18"/>
                <w:szCs w:val="18"/>
                <w:color w:val="auto"/>
              </w:rPr>
              <w:t>0.22</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0.16</w:t>
            </w:r>
          </w:p>
        </w:tc>
      </w:tr>
      <w:tr>
        <w:trPr>
          <w:trHeight w:val="222"/>
        </w:trPr>
        <w:tc>
          <w:tcPr>
            <w:tcW w:w="7400" w:type="dxa"/>
            <w:vAlign w:val="bottom"/>
          </w:tcPr>
          <w:p>
            <w:pPr>
              <w:ind w:left="440"/>
              <w:spacing w:after="0"/>
              <w:rPr>
                <w:sz w:val="20"/>
                <w:szCs w:val="20"/>
                <w:color w:val="auto"/>
              </w:rPr>
            </w:pPr>
            <w:r>
              <w:rPr>
                <w:rFonts w:ascii="Arial" w:cs="Arial" w:eastAsia="Arial" w:hAnsi="Arial"/>
                <w:sz w:val="18"/>
                <w:szCs w:val="18"/>
                <w:color w:val="auto"/>
              </w:rPr>
              <w:t>Diluted</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0.19</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98"/>
              <w:spacing w:after="0"/>
              <w:rPr>
                <w:sz w:val="20"/>
                <w:szCs w:val="20"/>
                <w:color w:val="auto"/>
              </w:rPr>
            </w:pPr>
            <w:r>
              <w:rPr>
                <w:rFonts w:ascii="Arial" w:cs="Arial" w:eastAsia="Arial" w:hAnsi="Arial"/>
                <w:sz w:val="18"/>
                <w:szCs w:val="18"/>
                <w:color w:val="auto"/>
              </w:rPr>
              <w:t>0.27</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238"/>
              <w:spacing w:after="0"/>
              <w:rPr>
                <w:sz w:val="20"/>
                <w:szCs w:val="20"/>
                <w:color w:val="auto"/>
              </w:rPr>
            </w:pPr>
            <w:r>
              <w:rPr>
                <w:rFonts w:ascii="Arial" w:cs="Arial" w:eastAsia="Arial" w:hAnsi="Arial"/>
                <w:sz w:val="18"/>
                <w:szCs w:val="18"/>
                <w:color w:val="auto"/>
              </w:rPr>
              <w:t>0.22</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0.16</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60" w:hanging="452"/>
        <w:spacing w:after="0" w:line="253" w:lineRule="auto"/>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first quarter of fiscal 2016 includes a charge for a cash payment authorized by our Board of Directors of $15.4 million to Dr. Sehat Sutardja (see “Note 14 — Related Party Transactions” in the Notes to the Consolidated Financial Statements) and $2.9 million of costs for the surety bonds related to the litigation with CMU.</w:t>
      </w:r>
    </w:p>
    <w:p>
      <w:pPr>
        <w:ind w:left="460" w:right="100" w:hanging="452"/>
        <w:spacing w:after="0" w:line="281" w:lineRule="auto"/>
        <w:tabs>
          <w:tab w:leader="none" w:pos="460" w:val="left"/>
        </w:tabs>
        <w:numPr>
          <w:ilvl w:val="0"/>
          <w:numId w:val="29"/>
        </w:numPr>
        <w:rPr>
          <w:rFonts w:ascii="Arial" w:cs="Arial" w:eastAsia="Arial" w:hAnsi="Arial"/>
          <w:sz w:val="16"/>
          <w:szCs w:val="16"/>
          <w:color w:val="auto"/>
        </w:rPr>
      </w:pPr>
      <w:r>
        <w:rPr>
          <w:rFonts w:ascii="Arial" w:cs="Arial" w:eastAsia="Arial" w:hAnsi="Arial"/>
          <w:sz w:val="16"/>
          <w:szCs w:val="16"/>
          <w:color w:val="auto"/>
        </w:rPr>
        <w:t>The second quarter of fiscal 2016 includes a $745.6 million charge for litigation matters recognized by the Company including the settlement reached with CMU (see “Note 15 — Subsequent Events” in the Notes to the Consolidated Financial Statements) and certain other pending litigation, $13.0 million of restructuring and other related charges, and $2.7 million of costs for the surety bonds related to the litigation with CMU.</w:t>
      </w:r>
    </w:p>
    <w:p>
      <w:pPr>
        <w:spacing w:after="0" w:line="2" w:lineRule="exact"/>
        <w:rPr>
          <w:rFonts w:ascii="Arial" w:cs="Arial" w:eastAsia="Arial" w:hAnsi="Arial"/>
          <w:sz w:val="16"/>
          <w:szCs w:val="16"/>
          <w:color w:val="auto"/>
        </w:rPr>
      </w:pPr>
    </w:p>
    <w:p>
      <w:pPr>
        <w:ind w:left="460" w:right="40" w:hanging="452"/>
        <w:spacing w:after="0" w:line="250" w:lineRule="auto"/>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third quarter of fiscal 2016 includes $45.5 million of restructuring and other related charges that include $8.0 million for the write down of inventory and $6.2 million for the impairment of equipment and other assets due to the restructuring of the mobile platform business, and $2.9 million of costs for the surety bonds related to the litigation with CMU.</w:t>
      </w:r>
    </w:p>
    <w:p>
      <w:pPr>
        <w:spacing w:after="0" w:line="1" w:lineRule="exact"/>
        <w:rPr>
          <w:rFonts w:ascii="Arial" w:cs="Arial" w:eastAsia="Arial" w:hAnsi="Arial"/>
          <w:sz w:val="18"/>
          <w:szCs w:val="18"/>
          <w:color w:val="auto"/>
        </w:rPr>
      </w:pPr>
    </w:p>
    <w:p>
      <w:pPr>
        <w:jc w:val="both"/>
        <w:ind w:left="460" w:right="100" w:hanging="452"/>
        <w:spacing w:after="0" w:line="250" w:lineRule="auto"/>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fourth quarter of fiscal 2016 includes $4.4 million of restructuring and other related charges, $3.8 million related to the settlement of litigation matters including a charge for the settlement reached with CMU (see “Note 15 — Subsequent Events” in the Notes to the Consolidated Financial Statements) and $2.9 million of costs for the surety bonds related to the litigation with CMU.</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29"/>
        </w:numPr>
        <w:rPr>
          <w:rFonts w:ascii="Arial" w:cs="Arial" w:eastAsia="Arial" w:hAnsi="Arial"/>
          <w:sz w:val="16"/>
          <w:szCs w:val="16"/>
          <w:color w:val="auto"/>
        </w:rPr>
      </w:pPr>
      <w:r>
        <w:rPr>
          <w:rFonts w:ascii="Arial" w:cs="Arial" w:eastAsia="Arial" w:hAnsi="Arial"/>
          <w:sz w:val="16"/>
          <w:szCs w:val="16"/>
          <w:color w:val="auto"/>
        </w:rPr>
        <w:t>The first quarter of fiscal 2015 includes $8.5 million of restructuring and other exit-related costs that includes a $3.4 million write-off of IPR&amp;D.</w:t>
      </w:r>
    </w:p>
    <w:p>
      <w:pPr>
        <w:spacing w:after="0" w:line="32" w:lineRule="exact"/>
        <w:rPr>
          <w:rFonts w:ascii="Arial" w:cs="Arial" w:eastAsia="Arial" w:hAnsi="Arial"/>
          <w:sz w:val="16"/>
          <w:szCs w:val="16"/>
          <w:color w:val="auto"/>
        </w:rPr>
      </w:pPr>
    </w:p>
    <w:p>
      <w:pPr>
        <w:ind w:left="460" w:right="160" w:hanging="452"/>
        <w:spacing w:after="0" w:line="250" w:lineRule="auto"/>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second quarter of fiscal 2015 includes an $8.8 million gain from the sale of an investment and $2.2 million of costs for the surety bonds related to the litigation with CMU.</w:t>
      </w:r>
    </w:p>
    <w:p>
      <w:pPr>
        <w:ind w:left="460" w:hanging="452"/>
        <w:spacing w:after="0"/>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third quarter of fiscal 2015 includes $2.3 million of costs for the surety bonds related to the litigation with CMU.</w:t>
      </w:r>
    </w:p>
    <w:p>
      <w:pPr>
        <w:spacing w:after="0" w:line="9" w:lineRule="exact"/>
        <w:rPr>
          <w:rFonts w:ascii="Arial" w:cs="Arial" w:eastAsia="Arial" w:hAnsi="Arial"/>
          <w:sz w:val="18"/>
          <w:szCs w:val="18"/>
          <w:color w:val="auto"/>
        </w:rPr>
      </w:pPr>
    </w:p>
    <w:p>
      <w:pPr>
        <w:ind w:left="460" w:right="100" w:hanging="452"/>
        <w:spacing w:after="0" w:line="261" w:lineRule="auto"/>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fourth quarter of fiscal 2015 includes $3.4 million of restructuring and other exit-related costs, and $2.8 million of costs for the surety bonds related to the litigation with CMU.</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420"/>
          </w:cols>
          <w:pgMar w:left="240" w:top="459" w:right="23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96"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On October 20, 2015, PricewaterhouseCoopers LLP (“PwC”) advised our Audit Committee of PwC’s resignation as the Company’s independent registered public accounting firm, effective on that date. The Audit Committee did not request, recommend or approve the resignation of PwC.</w:t>
      </w:r>
    </w:p>
    <w:p>
      <w:pPr>
        <w:spacing w:after="0" w:line="85"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PwC’s audit reports on the Company’s consolidated financial statements as of and for the fiscal years ended January 31, 2015 and February 1, 2014 did not contain an adverse opinion or a disclaimer of opinion and were not qualified or modified as to uncertainty, audit scope or accounting principle.</w:t>
      </w:r>
    </w:p>
    <w:p>
      <w:pPr>
        <w:spacing w:after="0" w:line="85"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During the two most recent fiscal years and the subsequent interim period through the date of PwC’s resignation, there were (1) no disagreements with PwC on any matter of accounting principles or practices, financial statement disclosure, or auditing scope or procedure which, if not resolved to the satisfaction of PwC, would have caused PwC to make reference to the subject matter of the disagreements in its reports on the financial statements for such years and (2) no “reportable events” (as defined in Item 304(a)(1)(v) of Regulation S-K) except as described below.</w:t>
      </w:r>
    </w:p>
    <w:p>
      <w:pPr>
        <w:spacing w:after="0" w:line="113" w:lineRule="exact"/>
        <w:rPr>
          <w:sz w:val="20"/>
          <w:szCs w:val="20"/>
          <w:color w:val="auto"/>
        </w:rPr>
      </w:pPr>
    </w:p>
    <w:p>
      <w:pPr>
        <w:ind w:right="80" w:firstLine="456"/>
        <w:spacing w:after="0" w:line="253" w:lineRule="auto"/>
        <w:rPr>
          <w:sz w:val="20"/>
          <w:szCs w:val="20"/>
          <w:color w:val="auto"/>
        </w:rPr>
      </w:pPr>
      <w:r>
        <w:rPr>
          <w:rFonts w:ascii="Arial" w:cs="Arial" w:eastAsia="Arial" w:hAnsi="Arial"/>
          <w:sz w:val="18"/>
          <w:szCs w:val="18"/>
          <w:color w:val="auto"/>
        </w:rPr>
        <w:t>PwC advised the Company that it would need to expand the scope of the 2016 audit in the following areas: (1) the Company’s entity level controls, including whether senior management’s operating style resulted in an open flow of information and communication to set an appropriate tone for an effective control environment, (2) the Company’s process and controls over establishment of significant and judgmental reserves, including reserves for litigation and royalties, (3) the Company’s process and controls over identification, communication and approval of related party transactions, including assignment of intellectual property rights and (4) the adequacy of financial reporting resources, including sufficient personnel with appropriate knowledge, expertise and training commensurate with the Company’s corporate structure and financial reporting requirements. Due to its resignation, PwC did not undertake to expand the scope of the audit.</w:t>
      </w:r>
    </w:p>
    <w:p>
      <w:pPr>
        <w:spacing w:after="0" w:line="14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As of the date of resignation, PwC had not advised the Company that disclosures should be made or action should be taken to prevent future reliance on a previously issued audit report or completed interim review related to previously issued financial statements.</w:t>
      </w:r>
    </w:p>
    <w:p>
      <w:pPr>
        <w:spacing w:after="0" w:line="132"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PwC has discussed these matters with the Audit Committee. The Company has authorized PwC to respond fully to any inquiries from any successor accountant concerning such matters.</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the quarter ended January 30, 2016, the only change in our internal control over financial reporting that materially affected or was reasonably likely to materially affect our internal control over financial reporting was the hiring of a new Corporate Controller in December 2015, who later accepted a Chief Financial Officer position with another company effective June 1, 2016.</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w:t>
      </w:r>
    </w:p>
    <w:p>
      <w:pPr>
        <w:spacing w:after="0" w:line="96" w:lineRule="exact"/>
        <w:rPr>
          <w:sz w:val="20"/>
          <w:szCs w:val="20"/>
          <w:color w:val="auto"/>
        </w:rPr>
      </w:pPr>
    </w:p>
    <w:p>
      <w:pPr>
        <w:ind w:right="220" w:firstLine="456"/>
        <w:spacing w:after="0" w:line="291" w:lineRule="auto"/>
        <w:rPr>
          <w:sz w:val="20"/>
          <w:szCs w:val="20"/>
          <w:color w:val="auto"/>
        </w:rPr>
      </w:pPr>
      <w:r>
        <w:rPr>
          <w:rFonts w:ascii="Arial" w:cs="Arial" w:eastAsia="Arial" w:hAnsi="Arial"/>
          <w:sz w:val="16"/>
          <w:szCs w:val="16"/>
          <w:color w:val="auto"/>
        </w:rPr>
        <w:t>As reported in the Current Report on Form 8-K filed by the Company with the SEC on March 1, 2016, the Audit Committee (the “Audit Committee”) of the Company’s Board of Directors completed and made its findings with respect to an internal investigation (the “Audit Committee Investigation”). This investigation included a review of certain revenue recognized in the first and second quarters of fiscal 2016 and the fourth quarter of fiscal 2015, including transactions that would have, in the normal course of events and but for action by Marvell employees, been completed and recognized in a subsequent quarter (referred to internally as “pull-ins”), the accrual of a litigation reserve in the second quarter of fiscal 2016, and stated belief by the Company’s former Chief Executive Officer and Chairman of ownership of certain patent rights related to the Final-Level</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420"/>
          </w:cols>
          <w:pgMar w:left="240" w:top="459" w:right="23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Cache invention. The Audit Committee also reviewed disclosure concerning the foregoing matters and related circumstances, and whether senior management’s operating style during the relevant periods resulted in an open flow of information and communication to set an appropriate “tone at the top” for an effective control environment.</w:t>
      </w:r>
    </w:p>
    <w:p>
      <w:pPr>
        <w:spacing w:after="0" w:line="140" w:lineRule="exact"/>
        <w:rPr>
          <w:sz w:val="20"/>
          <w:szCs w:val="20"/>
          <w:color w:val="auto"/>
        </w:rPr>
      </w:pPr>
    </w:p>
    <w:p>
      <w:pPr>
        <w:ind w:right="800" w:firstLine="456"/>
        <w:spacing w:after="0" w:line="268" w:lineRule="auto"/>
        <w:rPr>
          <w:sz w:val="20"/>
          <w:szCs w:val="20"/>
          <w:color w:val="auto"/>
        </w:rPr>
      </w:pPr>
      <w:r>
        <w:rPr>
          <w:rFonts w:ascii="Arial" w:cs="Arial" w:eastAsia="Arial" w:hAnsi="Arial"/>
          <w:sz w:val="18"/>
          <w:szCs w:val="18"/>
          <w:color w:val="auto"/>
        </w:rPr>
        <w:t>The Audit Committee identified no fraudulent activity in the course of this investigation. The Audit Committee’s key conclusions regarding this investigation included the following:</w:t>
      </w:r>
    </w:p>
    <w:p>
      <w:pPr>
        <w:spacing w:after="0" w:line="51" w:lineRule="exact"/>
        <w:rPr>
          <w:sz w:val="20"/>
          <w:szCs w:val="20"/>
          <w:color w:val="auto"/>
        </w:rPr>
      </w:pPr>
    </w:p>
    <w:p>
      <w:pPr>
        <w:ind w:left="900" w:right="220" w:hanging="446"/>
        <w:spacing w:after="0" w:line="256" w:lineRule="auto"/>
        <w:tabs>
          <w:tab w:leader="none" w:pos="900" w:val="left"/>
        </w:tabs>
        <w:numPr>
          <w:ilvl w:val="0"/>
          <w:numId w:val="30"/>
        </w:numPr>
        <w:rPr>
          <w:rFonts w:ascii="Arial" w:cs="Arial" w:eastAsia="Arial" w:hAnsi="Arial"/>
          <w:sz w:val="18"/>
          <w:szCs w:val="18"/>
          <w:color w:val="auto"/>
        </w:rPr>
      </w:pPr>
      <w:r>
        <w:rPr>
          <w:rFonts w:ascii="Arial" w:cs="Arial" w:eastAsia="Arial" w:hAnsi="Arial"/>
          <w:sz w:val="18"/>
          <w:szCs w:val="18"/>
          <w:color w:val="auto"/>
        </w:rPr>
        <w:t>revenue related to pull-in transactions during the subject periods was for most such transactions properly recognized in accordance with Marvell’s revenue recognition policy and generally accepted accounting principles, though for certain transactions Marvell’s internal controls were not fully followed and revenue from certain pull-in and distributor transactions was recognized prematurely based on certain provisions of the revenue recognition policy in place at the time;</w:t>
      </w:r>
    </w:p>
    <w:p>
      <w:pPr>
        <w:spacing w:after="0" w:line="62" w:lineRule="exact"/>
        <w:rPr>
          <w:rFonts w:ascii="Arial" w:cs="Arial" w:eastAsia="Arial" w:hAnsi="Arial"/>
          <w:sz w:val="18"/>
          <w:szCs w:val="18"/>
          <w:color w:val="auto"/>
        </w:rPr>
      </w:pPr>
    </w:p>
    <w:p>
      <w:pPr>
        <w:ind w:left="900" w:hanging="446"/>
        <w:spacing w:after="0"/>
        <w:tabs>
          <w:tab w:leader="none" w:pos="900" w:val="left"/>
        </w:tabs>
        <w:numPr>
          <w:ilvl w:val="0"/>
          <w:numId w:val="30"/>
        </w:numPr>
        <w:rPr>
          <w:rFonts w:ascii="Arial" w:cs="Arial" w:eastAsia="Arial" w:hAnsi="Arial"/>
          <w:sz w:val="18"/>
          <w:szCs w:val="18"/>
          <w:color w:val="auto"/>
        </w:rPr>
      </w:pPr>
      <w:r>
        <w:rPr>
          <w:rFonts w:ascii="Arial" w:cs="Arial" w:eastAsia="Arial" w:hAnsi="Arial"/>
          <w:sz w:val="18"/>
          <w:szCs w:val="18"/>
          <w:color w:val="auto"/>
        </w:rPr>
        <w:t>Marvell’s public disclosures for such periods related to revenue properly including pull-in transactions were not misleading;</w:t>
      </w:r>
    </w:p>
    <w:p>
      <w:pPr>
        <w:spacing w:after="0" w:line="90" w:lineRule="exact"/>
        <w:rPr>
          <w:rFonts w:ascii="Arial" w:cs="Arial" w:eastAsia="Arial" w:hAnsi="Arial"/>
          <w:sz w:val="18"/>
          <w:szCs w:val="18"/>
          <w:color w:val="auto"/>
        </w:rPr>
      </w:pPr>
    </w:p>
    <w:p>
      <w:pPr>
        <w:ind w:left="900" w:right="60" w:hanging="446"/>
        <w:spacing w:after="0" w:line="256" w:lineRule="auto"/>
        <w:tabs>
          <w:tab w:leader="none" w:pos="90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while Marvell’s former Chief Executive Officer and Chairman stated his belief that he had a good faith claim to ownership of the Final-Level Cache invention, the invention was owned by Marvell during all periods in which company resources related to such invention were deployed and, as a result, there were no errors in accounting related to the Final-Level Cache invention, and the disclosures relating to such invention contained in Marvell’s Form 10-Q for the first quarter of fiscal 2016 were not misleading; and</w:t>
      </w:r>
    </w:p>
    <w:p>
      <w:pPr>
        <w:spacing w:after="0" w:line="62" w:lineRule="exact"/>
        <w:rPr>
          <w:rFonts w:ascii="Arial" w:cs="Arial" w:eastAsia="Arial" w:hAnsi="Arial"/>
          <w:sz w:val="18"/>
          <w:szCs w:val="18"/>
          <w:color w:val="auto"/>
        </w:rPr>
      </w:pPr>
    </w:p>
    <w:p>
      <w:pPr>
        <w:ind w:left="900" w:right="100" w:hanging="446"/>
        <w:spacing w:after="0" w:line="259" w:lineRule="auto"/>
        <w:tabs>
          <w:tab w:leader="none" w:pos="90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while Marvell lacked a well-structured process to establish significant and judgmental reserves associated with litigation and royalties, there was no contemporaneous evidence that the increase in the reserve ultimately recorded in Marvell’s books and records for the second quarter of fiscal 2016 was not reasonable or appropriate.</w:t>
      </w:r>
    </w:p>
    <w:p>
      <w:pPr>
        <w:spacing w:after="0" w:line="14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Audit Committee investigation also found certain “tone at the top” issues, including significant pressure on sales and finance personnel to meet revenue targets and the failure by Marvell’s former Chief Executive Officer and Chairman and by legal counsel to raise to the appropriate level at the appropriate times the initial assertion of Marvell’s former Chief Executive Officer and Chairman that he owned the Final-Level Cache invention, the patent applications for which he later assigned to Marvell.</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as of January 30, 2016.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January 30, 2016 to ensure that information required to be disclosed by us in reports that we file or submit under the Exchange Act is recorded, processed, summarized and reported within the time periods specified in Securities and Exchange Commission rules and forms and is accumulated and communicated to our management, including our principal executive officer and principal financial officer, as appropriate to allow timely decisions regarding required disclosures.</w:t>
      </w:r>
    </w:p>
    <w:p>
      <w:pPr>
        <w:spacing w:after="0" w:line="12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Notwithstanding the material weaknesses in our internal controls over financial reporting as of January 30, 2016, management has concluded that the consolidated financial statements included in this Form 10-K present fairly, in all material respects, our financial position, results of operations and cash flows for the periods presented in conformity with accounting principles generally accepted in the United States.</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380"/>
          </w:cols>
          <w:pgMar w:left="240" w:top="459" w:right="27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 13a-15(f) of the Exchange Act.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January 30, 2016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 — Integrated Framework (2013) </w:t>
      </w:r>
      <w:r>
        <w:rPr>
          <w:rFonts w:ascii="Arial" w:cs="Arial" w:eastAsia="Arial" w:hAnsi="Arial"/>
          <w:sz w:val="16"/>
          <w:szCs w:val="16"/>
          <w:color w:val="auto"/>
        </w:rPr>
        <w:t>issued by the Committee of Sponsoring Organizations of the Treadway Commission (“COSO”). A material weakness is</w:t>
      </w:r>
      <w:r>
        <w:rPr>
          <w:rFonts w:ascii="Arial" w:cs="Arial" w:eastAsia="Arial" w:hAnsi="Arial"/>
          <w:sz w:val="16"/>
          <w:szCs w:val="16"/>
          <w:i w:val="1"/>
          <w:iCs w:val="1"/>
          <w:color w:val="auto"/>
        </w:rPr>
        <w:t xml:space="preserve"> </w:t>
      </w:r>
      <w:r>
        <w:rPr>
          <w:rFonts w:ascii="Arial" w:cs="Arial" w:eastAsia="Arial" w:hAnsi="Arial"/>
          <w:sz w:val="16"/>
          <w:szCs w:val="16"/>
          <w:color w:val="auto"/>
        </w:rPr>
        <w:t>a deficiency, or a combination of deficiencies, in internal control over financial reporting, such that there is a reasonable possibility that a material misstatement of the company’s annual or interim financial statements will not be prevented or detected on a timely basis. In connection with management’s assessment of our internal control over financial reporting described above, management has identified the following deficiencies that constituted individually, or in the aggregate, material weaknesses in our internal control over financial reporting as of January 30, 2016.</w:t>
      </w:r>
    </w:p>
    <w:p>
      <w:pPr>
        <w:spacing w:after="0" w:line="12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i w:val="1"/>
          <w:iCs w:val="1"/>
          <w:color w:val="auto"/>
        </w:rPr>
        <w:t xml:space="preserve">Entity Level Controls </w:t>
      </w:r>
      <w:r>
        <w:rPr>
          <w:rFonts w:ascii="Arial" w:cs="Arial" w:eastAsia="Arial" w:hAnsi="Arial"/>
          <w:sz w:val="16"/>
          <w:szCs w:val="16"/>
          <w:color w:val="auto"/>
        </w:rPr>
        <w:t>— The control environment, risk assessment, control activities, information and communication, and monitoring controls were not</w:t>
      </w:r>
      <w:r>
        <w:rPr>
          <w:rFonts w:ascii="Arial" w:cs="Arial" w:eastAsia="Arial" w:hAnsi="Arial"/>
          <w:sz w:val="16"/>
          <w:szCs w:val="16"/>
          <w:i w:val="1"/>
          <w:iCs w:val="1"/>
          <w:color w:val="auto"/>
        </w:rPr>
        <w:t xml:space="preserve"> </w:t>
      </w:r>
      <w:r>
        <w:rPr>
          <w:rFonts w:ascii="Arial" w:cs="Arial" w:eastAsia="Arial" w:hAnsi="Arial"/>
          <w:sz w:val="16"/>
          <w:szCs w:val="16"/>
          <w:color w:val="auto"/>
        </w:rPr>
        <w:t>effective. These controls are the responsibility of senior management, who sets the tone of the organization, influences the control consciousness of employees, and is the foundation for internal control over financial reporting. As noted above, the Audit Committee investigation identified certain “tone at the top” issues that contributed to an ineffective control environment and to the deficiencies aggregating to the material weaknesses set forth below. The Company’s entity level controls related to assessing risk and communication of information, including the reporting of information to management and the Board of Directors, did not operate effectively as they relied upon information derived from processes where applicable controls were not fully followed.</w:t>
      </w:r>
    </w:p>
    <w:p>
      <w:pPr>
        <w:spacing w:after="0" w:line="120"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i w:val="1"/>
          <w:iCs w:val="1"/>
          <w:color w:val="auto"/>
        </w:rPr>
        <w:t xml:space="preserve">Sufficiency of Accounting and Finance Department Resources </w:t>
      </w:r>
      <w:r>
        <w:rPr>
          <w:rFonts w:ascii="Arial" w:cs="Arial" w:eastAsia="Arial" w:hAnsi="Arial"/>
          <w:sz w:val="16"/>
          <w:szCs w:val="16"/>
          <w:color w:val="auto"/>
        </w:rPr>
        <w:t>— The Company had insufficient finance and accounting department resources with</w:t>
      </w:r>
      <w:r>
        <w:rPr>
          <w:rFonts w:ascii="Arial" w:cs="Arial" w:eastAsia="Arial" w:hAnsi="Arial"/>
          <w:sz w:val="16"/>
          <w:szCs w:val="16"/>
          <w:i w:val="1"/>
          <w:iCs w:val="1"/>
          <w:color w:val="auto"/>
        </w:rPr>
        <w:t xml:space="preserve"> </w:t>
      </w:r>
      <w:r>
        <w:rPr>
          <w:rFonts w:ascii="Arial" w:cs="Arial" w:eastAsia="Arial" w:hAnsi="Arial"/>
          <w:sz w:val="16"/>
          <w:szCs w:val="16"/>
          <w:color w:val="auto"/>
        </w:rPr>
        <w:t>appropriate knowledge, expertise and training commensurate with the Company’s corporate structure and financial reporting requirements to effectively assess risk, and design, operate and oversee effective internal controls over financial reporting. The Company has experienced significant turnover at the senior financial management level. The lack of certain appropriate resources in the Company’s accounting and finance departments contributed to an ineffective control environment. This lack of resources resulted in inconsistent expectations around the preparation, review and maintenance of documentation critical to the design and consistent execution of internal controls. These factors contributed to deficiencies in the Company’s financial reporting process over (i) the establishment of significant and judgmental reserves, which included reserves for litigation and royalties, (ii) the Company’s process and controls over identification, communication and approval of related party transactions, and (iii) a lack of precision in the review controls over certain information and assumptions impacting various financial reporting areas, and monitoring of the Company’s terms and conditions for certain contractual arrangements to verify that all critical contract terms were communicated to accounting and finance for assessment.</w:t>
      </w:r>
    </w:p>
    <w:p>
      <w:pPr>
        <w:spacing w:after="0" w:line="123" w:lineRule="exact"/>
        <w:rPr>
          <w:sz w:val="20"/>
          <w:szCs w:val="20"/>
          <w:color w:val="auto"/>
        </w:rPr>
      </w:pPr>
    </w:p>
    <w:p>
      <w:pPr>
        <w:ind w:right="160" w:firstLine="456"/>
        <w:spacing w:after="0" w:line="318" w:lineRule="auto"/>
        <w:rPr>
          <w:sz w:val="20"/>
          <w:szCs w:val="20"/>
          <w:color w:val="auto"/>
        </w:rPr>
      </w:pPr>
      <w:r>
        <w:rPr>
          <w:rFonts w:ascii="Arial" w:cs="Arial" w:eastAsia="Arial" w:hAnsi="Arial"/>
          <w:sz w:val="15"/>
          <w:szCs w:val="15"/>
          <w:i w:val="1"/>
          <w:iCs w:val="1"/>
          <w:color w:val="auto"/>
        </w:rPr>
        <w:t xml:space="preserve">Revenue Recognition </w:t>
      </w:r>
      <w:r>
        <w:rPr>
          <w:rFonts w:ascii="Arial" w:cs="Arial" w:eastAsia="Arial" w:hAnsi="Arial"/>
          <w:sz w:val="15"/>
          <w:szCs w:val="15"/>
          <w:color w:val="auto"/>
        </w:rPr>
        <w:t>— The Company’s internal controls to identify, accumulate and assess the accounting impact of certain concessions or side</w:t>
      </w:r>
      <w:r>
        <w:rPr>
          <w:rFonts w:ascii="Arial" w:cs="Arial" w:eastAsia="Arial" w:hAnsi="Arial"/>
          <w:sz w:val="15"/>
          <w:szCs w:val="15"/>
          <w:i w:val="1"/>
          <w:iCs w:val="1"/>
          <w:color w:val="auto"/>
        </w:rPr>
        <w:t xml:space="preserve"> </w:t>
      </w:r>
      <w:r>
        <w:rPr>
          <w:rFonts w:ascii="Arial" w:cs="Arial" w:eastAsia="Arial" w:hAnsi="Arial"/>
          <w:sz w:val="15"/>
          <w:szCs w:val="15"/>
          <w:color w:val="auto"/>
        </w:rPr>
        <w:t>agreements on whether the Company’s revenue recognition criteria had been met were in certain instances not fully followed or were not effective. As noted above, the Audit Committee identified certain “tone at the top” issues, due to which the Company’s controls were not effective to ensure (i) consistent standards in the level of documentation of agreements required to support accurate recording of revenue transactions, and (ii) that such documentation is retained, completed, and independently reviewed to ensure certain terms impacting revenue recognition were accurately reflected in the Company’s books and records.</w:t>
      </w:r>
    </w:p>
    <w:p>
      <w:pPr>
        <w:spacing w:after="0" w:line="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420"/>
          </w:cols>
          <w:pgMar w:left="240" w:top="459" w:right="23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 xml:space="preserve">Process to Identify Contingencies, Including Those Related to the Company’s Intellectual Property — </w:t>
      </w:r>
      <w:r>
        <w:rPr>
          <w:rFonts w:ascii="Arial" w:cs="Arial" w:eastAsia="Arial" w:hAnsi="Arial"/>
          <w:sz w:val="18"/>
          <w:szCs w:val="18"/>
          <w:color w:val="auto"/>
        </w:rPr>
        <w:t>The Company’s internal controls over contingencies</w:t>
      </w:r>
      <w:r>
        <w:rPr>
          <w:rFonts w:ascii="Arial" w:cs="Arial" w:eastAsia="Arial" w:hAnsi="Arial"/>
          <w:sz w:val="18"/>
          <w:szCs w:val="18"/>
          <w:i w:val="1"/>
          <w:iCs w:val="1"/>
          <w:color w:val="auto"/>
        </w:rPr>
        <w:t xml:space="preserve"> </w:t>
      </w:r>
      <w:r>
        <w:rPr>
          <w:rFonts w:ascii="Arial" w:cs="Arial" w:eastAsia="Arial" w:hAnsi="Arial"/>
          <w:sz w:val="18"/>
          <w:szCs w:val="18"/>
          <w:color w:val="auto"/>
        </w:rPr>
        <w:t>were not effective as the Company lacked a well-structured process, including granting appropriate authority to senior legal management, to ensure the identification of actual and potential claims, and the assessment of probability of loss related to them. The Company also lacked a well-structured process to ensure the timely assignment to the Company of intellectual property.</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Because of these material weaknesses, management has concluded that we did not maintain effective internal control over financial reporting as of January 30, 2016.</w:t>
      </w:r>
    </w:p>
    <w:p>
      <w:pPr>
        <w:spacing w:after="0" w:line="132"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January 30, 2016 has been audited by Deloitte &amp; Touche LLP, our independent registered public accounting firm, as stated in its report which is included elsewhere herein.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Efforts to Address Material Weaknesses</w:t>
      </w:r>
    </w:p>
    <w:p>
      <w:pPr>
        <w:spacing w:after="0" w:line="96"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Our management has worked, and continues to work, to strengthen our internal control over financial reporting. We are committed to ensuring that such controls are designed and operating effectively. Since identifying the material weaknesses in our internal control over financial reporting, we have developed and subsequent to year end implemented remediation plans to address these control failures. Our Board of Directors and management take internal controls over financial reporting and the integrity of the Company’s financial statements seriously and believe that the remediation steps described below, including with respect to personnel changes, were and are essential steps to maintaining strong and effective internal controls over financial reporting and a strong internal control environment.</w:t>
      </w:r>
    </w:p>
    <w:p>
      <w:pPr>
        <w:spacing w:after="0" w:line="144"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Company has taken significant steps to address the material weaknesses set forth above. The Company believes that making the following changes are critical steps toward addressing the “tone at the top” concerns that contributed to the material weaknesses it has identified.</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steps are among the measures that have been implemented or will be implemented as soon as practicable after the date of this filing:</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Entity Level Controls</w:t>
      </w:r>
    </w:p>
    <w:p>
      <w:pPr>
        <w:spacing w:after="0" w:line="90" w:lineRule="exact"/>
        <w:rPr>
          <w:sz w:val="20"/>
          <w:szCs w:val="20"/>
          <w:color w:val="auto"/>
        </w:rPr>
      </w:pPr>
    </w:p>
    <w:p>
      <w:pPr>
        <w:jc w:val="both"/>
        <w:ind w:left="900" w:right="20" w:hanging="325"/>
        <w:spacing w:after="0" w:line="306" w:lineRule="auto"/>
        <w:tabs>
          <w:tab w:leader="none" w:pos="900" w:val="left"/>
        </w:tabs>
        <w:numPr>
          <w:ilvl w:val="0"/>
          <w:numId w:val="31"/>
        </w:numPr>
        <w:rPr>
          <w:rFonts w:ascii="Arial" w:cs="Arial" w:eastAsia="Arial" w:hAnsi="Arial"/>
          <w:sz w:val="16"/>
          <w:szCs w:val="16"/>
          <w:color w:val="auto"/>
        </w:rPr>
      </w:pPr>
      <w:r>
        <w:rPr>
          <w:rFonts w:ascii="Arial" w:cs="Arial" w:eastAsia="Arial" w:hAnsi="Arial"/>
          <w:sz w:val="16"/>
          <w:szCs w:val="16"/>
          <w:color w:val="auto"/>
        </w:rPr>
        <w:t>By unanimous action of the Board of Directors, we appointed five new independent directors to our Board of Directors. Two of the new members of the Board have significant finance and accounting experience, have been appointed to the Audit Committee, and have been determined by the Board of Directors to be “audit committee financial experts” as defined in rules promulgated by the SEC.</w:t>
      </w:r>
    </w:p>
    <w:p>
      <w:pPr>
        <w:spacing w:after="0" w:line="25" w:lineRule="exact"/>
        <w:rPr>
          <w:rFonts w:ascii="Arial" w:cs="Arial" w:eastAsia="Arial" w:hAnsi="Arial"/>
          <w:sz w:val="16"/>
          <w:szCs w:val="16"/>
          <w:color w:val="auto"/>
        </w:rPr>
      </w:pPr>
    </w:p>
    <w:p>
      <w:pPr>
        <w:ind w:left="900" w:hanging="325"/>
        <w:spacing w:after="0"/>
        <w:tabs>
          <w:tab w:leader="none" w:pos="90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We appointed a new Chairman of our Board of Directors.</w:t>
      </w:r>
    </w:p>
    <w:p>
      <w:pPr>
        <w:spacing w:after="0" w:line="9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We recently appointed a new Chief Executive Officer who we expect will provide strong leadership to the Company and establish open lines of communication with his internal business unit leaders and external partners.</w:t>
      </w:r>
    </w:p>
    <w:p>
      <w:pPr>
        <w:spacing w:after="0" w:line="50" w:lineRule="exact"/>
        <w:rPr>
          <w:rFonts w:ascii="Arial" w:cs="Arial" w:eastAsia="Arial" w:hAnsi="Arial"/>
          <w:sz w:val="18"/>
          <w:szCs w:val="18"/>
          <w:color w:val="auto"/>
        </w:rPr>
      </w:pPr>
    </w:p>
    <w:p>
      <w:pPr>
        <w:ind w:left="900" w:right="20" w:hanging="325"/>
        <w:spacing w:after="0" w:line="259" w:lineRule="auto"/>
        <w:tabs>
          <w:tab w:leader="none" w:pos="90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We are actively engaged in a search for a new, permanent Chief Financial Officer who we expect will bring expertise and leadership to the Company and our finance team and establish open lines of communication with his or her internal business unit leaders and the finance and accounting team world-wide.</w:t>
      </w:r>
    </w:p>
    <w:p>
      <w:pPr>
        <w:spacing w:after="0" w:line="59" w:lineRule="exact"/>
        <w:rPr>
          <w:rFonts w:ascii="Arial" w:cs="Arial" w:eastAsia="Arial" w:hAnsi="Arial"/>
          <w:sz w:val="18"/>
          <w:szCs w:val="18"/>
          <w:color w:val="auto"/>
        </w:rPr>
      </w:pPr>
    </w:p>
    <w:p>
      <w:pPr>
        <w:ind w:left="900" w:right="100" w:hanging="325"/>
        <w:spacing w:after="0" w:line="335" w:lineRule="auto"/>
        <w:tabs>
          <w:tab w:leader="none" w:pos="900" w:val="left"/>
        </w:tabs>
        <w:numPr>
          <w:ilvl w:val="0"/>
          <w:numId w:val="31"/>
        </w:numPr>
        <w:rPr>
          <w:rFonts w:ascii="Arial" w:cs="Arial" w:eastAsia="Arial" w:hAnsi="Arial"/>
          <w:sz w:val="15"/>
          <w:szCs w:val="15"/>
          <w:color w:val="auto"/>
        </w:rPr>
      </w:pPr>
      <w:r>
        <w:rPr>
          <w:rFonts w:ascii="Arial" w:cs="Arial" w:eastAsia="Arial" w:hAnsi="Arial"/>
          <w:sz w:val="15"/>
          <w:szCs w:val="15"/>
          <w:color w:val="auto"/>
        </w:rPr>
        <w:t>We conducted a training program for our executives,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7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113</w:t>
      </w:r>
    </w:p>
    <w:p>
      <w:pPr>
        <w:sectPr>
          <w:pgSz w:w="11900" w:h="16838" w:orient="portrait"/>
          <w:cols w:equalWidth="0" w:num="1">
            <w:col w:w="11360"/>
          </w:cols>
          <w:pgMar w:left="240" w:top="459" w:right="29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380" w:hanging="325"/>
        <w:spacing w:after="0" w:line="268" w:lineRule="auto"/>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 accordance with changes to the Audit Committee Charter approved by the Board on September 23, 2015, the Audit Committee now approves future earnings guidance in accordance with the Company’s normal earnings cycle.</w:t>
      </w:r>
    </w:p>
    <w:p>
      <w:pPr>
        <w:spacing w:after="0" w:line="50" w:lineRule="exact"/>
        <w:rPr>
          <w:rFonts w:ascii="Arial" w:cs="Arial" w:eastAsia="Arial" w:hAnsi="Arial"/>
          <w:sz w:val="18"/>
          <w:szCs w:val="18"/>
          <w:color w:val="auto"/>
        </w:rPr>
      </w:pPr>
    </w:p>
    <w:p>
      <w:pPr>
        <w:ind w:left="900" w:right="40" w:hanging="325"/>
        <w:spacing w:after="0" w:line="298" w:lineRule="auto"/>
        <w:tabs>
          <w:tab w:leader="none" w:pos="900" w:val="left"/>
        </w:tabs>
        <w:numPr>
          <w:ilvl w:val="0"/>
          <w:numId w:val="32"/>
        </w:numPr>
        <w:rPr>
          <w:rFonts w:ascii="Arial" w:cs="Arial" w:eastAsia="Arial" w:hAnsi="Arial"/>
          <w:sz w:val="16"/>
          <w:szCs w:val="16"/>
          <w:color w:val="auto"/>
        </w:rPr>
      </w:pPr>
      <w:r>
        <w:rPr>
          <w:rFonts w:ascii="Arial" w:cs="Arial" w:eastAsia="Arial" w:hAnsi="Arial"/>
          <w:sz w:val="16"/>
          <w:szCs w:val="16"/>
          <w:color w:val="auto"/>
        </w:rPr>
        <w:t>In accordance with changes to the Executive Compensation Committee Charter approved by the Board on September 23, 2015, the Executive Compensation Committee now reviews and approves the compensation arrangements of any employees with a title of Associate Vice President or higher reporting directly to the Chief Executive Officer, including, but not limited to, those designated as executive officers. We believe this provides more transparent monitoring of performance of, and incentives offered to, senior management that may influence “tone at the top.”</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Sufficiency of Accounting and Finance Department Resources</w:t>
      </w:r>
    </w:p>
    <w:p>
      <w:pPr>
        <w:spacing w:after="0" w:line="90" w:lineRule="exact"/>
        <w:rPr>
          <w:sz w:val="20"/>
          <w:szCs w:val="20"/>
          <w:color w:val="auto"/>
        </w:rPr>
      </w:pPr>
    </w:p>
    <w:p>
      <w:pPr>
        <w:ind w:left="900" w:right="380" w:hanging="325"/>
        <w:spacing w:after="0" w:line="357" w:lineRule="auto"/>
        <w:tabs>
          <w:tab w:leader="none" w:pos="900" w:val="left"/>
        </w:tabs>
        <w:numPr>
          <w:ilvl w:val="0"/>
          <w:numId w:val="33"/>
        </w:numPr>
        <w:rPr>
          <w:rFonts w:ascii="Arial" w:cs="Arial" w:eastAsia="Arial" w:hAnsi="Arial"/>
          <w:sz w:val="15"/>
          <w:szCs w:val="15"/>
          <w:color w:val="auto"/>
        </w:rPr>
      </w:pPr>
      <w:r>
        <w:rPr>
          <w:rFonts w:ascii="Arial" w:cs="Arial" w:eastAsia="Arial" w:hAnsi="Arial"/>
          <w:sz w:val="15"/>
          <w:szCs w:val="15"/>
          <w:color w:val="auto"/>
        </w:rPr>
        <w:t>We are actively engaged in a search for a new Chief Financial Officer who we expect will provide strong leadership to the Company and, in particular, to our finance and accounting function, and establish open lines of communication with his or her staff and internal business partners.</w:t>
      </w:r>
    </w:p>
    <w:p>
      <w:pPr>
        <w:ind w:left="900" w:right="160" w:hanging="325"/>
        <w:spacing w:after="0" w:line="306" w:lineRule="auto"/>
        <w:tabs>
          <w:tab w:leader="none" w:pos="900" w:val="left"/>
        </w:tabs>
        <w:numPr>
          <w:ilvl w:val="0"/>
          <w:numId w:val="33"/>
        </w:numPr>
        <w:rPr>
          <w:rFonts w:ascii="Arial" w:cs="Arial" w:eastAsia="Arial" w:hAnsi="Arial"/>
          <w:sz w:val="16"/>
          <w:szCs w:val="16"/>
          <w:color w:val="auto"/>
        </w:rPr>
      </w:pPr>
      <w:r>
        <w:rPr>
          <w:rFonts w:ascii="Arial" w:cs="Arial" w:eastAsia="Arial" w:hAnsi="Arial"/>
          <w:sz w:val="16"/>
          <w:szCs w:val="16"/>
          <w:color w:val="auto"/>
        </w:rPr>
        <w:t>We have hired a new Senior Vice President of Finance and a new Assistant Controller to increase the depth and breadth of knowledge and expertise commensurate with the Company’s corporate structure and financial reporting requirements. These new finance team members will support the Company’s substantial efforts to design, operate and oversee effective internal controls over financial reporting.</w:t>
      </w:r>
    </w:p>
    <w:p>
      <w:pPr>
        <w:spacing w:after="0" w:line="25" w:lineRule="exact"/>
        <w:rPr>
          <w:rFonts w:ascii="Arial" w:cs="Arial" w:eastAsia="Arial" w:hAnsi="Arial"/>
          <w:sz w:val="16"/>
          <w:szCs w:val="16"/>
          <w:color w:val="auto"/>
        </w:rPr>
      </w:pPr>
    </w:p>
    <w:p>
      <w:pPr>
        <w:ind w:left="900" w:hanging="325"/>
        <w:spacing w:after="0" w:line="259"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We are actively engaged in a search for a new Chief Accounting Officer and Controller who we expect will bring additional technical expertise to our finance and accounting function and will support the Company’s substantial efforts to design, operate and oversee effective internal controls over financial reporting.</w:t>
      </w:r>
    </w:p>
    <w:p>
      <w:pPr>
        <w:spacing w:after="0" w:line="59" w:lineRule="exact"/>
        <w:rPr>
          <w:rFonts w:ascii="Arial" w:cs="Arial" w:eastAsia="Arial" w:hAnsi="Arial"/>
          <w:sz w:val="18"/>
          <w:szCs w:val="18"/>
          <w:color w:val="auto"/>
        </w:rPr>
      </w:pPr>
    </w:p>
    <w:p>
      <w:pPr>
        <w:ind w:left="900" w:right="100" w:hanging="325"/>
        <w:spacing w:after="0" w:line="259"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We continue to enhance the Company’s finance and accounting department staff, in terms of both number and competency of personnel, particularly in the area of revenue recognition and technical accounting. We expect our new senior finance team to contribute their substantial experience and abilities to raise the level of expertise across the finance and accounting teams.</w:t>
      </w:r>
    </w:p>
    <w:p>
      <w:pPr>
        <w:spacing w:after="0" w:line="59" w:lineRule="exact"/>
        <w:rPr>
          <w:rFonts w:ascii="Arial" w:cs="Arial" w:eastAsia="Arial" w:hAnsi="Arial"/>
          <w:sz w:val="18"/>
          <w:szCs w:val="18"/>
          <w:color w:val="auto"/>
        </w:rPr>
      </w:pPr>
    </w:p>
    <w:p>
      <w:pPr>
        <w:ind w:left="900" w:right="120" w:hanging="325"/>
        <w:spacing w:after="0" w:line="255"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Audit Committee directed our Interim Chief Financial Officer, in coordination with our new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61" w:lineRule="exact"/>
        <w:rPr>
          <w:rFonts w:ascii="Arial" w:cs="Arial" w:eastAsia="Arial" w:hAnsi="Arial"/>
          <w:sz w:val="18"/>
          <w:szCs w:val="18"/>
          <w:color w:val="auto"/>
        </w:rPr>
      </w:pPr>
    </w:p>
    <w:p>
      <w:pPr>
        <w:ind w:left="900" w:right="100" w:hanging="325"/>
        <w:spacing w:after="0" w:line="332" w:lineRule="auto"/>
        <w:tabs>
          <w:tab w:leader="none" w:pos="900" w:val="left"/>
        </w:tabs>
        <w:numPr>
          <w:ilvl w:val="0"/>
          <w:numId w:val="33"/>
        </w:numPr>
        <w:rPr>
          <w:rFonts w:ascii="Arial" w:cs="Arial" w:eastAsia="Arial" w:hAnsi="Arial"/>
          <w:sz w:val="16"/>
          <w:szCs w:val="16"/>
          <w:color w:val="auto"/>
        </w:rPr>
      </w:pPr>
      <w:r>
        <w:rPr>
          <w:rFonts w:ascii="Arial" w:cs="Arial" w:eastAsia="Arial" w:hAnsi="Arial"/>
          <w:sz w:val="16"/>
          <w:szCs w:val="16"/>
          <w:color w:val="auto"/>
        </w:rPr>
        <w:t>We are in the process of developing a roles and responsibilities matrix for our key accounting and operations personnel to incorporate segregation of duties considerations. We expect our incoming senior finance personnel to contribute their significant expertise to this process.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Revenue Recognition</w:t>
      </w:r>
    </w:p>
    <w:p>
      <w:pPr>
        <w:spacing w:after="0" w:line="90" w:lineRule="exact"/>
        <w:rPr>
          <w:sz w:val="20"/>
          <w:szCs w:val="20"/>
          <w:color w:val="auto"/>
        </w:rPr>
      </w:pPr>
    </w:p>
    <w:p>
      <w:pPr>
        <w:ind w:left="900" w:right="620" w:hanging="325"/>
        <w:spacing w:after="0" w:line="268"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We have revised our revenue recognition policy to prohibit Company-initiated “pull-in” transactions. For fiscal 2017, “pull-ins” will have no meaningful effect on our revenue.</w:t>
      </w:r>
    </w:p>
    <w:p>
      <w:pPr>
        <w:spacing w:after="0" w:line="50" w:lineRule="exact"/>
        <w:rPr>
          <w:rFonts w:ascii="Arial" w:cs="Arial" w:eastAsia="Arial" w:hAnsi="Arial"/>
          <w:sz w:val="18"/>
          <w:szCs w:val="18"/>
          <w:color w:val="auto"/>
        </w:rPr>
      </w:pPr>
    </w:p>
    <w:p>
      <w:pPr>
        <w:ind w:left="900" w:right="160" w:hanging="325"/>
        <w:spacing w:after="0" w:line="256"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As noted above, we conducted a training program for our executive officers,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Process to Identify Contingencies, Including Those Related to the Company’s Intellectual Property</w:t>
      </w:r>
      <w:r>
        <w:rPr>
          <w:rFonts w:ascii="Arial" w:cs="Arial" w:eastAsia="Arial" w:hAnsi="Arial"/>
          <w:sz w:val="18"/>
          <w:szCs w:val="18"/>
          <w:i w:val="1"/>
          <w:iCs w:val="1"/>
          <w:color w:val="auto"/>
        </w:rPr>
        <w:t>.</w:t>
      </w:r>
    </w:p>
    <w:p>
      <w:pPr>
        <w:spacing w:after="0" w:line="90" w:lineRule="exact"/>
        <w:rPr>
          <w:sz w:val="20"/>
          <w:szCs w:val="20"/>
          <w:color w:val="auto"/>
        </w:rPr>
      </w:pPr>
    </w:p>
    <w:p>
      <w:pPr>
        <w:ind w:left="900" w:right="240" w:hanging="325"/>
        <w:spacing w:after="0" w:line="332" w:lineRule="auto"/>
        <w:tabs>
          <w:tab w:leader="none" w:pos="900"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Audit Committee directed the Company to hire a Chief Legal Officer, such position having the authority of an executive officer (as defined in SEC rules) and to be deemed as such. The Company has hired a new Executive Vice President and Chief Legal Officer to fill this role.</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420"/>
          </w:cols>
          <w:pgMar w:left="240" w:top="459" w:right="23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line="298" w:lineRule="auto"/>
        <w:tabs>
          <w:tab w:leader="none" w:pos="900" w:val="left"/>
        </w:tabs>
        <w:numPr>
          <w:ilvl w:val="0"/>
          <w:numId w:val="36"/>
        </w:numPr>
        <w:rPr>
          <w:rFonts w:ascii="Arial" w:cs="Arial" w:eastAsia="Arial" w:hAnsi="Arial"/>
          <w:sz w:val="16"/>
          <w:szCs w:val="16"/>
          <w:color w:val="auto"/>
        </w:rPr>
      </w:pPr>
      <w:r>
        <w:rPr>
          <w:rFonts w:ascii="Arial" w:cs="Arial" w:eastAsia="Arial" w:hAnsi="Arial"/>
          <w:sz w:val="16"/>
          <w:szCs w:val="16"/>
          <w:color w:val="auto"/>
        </w:rPr>
        <w:t>The Audit Committee directed the Interim CFO, in coordination with the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31" w:lineRule="exact"/>
        <w:rPr>
          <w:rFonts w:ascii="Arial" w:cs="Arial" w:eastAsia="Arial" w:hAnsi="Arial"/>
          <w:sz w:val="16"/>
          <w:szCs w:val="16"/>
          <w:color w:val="auto"/>
        </w:rPr>
      </w:pPr>
    </w:p>
    <w:p>
      <w:pPr>
        <w:ind w:left="900" w:right="80" w:hanging="325"/>
        <w:spacing w:after="0" w:line="259"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We are in the process of adopting an updated patent disclosure and assignment policy that includes augmented procedures for review of claims of individual ownership and enhanced processes with respect to patent disclosure and assignment. We expect our new Chief Legal Officer to contribute his significant experience to this process.</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Audit Committee has directed management to develop a detailed plan and timetable for the completion of the implementation of the foregoing remedial measures and will monitor their implementation. In addition, under the direction of the Audit Committee, management will continue to review and make necessary changes to the overall design of our internal control environment, as well as to our policies and procedures, in order to improve the overall effectiveness of internal control over financial reporting.</w:t>
      </w:r>
    </w:p>
    <w:p>
      <w:pPr>
        <w:spacing w:after="0" w:line="143" w:lineRule="exact"/>
        <w:rPr>
          <w:sz w:val="20"/>
          <w:szCs w:val="20"/>
          <w:color w:val="auto"/>
        </w:rPr>
      </w:pPr>
    </w:p>
    <w:p>
      <w:pPr>
        <w:jc w:val="both"/>
        <w:ind w:right="160" w:firstLine="456"/>
        <w:spacing w:after="0" w:line="268" w:lineRule="auto"/>
        <w:rPr>
          <w:sz w:val="20"/>
          <w:szCs w:val="20"/>
          <w:color w:val="auto"/>
        </w:rPr>
      </w:pPr>
      <w:r>
        <w:rPr>
          <w:rFonts w:ascii="Arial" w:cs="Arial" w:eastAsia="Arial" w:hAnsi="Arial"/>
          <w:sz w:val="18"/>
          <w:szCs w:val="18"/>
          <w:color w:val="auto"/>
        </w:rPr>
        <w:t>Aside from above remediations, we reconstituted the memberships and chairmanships of the audit committee, the executive compensation committee and the nominating and governance committee.</w:t>
      </w:r>
    </w:p>
    <w:p>
      <w:pPr>
        <w:spacing w:after="0" w:line="132"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We are committed to maintaining a strong internal control environment, and believe that these remediation actions represent significant improvements in our controls. Additional remediation measures continue to be considered and will be implemented as appropriate. We will continue to assess the effectiveness of our remediation efforts in connection with our evaluations of internal control over financial reporting.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3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115</w:t>
      </w:r>
    </w:p>
    <w:p>
      <w:pPr>
        <w:sectPr>
          <w:pgSz w:w="11900" w:h="16838" w:orient="portrait"/>
          <w:cols w:equalWidth="0" w:num="1">
            <w:col w:w="11420"/>
          </w:cols>
          <w:pgMar w:left="240" w:top="459" w:right="23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70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65"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We have audited Marvell Technology Group Ltd.’s and subsidiaries’ (the “Company’s”) internal control over financial reporting as of January 30, 2016, based on criteria established in Internal Control — Integrated Framework (2013) issued by the Committee of Sponsoring Organizations of the Treadway Commission. The Company’s management is responsible for maintaining effective internal control over financial reporting and for its assessment of the effectiveness of internal control over financial reporting, included in the accompanying Management’s Report on Internal Control Over Financial reporting. Our responsibility is to express an opinion on the Company’s internal control over financial reporting based on our audit.</w:t>
      </w:r>
    </w:p>
    <w:p>
      <w:pPr>
        <w:spacing w:after="0" w:line="11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We conducted our audit in accordance with the standards of the Public Company Accounting Oversight Board (United States). Those standards require that we plan and perform the audit to obtain reasonable assurance about whether effective internal control over financial reporting was maintained in all material respects. Our audit included obtaining an understanding of internal control over financial reporting, assessing the risk that a material weakness exists, testing and evaluating the design and operating effectiveness of internal control based on that risk, and performing such other procedures as we considered necessary in the circumstances. We believe that our audit provides a reasonable basis for our opinion.</w:t>
      </w:r>
    </w:p>
    <w:p>
      <w:pPr>
        <w:spacing w:after="0" w:line="1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 company’s internal control over financial reporting is a process designed by, or under the supervision of, the company’s principal executive and principal financial officers, or persons performing similar functions, and effected by the company’s board of directors, management, and other personnel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20" w:lineRule="exact"/>
        <w:rPr>
          <w:sz w:val="20"/>
          <w:szCs w:val="20"/>
          <w:color w:val="auto"/>
        </w:rPr>
      </w:pPr>
    </w:p>
    <w:p>
      <w:pPr>
        <w:jc w:val="both"/>
        <w:ind w:right="120" w:firstLine="456"/>
        <w:spacing w:after="0" w:line="298" w:lineRule="auto"/>
        <w:rPr>
          <w:sz w:val="20"/>
          <w:szCs w:val="20"/>
          <w:color w:val="auto"/>
        </w:rPr>
      </w:pPr>
      <w:r>
        <w:rPr>
          <w:rFonts w:ascii="Arial" w:cs="Arial" w:eastAsia="Arial" w:hAnsi="Arial"/>
          <w:sz w:val="16"/>
          <w:szCs w:val="16"/>
          <w:color w:val="auto"/>
        </w:rPr>
        <w:t>Because of the inherent limitations of internal control over financial reporting, including the possibility of collusion or improper management override of controls, material misstatements due to error or fraud may not be prevented or detected on a timely basis. Also, projections of any evaluation of the effectiveness of the internal control over financial reporting to future periods are subject to the risk that the controls may become inadequate because of changes in conditions, or that the degree of compliance with the policies or procedures may deteriorate.</w:t>
      </w:r>
    </w:p>
    <w:p>
      <w:pPr>
        <w:spacing w:after="0" w:line="113"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w:t>
      </w:r>
    </w:p>
    <w:p>
      <w:pPr>
        <w:spacing w:after="0" w:line="85"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Company’s entity level controls were not effective due to certain “tone at the top” issues which contributed to an ineffective control environment and to deficiencies aggregating to additional material weaknesses noted herein. The Company did not have sufficient accounting and finance department resources to effectively assess risk, and design, operate and oversee effective internal controls over financial reporting, which contributed to the failure in the effectiveness of certain controls. In addition, the Company’s controls related to revenue recognition, and contingencies, including those related to the Company’s intellectual property, were not effective.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116</w:t>
      </w:r>
    </w:p>
    <w:p>
      <w:pPr>
        <w:sectPr>
          <w:pgSz w:w="11900" w:h="16838" w:orient="portrait"/>
          <w:cols w:equalWidth="0" w:num="1">
            <w:col w:w="11420"/>
          </w:cols>
          <w:pgMar w:left="240" w:top="459" w:right="23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In our opinion, because of the effect of the material weaknesses identified above on the achievement of the objectives of the control criteria, the Company has not maintained effective internal control over financial reporting as of January 30, 2016, based on the criteria established in Internal Control — Integrated Framework (2013) issued by the Committee of Sponsoring Organizations of the Treadway Commission.</w:t>
      </w:r>
    </w:p>
    <w:p>
      <w:pPr>
        <w:spacing w:after="0" w:line="10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have also audited, in accordance with the standards of the Public Company Accounting Oversight Board (United States), the consolidated financial statements as of and for the year ended January 30, 2016, of the Company and our report dated July 21, 2016 expressed an unqualified opinion on those financial statements.</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July 21, 2016</w:t>
      </w:r>
    </w:p>
    <w:p>
      <w:pPr>
        <w:spacing w:after="0" w:line="15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117</w:t>
      </w:r>
    </w:p>
    <w:p>
      <w:pPr>
        <w:sectPr>
          <w:pgSz w:w="11900" w:h="16838" w:orient="portrait"/>
          <w:cols w:equalWidth="0" w:num="1">
            <w:col w:w="11340"/>
          </w:cols>
          <w:pgMar w:left="240" w:top="459" w:right="31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of Directors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board of directors as of July 12</w:t>
      </w:r>
      <w:r>
        <w:rPr>
          <w:rFonts w:ascii="Arial" w:cs="Arial" w:eastAsia="Arial" w:hAnsi="Arial"/>
          <w:sz w:val="18"/>
          <w:szCs w:val="18"/>
          <w:b w:val="1"/>
          <w:bCs w:val="1"/>
          <w:color w:val="auto"/>
        </w:rPr>
        <w:t>,</w:t>
      </w:r>
      <w:r>
        <w:rPr>
          <w:rFonts w:ascii="Arial" w:cs="Arial" w:eastAsia="Arial" w:hAnsi="Arial"/>
          <w:sz w:val="18"/>
          <w:szCs w:val="18"/>
          <w:color w:val="auto"/>
        </w:rPr>
        <w:t xml:space="preserve"> 2016:</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20"/>
                <w:szCs w:val="20"/>
                <w:color w:val="auto"/>
              </w:rPr>
            </w:pPr>
            <w:r>
              <w:rPr>
                <w:rFonts w:ascii="Arial" w:cs="Arial" w:eastAsia="Arial" w:hAnsi="Arial"/>
                <w:sz w:val="14"/>
                <w:szCs w:val="14"/>
                <w:b w:val="1"/>
                <w:bCs w:val="1"/>
                <w:color w:val="auto"/>
                <w:w w:val="94"/>
              </w:rPr>
              <w:t>Name</w:t>
            </w:r>
          </w:p>
        </w:tc>
        <w:tc>
          <w:tcPr>
            <w:tcW w:w="3460" w:type="dxa"/>
            <w:vAlign w:val="bottom"/>
          </w:tcPr>
          <w:p>
            <w:pPr>
              <w:spacing w:after="0"/>
              <w:rPr>
                <w:sz w:val="14"/>
                <w:szCs w:val="14"/>
                <w:color w:val="auto"/>
              </w:rPr>
            </w:pP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83"/>
              </w:rPr>
              <w:t>Age</w:t>
            </w:r>
          </w:p>
        </w:tc>
        <w:tc>
          <w:tcPr>
            <w:tcW w:w="5400" w:type="dxa"/>
            <w:vAlign w:val="bottom"/>
            <w:gridSpan w:val="3"/>
          </w:tcPr>
          <w:p>
            <w:pPr>
              <w:ind w:left="320"/>
              <w:spacing w:after="0"/>
              <w:rPr>
                <w:sz w:val="20"/>
                <w:szCs w:val="20"/>
                <w:color w:val="auto"/>
              </w:rPr>
            </w:pPr>
            <w:r>
              <w:rPr>
                <w:rFonts w:ascii="Arial" w:cs="Arial" w:eastAsia="Arial" w:hAnsi="Arial"/>
                <w:sz w:val="14"/>
                <w:szCs w:val="14"/>
                <w:b w:val="1"/>
                <w:bCs w:val="1"/>
                <w:color w:val="auto"/>
              </w:rPr>
              <w:t>Position(s)</w:t>
            </w:r>
          </w:p>
        </w:tc>
        <w:tc>
          <w:tcPr>
            <w:tcW w:w="0" w:type="dxa"/>
            <w:vAlign w:val="bottom"/>
          </w:tcPr>
          <w:p>
            <w:pPr>
              <w:spacing w:after="0"/>
              <w:rPr>
                <w:sz w:val="1"/>
                <w:szCs w:val="1"/>
                <w:color w:val="auto"/>
              </w:rPr>
            </w:pPr>
          </w:p>
        </w:tc>
      </w:tr>
      <w:tr>
        <w:trPr>
          <w:trHeight w:val="20"/>
        </w:trPr>
        <w:tc>
          <w:tcPr>
            <w:tcW w:w="380" w:type="dxa"/>
            <w:vAlign w:val="bottom"/>
            <w:shd w:val="clear" w:color="auto" w:fill="000000"/>
          </w:tcPr>
          <w:p>
            <w:pPr>
              <w:spacing w:after="0" w:line="20" w:lineRule="exact"/>
              <w:rPr>
                <w:sz w:val="1"/>
                <w:szCs w:val="1"/>
                <w:color w:val="auto"/>
              </w:rPr>
            </w:pPr>
          </w:p>
        </w:tc>
        <w:tc>
          <w:tcPr>
            <w:tcW w:w="346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440" w:type="dxa"/>
            <w:vAlign w:val="bottom"/>
            <w:vMerge w:val="restart"/>
          </w:tcPr>
          <w:p>
            <w:pPr>
              <w:ind w:left="100"/>
              <w:spacing w:after="0"/>
              <w:rPr>
                <w:sz w:val="20"/>
                <w:szCs w:val="20"/>
                <w:color w:val="auto"/>
              </w:rPr>
            </w:pPr>
            <w:r>
              <w:rPr>
                <w:rFonts w:ascii="Arial" w:cs="Arial" w:eastAsia="Arial" w:hAnsi="Arial"/>
                <w:sz w:val="18"/>
                <w:szCs w:val="18"/>
                <w:color w:val="auto"/>
                <w:w w:val="90"/>
              </w:rPr>
              <w:t>of the Board of Directors, Interim Principal Executive Officer</w:t>
            </w:r>
          </w:p>
        </w:tc>
        <w:tc>
          <w:tcPr>
            <w:tcW w:w="0" w:type="dxa"/>
            <w:vAlign w:val="bottom"/>
          </w:tcPr>
          <w:p>
            <w:pPr>
              <w:spacing w:after="0" w:line="20" w:lineRule="exact"/>
              <w:rPr>
                <w:sz w:val="1"/>
                <w:szCs w:val="1"/>
                <w:color w:val="auto"/>
              </w:rPr>
            </w:pPr>
          </w:p>
        </w:tc>
      </w:tr>
      <w:tr>
        <w:trPr>
          <w:trHeight w:val="201"/>
        </w:trPr>
        <w:tc>
          <w:tcPr>
            <w:tcW w:w="3840" w:type="dxa"/>
            <w:vAlign w:val="bottom"/>
            <w:gridSpan w:val="2"/>
          </w:tcPr>
          <w:p>
            <w:pPr>
              <w:spacing w:after="0" w:line="201" w:lineRule="exact"/>
              <w:rPr>
                <w:sz w:val="20"/>
                <w:szCs w:val="20"/>
                <w:color w:val="auto"/>
              </w:rPr>
            </w:pPr>
            <w:r>
              <w:rPr>
                <w:rFonts w:ascii="Arial" w:cs="Arial" w:eastAsia="Arial" w:hAnsi="Arial"/>
                <w:sz w:val="18"/>
                <w:szCs w:val="18"/>
                <w:color w:val="auto"/>
              </w:rPr>
              <w:t>Richard S. Hill</w:t>
            </w:r>
          </w:p>
        </w:tc>
        <w:tc>
          <w:tcPr>
            <w:tcW w:w="240" w:type="dxa"/>
            <w:vAlign w:val="bottom"/>
          </w:tcPr>
          <w:p>
            <w:pPr>
              <w:jc w:val="right"/>
              <w:spacing w:after="0" w:line="201" w:lineRule="exact"/>
              <w:rPr>
                <w:sz w:val="20"/>
                <w:szCs w:val="20"/>
                <w:color w:val="auto"/>
              </w:rPr>
            </w:pPr>
            <w:r>
              <w:rPr>
                <w:rFonts w:ascii="Arial" w:cs="Arial" w:eastAsia="Arial" w:hAnsi="Arial"/>
                <w:sz w:val="18"/>
                <w:szCs w:val="18"/>
                <w:color w:val="auto"/>
              </w:rPr>
              <w:t>64</w:t>
            </w:r>
          </w:p>
        </w:tc>
        <w:tc>
          <w:tcPr>
            <w:tcW w:w="320" w:type="dxa"/>
            <w:vAlign w:val="bottom"/>
            <w:vMerge w:val="continue"/>
          </w:tcPr>
          <w:p>
            <w:pPr>
              <w:spacing w:after="0"/>
              <w:rPr>
                <w:sz w:val="17"/>
                <w:szCs w:val="17"/>
                <w:color w:val="auto"/>
              </w:rPr>
            </w:pPr>
          </w:p>
        </w:tc>
        <w:tc>
          <w:tcPr>
            <w:tcW w:w="640" w:type="dxa"/>
            <w:vAlign w:val="bottom"/>
          </w:tcPr>
          <w:p>
            <w:pPr>
              <w:spacing w:after="0" w:line="201" w:lineRule="exact"/>
              <w:rPr>
                <w:sz w:val="20"/>
                <w:szCs w:val="20"/>
                <w:color w:val="auto"/>
              </w:rPr>
            </w:pPr>
            <w:r>
              <w:rPr>
                <w:rFonts w:ascii="Arial" w:cs="Arial" w:eastAsia="Arial" w:hAnsi="Arial"/>
                <w:sz w:val="18"/>
                <w:szCs w:val="18"/>
                <w:color w:val="auto"/>
                <w:w w:val="79"/>
              </w:rPr>
              <w:t>Chairman</w:t>
            </w:r>
          </w:p>
        </w:tc>
        <w:tc>
          <w:tcPr>
            <w:tcW w:w="44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Mathew J. Murphy</w:t>
            </w:r>
          </w:p>
        </w:tc>
        <w:tc>
          <w:tcPr>
            <w:tcW w:w="240" w:type="dxa"/>
            <w:vAlign w:val="bottom"/>
          </w:tcPr>
          <w:p>
            <w:pPr>
              <w:jc w:val="right"/>
              <w:spacing w:after="0"/>
              <w:rPr>
                <w:sz w:val="20"/>
                <w:szCs w:val="20"/>
                <w:color w:val="auto"/>
              </w:rPr>
            </w:pPr>
            <w:r>
              <w:rPr>
                <w:rFonts w:ascii="Arial" w:cs="Arial" w:eastAsia="Arial" w:hAnsi="Arial"/>
                <w:sz w:val="18"/>
                <w:szCs w:val="18"/>
                <w:color w:val="auto"/>
              </w:rPr>
              <w:t>43</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 President and Chief Executive Officer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240" w:type="dxa"/>
            <w:vAlign w:val="bottom"/>
          </w:tcPr>
          <w:p>
            <w:pPr>
              <w:jc w:val="right"/>
              <w:spacing w:after="0"/>
              <w:rPr>
                <w:sz w:val="20"/>
                <w:szCs w:val="20"/>
                <w:color w:val="auto"/>
              </w:rPr>
            </w:pPr>
            <w:r>
              <w:rPr>
                <w:rFonts w:ascii="Arial" w:cs="Arial" w:eastAsia="Arial" w:hAnsi="Arial"/>
                <w:sz w:val="18"/>
                <w:szCs w:val="18"/>
                <w:color w:val="auto"/>
              </w:rPr>
              <w:t>54</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Peter A. Feld</w:t>
            </w:r>
          </w:p>
        </w:tc>
        <w:tc>
          <w:tcPr>
            <w:tcW w:w="240" w:type="dxa"/>
            <w:vAlign w:val="bottom"/>
          </w:tcPr>
          <w:p>
            <w:pPr>
              <w:jc w:val="right"/>
              <w:spacing w:after="0"/>
              <w:rPr>
                <w:sz w:val="20"/>
                <w:szCs w:val="20"/>
                <w:color w:val="auto"/>
              </w:rPr>
            </w:pPr>
            <w:r>
              <w:rPr>
                <w:rFonts w:ascii="Arial" w:cs="Arial" w:eastAsia="Arial" w:hAnsi="Arial"/>
                <w:sz w:val="18"/>
                <w:szCs w:val="18"/>
                <w:color w:val="auto"/>
              </w:rPr>
              <w:t>37</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Juergen Gromer, Ph.D</w:t>
            </w:r>
          </w:p>
        </w:tc>
        <w:tc>
          <w:tcPr>
            <w:tcW w:w="240" w:type="dxa"/>
            <w:vAlign w:val="bottom"/>
          </w:tcPr>
          <w:p>
            <w:pPr>
              <w:jc w:val="right"/>
              <w:spacing w:after="0"/>
              <w:rPr>
                <w:sz w:val="20"/>
                <w:szCs w:val="20"/>
                <w:color w:val="auto"/>
              </w:rPr>
            </w:pPr>
            <w:r>
              <w:rPr>
                <w:rFonts w:ascii="Arial" w:cs="Arial" w:eastAsia="Arial" w:hAnsi="Arial"/>
                <w:sz w:val="18"/>
                <w:szCs w:val="18"/>
                <w:color w:val="auto"/>
              </w:rPr>
              <w:t>71</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John G. Kassakian, Sc.D.</w:t>
            </w:r>
          </w:p>
        </w:tc>
        <w:tc>
          <w:tcPr>
            <w:tcW w:w="240" w:type="dxa"/>
            <w:vAlign w:val="bottom"/>
          </w:tcPr>
          <w:p>
            <w:pPr>
              <w:jc w:val="right"/>
              <w:spacing w:after="0"/>
              <w:rPr>
                <w:sz w:val="20"/>
                <w:szCs w:val="20"/>
                <w:color w:val="auto"/>
              </w:rPr>
            </w:pPr>
            <w:r>
              <w:rPr>
                <w:rFonts w:ascii="Arial" w:cs="Arial" w:eastAsia="Arial" w:hAnsi="Arial"/>
                <w:sz w:val="18"/>
                <w:szCs w:val="18"/>
                <w:color w:val="auto"/>
              </w:rPr>
              <w:t>73</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240" w:type="dxa"/>
            <w:vAlign w:val="bottom"/>
          </w:tcPr>
          <w:p>
            <w:pPr>
              <w:jc w:val="right"/>
              <w:spacing w:after="0"/>
              <w:rPr>
                <w:sz w:val="20"/>
                <w:szCs w:val="20"/>
                <w:color w:val="auto"/>
              </w:rPr>
            </w:pPr>
            <w:r>
              <w:rPr>
                <w:rFonts w:ascii="Arial" w:cs="Arial" w:eastAsia="Arial" w:hAnsi="Arial"/>
                <w:sz w:val="18"/>
                <w:szCs w:val="18"/>
                <w:color w:val="auto"/>
              </w:rPr>
              <w:t>51</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240" w:type="dxa"/>
            <w:vAlign w:val="bottom"/>
          </w:tcPr>
          <w:p>
            <w:pPr>
              <w:jc w:val="right"/>
              <w:spacing w:after="0"/>
              <w:rPr>
                <w:sz w:val="20"/>
                <w:szCs w:val="20"/>
                <w:color w:val="auto"/>
              </w:rPr>
            </w:pPr>
            <w:r>
              <w:rPr>
                <w:rFonts w:ascii="Arial" w:cs="Arial" w:eastAsia="Arial" w:hAnsi="Arial"/>
                <w:sz w:val="18"/>
                <w:szCs w:val="18"/>
                <w:color w:val="auto"/>
              </w:rPr>
              <w:t>76</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240" w:type="dxa"/>
            <w:vAlign w:val="bottom"/>
          </w:tcPr>
          <w:p>
            <w:pPr>
              <w:jc w:val="right"/>
              <w:spacing w:after="0"/>
              <w:rPr>
                <w:sz w:val="20"/>
                <w:szCs w:val="20"/>
                <w:color w:val="auto"/>
              </w:rPr>
            </w:pPr>
            <w:r>
              <w:rPr>
                <w:rFonts w:ascii="Arial" w:cs="Arial" w:eastAsia="Arial" w:hAnsi="Arial"/>
                <w:sz w:val="18"/>
                <w:szCs w:val="18"/>
                <w:color w:val="auto"/>
              </w:rPr>
              <w:t>67</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Dr. Sehat Sutardja</w:t>
            </w:r>
          </w:p>
        </w:tc>
        <w:tc>
          <w:tcPr>
            <w:tcW w:w="240" w:type="dxa"/>
            <w:vAlign w:val="bottom"/>
          </w:tcPr>
          <w:p>
            <w:pPr>
              <w:jc w:val="right"/>
              <w:spacing w:after="0"/>
              <w:rPr>
                <w:sz w:val="20"/>
                <w:szCs w:val="20"/>
                <w:color w:val="auto"/>
              </w:rPr>
            </w:pPr>
            <w:r>
              <w:rPr>
                <w:rFonts w:ascii="Arial" w:cs="Arial" w:eastAsia="Arial" w:hAnsi="Arial"/>
                <w:sz w:val="18"/>
                <w:szCs w:val="18"/>
                <w:color w:val="auto"/>
              </w:rPr>
              <w:t>54</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240" w:type="dxa"/>
            <w:vAlign w:val="bottom"/>
          </w:tcPr>
          <w:p>
            <w:pPr>
              <w:jc w:val="right"/>
              <w:spacing w:after="0"/>
              <w:rPr>
                <w:sz w:val="20"/>
                <w:szCs w:val="20"/>
                <w:color w:val="auto"/>
              </w:rPr>
            </w:pPr>
            <w:r>
              <w:rPr>
                <w:rFonts w:ascii="Arial" w:cs="Arial" w:eastAsia="Arial" w:hAnsi="Arial"/>
                <w:sz w:val="18"/>
                <w:szCs w:val="18"/>
                <w:color w:val="auto"/>
              </w:rPr>
              <w:t>69</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r>
        <w:trPr>
          <w:trHeight w:val="222"/>
        </w:trPr>
        <w:tc>
          <w:tcPr>
            <w:tcW w:w="384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240" w:type="dxa"/>
            <w:vAlign w:val="bottom"/>
          </w:tcPr>
          <w:p>
            <w:pPr>
              <w:jc w:val="right"/>
              <w:spacing w:after="0"/>
              <w:rPr>
                <w:sz w:val="20"/>
                <w:szCs w:val="20"/>
                <w:color w:val="auto"/>
              </w:rPr>
            </w:pPr>
            <w:r>
              <w:rPr>
                <w:rFonts w:ascii="Arial" w:cs="Arial" w:eastAsia="Arial" w:hAnsi="Arial"/>
                <w:sz w:val="18"/>
                <w:szCs w:val="18"/>
                <w:color w:val="auto"/>
              </w:rPr>
              <w:t>53</w:t>
            </w:r>
          </w:p>
        </w:tc>
        <w:tc>
          <w:tcPr>
            <w:tcW w:w="5400" w:type="dxa"/>
            <w:vAlign w:val="bottom"/>
            <w:gridSpan w:val="3"/>
          </w:tcPr>
          <w:p>
            <w:pPr>
              <w:ind w:left="320"/>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bl>
    <w:p>
      <w:pPr>
        <w:spacing w:after="0" w:line="15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Richard S. Hill </w:t>
      </w:r>
      <w:r>
        <w:rPr>
          <w:rFonts w:ascii="Arial" w:cs="Arial" w:eastAsia="Arial" w:hAnsi="Arial"/>
          <w:sz w:val="16"/>
          <w:szCs w:val="16"/>
          <w:color w:val="auto"/>
        </w:rPr>
        <w:t>has served as our Chairman of the Board of Directors since May 2016 and our Interim Principal Executive Officer since July 2016. Mr. Hill</w:t>
      </w:r>
      <w:r>
        <w:rPr>
          <w:rFonts w:ascii="Arial" w:cs="Arial" w:eastAsia="Arial" w:hAnsi="Arial"/>
          <w:sz w:val="16"/>
          <w:szCs w:val="16"/>
          <w:i w:val="1"/>
          <w:iCs w:val="1"/>
          <w:color w:val="auto"/>
        </w:rPr>
        <w:t xml:space="preserve"> </w:t>
      </w:r>
      <w:r>
        <w:rPr>
          <w:rFonts w:ascii="Arial" w:cs="Arial" w:eastAsia="Arial" w:hAnsi="Arial"/>
          <w:sz w:val="16"/>
          <w:szCs w:val="16"/>
          <w:color w:val="auto"/>
        </w:rPr>
        <w:t>has served as a member of the Board of Directors of Tessera Technologies since August 2012 and as Chairman of the Board since March 2013. Mr. Hill also served as Tessera’s Interim Chief Executive Officer from April 15, 2013 until May 29,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Presently, Mr. Hill is a member of the Boards of Directors of Autodesk, Inc., Arrow Electronics, Inc., Cabot Microelectronics Corporation, and Yahoo, Inc. Mr. Hill received a Bachelor of Science in Bioengineering from the University of Illinois in Chicago and a Master of Business Administration from Syracuse University. Mr. Hill brings to the board extensive expertise in executive management and engineering for technology companies, as well as considerable directorial and governance experience developed through his service on the boards of directors of several public companies, to his role as Chairman of the Board.</w:t>
      </w:r>
    </w:p>
    <w:p>
      <w:pPr>
        <w:spacing w:after="0" w:line="12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has served as our President and Chief Executive Officer and a director since July 11, 2016. Mr. Murphy joined Marvell from Maxim</w:t>
      </w:r>
      <w:r>
        <w:rPr>
          <w:rFonts w:ascii="Arial" w:cs="Arial" w:eastAsia="Arial" w:hAnsi="Arial"/>
          <w:sz w:val="16"/>
          <w:szCs w:val="16"/>
          <w:i w:val="1"/>
          <w:iCs w:val="1"/>
          <w:color w:val="auto"/>
        </w:rPr>
        <w:t xml:space="preserve"> </w:t>
      </w:r>
      <w:r>
        <w:rPr>
          <w:rFonts w:ascii="Arial" w:cs="Arial" w:eastAsia="Arial" w:hAnsi="Arial"/>
          <w:sz w:val="16"/>
          <w:szCs w:val="16"/>
          <w:color w:val="auto"/>
        </w:rPr>
        <w:t>Integrated, where he spent 22 years with increasing responsibilities in sales and business unit leadership. Most recently, he was Executive Vice President, Business Units, Sales &amp; Marketing. In that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Mr. Murphy holds a Bachelor of Arts in English from Franklin &amp; Marshall College and is a graduate of the 2010 Stanford Executive Program. Mr. Murphy brings to the board both extensive industry knowledge, and, as a result of his day-to-day involvement in Marvell’s business, insight and information related to the Company’s strategy, financial condition, operations, competitive position and business.</w:t>
      </w:r>
    </w:p>
    <w:p>
      <w:pPr>
        <w:spacing w:after="0" w:line="12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i w:val="1"/>
          <w:iCs w:val="1"/>
          <w:color w:val="auto"/>
        </w:rPr>
        <w:t>Ms. Weili Dai</w:t>
      </w:r>
      <w:r>
        <w:rPr>
          <w:rFonts w:ascii="Arial" w:cs="Arial" w:eastAsia="Arial" w:hAnsi="Arial"/>
          <w:sz w:val="18"/>
          <w:szCs w:val="18"/>
          <w:color w:val="auto"/>
        </w:rPr>
        <w:t>, one of our co-founders, has served as a director since December 2014. Ms. Dai also served as our President from July 2013 until April 2016.</w:t>
      </w:r>
      <w:r>
        <w:rPr>
          <w:rFonts w:ascii="Arial" w:cs="Arial" w:eastAsia="Arial" w:hAnsi="Arial"/>
          <w:sz w:val="18"/>
          <w:szCs w:val="18"/>
          <w:i w:val="1"/>
          <w:iCs w:val="1"/>
          <w:color w:val="auto"/>
        </w:rPr>
        <w:t xml:space="preserve"> </w:t>
      </w:r>
      <w:r>
        <w:rPr>
          <w:rFonts w:ascii="Arial" w:cs="Arial" w:eastAsia="Arial" w:hAnsi="Arial"/>
          <w:sz w:val="18"/>
          <w:szCs w:val="18"/>
          <w:color w:val="auto"/>
        </w:rPr>
        <w:t>Prior to her appointment as President, Ms. Dai served as a Vice President of Marvell Semiconductor, Inc. (“MSI”) from 2008 to July 2013, including the position of General</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118</w:t>
      </w:r>
    </w:p>
    <w:p>
      <w:pPr>
        <w:sectPr>
          <w:pgSz w:w="11900" w:h="16838" w:orient="portrait"/>
          <w:cols w:equalWidth="0" w:num="1">
            <w:col w:w="11400"/>
          </w:cols>
          <w:pgMar w:left="240" w:top="459" w:right="25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Manager of the Communications &amp; Consumer Business of MSI since September 2011 and General Manager of the Communications and Computing Business Unit of MSI from March 2009 to September 2011. From April 2006 to May 2007, Ms. Dai served as Chief Operating Officer, Executive Vice President and a member of the Board of Directors of the Company. Ms. Dai holds a Bachelor of Science degree in Computer Science from the University of California at Berkeley. Ms. Dai is the wife of Dr. Sutardja. Ms. Dai is the only woman co-founder of a global semiconductor company, and is widely considered a technology visionary in the industry and a role model for women in technology. Newsweek named Ms. Dai one of the “150 Women Who Shake the World” and Forbes Magazine has listed Ms. Dai as one of the “World’s 100 Most Powerful Women.” The Global Semiconductor Alliance (GSA) recognized Ms. Dai and Mr. Sutardja with the 2013 Dr. Morris Chang Exemplary Leadership Award. She has also been profiled by CNN International for the Leading Women Series: Leading the Female Tech Charge, Leading Women Principles Fair and Care, Educating for Future Success, and Leading Women Inspire Others. Ms. Dai brings to the board her extensive knowledge of Marvell’s business and her expertise in the semiconductor industry.</w:t>
      </w:r>
    </w:p>
    <w:p>
      <w:pPr>
        <w:spacing w:after="0" w:line="12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Peter A. Feld </w:t>
      </w:r>
      <w:r>
        <w:rPr>
          <w:rFonts w:ascii="Arial" w:cs="Arial" w:eastAsia="Arial" w:hAnsi="Arial"/>
          <w:sz w:val="16"/>
          <w:szCs w:val="16"/>
          <w:color w:val="auto"/>
        </w:rPr>
        <w:t>has served as a director since May 2016. Mr. Feld has been a Managing Member and the Head of Research of Starboard Value LP (an</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 fund) since 2011. Prior to joining Starboard, Mr. Feld served as a Managing Director of Ramius LLC and a Portfolio Manager of Ramius Value and Opportunity Master Fund Ltd. from November 2008 to April 2011. He currently serves as a director of The Brink’s Company, a provider of security-related services, and Insperity, Inc., a provider of human resources and business performance solutions. During the past five years, Mr. Feld has also served as a director of Darden Restaurants, Inc., Tessera Technologies, Inc., Integrated Device Technology, Inc., Unwired Planet, Inc. and Sea Change International, Inc. Mr. Feld received a Bachelor of Arts in economics from Tufts University. Mr. Feld brings to the board his extensive knowledge of the capital markets and corporate governance practices as a result of his investment and private equity background.</w:t>
      </w:r>
    </w:p>
    <w:p>
      <w:pPr>
        <w:spacing w:after="0" w:line="118"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i w:val="1"/>
          <w:iCs w:val="1"/>
          <w:color w:val="auto"/>
        </w:rPr>
        <w:t xml:space="preserve">Dr. Juergen Gromer </w:t>
      </w:r>
      <w:r>
        <w:rPr>
          <w:rFonts w:ascii="Arial" w:cs="Arial" w:eastAsia="Arial" w:hAnsi="Arial"/>
          <w:sz w:val="16"/>
          <w:szCs w:val="16"/>
          <w:color w:val="auto"/>
        </w:rPr>
        <w:t>has served as a director since October 2007. Dr. Gromer is the retired President of Tyco Electronics Ltd., an electronics company, a</w:t>
      </w:r>
      <w:r>
        <w:rPr>
          <w:rFonts w:ascii="Arial" w:cs="Arial" w:eastAsia="Arial" w:hAnsi="Arial"/>
          <w:sz w:val="16"/>
          <w:szCs w:val="16"/>
          <w:i w:val="1"/>
          <w:iCs w:val="1"/>
          <w:color w:val="auto"/>
        </w:rPr>
        <w:t xml:space="preserve"> </w:t>
      </w:r>
      <w:r>
        <w:rPr>
          <w:rFonts w:ascii="Arial" w:cs="Arial" w:eastAsia="Arial" w:hAnsi="Arial"/>
          <w:sz w:val="16"/>
          <w:szCs w:val="16"/>
          <w:color w:val="auto"/>
        </w:rPr>
        <w:t>position he held from April 1999 until December 31, 2007. Dr. Gromer formerly held senior management positions from 1983 to 1998 at AMP Incorporated (acquired by Tyco International in April 1999), including Senior Vice President of Worldwide Sales and Services, President of the Global Automotive Division, Vice President of Central and Eastern Europe and General Manager of AMP Germany. Dr. Gromer also serves on the boards of TE Connectivity Ltd., (formerly Tyco Electronics Ltd) and WABCO Holdings Inc., and previously served as a director of RWE Rhein Ruhr from 2000 to 2009. Dr. Gromer is also Chairman of the Board of the Society of Economic Development of the District Bergstrasse/Hessen and a director of the Board of the American Chamber of Commerce in Germany. Dr. Gromer received his undergraduate degree and Ph.D. in Physics from the University of Stuttgart, Germany. Dr. Gromer brings considerable directorial, financial, governance and global leadership experience to our board of directors.</w:t>
      </w:r>
    </w:p>
    <w:p>
      <w:pPr>
        <w:spacing w:after="0" w:line="118"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i w:val="1"/>
          <w:iCs w:val="1"/>
          <w:color w:val="auto"/>
        </w:rPr>
        <w:t xml:space="preserve">Dr. John G. Kassakian </w:t>
      </w:r>
      <w:r>
        <w:rPr>
          <w:rFonts w:ascii="Arial" w:cs="Arial" w:eastAsia="Arial" w:hAnsi="Arial"/>
          <w:sz w:val="16"/>
          <w:szCs w:val="16"/>
          <w:color w:val="auto"/>
        </w:rPr>
        <w:t>has served as a director since July 2008. Dr. Kassakian has been a member of the faculty of Electrical Engineering and Computer</w:t>
      </w:r>
      <w:r>
        <w:rPr>
          <w:rFonts w:ascii="Arial" w:cs="Arial" w:eastAsia="Arial" w:hAnsi="Arial"/>
          <w:sz w:val="16"/>
          <w:szCs w:val="16"/>
          <w:i w:val="1"/>
          <w:iCs w:val="1"/>
          <w:color w:val="auto"/>
        </w:rPr>
        <w:t xml:space="preserve"> </w:t>
      </w:r>
      <w:r>
        <w:rPr>
          <w:rFonts w:ascii="Arial" w:cs="Arial" w:eastAsia="Arial" w:hAnsi="Arial"/>
          <w:sz w:val="16"/>
          <w:szCs w:val="16"/>
          <w:color w:val="auto"/>
        </w:rPr>
        <w:t>Science at the Massachusetts Institute of Technology (“MIT”) since 1973 and has served as Director of the MIT Laboratory for Electromagnetic and Electronic Systems from 1991 to 2009. Dr. Kassakian is the founding President of the IEEE Power Electronics Society, a member of the National Academy of Engineering, and is the recipient of the IEEE Centennial Medal, the IEEE William E. Newell Award, the IEEE Power Electronics Society’s Distinguished Service Award and the IEEE Millennium Medal. Dr. Kassakian holds S.B., S.M., E.E. and Sc.D. degrees from MIT. Dr. Kassakian brings to the board his extensive expertise in the semiconductor field and academic experience related to the technology sector.</w:t>
      </w:r>
    </w:p>
    <w:p>
      <w:pPr>
        <w:spacing w:after="0" w:line="12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 xml:space="preserve">Oleg Khaykin </w:t>
      </w:r>
      <w:r>
        <w:rPr>
          <w:rFonts w:ascii="Arial" w:cs="Arial" w:eastAsia="Arial" w:hAnsi="Arial"/>
          <w:sz w:val="18"/>
          <w:szCs w:val="18"/>
          <w:color w:val="auto"/>
        </w:rPr>
        <w:t>has served as a director since May 2016. Mr. Khaykin has served as the President and Chief Executive Officer and a member of the board of</w:t>
      </w:r>
      <w:r>
        <w:rPr>
          <w:rFonts w:ascii="Arial" w:cs="Arial" w:eastAsia="Arial" w:hAnsi="Arial"/>
          <w:sz w:val="18"/>
          <w:szCs w:val="18"/>
          <w:i w:val="1"/>
          <w:iCs w:val="1"/>
          <w:color w:val="auto"/>
        </w:rPr>
        <w:t xml:space="preserve"> </w:t>
      </w:r>
      <w:r>
        <w:rPr>
          <w:rFonts w:ascii="Arial" w:cs="Arial" w:eastAsia="Arial" w:hAnsi="Arial"/>
          <w:sz w:val="18"/>
          <w:szCs w:val="18"/>
          <w:color w:val="auto"/>
        </w:rPr>
        <w:t>directors of Viavi Solutions, a provider of network and service enablement solutions, since February 2016. Prior to joining Viavi, Mr. Khaykin was a Senior Advisor at Silver Lake Partners. From March 2008 to January 2015, he was President and Chief Executive Officer and a member of the board of directors of International Rectifier, a maker of power semiconductors, which was acquired by Infineon Technology AG. Before joining International Rectifier, Mr. Khaykin served most recently as the Chief</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119</w:t>
      </w:r>
    </w:p>
    <w:p>
      <w:pPr>
        <w:sectPr>
          <w:pgSz w:w="11900" w:h="16838" w:orient="portrait"/>
          <w:cols w:equalWidth="0" w:num="1">
            <w:col w:w="11400"/>
          </w:cols>
          <w:pgMar w:left="240" w:top="459" w:right="25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6" w:lineRule="auto"/>
        <w:rPr>
          <w:sz w:val="20"/>
          <w:szCs w:val="20"/>
          <w:color w:val="auto"/>
        </w:rPr>
      </w:pPr>
      <w:r>
        <w:rPr>
          <w:rFonts w:ascii="Arial" w:cs="Arial" w:eastAsia="Arial" w:hAnsi="Arial"/>
          <w:sz w:val="18"/>
          <w:szCs w:val="18"/>
          <w:color w:val="auto"/>
        </w:rPr>
        <w:t>Operating Officer of Amkor Technology, Inc., a provider of semiconductor assembly and test services. Mr. Khaykin was previously a member of the board of directors of Zarlink Semiconductor Inc. Mr. Khaykin received a Bachelor of Science in Electrical Engineering from Carnegie-Mellon, and a Master of Business Administration from Northwestern University’s J.L. Kellogg Graduate School of Management. Mr. Khaykin brings to the board his extensive experience in the semiconductor industry combined with significant executive management experience.</w:t>
      </w:r>
    </w:p>
    <w:p>
      <w:pPr>
        <w:spacing w:after="0" w:line="143"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i w:val="1"/>
          <w:iCs w:val="1"/>
          <w:color w:val="auto"/>
        </w:rPr>
        <w:t xml:space="preserve">Arturo Krueger </w:t>
      </w:r>
      <w:r>
        <w:rPr>
          <w:rFonts w:ascii="Arial" w:cs="Arial" w:eastAsia="Arial" w:hAnsi="Arial"/>
          <w:sz w:val="16"/>
          <w:szCs w:val="16"/>
          <w:color w:val="auto"/>
        </w:rPr>
        <w:t>has served as a director since August 2005 and served as our lead independent director from April 2009 to May 2016. Mr. Krueger has</w:t>
      </w:r>
      <w:r>
        <w:rPr>
          <w:rFonts w:ascii="Arial" w:cs="Arial" w:eastAsia="Arial" w:hAnsi="Arial"/>
          <w:sz w:val="16"/>
          <w:szCs w:val="16"/>
          <w:i w:val="1"/>
          <w:iCs w:val="1"/>
          <w:color w:val="auto"/>
        </w:rPr>
        <w:t xml:space="preserve"> </w:t>
      </w:r>
      <w:r>
        <w:rPr>
          <w:rFonts w:ascii="Arial" w:cs="Arial" w:eastAsia="Arial" w:hAnsi="Arial"/>
          <w:sz w:val="16"/>
          <w:szCs w:val="16"/>
          <w:color w:val="auto"/>
        </w:rPr>
        <w:t>more than 40 years of experience in the international semiconductor industry. From 1966 to 2001, Mr. Krueger served in a number of roles at Motorola, starting as Systems Engineer and then moving into international Design and R&amp;D Management, Marketing and Operations. Starting in 1996 Mr. Krueger served as the director of the sector wide “Advanced Architectural and Design Automation Lab.” Prior to his retirement in February 2001, Mr. Krueger was promoted to Corporate Vice President and General Manager of Motorola Corporation’s Semiconductor Products Sector for Europe, Middle East and Africa. Since his retirement in February 2001, Mr. Krueger has been a consultant to automobile manufacturers and to semiconductor companies serving the automotive and telecommunication markets. He currently serves on the board of QuickLogic Corporation, a semiconductor company. Mr. Krueger holds a Master of Science in Electrical Engineering from the Institute of Technology in Switzerland and has studied Advanced Computer Science at the University of Minnesota. Mr. Krueger brings to the board a deep understanding of the semiconductor industry and microelectronic systems design and architectures, as well as considerable directorial and governance experience.</w:t>
      </w:r>
    </w:p>
    <w:p>
      <w:pPr>
        <w:spacing w:after="0" w:line="12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Michael Strachan </w:t>
      </w:r>
      <w:r>
        <w:rPr>
          <w:rFonts w:ascii="Arial" w:cs="Arial" w:eastAsia="Arial" w:hAnsi="Arial"/>
          <w:sz w:val="16"/>
          <w:szCs w:val="16"/>
          <w:color w:val="auto"/>
        </w:rPr>
        <w:t>has served as a director since May 2016. From March 2009 to May 2014, he was a director at LSI Logic, including Chairman of the</w:t>
      </w:r>
      <w:r>
        <w:rPr>
          <w:rFonts w:ascii="Arial" w:cs="Arial" w:eastAsia="Arial" w:hAnsi="Arial"/>
          <w:sz w:val="16"/>
          <w:szCs w:val="16"/>
          <w:i w:val="1"/>
          <w:iCs w:val="1"/>
          <w:color w:val="auto"/>
        </w:rPr>
        <w:t xml:space="preserve"> </w:t>
      </w:r>
      <w:r>
        <w:rPr>
          <w:rFonts w:ascii="Arial" w:cs="Arial" w:eastAsia="Arial" w:hAnsi="Arial"/>
          <w:sz w:val="16"/>
          <w:szCs w:val="16"/>
          <w:color w:val="auto"/>
        </w:rPr>
        <w:t>Audit Committee for most of that time. Mr. Strachan retired from Ernst &amp; Young LLP in December 2008. From July 2007 until December 2008, he was a member of Ernst &amp; Young’s America’s Executive Board, which oversaw the firm’s strategic initiatives in North and South America. From July 2006 to December 2008, he was a member of Ernst &amp; Young’s U.S. Executive Board, which oversaw partnership matters in the U.S. for the firm. From July 2000 through December 2008, he was Vice Chairman and Area Managing Partner for Ernst &amp; Young offices between San Jose, California and Seattle, Washington, and was responsible for oversight of the firm’s operations in that area. He began his career at Ernst &amp; Young in 1976. Mr. Strachan holds a Bachelor of Science in Accounting from Northern Illinois University. Mr. Strachan brings to the board deep expertise relating to finance and accounting matters and extensive business management, governance and leadership experience.</w:t>
      </w:r>
    </w:p>
    <w:p>
      <w:pPr>
        <w:spacing w:after="0" w:line="118" w:lineRule="exact"/>
        <w:rPr>
          <w:sz w:val="20"/>
          <w:szCs w:val="20"/>
          <w:color w:val="auto"/>
        </w:rPr>
      </w:pPr>
    </w:p>
    <w:p>
      <w:pPr>
        <w:ind w:firstLine="456"/>
        <w:spacing w:after="0" w:line="307" w:lineRule="auto"/>
        <w:rPr>
          <w:sz w:val="20"/>
          <w:szCs w:val="20"/>
          <w:color w:val="auto"/>
        </w:rPr>
      </w:pPr>
      <w:r>
        <w:rPr>
          <w:rFonts w:ascii="Arial" w:cs="Arial" w:eastAsia="Arial" w:hAnsi="Arial"/>
          <w:sz w:val="15"/>
          <w:szCs w:val="15"/>
          <w:i w:val="1"/>
          <w:iCs w:val="1"/>
          <w:color w:val="auto"/>
        </w:rPr>
        <w:t>Dr. Sehat Sutardja</w:t>
      </w:r>
      <w:r>
        <w:rPr>
          <w:rFonts w:ascii="Arial" w:cs="Arial" w:eastAsia="Arial" w:hAnsi="Arial"/>
          <w:sz w:val="15"/>
          <w:szCs w:val="15"/>
          <w:color w:val="auto"/>
        </w:rPr>
        <w:t>, one of our co-founders, has served as a director since the company’s inception in February 1995. Dr. Sutardja served as Chief Executive</w:t>
      </w:r>
      <w:r>
        <w:rPr>
          <w:rFonts w:ascii="Arial" w:cs="Arial" w:eastAsia="Arial" w:hAnsi="Arial"/>
          <w:sz w:val="15"/>
          <w:szCs w:val="15"/>
          <w:i w:val="1"/>
          <w:iCs w:val="1"/>
          <w:color w:val="auto"/>
        </w:rPr>
        <w:t xml:space="preserve"> </w:t>
      </w:r>
      <w:r>
        <w:rPr>
          <w:rFonts w:ascii="Arial" w:cs="Arial" w:eastAsia="Arial" w:hAnsi="Arial"/>
          <w:sz w:val="15"/>
          <w:szCs w:val="15"/>
          <w:color w:val="auto"/>
        </w:rPr>
        <w:t>Officer and President from February 1995 to July 2013 and served as Chief Executive Officer from July 2013 to April 2016. He also served as Co-Chairman of the Board of Directors from 1995 until 2003 and as Chairman of the Board from 2003 until May 2016. Dr. Sutardja is widely regarded as one of the pioneers of the modern semiconductor age. His breakthrough designs and guiding vision have revolutionized numerous industry segments, from data storage to the high-performance, low-power chips now driving the growing global markets for mobile computing and telephony. He has been awarded more than 440 patents and has been named a Fellow of IEEE. In 2006, Dr. Sutardja was recognized as the Inventor of the Year by the Silicon Valley Intellectual Property Law Association. In 2012, Dr. Sutardja, was awarded the Indonesian Diaspora Lifetime Achievement Award for Global Pioneering and Innovation , presented by the Embassy of the Republic of Indonesia. The Global Semiconductor Alliance (GSA) recognized Dr. Sutardja and Ms. Dai with 2013 Dr. Morris Chang Exemplary Leadership Award. Dr. Sutardja holds a Master of Science and Ph.D. in Electrical Engineering and Computer Science from the University of California at Berkeley and a Bachelor of Science in Electrical Engineering from Iowa State University. Dr. Sutardja is the husband of Ms. Weili Dai. Mr. Sutardja brings to the board his extensive experience with technological innovation, his knowledge of Marvell’s technology and business and his expertise in the semiconductor industry.</w:t>
      </w:r>
    </w:p>
    <w:p>
      <w:pPr>
        <w:spacing w:after="0" w:line="112"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i w:val="1"/>
          <w:iCs w:val="1"/>
          <w:color w:val="auto"/>
        </w:rPr>
        <w:t xml:space="preserve">Robert E. Switz </w:t>
      </w:r>
      <w:r>
        <w:rPr>
          <w:rFonts w:ascii="Arial" w:cs="Arial" w:eastAsia="Arial" w:hAnsi="Arial"/>
          <w:sz w:val="18"/>
          <w:szCs w:val="18"/>
          <w:color w:val="auto"/>
        </w:rPr>
        <w:t>has served as a director since May 2016. Mr. Switz has served as the Chairman of the Board of Micron Technology, Inc. since 2012. He</w:t>
      </w:r>
      <w:r>
        <w:rPr>
          <w:rFonts w:ascii="Arial" w:cs="Arial" w:eastAsia="Arial" w:hAnsi="Arial"/>
          <w:sz w:val="18"/>
          <w:szCs w:val="18"/>
          <w:i w:val="1"/>
          <w:iCs w:val="1"/>
          <w:color w:val="auto"/>
        </w:rPr>
        <w:t xml:space="preserve"> </w:t>
      </w:r>
      <w:r>
        <w:rPr>
          <w:rFonts w:ascii="Arial" w:cs="Arial" w:eastAsia="Arial" w:hAnsi="Arial"/>
          <w:sz w:val="18"/>
          <w:szCs w:val="18"/>
          <w:color w:val="auto"/>
        </w:rPr>
        <w:t>was the Chairman, President and Chief Executive Officer of ADC</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120</w:t>
      </w:r>
    </w:p>
    <w:p>
      <w:pPr>
        <w:sectPr>
          <w:pgSz w:w="11900" w:h="16838" w:orient="portrait"/>
          <w:cols w:equalWidth="0" w:num="1">
            <w:col w:w="11400"/>
          </w:cols>
          <w:pgMar w:left="240" w:top="459" w:right="25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89" w:lineRule="auto"/>
        <w:rPr>
          <w:sz w:val="20"/>
          <w:szCs w:val="20"/>
          <w:color w:val="auto"/>
        </w:rPr>
      </w:pPr>
      <w:r>
        <w:rPr>
          <w:rFonts w:ascii="Arial" w:cs="Arial" w:eastAsia="Arial" w:hAnsi="Arial"/>
          <w:sz w:val="16"/>
          <w:szCs w:val="16"/>
          <w:color w:val="auto"/>
        </w:rPr>
        <w:t>Telecommunications, Inc., (“ADC”), a supplier of network infrastructure products and services from August 2003 until December 2010, when Tyco Electronics Ltd. acquired ADC. Mr. Switz joined ADC in 1994 and throughout his career there held numerous leadership positions. Prior to ADC, Mr. Switz spent six years at Burr-Brown Corporation, most recently as Chief Financial Officer, Vice President of European Operations and Director of the Systems and Ventures Business. Mr. Switz serves on the Board of Directors of Gigamon Inc., and previously served as a director of GT Advanced Technologies and as lead independent director of Broadcom Corporation until its merger with Avago Technologies Limited. Mr. Switz received a Bachelor of Science in Business Administration from Quinnipiac University and a Master of Business Administration in Finance from the University of Bridgeport. Mr. Switz brings to the board his extensive global operations, financial and general management experience and expertise, as well as considerable directorial and governance experience developed through his service on the boards of directors of several public companies.</w:t>
      </w:r>
    </w:p>
    <w:p>
      <w:pPr>
        <w:spacing w:after="0" w:line="118"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i w:val="1"/>
          <w:iCs w:val="1"/>
          <w:color w:val="auto"/>
        </w:rPr>
        <w:t xml:space="preserve">Dr. Randhir Thakur </w:t>
      </w:r>
      <w:r>
        <w:rPr>
          <w:rFonts w:ascii="Arial" w:cs="Arial" w:eastAsia="Arial" w:hAnsi="Arial"/>
          <w:sz w:val="16"/>
          <w:szCs w:val="16"/>
          <w:color w:val="auto"/>
        </w:rPr>
        <w:t>has served as a director since June 2012. He was executive vice president and general manager of the Silicon Systems Group at</w:t>
      </w:r>
      <w:r>
        <w:rPr>
          <w:rFonts w:ascii="Arial" w:cs="Arial" w:eastAsia="Arial" w:hAnsi="Arial"/>
          <w:sz w:val="16"/>
          <w:szCs w:val="16"/>
          <w:i w:val="1"/>
          <w:iCs w:val="1"/>
          <w:color w:val="auto"/>
        </w:rPr>
        <w:t xml:space="preserve"> </w:t>
      </w:r>
      <w:r>
        <w:rPr>
          <w:rFonts w:ascii="Arial" w:cs="Arial" w:eastAsia="Arial" w:hAnsi="Arial"/>
          <w:sz w:val="16"/>
          <w:szCs w:val="16"/>
          <w:color w:val="auto"/>
        </w:rPr>
        <w:t>Applied Materials, Inc., which comprised the entire portfolio of semiconductor manufacturing systems at Applied Materials. After rejoining Applied Materials in May 2008, Dr. Thakur served in various executive positions, including senior vice president and general manager of the Display and Thin Film Solar group. From 2005 to May 2008, Dr. Thakur worked at SanDisk Corporation, a supplier of innovative flash memory data storage products, where he served as executive vice president of Technology and Fab Operations and head of Worldwide Operations. From 2000 to 2005, Dr. Thakur held a number of roles within various semiconductor product groups at Applied Materials, including group vice president and general manager of Front End Products. Dr. Thakur holds close to 300 patents and has published more than 200 papers. Dr. Thakur holds a Bachelor of Science with honors in Electronics and Telecommunications Engineering from the National Institute of Technology, Kurukshetra, India, a Master of Science in Electrical Engineering from the University of Saskatchewan, Canada and a Ph.D. in Electrical Engineering from the University of Oklahoma. Dr. Thakur brings to the board a wealth of experience in the semiconductor and consumer electronics industry.</w:t>
      </w:r>
    </w:p>
    <w:p>
      <w:pPr>
        <w:spacing w:after="0" w:line="1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Except as noted above, there are no family relationships among any of our directors and executive officers.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6" w:lineRule="exact"/>
        <w:rPr>
          <w:sz w:val="20"/>
          <w:szCs w:val="20"/>
          <w:color w:val="auto"/>
        </w:rPr>
      </w:pPr>
    </w:p>
    <w:p>
      <w:pPr>
        <w:ind w:right="140" w:firstLine="456"/>
        <w:spacing w:after="0" w:line="370" w:lineRule="auto"/>
        <w:rPr>
          <w:sz w:val="20"/>
          <w:szCs w:val="20"/>
          <w:color w:val="auto"/>
        </w:rPr>
      </w:pPr>
      <w:r>
        <w:rPr>
          <w:rFonts w:ascii="Arial" w:cs="Arial" w:eastAsia="Arial" w:hAnsi="Arial"/>
          <w:sz w:val="15"/>
          <w:szCs w:val="15"/>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w:t>
      </w:r>
    </w:p>
    <w:p>
      <w:pPr>
        <w:spacing w:after="0" w:line="6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Based solely on our review of the copies of such reports received by us during or with respect to the fiscal year ended January 30, 2016, and representations from such reporting persons, we believe that our officers, directors and 10% shareholders complied with all Section 16(a) filing requirements applicable to such individuals.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have adopted a Code of Ethics and Business Conduct for Employees, Officers and Directors that applies to all of our directors, officers (including our Chief Executive Officer (our principal executive officer), Chief Financial Officer (our principal financial and accounting officer), Corporate Controller and any person performing similar functions) and employees. This Code of Ethics was most recently amended as of August 29, 2013. We will disclose future amendments to or waivers from our Code of Ethics and Business Conduct for Employees, Officers and Directors on our website or in a Current Report on Form 8-K filed with the SEC within four business days following the date of such amendment or waiver. Our Code of Ethics and Business Conduct for Employees, Officers and Directors is available on our website (www.marvell.com) in the Corporate Governance section of our Investor Relations webpage. None of the material on our website is part of this Annual Report on Form 10-K or is incorporated by reference herein.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121</w:t>
      </w:r>
    </w:p>
    <w:p>
      <w:pPr>
        <w:sectPr>
          <w:pgSz w:w="11900" w:h="16838" w:orient="portrait"/>
          <w:cols w:equalWidth="0" w:num="1">
            <w:col w:w="11420"/>
          </w:cols>
          <w:pgMar w:left="240" w:top="459" w:right="23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Nomination Process</w:t>
      </w:r>
    </w:p>
    <w:p>
      <w:pPr>
        <w:spacing w:after="0" w:line="96" w:lineRule="exact"/>
        <w:rPr>
          <w:sz w:val="20"/>
          <w:szCs w:val="20"/>
          <w:color w:val="auto"/>
        </w:rPr>
      </w:pPr>
    </w:p>
    <w:p>
      <w:pPr>
        <w:jc w:val="both"/>
        <w:ind w:right="420" w:firstLine="456"/>
        <w:spacing w:after="0" w:line="370" w:lineRule="auto"/>
        <w:rPr>
          <w:sz w:val="20"/>
          <w:szCs w:val="20"/>
          <w:color w:val="auto"/>
        </w:rPr>
      </w:pPr>
      <w:r>
        <w:rPr>
          <w:rFonts w:ascii="Arial" w:cs="Arial" w:eastAsia="Arial" w:hAnsi="Arial"/>
          <w:sz w:val="15"/>
          <w:szCs w:val="15"/>
          <w:color w:val="auto"/>
        </w:rPr>
        <w:t>As of the date of this report, there have been no material changes to the procedures by which shareholders may recommend nominees to our Board as described in the section entitled “Nominations for Election of Directors” in the Company’s Definitive Proxy Statement filed with the SEC on May 19, 2015.</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w:t>
      </w:r>
    </w:p>
    <w:p>
      <w:pPr>
        <w:spacing w:after="0" w:line="96"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Our Board of Directors has a standing Audit Committee established in accordance with Section 3(a)(58)(a) of the Exchange Act. In fiscal 2016, the Audit Committee membership was as follows: Dr. Juergen Gromer (Chairman), Mr. Arturo Krueger, Dr. John G. Kassakian and Dr. Randhir Thakur. On May 1, 2016, the Audit Committee’s membership was reconstituted as follows: Robert Switz (Chairman), Dr. Gromer and Dr. Kassakian. On May 17, 2016, following his appointment to the board of directors, Michael Strachan was added to the Audit Committee. Our board of directors has determined that each member of the Audit Committee currently and during fiscal 2016 met the applicable independence, experience and other requirements of the Exchange Act, Nasdaq and the SEC. Our board of directors has determined that each of Mr. Switz and Mr. Strachan is an “audit committee financial expert” as defined by applicable Nasdaq and SEC rules.</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Regulatory Matters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Between 2005 and 2010, the SEC reviewed the option-granting practices of more than 100 companies. In June 2008, Marvell and Ms. Dai, our former President, reached a settlement with the SEC concluding the SEC’s investigation into Marvell’s stock option granting practices. Neither Ms. Dai nor Marvell admitted or denied any of the SEC’s allegations or findings. Pursuant to the settlement, Marvell and Ms. Dai agreed to comply with the federal securities laws and pay financial penalties. Ms. Dai also agreed that, until June 17, 2013, she would not serve as an officer or director of any issuer that has a class of securities registered pursuant to Section 12 of the Exchange Act or that is required to be file reports pursuant to Section 15(d) of the Exchange Act.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w:t>
      </w:r>
    </w:p>
    <w:p>
      <w:pPr>
        <w:spacing w:after="0" w:line="96" w:lineRule="exact"/>
        <w:rPr>
          <w:sz w:val="20"/>
          <w:szCs w:val="20"/>
          <w:color w:val="auto"/>
        </w:rPr>
      </w:pPr>
    </w:p>
    <w:p>
      <w:pPr>
        <w:ind w:right="820" w:firstLine="456"/>
        <w:spacing w:after="0" w:line="268" w:lineRule="auto"/>
        <w:rPr>
          <w:sz w:val="20"/>
          <w:szCs w:val="20"/>
          <w:color w:val="auto"/>
        </w:rPr>
      </w:pPr>
      <w:r>
        <w:rPr>
          <w:rFonts w:ascii="Arial" w:cs="Arial" w:eastAsia="Arial" w:hAnsi="Arial"/>
          <w:sz w:val="18"/>
          <w:szCs w:val="18"/>
          <w:color w:val="auto"/>
        </w:rPr>
        <w:t>Reference is made to the information set forth in Part I, Item 1 of this Annual Report on Form10-K under the caption “Executive Officers of the Registrant.”</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This Compensation Discussion and Analysis provides information regarding compensation paid to our named executive officers during fiscal 2016, which ran from February 2, 2015 until January 30, 2016. During fiscal 2016, the named executive officers were:</w:t>
      </w:r>
    </w:p>
    <w:p>
      <w:pPr>
        <w:spacing w:after="0" w:line="51" w:lineRule="exact"/>
        <w:rPr>
          <w:sz w:val="20"/>
          <w:szCs w:val="20"/>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Dr. Sehat Sutardja, our former Chairman of the Board (to May 1, 2016) and former Chief Executive Officer (to April 1,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Ms. Weili Dai, our former President (to April 1,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Dr. Zining Wu, our Chief Technology Officer;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Mr. David P. Eichler, our Interim Chief Financial Officer (from October 16, 2015);</w:t>
      </w:r>
    </w:p>
    <w:p>
      <w:pPr>
        <w:spacing w:after="0" w:line="90" w:lineRule="exact"/>
        <w:rPr>
          <w:rFonts w:ascii="Arial" w:cs="Arial" w:eastAsia="Arial" w:hAnsi="Arial"/>
          <w:sz w:val="18"/>
          <w:szCs w:val="18"/>
          <w:color w:val="auto"/>
        </w:rPr>
      </w:pPr>
    </w:p>
    <w:p>
      <w:pPr>
        <w:ind w:left="900" w:right="440" w:hanging="325"/>
        <w:spacing w:after="0" w:line="357" w:lineRule="auto"/>
        <w:tabs>
          <w:tab w:leader="none" w:pos="900" w:val="left"/>
        </w:tabs>
        <w:numPr>
          <w:ilvl w:val="0"/>
          <w:numId w:val="37"/>
        </w:numPr>
        <w:rPr>
          <w:rFonts w:ascii="Arial" w:cs="Arial" w:eastAsia="Arial" w:hAnsi="Arial"/>
          <w:sz w:val="15"/>
          <w:szCs w:val="15"/>
          <w:color w:val="auto"/>
        </w:rPr>
      </w:pPr>
      <w:r>
        <w:rPr>
          <w:rFonts w:ascii="Arial" w:cs="Arial" w:eastAsia="Arial" w:hAnsi="Arial"/>
          <w:sz w:val="15"/>
          <w:szCs w:val="15"/>
          <w:color w:val="auto"/>
        </w:rPr>
        <w:t>Mr. Sukhi Nagesh, our former Interim Chief Financial Officer (from May 22, 2015 to October 7, 2015) and former Senior Vice President of Corporate Development and Strategy, Financial Planning and Analysis and Investor Relations (from October 7, 2015 to January 15, 2016); and</w:t>
      </w: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Mr. Michael Rashkin, our former Chief Financial Officer (retired May 22, 2015).</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122</w:t>
      </w:r>
    </w:p>
    <w:p>
      <w:pPr>
        <w:sectPr>
          <w:pgSz w:w="11900" w:h="16838" w:orient="portrait"/>
          <w:cols w:equalWidth="0" w:num="1">
            <w:col w:w="11400"/>
          </w:cols>
          <w:pgMar w:left="240" w:top="459" w:right="25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Our named executive officers were the only officers with the responsibility level and business impact in fiscal 2016 to qualify as executive officers under SEC rules.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Our Business</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and System-in-a-Package devices, leveraging our extensive technology portfolio of intellectual property in the areas of analog, mixed-signal, digital signal processing, and embedded and standalone integrated circuits. The majority of our product portfolio leverages embedded central processing unit technology.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wireless connectivity, Internet-of-Things devices and multimedia solutions.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2016 Business Highlights</w:t>
      </w:r>
    </w:p>
    <w:p>
      <w:pPr>
        <w:spacing w:after="0" w:line="90"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Fiscal 2016 was a challenging year for the Company as increasing competitive dynamics in the handset market were compounded by softer demand conditions in PC and enterprise networking markets. As a result:</w:t>
      </w:r>
    </w:p>
    <w:p>
      <w:pPr>
        <w:spacing w:after="0" w:line="51" w:lineRule="exact"/>
        <w:rPr>
          <w:sz w:val="20"/>
          <w:szCs w:val="20"/>
          <w:color w:val="auto"/>
        </w:rPr>
      </w:pPr>
    </w:p>
    <w:p>
      <w:pPr>
        <w:ind w:left="900" w:hanging="325"/>
        <w:spacing w:after="0"/>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Net revenue in fiscal 2016 was $2.7 billion and was 27% lower than net revenue of $3.7 billion in fiscal 2015.</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6"/>
          <w:szCs w:val="16"/>
          <w:color w:val="auto"/>
        </w:rPr>
      </w:pPr>
      <w:r>
        <w:rPr>
          <w:rFonts w:ascii="Arial" w:cs="Arial" w:eastAsia="Arial" w:hAnsi="Arial"/>
          <w:sz w:val="16"/>
          <w:szCs w:val="16"/>
          <w:color w:val="auto"/>
        </w:rPr>
        <w:t>Revenues declined in all of our end markets, led by a 31% decrease in storage product sales, and a 27% decline in our mobile and wireless sales.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However, our financial position and our commitment to shareholder value remained strong, as illustrated by the following:</w:t>
      </w:r>
    </w:p>
    <w:p>
      <w:pPr>
        <w:spacing w:after="0" w:line="90" w:lineRule="exact"/>
        <w:rPr>
          <w:sz w:val="20"/>
          <w:szCs w:val="20"/>
          <w:color w:val="auto"/>
        </w:rPr>
      </w:pPr>
    </w:p>
    <w:p>
      <w:pPr>
        <w:ind w:left="900" w:hanging="325"/>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Our cash, cash equivalents and short-term investments were $2.3 billion at January 30, 2016 (prior to giving effect to the settlement with CMU).</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We generated cash flow from operations of $205.4 million during fiscal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We paid cash dividends of $0.24 per share for a total of $122.8 million in fiscal 2016.</w:t>
      </w:r>
    </w:p>
    <w:p>
      <w:pPr>
        <w:spacing w:after="0" w:line="9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Subsequently, in March 2016, we announced a dividend of $0.06 per share that was paid in April 2016 and announced a dividend in May 2016 of $0.06 per share that was paid in July 2016.</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Finally, we repurchased 19.7 million of our common shares for $260.9 million in fiscal 2016.</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Actions Taken in Consideration of “Say on Pay” Vote</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2015 annual general meeting of shareholders, we received support from approximately 44% of shareholders voting on the proposal for our fiscal 2015 named executive officer compensation program (“Say on Pay”). We take shareholder feedback very seriously and have taken a number of significant actions in response to this Say on Pay vote result, including extensive shareholder outreach during fiscal 2016 and changes to our fiscal 2016 named executive officer compensation programs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123</w:t>
      </w:r>
    </w:p>
    <w:p>
      <w:pPr>
        <w:sectPr>
          <w:pgSz w:w="11900" w:h="16838" w:orient="portrait"/>
          <w:cols w:equalWidth="0" w:num="1">
            <w:col w:w="11400"/>
          </w:cols>
          <w:pgMar w:left="240" w:top="459" w:right="25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Shareholder feedback, company performance and market practice were all key considerations in identifying and implementing changes to the named executive officer compensation programs for fiscal 2016.</w:t>
      </w:r>
    </w:p>
    <w:p>
      <w:pPr>
        <w:sectPr>
          <w:pgSz w:w="11900" w:h="16838" w:orient="portrait"/>
          <w:cols w:equalWidth="0" w:num="1">
            <w:col w:w="11420"/>
          </w:cols>
          <w:pgMar w:left="240" w:top="459" w:right="23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Key Fiscal 2016 Actions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926465"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92646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b w:val="1"/>
          <w:bCs w:val="1"/>
          <w:u w:val="single" w:color="auto"/>
          <w:color w:val="auto"/>
        </w:rPr>
        <w:t>Introduction of Relative TSR Metric to the Long-term Incentive Plan</w:t>
      </w:r>
    </w:p>
    <w:p>
      <w:pPr>
        <w:spacing w:after="0" w:line="8"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A portion of the fiscal 2016 performance-based equity awards to named executive officers will vest based on our relative TSR performance (as defined below) versus the 2016 peer group over a two-year performance period.</w:t>
      </w:r>
    </w:p>
    <w:p>
      <w:pPr>
        <w:spacing w:after="0" w:line="4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Peer Group Changes</w:t>
      </w:r>
    </w:p>
    <w:p>
      <w:pPr>
        <w:spacing w:after="0" w:line="21"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To ensure a continued robust peer group and in consideration of our positioning relative to the median company size, the ECC determined to add three new companies to our peer group for fiscal 2016</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ind w:left="1560"/>
        <w:spacing w:after="0"/>
        <w:rPr>
          <w:sz w:val="20"/>
          <w:szCs w:val="20"/>
          <w:color w:val="auto"/>
        </w:rPr>
      </w:pPr>
      <w:r>
        <w:rPr>
          <w:rFonts w:ascii="Arial" w:cs="Arial" w:eastAsia="Arial" w:hAnsi="Arial"/>
          <w:sz w:val="14"/>
          <w:szCs w:val="14"/>
          <w:b w:val="1"/>
          <w:bCs w:val="1"/>
          <w:color w:val="auto"/>
        </w:rPr>
        <w:t>Relevant Section(s) for Further Details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8890</wp:posOffset>
            </wp:positionV>
            <wp:extent cx="340487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3404870" cy="8890"/>
                    </a:xfrm>
                    <a:prstGeom prst="rect">
                      <a:avLst/>
                    </a:prstGeom>
                    <a:noFill/>
                  </pic:spPr>
                </pic:pic>
              </a:graphicData>
            </a:graphic>
          </wp:anchor>
        </w:drawing>
      </w:r>
    </w:p>
    <w:p>
      <w:pPr>
        <w:spacing w:after="0" w:line="196" w:lineRule="exact"/>
        <w:rPr>
          <w:sz w:val="20"/>
          <w:szCs w:val="20"/>
          <w:color w:val="auto"/>
        </w:rPr>
      </w:pPr>
    </w:p>
    <w:p>
      <w:pPr>
        <w:ind w:right="220"/>
        <w:spacing w:after="0" w:line="275" w:lineRule="auto"/>
        <w:rPr>
          <w:sz w:val="20"/>
          <w:szCs w:val="20"/>
          <w:color w:val="auto"/>
        </w:rPr>
      </w:pPr>
      <w:r>
        <w:rPr>
          <w:rFonts w:ascii="Arial" w:cs="Arial" w:eastAsia="Arial" w:hAnsi="Arial"/>
          <w:sz w:val="18"/>
          <w:szCs w:val="18"/>
          <w:b w:val="1"/>
          <w:bCs w:val="1"/>
          <w:color w:val="auto"/>
        </w:rPr>
        <w:t>See “Fiscal 2016 Long-Term Incentive Awards (Equity)” under “Key Elements of Compensation for Fiscal 2015”</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“Fiscal 2016 Peer Group”</w:t>
      </w:r>
    </w:p>
    <w:p>
      <w:pPr>
        <w:spacing w:after="0" w:line="441" w:lineRule="exact"/>
        <w:rPr>
          <w:sz w:val="20"/>
          <w:szCs w:val="20"/>
          <w:color w:val="auto"/>
        </w:rPr>
      </w:pPr>
    </w:p>
    <w:p>
      <w:pPr>
        <w:sectPr>
          <w:pgSz w:w="11900" w:h="16838" w:orient="portrait"/>
          <w:cols w:equalWidth="0" w:num="2">
            <w:col w:w="5780" w:space="280"/>
            <w:col w:w="5360"/>
          </w:cols>
          <w:pgMar w:left="240" w:top="459" w:right="239" w:bottom="1440" w:gutter="0" w:footer="0" w:header="0"/>
          <w:type w:val="continuous"/>
        </w:sectPr>
      </w:pPr>
    </w:p>
    <w:p>
      <w:pPr>
        <w:spacing w:after="0"/>
        <w:rPr>
          <w:sz w:val="20"/>
          <w:szCs w:val="20"/>
          <w:color w:val="auto"/>
        </w:rPr>
      </w:pPr>
      <w:r>
        <w:rPr>
          <w:rFonts w:ascii="Arial" w:cs="Arial" w:eastAsia="Arial" w:hAnsi="Arial"/>
          <w:sz w:val="18"/>
          <w:szCs w:val="18"/>
          <w:b w:val="1"/>
          <w:bCs w:val="1"/>
          <w:u w:val="single" w:color="auto"/>
          <w:color w:val="auto"/>
        </w:rPr>
        <w:t>Shareholder Outreach</w:t>
      </w:r>
    </w:p>
    <w:p>
      <w:pPr>
        <w:spacing w:after="0" w:line="21" w:lineRule="exact"/>
        <w:rPr>
          <w:sz w:val="20"/>
          <w:szCs w:val="20"/>
          <w:color w:val="auto"/>
        </w:rPr>
      </w:pPr>
    </w:p>
    <w:p>
      <w:pPr>
        <w:ind w:right="140"/>
        <w:spacing w:after="0" w:line="261" w:lineRule="auto"/>
        <w:rPr>
          <w:sz w:val="20"/>
          <w:szCs w:val="20"/>
          <w:color w:val="auto"/>
        </w:rPr>
      </w:pPr>
      <w:r>
        <w:rPr>
          <w:rFonts w:ascii="Arial" w:cs="Arial" w:eastAsia="Arial" w:hAnsi="Arial"/>
          <w:sz w:val="18"/>
          <w:szCs w:val="18"/>
          <w:color w:val="auto"/>
        </w:rPr>
        <w:t>Following the 2015 Say on Pay vote, we reached out to major institutional shareholders to gather detailed shareholder feedback, in particular regarding rationale for Say on Pay voting decisions.</w:t>
      </w:r>
    </w:p>
    <w:p>
      <w:pPr>
        <w:spacing w:after="0" w:line="178"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Additional shareholder outreach was conducted during fiscal 2016 to ensure understanding of current governance issues of particular interest to our shareholders in preparation for fiscal 2017 compensation decisions.</w:t>
      </w:r>
    </w:p>
    <w:p>
      <w:pPr>
        <w:spacing w:after="0" w:line="14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Additionally, we continue to maintain good governance pay practices described in more detail elsewhere in this Compensation Discussion and Analysis and this Annual Report, including stock ownership guidelines, a policy concerning recoupment of CEO and CFO bonuses following restatements, no gross up provisions, effective risk management, maintenance of 162(m) of the Internal Revenue Code of 1986, as amended (the “Code”) eligible plans, and anti-hedging provisions in our insider trading policy.</w:t>
      </w:r>
    </w:p>
    <w:p>
      <w:pPr>
        <w:spacing w:after="0" w:line="14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hold advisory votes to approve named executive officer compensation on an annual basis. When making future compensation decisions, the Executive Compensation Committee (“ECC” or the “Committee”) will consider the results from the prior year’s advisory vote on named executive officer compensation, as well as feedback from shareholders throughout the course of such year. We will continue to proactively review our named executive officer compensation program and take actions to ensure that executive pay is aligned with company performance.</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CEO Pay Alignment with Company Performance</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 key element of our executive compensation program, including our CEO’s compensation, is the explicit link between compensation and both overall business results and individual performance, as discussed more generally below under “Compensation Philosophy.” We made the following key decisions relating to fiscal 2016 compensation of our CEO:</w:t>
      </w:r>
    </w:p>
    <w:p>
      <w:pPr>
        <w:spacing w:after="0" w:line="59"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No annual incentive plan payout based on fiscal 2016 financial performance;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No vesting of performance-based equity awards that are subject to fiscal 2016 financial or strategic performance;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124</w:t>
      </w:r>
    </w:p>
    <w:p>
      <w:pPr>
        <w:sectPr>
          <w:pgSz w:w="11900" w:h="16838" w:orient="portrait"/>
          <w:cols w:equalWidth="0" w:num="1">
            <w:col w:w="11420"/>
          </w:cols>
          <w:pgMar w:left="240" w:top="459" w:right="239" w:bottom="1440" w:gutter="0" w:footer="0" w:header="0"/>
          <w:type w:val="continuous"/>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 xml:space="preserve">The relationship between our CEO’s target pay opportunity, realizable pay, and company performance as measured by TSR (each as defined below) further illustrates the alignment of our CEO’s compensation with business performance, and our emphasis on shareholder value creation. While most of the required compensation disclosures discuss pay opportunities (i.e., the awards that </w:t>
      </w:r>
      <w:r>
        <w:rPr>
          <w:rFonts w:ascii="Arial" w:cs="Arial" w:eastAsia="Arial" w:hAnsi="Arial"/>
          <w:sz w:val="18"/>
          <w:szCs w:val="18"/>
          <w:i w:val="1"/>
          <w:iCs w:val="1"/>
          <w:color w:val="auto"/>
        </w:rPr>
        <w:t>may be earned),</w:t>
      </w:r>
      <w:r>
        <w:rPr>
          <w:rFonts w:ascii="Arial" w:cs="Arial" w:eastAsia="Arial" w:hAnsi="Arial"/>
          <w:sz w:val="18"/>
          <w:szCs w:val="18"/>
          <w:color w:val="auto"/>
        </w:rPr>
        <w:t xml:space="preserve"> realizable pay considers actual compensation that was earned or could be earned based on performance.</w:t>
      </w:r>
    </w:p>
    <w:p>
      <w:pPr>
        <w:spacing w:after="0" w:line="62" w:lineRule="exact"/>
        <w:rPr>
          <w:sz w:val="20"/>
          <w:szCs w:val="20"/>
          <w:color w:val="auto"/>
        </w:rPr>
      </w:pPr>
    </w:p>
    <w:p>
      <w:pPr>
        <w:ind w:left="900" w:hanging="325"/>
        <w:spacing w:after="0" w:line="259"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Target pay opportunity for a given fiscal year means the sum of the salary and target cash bonus opportunity in that fiscal year, plus the grant date fair value of all equity awards (stock options and restricted stock units) granted during the fiscal year. Does not include “all other compensation” as defined for Summary Compensation Table purposes;</w:t>
      </w:r>
    </w:p>
    <w:p>
      <w:pPr>
        <w:spacing w:after="0" w:line="59" w:lineRule="exact"/>
        <w:rPr>
          <w:rFonts w:ascii="Arial" w:cs="Arial" w:eastAsia="Arial" w:hAnsi="Arial"/>
          <w:sz w:val="18"/>
          <w:szCs w:val="18"/>
          <w:color w:val="auto"/>
        </w:rPr>
      </w:pPr>
    </w:p>
    <w:p>
      <w:pPr>
        <w:ind w:left="900" w:right="40" w:hanging="325"/>
        <w:spacing w:after="0" w:line="291" w:lineRule="auto"/>
        <w:tabs>
          <w:tab w:leader="none" w:pos="900" w:val="left"/>
        </w:tabs>
        <w:numPr>
          <w:ilvl w:val="0"/>
          <w:numId w:val="41"/>
        </w:numPr>
        <w:rPr>
          <w:rFonts w:ascii="Arial" w:cs="Arial" w:eastAsia="Arial" w:hAnsi="Arial"/>
          <w:sz w:val="16"/>
          <w:szCs w:val="16"/>
          <w:color w:val="auto"/>
        </w:rPr>
      </w:pPr>
      <w:r>
        <w:rPr>
          <w:rFonts w:ascii="Arial" w:cs="Arial" w:eastAsia="Arial" w:hAnsi="Arial"/>
          <w:sz w:val="16"/>
          <w:szCs w:val="16"/>
          <w:color w:val="auto"/>
        </w:rPr>
        <w:t>Realizable pay for a given fiscal year means the sum of salary and actual cash bonus paid for that fiscal year, plus the current (2016 fiscal year-end) realizable value of equity granted in that fiscal year. The current realizable value of equity is calculated as the “in the money” value of stock options assuming that any vested stock options remain unexercised, plus the market value of restricted stock units, assuming that shares underlying any vested restricted stock units are still held by the CEO. For equity awards with performance-based vesting the target number of shares are included for periods in respect of fiscal years that have not been completed and the actual number of shares that vested are included for completed performance periods. Does not include “all other compensation” as defined for Summary Compensation Table purposes; and</w:t>
      </w:r>
    </w:p>
    <w:p>
      <w:pPr>
        <w:spacing w:after="0" w:line="39" w:lineRule="exact"/>
        <w:rPr>
          <w:rFonts w:ascii="Arial" w:cs="Arial" w:eastAsia="Arial" w:hAnsi="Arial"/>
          <w:sz w:val="16"/>
          <w:szCs w:val="16"/>
          <w:color w:val="auto"/>
        </w:rPr>
      </w:pPr>
    </w:p>
    <w:p>
      <w:pPr>
        <w:ind w:left="900" w:right="20" w:hanging="325"/>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Total shareholder return is the increase in company stock price plus reinvested dividends, measured from the start of each fiscal year from fiscal 2012 through 2016 fiscal year end.</w:t>
      </w:r>
    </w:p>
    <w:p>
      <w:pPr>
        <w:spacing w:after="0" w:line="132"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following graph shows the target pay opportunity and realizable pay of our CEO, Dr. Sutardja, for each fiscal year since fiscal 2012, and the strong correlation of his realizable pay with total shareholder return.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1034415</wp:posOffset>
            </wp:positionH>
            <wp:positionV relativeFrom="paragraph">
              <wp:posOffset>114935</wp:posOffset>
            </wp:positionV>
            <wp:extent cx="5196840" cy="342201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5196840" cy="3422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125</w:t>
      </w:r>
    </w:p>
    <w:p>
      <w:pPr>
        <w:sectPr>
          <w:pgSz w:w="11900" w:h="16838" w:orient="portrait"/>
          <w:cols w:equalWidth="0" w:num="1">
            <w:col w:w="11420"/>
          </w:cols>
          <w:pgMar w:left="240" w:top="459" w:right="23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2"/>
          </w:tcPr>
          <w:p>
            <w:pPr>
              <w:jc w:val="right"/>
              <w:ind w:right="820"/>
              <w:spacing w:after="0"/>
              <w:rPr>
                <w:sz w:val="20"/>
                <w:szCs w:val="20"/>
                <w:color w:val="auto"/>
              </w:rPr>
            </w:pPr>
            <w:r>
              <w:rPr>
                <w:rFonts w:ascii="Arial" w:cs="Arial" w:eastAsia="Arial" w:hAnsi="Arial"/>
                <w:sz w:val="14"/>
                <w:szCs w:val="14"/>
                <w:b w:val="1"/>
                <w:bCs w:val="1"/>
                <w:color w:val="auto"/>
              </w:rPr>
              <w:t>FY2012</w:t>
            </w:r>
          </w:p>
        </w:tc>
        <w:tc>
          <w:tcPr>
            <w:tcW w:w="80" w:type="dxa"/>
            <w:vAlign w:val="bottom"/>
          </w:tcPr>
          <w:p>
            <w:pPr>
              <w:spacing w:after="0"/>
              <w:rPr>
                <w:sz w:val="14"/>
                <w:szCs w:val="14"/>
                <w:color w:val="auto"/>
              </w:rPr>
            </w:pPr>
          </w:p>
        </w:tc>
        <w:tc>
          <w:tcPr>
            <w:tcW w:w="118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FY2013</w:t>
            </w:r>
          </w:p>
        </w:tc>
        <w:tc>
          <w:tcPr>
            <w:tcW w:w="220" w:type="dxa"/>
            <w:vAlign w:val="bottom"/>
          </w:tcPr>
          <w:p>
            <w:pPr>
              <w:spacing w:after="0"/>
              <w:rPr>
                <w:sz w:val="14"/>
                <w:szCs w:val="14"/>
                <w:color w:val="auto"/>
              </w:rPr>
            </w:pPr>
          </w:p>
        </w:tc>
        <w:tc>
          <w:tcPr>
            <w:tcW w:w="138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FY2014</w:t>
            </w:r>
          </w:p>
        </w:tc>
        <w:tc>
          <w:tcPr>
            <w:tcW w:w="140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FY2015</w:t>
            </w:r>
          </w:p>
        </w:tc>
        <w:tc>
          <w:tcPr>
            <w:tcW w:w="10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FY2016</w:t>
            </w:r>
          </w:p>
        </w:tc>
      </w:tr>
      <w:tr>
        <w:trPr>
          <w:trHeight w:val="188"/>
        </w:trPr>
        <w:tc>
          <w:tcPr>
            <w:tcW w:w="4660" w:type="dxa"/>
            <w:vAlign w:val="bottom"/>
            <w:tcBorders>
              <w:top w:val="single" w:sz="8" w:color="CCEEFF"/>
            </w:tcBorders>
            <w:shd w:val="clear" w:color="auto" w:fill="CCEEFF"/>
          </w:tcPr>
          <w:p>
            <w:pPr>
              <w:spacing w:after="0" w:line="188" w:lineRule="exact"/>
              <w:rPr>
                <w:sz w:val="20"/>
                <w:szCs w:val="20"/>
                <w:color w:val="auto"/>
              </w:rPr>
            </w:pPr>
            <w:r>
              <w:rPr>
                <w:rFonts w:ascii="Arial" w:cs="Arial" w:eastAsia="Arial" w:hAnsi="Arial"/>
                <w:sz w:val="18"/>
                <w:szCs w:val="18"/>
                <w:color w:val="auto"/>
              </w:rPr>
              <w:t>Dr. Sutardja Target Pay Opportunity</w:t>
            </w:r>
          </w:p>
        </w:tc>
        <w:tc>
          <w:tcPr>
            <w:tcW w:w="10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60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380" w:type="dxa"/>
            <w:vAlign w:val="bottom"/>
            <w:tcBorders>
              <w:top w:val="single" w:sz="8" w:color="CCEEFF"/>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60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200" w:type="dxa"/>
            <w:vAlign w:val="bottom"/>
            <w:tcBorders>
              <w:top w:val="single" w:sz="8" w:color="CCEEFF"/>
            </w:tcBorders>
            <w:shd w:val="clear" w:color="auto" w:fill="CCEEFF"/>
          </w:tcPr>
          <w:p>
            <w:pPr>
              <w:spacing w:after="0"/>
              <w:rPr>
                <w:sz w:val="16"/>
                <w:szCs w:val="16"/>
                <w:color w:val="auto"/>
              </w:rPr>
            </w:pPr>
          </w:p>
        </w:tc>
      </w:tr>
      <w:tr>
        <w:trPr>
          <w:trHeight w:val="238"/>
        </w:trPr>
        <w:tc>
          <w:tcPr>
            <w:tcW w:w="466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(as determined in each fiscal year)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13,324,040</w:t>
            </w:r>
          </w:p>
        </w:tc>
        <w:tc>
          <w:tcPr>
            <w:tcW w:w="600" w:type="dxa"/>
            <w:vAlign w:val="bottom"/>
            <w:shd w:val="clear" w:color="auto" w:fill="CCEEFF"/>
          </w:tcPr>
          <w:p>
            <w:pPr>
              <w:spacing w:after="0"/>
              <w:rPr>
                <w:sz w:val="20"/>
                <w:szCs w:val="20"/>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13,916,750</w:t>
            </w:r>
          </w:p>
        </w:tc>
        <w:tc>
          <w:tcPr>
            <w:tcW w:w="380" w:type="dxa"/>
            <w:vAlign w:val="bottom"/>
            <w:shd w:val="clear" w:color="auto" w:fill="CCEEFF"/>
          </w:tcPr>
          <w:p>
            <w:pPr>
              <w:spacing w:after="0"/>
              <w:rPr>
                <w:sz w:val="20"/>
                <w:szCs w:val="20"/>
                <w:color w:val="auto"/>
              </w:rPr>
            </w:pPr>
          </w:p>
        </w:tc>
        <w:tc>
          <w:tcPr>
            <w:tcW w:w="160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$8,385,200</w:t>
            </w:r>
          </w:p>
        </w:tc>
        <w:tc>
          <w:tcPr>
            <w:tcW w:w="14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86"/>
              </w:rPr>
              <w:t>$9,143,158</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$9,523,128</w:t>
            </w:r>
          </w:p>
        </w:tc>
      </w:tr>
      <w:tr>
        <w:trPr>
          <w:trHeight w:val="208"/>
        </w:trPr>
        <w:tc>
          <w:tcPr>
            <w:tcW w:w="4660" w:type="dxa"/>
            <w:vAlign w:val="bottom"/>
          </w:tcPr>
          <w:p>
            <w:pPr>
              <w:spacing w:after="0"/>
              <w:rPr>
                <w:sz w:val="20"/>
                <w:szCs w:val="20"/>
                <w:color w:val="auto"/>
              </w:rPr>
            </w:pPr>
            <w:r>
              <w:rPr>
                <w:rFonts w:ascii="Arial" w:cs="Arial" w:eastAsia="Arial" w:hAnsi="Arial"/>
                <w:sz w:val="18"/>
                <w:szCs w:val="18"/>
                <w:color w:val="auto"/>
              </w:rPr>
              <w:t>Dr. Sutardja Realizable Pay</w:t>
            </w: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36"/>
        </w:trPr>
        <w:tc>
          <w:tcPr>
            <w:tcW w:w="4660" w:type="dxa"/>
            <w:vAlign w:val="bottom"/>
          </w:tcPr>
          <w:p>
            <w:pPr>
              <w:spacing w:after="0"/>
              <w:rPr>
                <w:sz w:val="20"/>
                <w:szCs w:val="20"/>
                <w:color w:val="auto"/>
              </w:rPr>
            </w:pPr>
            <w:r>
              <w:rPr>
                <w:rFonts w:ascii="Arial" w:cs="Arial" w:eastAsia="Arial" w:hAnsi="Arial"/>
                <w:sz w:val="18"/>
                <w:szCs w:val="18"/>
                <w:i w:val="1"/>
                <w:iCs w:val="1"/>
                <w:color w:val="auto"/>
              </w:rPr>
              <w:t>(including realizable equity values at FYE 2016)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963,076</w:t>
            </w:r>
          </w:p>
        </w:tc>
        <w:tc>
          <w:tcPr>
            <w:tcW w:w="600" w:type="dxa"/>
            <w:vAlign w:val="bottom"/>
          </w:tcPr>
          <w:p>
            <w:pPr>
              <w:spacing w:after="0"/>
              <w:rPr>
                <w:sz w:val="20"/>
                <w:szCs w:val="20"/>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97"/>
              </w:rPr>
              <w:t>2,620,000</w:t>
            </w:r>
          </w:p>
        </w:tc>
        <w:tc>
          <w:tcPr>
            <w:tcW w:w="380" w:type="dxa"/>
            <w:vAlign w:val="bottom"/>
          </w:tcPr>
          <w:p>
            <w:pPr>
              <w:spacing w:after="0"/>
              <w:rPr>
                <w:sz w:val="20"/>
                <w:szCs w:val="20"/>
                <w:color w:val="auto"/>
              </w:rPr>
            </w:pPr>
          </w:p>
        </w:tc>
        <w:tc>
          <w:tcPr>
            <w:tcW w:w="1600" w:type="dxa"/>
            <w:vAlign w:val="bottom"/>
            <w:gridSpan w:val="3"/>
          </w:tcPr>
          <w:p>
            <w:pPr>
              <w:jc w:val="right"/>
              <w:ind w:right="580"/>
              <w:spacing w:after="0"/>
              <w:rPr>
                <w:sz w:val="20"/>
                <w:szCs w:val="20"/>
                <w:color w:val="auto"/>
              </w:rPr>
            </w:pPr>
            <w:r>
              <w:rPr>
                <w:rFonts w:ascii="Arial" w:cs="Arial" w:eastAsia="Arial" w:hAnsi="Arial"/>
                <w:sz w:val="18"/>
                <w:szCs w:val="18"/>
                <w:color w:val="auto"/>
              </w:rPr>
              <w:t>$2,620,000</w:t>
            </w:r>
          </w:p>
        </w:tc>
        <w:tc>
          <w:tcPr>
            <w:tcW w:w="1400" w:type="dxa"/>
            <w:vAlign w:val="bottom"/>
            <w:gridSpan w:val="2"/>
          </w:tcPr>
          <w:p>
            <w:pPr>
              <w:jc w:val="right"/>
              <w:ind w:right="600"/>
              <w:spacing w:after="0"/>
              <w:rPr>
                <w:sz w:val="20"/>
                <w:szCs w:val="20"/>
                <w:color w:val="auto"/>
              </w:rPr>
            </w:pPr>
            <w:r>
              <w:rPr>
                <w:rFonts w:ascii="Arial" w:cs="Arial" w:eastAsia="Arial" w:hAnsi="Arial"/>
                <w:sz w:val="18"/>
                <w:szCs w:val="18"/>
                <w:color w:val="auto"/>
                <w:w w:val="86"/>
              </w:rPr>
              <w:t>$4,696,697</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$2,555,563</w:t>
            </w:r>
          </w:p>
        </w:tc>
      </w:tr>
      <w:tr>
        <w:trPr>
          <w:trHeight w:val="210"/>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 Return</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38"/>
        </w:trPr>
        <w:tc>
          <w:tcPr>
            <w:tcW w:w="466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(measured through FYE 2016)</w:t>
            </w:r>
          </w:p>
        </w:tc>
        <w:tc>
          <w:tcPr>
            <w:tcW w:w="100" w:type="dxa"/>
            <w:vAlign w:val="bottom"/>
            <w:shd w:val="clear" w:color="auto" w:fill="CCEEFF"/>
          </w:tcPr>
          <w:p>
            <w:pPr>
              <w:spacing w:after="0"/>
              <w:rPr>
                <w:sz w:val="20"/>
                <w:szCs w:val="20"/>
                <w:color w:val="auto"/>
              </w:rPr>
            </w:pPr>
          </w:p>
        </w:tc>
        <w:tc>
          <w:tcPr>
            <w:tcW w:w="14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-12.8%</w:t>
            </w:r>
          </w:p>
        </w:tc>
        <w:tc>
          <w:tcPr>
            <w:tcW w:w="80" w:type="dxa"/>
            <w:vAlign w:val="bottom"/>
            <w:shd w:val="clear" w:color="auto" w:fill="CCEEFF"/>
          </w:tcPr>
          <w:p>
            <w:pPr>
              <w:spacing w:after="0"/>
              <w:rPr>
                <w:sz w:val="20"/>
                <w:szCs w:val="20"/>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-11.4%</w:t>
            </w:r>
          </w:p>
        </w:tc>
        <w:tc>
          <w:tcPr>
            <w:tcW w:w="1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0.5%</w:t>
            </w:r>
          </w:p>
        </w:tc>
        <w:tc>
          <w:tcPr>
            <w:tcW w:w="14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-21.5%</w:t>
            </w: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-41.6%</w:t>
            </w:r>
          </w:p>
        </w:tc>
      </w:tr>
    </w:tbl>
    <w:p>
      <w:pPr>
        <w:spacing w:after="0" w:line="154"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color w:val="auto"/>
        </w:rPr>
        <w:t>The chart clearly shows the impact of company performance on Dr. Sutardja’s realizable pay, particularly in comparison to the target pay opportunity. The strong emphasis on performance-based pay in the CEO’s total compensation program, further enhanced by the reintroduction of relative total shareholder return as a metric for equity award vesting in fiscal 2016, ensures that the CEO’s realizable pay changes over time, with the difference between the pay opportunity and realizable pay reflecting achievement of incentive plan goals and company stock price performance.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2016 Named Executive Officer Compensation Determination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Compensation Philosophy</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our executive compensation program is intended to achieve five primary objectives:</w:t>
      </w:r>
    </w:p>
    <w:p>
      <w:pPr>
        <w:spacing w:after="0" w:line="53" w:lineRule="exact"/>
        <w:rPr>
          <w:sz w:val="20"/>
          <w:szCs w:val="20"/>
          <w:color w:val="auto"/>
        </w:rPr>
      </w:pPr>
    </w:p>
    <w:p>
      <w:pPr>
        <w:ind w:left="900" w:right="180" w:hanging="325"/>
        <w:spacing w:after="0" w:line="275"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Market Competitive</w:t>
      </w:r>
      <w:r>
        <w:rPr>
          <w:rFonts w:ascii="Arial" w:cs="Arial" w:eastAsia="Arial" w:hAnsi="Arial"/>
          <w:sz w:val="18"/>
          <w:szCs w:val="18"/>
          <w:color w:val="auto"/>
        </w:rPr>
        <w:t>: 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b w:val="1"/>
          <w:bCs w:val="1"/>
          <w:color w:val="auto"/>
        </w:rPr>
        <w:t>Performance-Based</w:t>
      </w:r>
      <w:r>
        <w:rPr>
          <w:rFonts w:ascii="Arial" w:cs="Arial" w:eastAsia="Arial" w:hAnsi="Arial"/>
          <w:sz w:val="16"/>
          <w:szCs w:val="16"/>
          <w:color w:val="auto"/>
        </w:rPr>
        <w:t>: 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b w:val="1"/>
          <w:bCs w:val="1"/>
          <w:color w:val="auto"/>
        </w:rPr>
        <w:t>Long-Term Focused</w:t>
      </w:r>
      <w:r>
        <w:rPr>
          <w:rFonts w:ascii="Arial" w:cs="Arial" w:eastAsia="Arial" w:hAnsi="Arial"/>
          <w:sz w:val="16"/>
          <w:szCs w:val="16"/>
          <w:color w:val="auto"/>
        </w:rPr>
        <w:t>: Promote a long-term focus for our named executive officers through incentive compensation that vests over multiple years;</w:t>
      </w:r>
    </w:p>
    <w:p>
      <w:pPr>
        <w:spacing w:after="0" w:line="113" w:lineRule="exact"/>
        <w:rPr>
          <w:rFonts w:ascii="Arial" w:cs="Arial" w:eastAsia="Arial" w:hAnsi="Arial"/>
          <w:sz w:val="16"/>
          <w:szCs w:val="16"/>
          <w:color w:val="auto"/>
        </w:rPr>
      </w:pPr>
    </w:p>
    <w:p>
      <w:pPr>
        <w:ind w:left="900" w:right="500" w:hanging="325"/>
        <w:spacing w:after="0" w:line="275"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Aligned with Shareholders</w:t>
      </w:r>
      <w:r>
        <w:rPr>
          <w:rFonts w:ascii="Arial" w:cs="Arial" w:eastAsia="Arial" w:hAnsi="Arial"/>
          <w:sz w:val="18"/>
          <w:szCs w:val="18"/>
          <w:color w:val="auto"/>
        </w:rPr>
        <w:t>: 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distribution of equity; and</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Equity Stake</w:t>
      </w:r>
      <w:r>
        <w:rPr>
          <w:rFonts w:ascii="Arial" w:cs="Arial" w:eastAsia="Arial" w:hAnsi="Arial"/>
          <w:sz w:val="18"/>
          <w:szCs w:val="18"/>
          <w:color w:val="auto"/>
        </w:rPr>
        <w:t>: Distribute equity to key employees to allow them to participate in the creation of shareholder value.</w:t>
      </w:r>
    </w:p>
    <w:p>
      <w:pPr>
        <w:spacing w:after="0" w:line="177"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The ECC believes that both the elements and level of fiscal 2016 compensation for our named executive officers were consistent with the five primary objectives contained in our compensation philosophy as well as the overall goal of emphasizing sustained share price growth. In particular, the ECC believes that the structure and level of our fiscal 2016 compensation for our named executive officers was linked to our business performance.</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126</w:t>
      </w:r>
    </w:p>
    <w:p>
      <w:pPr>
        <w:sectPr>
          <w:pgSz w:w="11900" w:h="16838" w:orient="portrait"/>
          <w:cols w:equalWidth="0" w:num="1">
            <w:col w:w="11420"/>
          </w:cols>
          <w:pgMar w:left="240" w:top="459" w:right="23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2016 Peer Group</w:t>
      </w:r>
    </w:p>
    <w:p>
      <w:pPr>
        <w:spacing w:after="0" w:line="90" w:lineRule="exact"/>
        <w:rPr>
          <w:sz w:val="20"/>
          <w:szCs w:val="20"/>
          <w:color w:val="auto"/>
        </w:rPr>
      </w:pPr>
    </w:p>
    <w:p>
      <w:pPr>
        <w:jc w:val="both"/>
        <w:ind w:right="300" w:firstLine="456"/>
        <w:spacing w:after="0" w:line="259" w:lineRule="auto"/>
        <w:rPr>
          <w:sz w:val="20"/>
          <w:szCs w:val="20"/>
          <w:color w:val="auto"/>
        </w:rPr>
      </w:pPr>
      <w:r>
        <w:rPr>
          <w:rFonts w:ascii="Arial" w:cs="Arial" w:eastAsia="Arial" w:hAnsi="Arial"/>
          <w:sz w:val="18"/>
          <w:szCs w:val="18"/>
          <w:color w:val="auto"/>
        </w:rPr>
        <w:t>During fiscal 2015, the ECC reviewed the existing peer group for alignment with companies that are similar in revenue, industry segment and/or which compete with us for talent. The ECC utilized competitive market compensation data based on the practices of the revised peer group to guide fiscal 2016 pay decisions.</w:t>
      </w:r>
    </w:p>
    <w:p>
      <w:pPr>
        <w:sectPr>
          <w:pgSz w:w="11900" w:h="16838" w:orient="portrait"/>
          <w:cols w:equalWidth="0" w:num="1">
            <w:col w:w="11400"/>
          </w:cols>
          <w:pgMar w:left="240" w:top="459" w:right="259" w:bottom="1440" w:gutter="0" w:footer="0" w:header="0"/>
        </w:sectPr>
      </w:pP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2016</w:t>
      </w:r>
    </w:p>
    <w:tbl>
      <w:tblPr>
        <w:tblLayout w:type="fixed"/>
        <w:tblInd w:w="0" w:type="dxa"/>
        <w:tblCellMar>
          <w:top w:w="0" w:type="dxa"/>
          <w:left w:w="0" w:type="dxa"/>
          <w:bottom w:w="0" w:type="dxa"/>
          <w:right w:w="0" w:type="dxa"/>
        </w:tblCellMar>
      </w:tblPr>
      <w:tr>
        <w:trPr>
          <w:trHeight w:val="15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90"/>
              </w:rPr>
              <w:t>Company</w:t>
            </w:r>
          </w:p>
        </w:tc>
        <w:tc>
          <w:tcPr>
            <w:tcW w:w="3100" w:type="dxa"/>
            <w:vAlign w:val="bottom"/>
            <w:vMerge w:val="restart"/>
          </w:tcPr>
          <w:p>
            <w:pPr>
              <w:spacing w:after="0"/>
              <w:rPr>
                <w:sz w:val="13"/>
                <w:szCs w:val="13"/>
                <w:color w:val="auto"/>
              </w:rPr>
            </w:pPr>
          </w:p>
        </w:tc>
        <w:tc>
          <w:tcPr>
            <w:tcW w:w="1580" w:type="dxa"/>
            <w:vAlign w:val="bottom"/>
          </w:tcPr>
          <w:p>
            <w:pPr>
              <w:jc w:val="center"/>
              <w:spacing w:after="0" w:line="159" w:lineRule="exact"/>
              <w:rPr>
                <w:sz w:val="20"/>
                <w:szCs w:val="20"/>
                <w:color w:val="auto"/>
              </w:rPr>
            </w:pPr>
            <w:r>
              <w:rPr>
                <w:rFonts w:ascii="Arial" w:cs="Arial" w:eastAsia="Arial" w:hAnsi="Arial"/>
                <w:sz w:val="14"/>
                <w:szCs w:val="14"/>
                <w:b w:val="1"/>
                <w:bCs w:val="1"/>
                <w:color w:val="auto"/>
                <w:w w:val="84"/>
              </w:rPr>
              <w:t>Status for Fiscal</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3100" w:type="dxa"/>
            <w:vAlign w:val="bottom"/>
            <w:vMerge w:val="continue"/>
          </w:tcPr>
          <w:p>
            <w:pPr>
              <w:spacing w:after="0"/>
              <w:rPr>
                <w:sz w:val="14"/>
                <w:szCs w:val="14"/>
                <w:color w:val="auto"/>
              </w:rPr>
            </w:pPr>
          </w:p>
        </w:tc>
        <w:tc>
          <w:tcPr>
            <w:tcW w:w="1580" w:type="dxa"/>
            <w:vAlign w:val="bottom"/>
            <w:tcBorders>
              <w:bottom w:val="single" w:sz="8" w:color="auto"/>
            </w:tcBorders>
          </w:tcPr>
          <w:p>
            <w:pPr>
              <w:jc w:val="center"/>
              <w:spacing w:after="0" w:line="148" w:lineRule="exact"/>
              <w:rPr>
                <w:sz w:val="20"/>
                <w:szCs w:val="20"/>
                <w:color w:val="auto"/>
              </w:rPr>
            </w:pPr>
            <w:r>
              <w:rPr>
                <w:rFonts w:ascii="Arial" w:cs="Arial" w:eastAsia="Arial" w:hAnsi="Arial"/>
                <w:sz w:val="14"/>
                <w:szCs w:val="14"/>
                <w:b w:val="1"/>
                <w:bCs w:val="1"/>
                <w:color w:val="auto"/>
                <w:w w:val="88"/>
              </w:rPr>
              <w:t>2016 Peer Group</w:t>
            </w:r>
          </w:p>
        </w:tc>
        <w:tc>
          <w:tcPr>
            <w:tcW w:w="0" w:type="dxa"/>
            <w:vAlign w:val="bottom"/>
          </w:tcPr>
          <w:p>
            <w:pPr>
              <w:spacing w:after="0"/>
              <w:rPr>
                <w:sz w:val="1"/>
                <w:szCs w:val="1"/>
                <w:color w:val="auto"/>
              </w:rPr>
            </w:pPr>
          </w:p>
        </w:tc>
      </w:tr>
      <w:tr>
        <w:trPr>
          <w:trHeight w:val="195"/>
        </w:trPr>
        <w:tc>
          <w:tcPr>
            <w:tcW w:w="3700" w:type="dxa"/>
            <w:vAlign w:val="bottom"/>
            <w:gridSpan w:val="2"/>
          </w:tcPr>
          <w:p>
            <w:pPr>
              <w:spacing w:after="0" w:line="195" w:lineRule="exact"/>
              <w:rPr>
                <w:sz w:val="20"/>
                <w:szCs w:val="20"/>
                <w:color w:val="auto"/>
              </w:rPr>
            </w:pPr>
            <w:r>
              <w:rPr>
                <w:rFonts w:ascii="Arial" w:cs="Arial" w:eastAsia="Arial" w:hAnsi="Arial"/>
                <w:sz w:val="18"/>
                <w:szCs w:val="18"/>
                <w:color w:val="auto"/>
              </w:rPr>
              <w:t>Adobe Systems Incorporated</w:t>
            </w:r>
          </w:p>
        </w:tc>
        <w:tc>
          <w:tcPr>
            <w:tcW w:w="1580" w:type="dxa"/>
            <w:vAlign w:val="bottom"/>
          </w:tcPr>
          <w:p>
            <w:pPr>
              <w:jc w:val="center"/>
              <w:spacing w:after="0" w:line="195" w:lineRule="exact"/>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Advanced Micro Devices, Inc.</w:t>
            </w:r>
          </w:p>
        </w:tc>
        <w:tc>
          <w:tcPr>
            <w:tcW w:w="1580" w:type="dxa"/>
            <w:vAlign w:val="bottom"/>
          </w:tcPr>
          <w:p>
            <w:pPr>
              <w:jc w:val="center"/>
              <w:spacing w:after="0"/>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Altera Corporation</w:t>
            </w:r>
          </w:p>
        </w:tc>
        <w:tc>
          <w:tcPr>
            <w:tcW w:w="1580" w:type="dxa"/>
            <w:vAlign w:val="bottom"/>
          </w:tcPr>
          <w:p>
            <w:pPr>
              <w:jc w:val="center"/>
              <w:spacing w:after="0"/>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1580" w:type="dxa"/>
            <w:vAlign w:val="bottom"/>
          </w:tcPr>
          <w:p>
            <w:pPr>
              <w:jc w:val="center"/>
              <w:spacing w:after="0"/>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1580" w:type="dxa"/>
            <w:vAlign w:val="bottom"/>
          </w:tcPr>
          <w:p>
            <w:pPr>
              <w:jc w:val="center"/>
              <w:spacing w:after="0"/>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Juniper Networks Inc.</w:t>
            </w:r>
          </w:p>
        </w:tc>
        <w:tc>
          <w:tcPr>
            <w:tcW w:w="1580" w:type="dxa"/>
            <w:vAlign w:val="bottom"/>
          </w:tcPr>
          <w:p>
            <w:pPr>
              <w:jc w:val="center"/>
              <w:spacing w:after="0"/>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NetApp, Inc.</w:t>
            </w:r>
          </w:p>
        </w:tc>
        <w:tc>
          <w:tcPr>
            <w:tcW w:w="1580" w:type="dxa"/>
            <w:vAlign w:val="bottom"/>
          </w:tcPr>
          <w:p>
            <w:pPr>
              <w:jc w:val="center"/>
              <w:spacing w:after="0"/>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1580" w:type="dxa"/>
            <w:vAlign w:val="bottom"/>
          </w:tcPr>
          <w:p>
            <w:pPr>
              <w:jc w:val="center"/>
              <w:spacing w:after="0"/>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1580" w:type="dxa"/>
            <w:vAlign w:val="bottom"/>
          </w:tcPr>
          <w:p>
            <w:pPr>
              <w:jc w:val="center"/>
              <w:spacing w:after="0"/>
              <w:rPr>
                <w:sz w:val="20"/>
                <w:szCs w:val="20"/>
                <w:color w:val="auto"/>
              </w:rPr>
            </w:pPr>
            <w:r>
              <w:rPr>
                <w:rFonts w:ascii="Arial" w:cs="Arial" w:eastAsia="Arial" w:hAnsi="Arial"/>
                <w:sz w:val="18"/>
                <w:szCs w:val="18"/>
                <w:color w:val="auto"/>
                <w:w w:val="86"/>
              </w:rPr>
              <w:t>Remained Peer</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Cadence Design Systems Inc.</w:t>
            </w:r>
          </w:p>
        </w:tc>
        <w:tc>
          <w:tcPr>
            <w:tcW w:w="1580" w:type="dxa"/>
            <w:vAlign w:val="bottom"/>
          </w:tcPr>
          <w:p>
            <w:pPr>
              <w:jc w:val="center"/>
              <w:spacing w:after="0"/>
              <w:rPr>
                <w:sz w:val="20"/>
                <w:szCs w:val="20"/>
                <w:color w:val="auto"/>
              </w:rPr>
            </w:pPr>
            <w:r>
              <w:rPr>
                <w:rFonts w:ascii="Arial" w:cs="Arial" w:eastAsia="Arial" w:hAnsi="Arial"/>
                <w:sz w:val="18"/>
                <w:szCs w:val="18"/>
                <w:color w:val="auto"/>
                <w:w w:val="92"/>
              </w:rPr>
              <w:t>Added</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Freescale Semiconductor Ltd.</w:t>
            </w:r>
          </w:p>
        </w:tc>
        <w:tc>
          <w:tcPr>
            <w:tcW w:w="1580" w:type="dxa"/>
            <w:vAlign w:val="bottom"/>
          </w:tcPr>
          <w:p>
            <w:pPr>
              <w:jc w:val="center"/>
              <w:spacing w:after="0"/>
              <w:rPr>
                <w:sz w:val="20"/>
                <w:szCs w:val="20"/>
                <w:color w:val="auto"/>
              </w:rPr>
            </w:pPr>
            <w:r>
              <w:rPr>
                <w:rFonts w:ascii="Arial" w:cs="Arial" w:eastAsia="Arial" w:hAnsi="Arial"/>
                <w:sz w:val="18"/>
                <w:szCs w:val="18"/>
                <w:color w:val="auto"/>
                <w:w w:val="92"/>
              </w:rPr>
              <w:t>Added</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Synopsys Inc.</w:t>
            </w:r>
          </w:p>
        </w:tc>
        <w:tc>
          <w:tcPr>
            <w:tcW w:w="1580" w:type="dxa"/>
            <w:vAlign w:val="bottom"/>
          </w:tcPr>
          <w:p>
            <w:pPr>
              <w:jc w:val="center"/>
              <w:spacing w:after="0"/>
              <w:rPr>
                <w:sz w:val="20"/>
                <w:szCs w:val="20"/>
                <w:color w:val="auto"/>
              </w:rPr>
            </w:pPr>
            <w:r>
              <w:rPr>
                <w:rFonts w:ascii="Arial" w:cs="Arial" w:eastAsia="Arial" w:hAnsi="Arial"/>
                <w:sz w:val="18"/>
                <w:szCs w:val="18"/>
                <w:color w:val="auto"/>
                <w:w w:val="92"/>
              </w:rPr>
              <w:t>Added</w:t>
            </w:r>
          </w:p>
        </w:tc>
        <w:tc>
          <w:tcPr>
            <w:tcW w:w="0" w:type="dxa"/>
            <w:vAlign w:val="bottom"/>
          </w:tcPr>
          <w:p>
            <w:pPr>
              <w:spacing w:after="0"/>
              <w:rPr>
                <w:sz w:val="1"/>
                <w:szCs w:val="1"/>
                <w:color w:val="auto"/>
              </w:rPr>
            </w:pPr>
          </w:p>
        </w:tc>
      </w:tr>
      <w:tr>
        <w:trPr>
          <w:trHeight w:val="222"/>
        </w:trPr>
        <w:tc>
          <w:tcPr>
            <w:tcW w:w="370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1580" w:type="dxa"/>
            <w:vAlign w:val="bottom"/>
          </w:tcPr>
          <w:p>
            <w:pPr>
              <w:jc w:val="center"/>
              <w:spacing w:after="0"/>
              <w:rPr>
                <w:sz w:val="20"/>
                <w:szCs w:val="20"/>
                <w:color w:val="auto"/>
              </w:rPr>
            </w:pPr>
            <w:r>
              <w:rPr>
                <w:rFonts w:ascii="Arial" w:cs="Arial" w:eastAsia="Arial" w:hAnsi="Arial"/>
                <w:sz w:val="18"/>
                <w:szCs w:val="18"/>
                <w:color w:val="auto"/>
                <w:w w:val="88"/>
              </w:rPr>
              <w:t>Removed</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Determination Process</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Fiscal 2016 Peer Group</w:t>
      </w:r>
    </w:p>
    <w:p>
      <w:pPr>
        <w:spacing w:after="0" w:line="96" w:lineRule="exact"/>
        <w:rPr>
          <w:sz w:val="20"/>
          <w:szCs w:val="20"/>
          <w:color w:val="auto"/>
        </w:rPr>
      </w:pPr>
    </w:p>
    <w:p>
      <w:pPr>
        <w:ind w:left="560" w:hanging="455"/>
        <w:spacing w:after="0" w:line="291" w:lineRule="auto"/>
        <w:tabs>
          <w:tab w:leader="none" w:pos="560" w:val="left"/>
        </w:tabs>
        <w:numPr>
          <w:ilvl w:val="0"/>
          <w:numId w:val="43"/>
        </w:numPr>
        <w:rPr>
          <w:rFonts w:ascii="Arial" w:cs="Arial" w:eastAsia="Arial" w:hAnsi="Arial"/>
          <w:sz w:val="16"/>
          <w:szCs w:val="16"/>
          <w:color w:val="auto"/>
        </w:rPr>
      </w:pPr>
      <w:r>
        <w:rPr>
          <w:rFonts w:ascii="Arial" w:cs="Arial" w:eastAsia="Arial" w:hAnsi="Arial"/>
          <w:sz w:val="16"/>
          <w:szCs w:val="16"/>
          <w:color w:val="auto"/>
        </w:rPr>
        <w:t>Consists of semiconductor companies and other similarly-sized companies in the technology industry the ECC believed to be generally comparable to us in terms of revenue, EBITDA margin, market value and/or that Marvell competes with for executive talent. In making changes to the peer group for fiscal 2016, the ECC also gave consideration to feedback from institutional shareholders and shareholder advisory groups.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from Fiscal 2015 Peer Group</w:t>
      </w:r>
    </w:p>
    <w:p>
      <w:pPr>
        <w:spacing w:after="0" w:line="96" w:lineRule="exact"/>
        <w:rPr>
          <w:sz w:val="20"/>
          <w:szCs w:val="20"/>
          <w:color w:val="auto"/>
        </w:rPr>
      </w:pPr>
    </w:p>
    <w:p>
      <w:pPr>
        <w:ind w:left="560" w:right="160" w:hanging="455"/>
        <w:spacing w:after="0" w:line="268" w:lineRule="auto"/>
        <w:tabs>
          <w:tab w:leader="none" w:pos="5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LSI Corporation was removed from the peer group because it was acquired by Avago Technologies.</w:t>
      </w:r>
    </w:p>
    <w:p>
      <w:pPr>
        <w:spacing w:after="0" w:line="118" w:lineRule="exact"/>
        <w:rPr>
          <w:rFonts w:ascii="Arial" w:cs="Arial" w:eastAsia="Arial" w:hAnsi="Arial"/>
          <w:sz w:val="18"/>
          <w:szCs w:val="18"/>
          <w:color w:val="auto"/>
        </w:rPr>
      </w:pPr>
    </w:p>
    <w:p>
      <w:pPr>
        <w:ind w:left="560" w:right="420" w:hanging="455"/>
        <w:spacing w:after="0" w:line="332" w:lineRule="auto"/>
        <w:tabs>
          <w:tab w:leader="none" w:pos="56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Three new peer companies were added, increasing the robustness of the comparative group for benchmarking purposes.</w:t>
      </w:r>
    </w:p>
    <w:p>
      <w:pPr>
        <w:spacing w:after="0" w:line="4" w:lineRule="exact"/>
        <w:rPr>
          <w:rFonts w:ascii="Arial" w:cs="Arial" w:eastAsia="Arial" w:hAnsi="Arial"/>
          <w:sz w:val="16"/>
          <w:szCs w:val="16"/>
          <w:color w:val="auto"/>
        </w:rPr>
      </w:pPr>
    </w:p>
    <w:p>
      <w:pPr>
        <w:ind w:left="560" w:right="100" w:hanging="455"/>
        <w:spacing w:after="0" w:line="259" w:lineRule="auto"/>
        <w:tabs>
          <w:tab w:leader="none" w:pos="5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 response to feedback from shareholder advisory groups, the ECC ensured that the new peer companies helped to balance the size of existing peer companies and reflect Marvell’s current size.</w:t>
      </w:r>
    </w:p>
    <w:p>
      <w:pPr>
        <w:spacing w:after="0" w:line="531" w:lineRule="exact"/>
        <w:rPr>
          <w:sz w:val="20"/>
          <w:szCs w:val="20"/>
          <w:color w:val="auto"/>
        </w:rPr>
      </w:pPr>
    </w:p>
    <w:p>
      <w:pPr>
        <w:sectPr>
          <w:pgSz w:w="11900" w:h="16838" w:orient="portrait"/>
          <w:cols w:equalWidth="0" w:num="2">
            <w:col w:w="5280" w:space="120"/>
            <w:col w:w="6000"/>
          </w:cols>
          <w:pgMar w:left="240" w:top="459" w:right="259" w:bottom="1440" w:gutter="0" w:footer="0" w:header="0"/>
          <w:type w:val="continuous"/>
        </w:sectPr>
      </w:pPr>
    </w:p>
    <w:p>
      <w:pPr>
        <w:ind w:right="460" w:firstLine="456"/>
        <w:spacing w:after="0" w:line="268" w:lineRule="auto"/>
        <w:rPr>
          <w:sz w:val="20"/>
          <w:szCs w:val="20"/>
          <w:color w:val="auto"/>
        </w:rPr>
      </w:pPr>
      <w:r>
        <w:rPr>
          <w:rFonts w:ascii="Arial" w:cs="Arial" w:eastAsia="Arial" w:hAnsi="Arial"/>
          <w:sz w:val="18"/>
          <w:szCs w:val="18"/>
          <w:color w:val="auto"/>
        </w:rPr>
        <w:t>After establishing our guiding principles and amending the peer group as outlined above, the ECC then determined the amount of each compensation element for the named executive officers in a two-step process, as follows:</w:t>
      </w:r>
    </w:p>
    <w:p>
      <w:pPr>
        <w:sectPr>
          <w:pgSz w:w="11900" w:h="16838" w:orient="portrait"/>
          <w:cols w:equalWidth="0" w:num="1">
            <w:col w:w="11400"/>
          </w:cols>
          <w:pgMar w:left="240" w:top="459" w:right="259" w:bottom="1440" w:gutter="0" w:footer="0" w:header="0"/>
          <w:type w:val="continuous"/>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ind w:left="220" w:hanging="212"/>
        <w:spacing w:after="0"/>
        <w:tabs>
          <w:tab w:leader="none" w:pos="220" w:val="left"/>
        </w:tabs>
        <w:numPr>
          <w:ilvl w:val="0"/>
          <w:numId w:val="45"/>
        </w:numPr>
        <w:rPr>
          <w:rFonts w:ascii="Arial" w:cs="Arial" w:eastAsia="Arial" w:hAnsi="Arial"/>
          <w:sz w:val="16"/>
          <w:szCs w:val="16"/>
          <w:color w:val="auto"/>
        </w:rPr>
      </w:pPr>
      <w:r>
        <w:rPr>
          <w:rFonts w:ascii="Arial" w:cs="Arial" w:eastAsia="Arial" w:hAnsi="Arial"/>
          <w:sz w:val="16"/>
          <w:szCs w:val="16"/>
          <w:color w:val="auto"/>
        </w:rPr>
        <w:t>Evaluate each element of compensation separately</w:t>
      </w:r>
    </w:p>
    <w:p>
      <w:pPr>
        <w:spacing w:after="0" w:line="361" w:lineRule="exact"/>
        <w:rPr>
          <w:rFonts w:ascii="Arial" w:cs="Arial" w:eastAsia="Arial" w:hAnsi="Arial"/>
          <w:sz w:val="16"/>
          <w:szCs w:val="16"/>
          <w:color w:val="auto"/>
        </w:rPr>
      </w:pPr>
    </w:p>
    <w:p>
      <w:pPr>
        <w:ind w:left="220" w:hanging="212"/>
        <w:spacing w:after="0" w:line="332" w:lineRule="auto"/>
        <w:tabs>
          <w:tab w:leader="none" w:pos="223" w:val="left"/>
        </w:tabs>
        <w:numPr>
          <w:ilvl w:val="0"/>
          <w:numId w:val="45"/>
        </w:numPr>
        <w:rPr>
          <w:rFonts w:ascii="Arial" w:cs="Arial" w:eastAsia="Arial" w:hAnsi="Arial"/>
          <w:sz w:val="16"/>
          <w:szCs w:val="16"/>
          <w:color w:val="auto"/>
        </w:rPr>
      </w:pPr>
      <w:r>
        <w:rPr>
          <w:rFonts w:ascii="Arial" w:cs="Arial" w:eastAsia="Arial" w:hAnsi="Arial"/>
          <w:sz w:val="16"/>
          <w:szCs w:val="16"/>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wp:posOffset>
            </wp:positionV>
            <wp:extent cx="4416425"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4416425" cy="8890"/>
                    </a:xfrm>
                    <a:prstGeom prst="rect">
                      <a:avLst/>
                    </a:prstGeom>
                    <a:noFill/>
                  </pic:spPr>
                </pic:pic>
              </a:graphicData>
            </a:graphic>
          </wp:anchor>
        </w:drawing>
      </w:r>
    </w:p>
    <w:p>
      <w:pPr>
        <w:ind w:right="200"/>
        <w:spacing w:after="0" w:line="268" w:lineRule="auto"/>
        <w:rPr>
          <w:sz w:val="20"/>
          <w:szCs w:val="20"/>
          <w:color w:val="auto"/>
        </w:rPr>
      </w:pPr>
      <w:r>
        <w:rPr>
          <w:rFonts w:ascii="Arial" w:cs="Arial" w:eastAsia="Arial" w:hAnsi="Arial"/>
          <w:sz w:val="18"/>
          <w:szCs w:val="18"/>
          <w:color w:val="auto"/>
        </w:rPr>
        <w:t>Ensure that each component of compensation meets the desired objectives for that element (i.e., base salary, target annual incentive opportunity and equity awards).</w:t>
      </w:r>
    </w:p>
    <w:p>
      <w:pPr>
        <w:spacing w:after="0" w:line="78"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90" w:lineRule="exact"/>
        <w:rPr>
          <w:sz w:val="20"/>
          <w:szCs w:val="20"/>
          <w:color w:val="auto"/>
        </w:rPr>
      </w:pPr>
    </w:p>
    <w:p>
      <w:pPr>
        <w:ind w:left="440" w:right="340" w:hanging="327"/>
        <w:spacing w:after="0" w:line="268" w:lineRule="auto"/>
        <w:tabs>
          <w:tab w:leader="none" w:pos="441" w:val="left"/>
        </w:tabs>
        <w:numPr>
          <w:ilvl w:val="0"/>
          <w:numId w:val="46"/>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when compared against the peer group; and</w:t>
      </w:r>
    </w:p>
    <w:p>
      <w:pPr>
        <w:spacing w:after="0" w:line="50" w:lineRule="exact"/>
        <w:rPr>
          <w:rFonts w:ascii="Arial" w:cs="Arial" w:eastAsia="Arial" w:hAnsi="Arial"/>
          <w:sz w:val="18"/>
          <w:szCs w:val="18"/>
          <w:color w:val="auto"/>
        </w:rPr>
      </w:pPr>
    </w:p>
    <w:p>
      <w:pPr>
        <w:ind w:left="440" w:right="640" w:hanging="327"/>
        <w:spacing w:after="0" w:line="268" w:lineRule="auto"/>
        <w:tabs>
          <w:tab w:leader="none" w:pos="441" w:val="left"/>
        </w:tabs>
        <w:numPr>
          <w:ilvl w:val="0"/>
          <w:numId w:val="46"/>
        </w:numPr>
        <w:rPr>
          <w:rFonts w:ascii="Arial" w:cs="Arial" w:eastAsia="Arial" w:hAnsi="Arial"/>
          <w:sz w:val="18"/>
          <w:szCs w:val="18"/>
          <w:color w:val="auto"/>
        </w:rPr>
      </w:pPr>
      <w:r>
        <w:rPr>
          <w:rFonts w:ascii="Arial" w:cs="Arial" w:eastAsia="Arial" w:hAnsi="Arial"/>
          <w:sz w:val="18"/>
          <w:szCs w:val="18"/>
          <w:color w:val="auto"/>
        </w:rPr>
        <w:t>Compensation is consistent with market practices and all decisions are based on the judgment of the members of the ECC.</w:t>
      </w:r>
    </w:p>
    <w:p>
      <w:pPr>
        <w:spacing w:after="0" w:line="145" w:lineRule="exact"/>
        <w:rPr>
          <w:sz w:val="20"/>
          <w:szCs w:val="20"/>
          <w:color w:val="auto"/>
        </w:rPr>
      </w:pPr>
    </w:p>
    <w:p>
      <w:pPr>
        <w:sectPr>
          <w:pgSz w:w="11900" w:h="16838" w:orient="portrait"/>
          <w:cols w:equalWidth="0" w:num="2">
            <w:col w:w="4060" w:space="400"/>
            <w:col w:w="6940"/>
          </w:cols>
          <w:pgMar w:left="240" w:top="459" w:right="259" w:bottom="1440" w:gutter="0" w:footer="0" w:header="0"/>
          <w:type w:val="continuous"/>
        </w:sectPr>
      </w:pPr>
    </w:p>
    <w:p>
      <w:pPr>
        <w:ind w:right="80" w:firstLine="456"/>
        <w:spacing w:after="0" w:line="332" w:lineRule="auto"/>
        <w:rPr>
          <w:sz w:val="20"/>
          <w:szCs w:val="20"/>
          <w:color w:val="auto"/>
        </w:rPr>
      </w:pPr>
      <w:r>
        <w:rPr>
          <w:rFonts w:ascii="Arial" w:cs="Arial" w:eastAsia="Arial" w:hAnsi="Arial"/>
          <w:sz w:val="16"/>
          <w:szCs w:val="16"/>
          <w:color w:val="auto"/>
        </w:rPr>
        <w:t>As a starting point, the ECC reviewed competitive compensation market data collected and analyzed by Mercer, the ECC’s compensation consultant, from the compensation peer group described above. The compensation data represented the most recently available data at the end of fiscal year 2015.</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127</w:t>
      </w:r>
    </w:p>
    <w:p>
      <w:pPr>
        <w:sectPr>
          <w:pgSz w:w="11900" w:h="16838" w:orient="portrait"/>
          <w:cols w:equalWidth="0" w:num="1">
            <w:col w:w="11400"/>
          </w:cols>
          <w:pgMar w:left="240" w:top="459" w:right="259" w:bottom="1440" w:gutter="0" w:footer="0" w:header="0"/>
          <w:type w:val="continuous"/>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Elements of Compensation for Fiscal 2016</w:t>
      </w:r>
    </w:p>
    <w:p>
      <w:pPr>
        <w:spacing w:after="0" w:line="96" w:lineRule="exact"/>
        <w:rPr>
          <w:sz w:val="20"/>
          <w:szCs w:val="20"/>
          <w:color w:val="auto"/>
        </w:rPr>
      </w:pPr>
    </w:p>
    <w:p>
      <w:pPr>
        <w:jc w:val="both"/>
        <w:ind w:right="220" w:firstLine="456"/>
        <w:spacing w:after="0" w:line="306" w:lineRule="auto"/>
        <w:rPr>
          <w:sz w:val="20"/>
          <w:szCs w:val="20"/>
          <w:color w:val="auto"/>
        </w:rPr>
      </w:pPr>
      <w:r>
        <w:rPr>
          <w:rFonts w:ascii="Arial" w:cs="Arial" w:eastAsia="Arial" w:hAnsi="Arial"/>
          <w:sz w:val="16"/>
          <w:szCs w:val="16"/>
          <w:color w:val="auto"/>
        </w:rPr>
        <w:t>The tables and commentary in this section primarily relate to the fiscal 2016 compensation for the three named executive officers that served throughout fiscal 2016, namely Dr. Sutardja, Ms. Dai, and Dr. Wu. Fiscal 2016 compensation information for the individuals that each served in the role of Chief Financial Officer for a portion of fiscal 2016 is covered separately at the end of this section under “Fiscal 2016 Chief Financial Officer Compensation.”</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2016 Salaries</w:t>
      </w:r>
    </w:p>
    <w:p>
      <w:pPr>
        <w:spacing w:after="0" w:line="9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Base salaries for Dr. Sutardja, Ms. Dai, and Dr. Wu were adjusted to $980,000, $650,000 and $435,000, respectively, to reflect their then current roles and responsibilities within the organization. The new salaries were effective April 1, 2015, consistent with effective dates for salary increases to the broader employee population. The increases occurred during fiscal 2016, in part, because no changes had been made to their salaries during fiscal 2014 or fiscal 2015.</w:t>
      </w:r>
    </w:p>
    <w:p>
      <w:pPr>
        <w:spacing w:after="0" w:line="107"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Details about named executive officer compensation relative to the peer group companies are provided in the section “Total Compensation Value and Competitive Positioning” below.</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6340" w:type="dxa"/>
            <w:vAlign w:val="bottom"/>
            <w:vMerge w:val="restart"/>
          </w:tcPr>
          <w:p>
            <w:pPr>
              <w:spacing w:after="0"/>
              <w:rPr>
                <w:sz w:val="14"/>
                <w:szCs w:val="14"/>
                <w:color w:val="auto"/>
              </w:rPr>
            </w:pPr>
          </w:p>
        </w:tc>
        <w:tc>
          <w:tcPr>
            <w:tcW w:w="1760" w:type="dxa"/>
            <w:vAlign w:val="bottom"/>
            <w:gridSpan w:val="3"/>
          </w:tcPr>
          <w:p>
            <w:pPr>
              <w:spacing w:after="0"/>
              <w:rPr>
                <w:sz w:val="20"/>
                <w:szCs w:val="20"/>
                <w:color w:val="auto"/>
              </w:rPr>
            </w:pPr>
            <w:r>
              <w:rPr>
                <w:rFonts w:ascii="Arial" w:cs="Arial" w:eastAsia="Arial" w:hAnsi="Arial"/>
                <w:sz w:val="14"/>
                <w:szCs w:val="14"/>
                <w:b w:val="1"/>
                <w:bCs w:val="1"/>
                <w:color w:val="auto"/>
              </w:rPr>
              <w:t>Fiscal 2016 Base</w:t>
            </w:r>
          </w:p>
        </w:tc>
        <w:tc>
          <w:tcPr>
            <w:tcW w:w="1740" w:type="dxa"/>
            <w:vAlign w:val="bottom"/>
            <w:gridSpan w:val="3"/>
          </w:tcPr>
          <w:p>
            <w:pPr>
              <w:spacing w:after="0"/>
              <w:rPr>
                <w:sz w:val="20"/>
                <w:szCs w:val="20"/>
                <w:color w:val="auto"/>
              </w:rPr>
            </w:pPr>
            <w:r>
              <w:rPr>
                <w:rFonts w:ascii="Arial" w:cs="Arial" w:eastAsia="Arial" w:hAnsi="Arial"/>
                <w:sz w:val="14"/>
                <w:szCs w:val="14"/>
                <w:b w:val="1"/>
                <w:bCs w:val="1"/>
                <w:color w:val="auto"/>
              </w:rPr>
              <w:t>Fiscal 2015 Base</w:t>
            </w:r>
          </w:p>
        </w:tc>
        <w:tc>
          <w:tcPr>
            <w:tcW w:w="98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87"/>
              </w:rPr>
              <w:t>Fiscal 2016%</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6340" w:type="dxa"/>
            <w:vAlign w:val="bottom"/>
            <w:vMerge w:val="continue"/>
          </w:tcPr>
          <w:p>
            <w:pPr>
              <w:spacing w:after="0"/>
              <w:rPr>
                <w:sz w:val="12"/>
                <w:szCs w:val="12"/>
                <w:color w:val="auto"/>
              </w:rPr>
            </w:pPr>
          </w:p>
        </w:tc>
        <w:tc>
          <w:tcPr>
            <w:tcW w:w="200" w:type="dxa"/>
            <w:vAlign w:val="bottom"/>
          </w:tcPr>
          <w:p>
            <w:pPr>
              <w:spacing w:after="0"/>
              <w:rPr>
                <w:sz w:val="12"/>
                <w:szCs w:val="12"/>
                <w:color w:val="auto"/>
              </w:rPr>
            </w:pPr>
          </w:p>
        </w:tc>
        <w:tc>
          <w:tcPr>
            <w:tcW w:w="1560" w:type="dxa"/>
            <w:vAlign w:val="bottom"/>
            <w:gridSpan w:val="2"/>
          </w:tcPr>
          <w:p>
            <w:pPr>
              <w:ind w:left="100"/>
              <w:spacing w:after="0" w:line="148" w:lineRule="exact"/>
              <w:rPr>
                <w:sz w:val="20"/>
                <w:szCs w:val="20"/>
                <w:color w:val="auto"/>
              </w:rPr>
            </w:pPr>
            <w:r>
              <w:rPr>
                <w:rFonts w:ascii="Arial" w:cs="Arial" w:eastAsia="Arial" w:hAnsi="Arial"/>
                <w:sz w:val="14"/>
                <w:szCs w:val="14"/>
                <w:b w:val="1"/>
                <w:bCs w:val="1"/>
                <w:color w:val="auto"/>
              </w:rPr>
              <w:t>Salary</w:t>
            </w:r>
          </w:p>
        </w:tc>
        <w:tc>
          <w:tcPr>
            <w:tcW w:w="180" w:type="dxa"/>
            <w:vAlign w:val="bottom"/>
          </w:tcPr>
          <w:p>
            <w:pPr>
              <w:spacing w:after="0"/>
              <w:rPr>
                <w:sz w:val="12"/>
                <w:szCs w:val="12"/>
                <w:color w:val="auto"/>
              </w:rPr>
            </w:pPr>
          </w:p>
        </w:tc>
        <w:tc>
          <w:tcPr>
            <w:tcW w:w="1560" w:type="dxa"/>
            <w:vAlign w:val="bottom"/>
            <w:gridSpan w:val="2"/>
          </w:tcPr>
          <w:p>
            <w:pPr>
              <w:ind w:left="100"/>
              <w:spacing w:after="0" w:line="148" w:lineRule="exact"/>
              <w:rPr>
                <w:sz w:val="20"/>
                <w:szCs w:val="20"/>
                <w:color w:val="auto"/>
              </w:rPr>
            </w:pPr>
            <w:r>
              <w:rPr>
                <w:rFonts w:ascii="Arial" w:cs="Arial" w:eastAsia="Arial" w:hAnsi="Arial"/>
                <w:sz w:val="14"/>
                <w:szCs w:val="14"/>
                <w:b w:val="1"/>
                <w:bCs w:val="1"/>
                <w:color w:val="auto"/>
              </w:rPr>
              <w:t>Salary</w:t>
            </w:r>
          </w:p>
        </w:tc>
        <w:tc>
          <w:tcPr>
            <w:tcW w:w="980" w:type="dxa"/>
            <w:vAlign w:val="bottom"/>
            <w:gridSpan w:val="2"/>
          </w:tcPr>
          <w:p>
            <w:pPr>
              <w:jc w:val="right"/>
              <w:ind w:right="360"/>
              <w:spacing w:after="0" w:line="148" w:lineRule="exact"/>
              <w:rPr>
                <w:sz w:val="20"/>
                <w:szCs w:val="20"/>
                <w:color w:val="auto"/>
              </w:rPr>
            </w:pPr>
            <w:r>
              <w:rPr>
                <w:rFonts w:ascii="Arial" w:cs="Arial" w:eastAsia="Arial" w:hAnsi="Arial"/>
                <w:sz w:val="14"/>
                <w:szCs w:val="14"/>
                <w:b w:val="1"/>
                <w:bCs w:val="1"/>
                <w:color w:val="auto"/>
              </w:rPr>
              <w:t>Increase</w:t>
            </w:r>
          </w:p>
        </w:tc>
        <w:tc>
          <w:tcPr>
            <w:tcW w:w="0" w:type="dxa"/>
            <w:vAlign w:val="bottom"/>
          </w:tcPr>
          <w:p>
            <w:pPr>
              <w:spacing w:after="0"/>
              <w:rPr>
                <w:sz w:val="1"/>
                <w:szCs w:val="1"/>
                <w:color w:val="auto"/>
              </w:rPr>
            </w:pPr>
          </w:p>
        </w:tc>
      </w:tr>
      <w:tr>
        <w:trPr>
          <w:trHeight w:val="20"/>
        </w:trPr>
        <w:tc>
          <w:tcPr>
            <w:tcW w:w="69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0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00" w:type="dxa"/>
            <w:vAlign w:val="bottom"/>
            <w:vMerge w:val="restart"/>
            <w:shd w:val="clear" w:color="auto" w:fill="CCEEFF"/>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6940" w:type="dxa"/>
            <w:vAlign w:val="bottom"/>
            <w:gridSpan w:val="2"/>
            <w:vMerge w:val="continue"/>
            <w:shd w:val="clear" w:color="auto" w:fill="CCEEFF"/>
          </w:tcPr>
          <w:p>
            <w:pPr>
              <w:spacing w:after="0"/>
              <w:rPr>
                <w:sz w:val="17"/>
                <w:szCs w:val="17"/>
                <w:color w:val="auto"/>
              </w:rPr>
            </w:pPr>
          </w:p>
        </w:tc>
        <w:tc>
          <w:tcPr>
            <w:tcW w:w="20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980,000</w:t>
            </w:r>
          </w:p>
        </w:tc>
        <w:tc>
          <w:tcPr>
            <w:tcW w:w="80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800" w:type="dxa"/>
            <w:vAlign w:val="bottom"/>
            <w:vMerge w:val="continue"/>
            <w:shd w:val="clear" w:color="auto" w:fill="CCEEFF"/>
          </w:tcPr>
          <w:p>
            <w:pPr>
              <w:spacing w:after="0"/>
              <w:rPr>
                <w:sz w:val="17"/>
                <w:szCs w:val="17"/>
                <w:color w:val="auto"/>
              </w:rPr>
            </w:pPr>
          </w:p>
        </w:tc>
        <w:tc>
          <w:tcPr>
            <w:tcW w:w="98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694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200" w:type="dxa"/>
            <w:vAlign w:val="bottom"/>
          </w:tcPr>
          <w:p>
            <w:pPr>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650,000</w:t>
            </w:r>
          </w:p>
        </w:tc>
        <w:tc>
          <w:tcPr>
            <w:tcW w:w="800" w:type="dxa"/>
            <w:vAlign w:val="bottom"/>
          </w:tcPr>
          <w:p>
            <w:pPr>
              <w:spacing w:after="0"/>
              <w:rPr>
                <w:sz w:val="18"/>
                <w:szCs w:val="18"/>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560,000</w:t>
            </w:r>
          </w:p>
        </w:tc>
        <w:tc>
          <w:tcPr>
            <w:tcW w:w="800" w:type="dxa"/>
            <w:vAlign w:val="bottom"/>
          </w:tcPr>
          <w:p>
            <w:pPr>
              <w:spacing w:after="0"/>
              <w:rPr>
                <w:sz w:val="18"/>
                <w:szCs w:val="18"/>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16.1%</w:t>
            </w:r>
          </w:p>
        </w:tc>
        <w:tc>
          <w:tcPr>
            <w:tcW w:w="0" w:type="dxa"/>
            <w:vAlign w:val="bottom"/>
          </w:tcPr>
          <w:p>
            <w:pPr>
              <w:spacing w:after="0"/>
              <w:rPr>
                <w:sz w:val="1"/>
                <w:szCs w:val="1"/>
                <w:color w:val="auto"/>
              </w:rPr>
            </w:pPr>
          </w:p>
        </w:tc>
      </w:tr>
      <w:tr>
        <w:trPr>
          <w:trHeight w:val="216"/>
        </w:trPr>
        <w:tc>
          <w:tcPr>
            <w:tcW w:w="6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435,000</w:t>
            </w:r>
          </w:p>
        </w:tc>
        <w:tc>
          <w:tcPr>
            <w:tcW w:w="8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8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2016 Annual Incentive Plan (Cash)</w:t>
      </w:r>
    </w:p>
    <w:p>
      <w:pPr>
        <w:spacing w:after="0" w:line="90"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For the fiscal 2016 annual incentive plan, the ECC established the following threshold, target and maximum amount of awards payable, expressed as a percentage of base salary, for each of our named executive officers:</w:t>
      </w:r>
    </w:p>
    <w:p>
      <w:pPr>
        <w:spacing w:after="0" w:line="14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53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140" w:type="dxa"/>
            <w:vAlign w:val="bottom"/>
            <w:gridSpan w:val="4"/>
          </w:tcPr>
          <w:p>
            <w:pPr>
              <w:ind w:left="40"/>
              <w:spacing w:after="0"/>
              <w:rPr>
                <w:sz w:val="20"/>
                <w:szCs w:val="20"/>
                <w:color w:val="auto"/>
              </w:rPr>
            </w:pPr>
            <w:r>
              <w:rPr>
                <w:rFonts w:ascii="Arial" w:cs="Arial" w:eastAsia="Arial" w:hAnsi="Arial"/>
                <w:sz w:val="14"/>
                <w:szCs w:val="14"/>
                <w:b w:val="1"/>
                <w:bCs w:val="1"/>
                <w:color w:val="auto"/>
              </w:rPr>
              <w:t>Fiscal 2016 Annual Incentive Opportunity</w:t>
            </w: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6"/>
        </w:trPr>
        <w:tc>
          <w:tcPr>
            <w:tcW w:w="600" w:type="dxa"/>
            <w:vAlign w:val="bottom"/>
          </w:tcPr>
          <w:p>
            <w:pPr>
              <w:spacing w:after="0"/>
              <w:rPr>
                <w:sz w:val="15"/>
                <w:szCs w:val="15"/>
                <w:color w:val="auto"/>
              </w:rPr>
            </w:pPr>
          </w:p>
        </w:tc>
        <w:tc>
          <w:tcPr>
            <w:tcW w:w="5320" w:type="dxa"/>
            <w:vAlign w:val="bottom"/>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800" w:type="dxa"/>
            <w:vAlign w:val="bottom"/>
            <w:tcBorders>
              <w:bottom w:val="single" w:sz="8" w:color="auto"/>
            </w:tcBorders>
          </w:tcPr>
          <w:p>
            <w:pPr>
              <w:spacing w:after="0"/>
              <w:rPr>
                <w:sz w:val="15"/>
                <w:szCs w:val="15"/>
                <w:color w:val="auto"/>
              </w:rPr>
            </w:pPr>
          </w:p>
        </w:tc>
        <w:tc>
          <w:tcPr>
            <w:tcW w:w="3140" w:type="dxa"/>
            <w:vAlign w:val="bottom"/>
            <w:tcBorders>
              <w:bottom w:val="single" w:sz="8" w:color="auto"/>
            </w:tcBorders>
            <w:gridSpan w:val="4"/>
          </w:tcPr>
          <w:p>
            <w:pPr>
              <w:ind w:left="40"/>
              <w:spacing w:after="0" w:line="176" w:lineRule="exact"/>
              <w:rPr>
                <w:sz w:val="20"/>
                <w:szCs w:val="20"/>
                <w:color w:val="auto"/>
              </w:rPr>
            </w:pPr>
            <w:r>
              <w:rPr>
                <w:rFonts w:ascii="Arial" w:cs="Arial" w:eastAsia="Arial" w:hAnsi="Arial"/>
                <w:sz w:val="13"/>
                <w:szCs w:val="13"/>
                <w:b w:val="1"/>
                <w:bCs w:val="1"/>
                <w:color w:val="auto"/>
              </w:rPr>
              <w:t>Expressed as a Percentage of Base Salary</w:t>
            </w:r>
            <w:r>
              <w:rPr>
                <w:rFonts w:ascii="Arial" w:cs="Arial" w:eastAsia="Arial" w:hAnsi="Arial"/>
                <w:sz w:val="20"/>
                <w:szCs w:val="20"/>
                <w:b w:val="1"/>
                <w:bCs w:val="1"/>
                <w:color w:val="auto"/>
                <w:vertAlign w:val="superscript"/>
              </w:rPr>
              <w:t>1</w:t>
            </w:r>
          </w:p>
        </w:tc>
        <w:tc>
          <w:tcPr>
            <w:tcW w:w="76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5320" w:type="dxa"/>
            <w:vAlign w:val="bottom"/>
            <w:vMerge w:val="restart"/>
          </w:tcPr>
          <w:p>
            <w:pPr>
              <w:spacing w:after="0"/>
              <w:rPr>
                <w:sz w:val="11"/>
                <w:szCs w:val="11"/>
                <w:color w:val="auto"/>
              </w:rPr>
            </w:pPr>
          </w:p>
        </w:tc>
        <w:tc>
          <w:tcPr>
            <w:tcW w:w="1400" w:type="dxa"/>
            <w:vAlign w:val="bottom"/>
            <w:gridSpan w:val="2"/>
          </w:tcPr>
          <w:p>
            <w:pPr>
              <w:jc w:val="right"/>
              <w:ind w:right="920"/>
              <w:spacing w:after="0" w:line="129" w:lineRule="exact"/>
              <w:rPr>
                <w:sz w:val="20"/>
                <w:szCs w:val="20"/>
                <w:color w:val="auto"/>
              </w:rPr>
            </w:pPr>
            <w:r>
              <w:rPr>
                <w:rFonts w:ascii="Arial" w:cs="Arial" w:eastAsia="Arial" w:hAnsi="Arial"/>
                <w:sz w:val="14"/>
                <w:szCs w:val="14"/>
                <w:b w:val="1"/>
                <w:bCs w:val="1"/>
                <w:color w:val="auto"/>
              </w:rPr>
              <w:t>Below</w:t>
            </w:r>
          </w:p>
        </w:tc>
        <w:tc>
          <w:tcPr>
            <w:tcW w:w="1580" w:type="dxa"/>
            <w:vAlign w:val="bottom"/>
            <w:gridSpan w:val="2"/>
          </w:tcPr>
          <w:p>
            <w:pPr>
              <w:ind w:left="100"/>
              <w:spacing w:after="0" w:line="129" w:lineRule="exact"/>
              <w:rPr>
                <w:sz w:val="20"/>
                <w:szCs w:val="20"/>
                <w:color w:val="auto"/>
              </w:rPr>
            </w:pPr>
            <w:r>
              <w:rPr>
                <w:rFonts w:ascii="Arial" w:cs="Arial" w:eastAsia="Arial" w:hAnsi="Arial"/>
                <w:sz w:val="14"/>
                <w:szCs w:val="14"/>
                <w:b w:val="1"/>
                <w:bCs w:val="1"/>
                <w:color w:val="auto"/>
              </w:rPr>
              <w:t>Threshold</w:t>
            </w:r>
          </w:p>
        </w:tc>
        <w:tc>
          <w:tcPr>
            <w:tcW w:w="1560" w:type="dxa"/>
            <w:vAlign w:val="bottom"/>
            <w:gridSpan w:val="2"/>
          </w:tcPr>
          <w:p>
            <w:pPr>
              <w:jc w:val="right"/>
              <w:ind w:right="1000"/>
              <w:spacing w:after="0" w:line="129" w:lineRule="exact"/>
              <w:rPr>
                <w:sz w:val="20"/>
                <w:szCs w:val="20"/>
                <w:color w:val="auto"/>
              </w:rPr>
            </w:pPr>
            <w:r>
              <w:rPr>
                <w:rFonts w:ascii="Arial" w:cs="Arial" w:eastAsia="Arial" w:hAnsi="Arial"/>
                <w:sz w:val="14"/>
                <w:szCs w:val="14"/>
                <w:b w:val="1"/>
                <w:bCs w:val="1"/>
                <w:color w:val="auto"/>
              </w:rPr>
              <w:t>Target</w:t>
            </w:r>
          </w:p>
        </w:tc>
        <w:tc>
          <w:tcPr>
            <w:tcW w:w="7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Maximum</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5320" w:type="dxa"/>
            <w:vAlign w:val="bottom"/>
            <w:vMerge w:val="continue"/>
          </w:tcPr>
          <w:p>
            <w:pPr>
              <w:spacing w:after="0"/>
              <w:rPr>
                <w:sz w:val="12"/>
                <w:szCs w:val="12"/>
                <w:color w:val="auto"/>
              </w:rPr>
            </w:pPr>
          </w:p>
        </w:tc>
        <w:tc>
          <w:tcPr>
            <w:tcW w:w="1400" w:type="dxa"/>
            <w:vAlign w:val="bottom"/>
            <w:gridSpan w:val="2"/>
          </w:tcPr>
          <w:p>
            <w:pPr>
              <w:jc w:val="right"/>
              <w:ind w:right="800"/>
              <w:spacing w:after="0" w:line="148" w:lineRule="exact"/>
              <w:rPr>
                <w:sz w:val="20"/>
                <w:szCs w:val="20"/>
                <w:color w:val="auto"/>
              </w:rPr>
            </w:pPr>
            <w:r>
              <w:rPr>
                <w:rFonts w:ascii="Arial" w:cs="Arial" w:eastAsia="Arial" w:hAnsi="Arial"/>
                <w:sz w:val="14"/>
                <w:szCs w:val="14"/>
                <w:b w:val="1"/>
                <w:bCs w:val="1"/>
                <w:color w:val="auto"/>
                <w:w w:val="85"/>
              </w:rPr>
              <w:t>Threshold</w:t>
            </w:r>
          </w:p>
        </w:tc>
        <w:tc>
          <w:tcPr>
            <w:tcW w:w="158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Performance</w:t>
            </w:r>
          </w:p>
        </w:tc>
        <w:tc>
          <w:tcPr>
            <w:tcW w:w="1560" w:type="dxa"/>
            <w:vAlign w:val="bottom"/>
            <w:gridSpan w:val="2"/>
          </w:tcPr>
          <w:p>
            <w:pPr>
              <w:jc w:val="right"/>
              <w:ind w:right="820"/>
              <w:spacing w:after="0" w:line="148" w:lineRule="exact"/>
              <w:rPr>
                <w:sz w:val="20"/>
                <w:szCs w:val="20"/>
                <w:color w:val="auto"/>
              </w:rPr>
            </w:pPr>
            <w:r>
              <w:rPr>
                <w:rFonts w:ascii="Arial" w:cs="Arial" w:eastAsia="Arial" w:hAnsi="Arial"/>
                <w:sz w:val="14"/>
                <w:szCs w:val="14"/>
                <w:b w:val="1"/>
                <w:bCs w:val="1"/>
                <w:color w:val="auto"/>
                <w:w w:val="84"/>
              </w:rPr>
              <w:t>Performance</w:t>
            </w:r>
          </w:p>
        </w:tc>
        <w:tc>
          <w:tcPr>
            <w:tcW w:w="96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20"/>
        </w:trPr>
        <w:tc>
          <w:tcPr>
            <w:tcW w:w="59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600" w:type="dxa"/>
            <w:vAlign w:val="bottom"/>
            <w:shd w:val="clear" w:color="auto" w:fill="000000"/>
          </w:tcPr>
          <w:p>
            <w:pPr>
              <w:spacing w:after="0" w:line="20" w:lineRule="exact"/>
              <w:rPr>
                <w:sz w:val="1"/>
                <w:szCs w:val="1"/>
                <w:color w:val="auto"/>
              </w:rPr>
            </w:pPr>
          </w:p>
        </w:tc>
        <w:tc>
          <w:tcPr>
            <w:tcW w:w="80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2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0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920" w:type="dxa"/>
            <w:vAlign w:val="bottom"/>
            <w:gridSpan w:val="2"/>
            <w:vMerge w:val="continue"/>
            <w:shd w:val="clear" w:color="auto" w:fill="CCEEFF"/>
          </w:tcPr>
          <w:p>
            <w:pPr>
              <w:spacing w:after="0"/>
              <w:rPr>
                <w:sz w:val="17"/>
                <w:szCs w:val="17"/>
                <w:color w:val="auto"/>
              </w:rPr>
            </w:pPr>
          </w:p>
        </w:tc>
        <w:tc>
          <w:tcPr>
            <w:tcW w:w="1400" w:type="dxa"/>
            <w:vAlign w:val="bottom"/>
            <w:gridSpan w:val="2"/>
            <w:shd w:val="clear" w:color="auto" w:fill="CCEEFF"/>
          </w:tcPr>
          <w:p>
            <w:pPr>
              <w:jc w:val="right"/>
              <w:ind w:right="660"/>
              <w:spacing w:after="0" w:line="203" w:lineRule="exact"/>
              <w:rPr>
                <w:sz w:val="20"/>
                <w:szCs w:val="20"/>
                <w:color w:val="auto"/>
              </w:rPr>
            </w:pPr>
            <w:r>
              <w:rPr>
                <w:rFonts w:ascii="Arial" w:cs="Arial" w:eastAsia="Arial" w:hAnsi="Arial"/>
                <w:sz w:val="18"/>
                <w:szCs w:val="18"/>
                <w:color w:val="auto"/>
              </w:rPr>
              <w:t>0%</w:t>
            </w:r>
          </w:p>
        </w:tc>
        <w:tc>
          <w:tcPr>
            <w:tcW w:w="1580" w:type="dxa"/>
            <w:vAlign w:val="bottom"/>
            <w:gridSpan w:val="2"/>
            <w:shd w:val="clear" w:color="auto" w:fill="CCEEFF"/>
          </w:tcPr>
          <w:p>
            <w:pPr>
              <w:jc w:val="right"/>
              <w:ind w:right="660"/>
              <w:spacing w:after="0" w:line="203" w:lineRule="exact"/>
              <w:rPr>
                <w:sz w:val="20"/>
                <w:szCs w:val="20"/>
                <w:color w:val="auto"/>
              </w:rPr>
            </w:pPr>
            <w:r>
              <w:rPr>
                <w:rFonts w:ascii="Arial" w:cs="Arial" w:eastAsia="Arial" w:hAnsi="Arial"/>
                <w:sz w:val="18"/>
                <w:szCs w:val="18"/>
                <w:color w:val="auto"/>
              </w:rPr>
              <w:t>67.5%</w:t>
            </w:r>
          </w:p>
        </w:tc>
        <w:tc>
          <w:tcPr>
            <w:tcW w:w="1560" w:type="dxa"/>
            <w:vAlign w:val="bottom"/>
            <w:gridSpan w:val="2"/>
            <w:shd w:val="clear" w:color="auto" w:fill="CCEEFF"/>
          </w:tcPr>
          <w:p>
            <w:pPr>
              <w:jc w:val="right"/>
              <w:ind w:right="660"/>
              <w:spacing w:after="0" w:line="203" w:lineRule="exact"/>
              <w:rPr>
                <w:sz w:val="20"/>
                <w:szCs w:val="20"/>
                <w:color w:val="auto"/>
              </w:rPr>
            </w:pPr>
            <w:r>
              <w:rPr>
                <w:rFonts w:ascii="Arial" w:cs="Arial" w:eastAsia="Arial" w:hAnsi="Arial"/>
                <w:sz w:val="18"/>
                <w:szCs w:val="18"/>
                <w:color w:val="auto"/>
              </w:rPr>
              <w:t>112.5%</w:t>
            </w:r>
          </w:p>
        </w:tc>
        <w:tc>
          <w:tcPr>
            <w:tcW w:w="9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202.5%</w:t>
            </w:r>
          </w:p>
        </w:tc>
        <w:tc>
          <w:tcPr>
            <w:tcW w:w="0" w:type="dxa"/>
            <w:vAlign w:val="bottom"/>
          </w:tcPr>
          <w:p>
            <w:pPr>
              <w:spacing w:after="0"/>
              <w:rPr>
                <w:sz w:val="1"/>
                <w:szCs w:val="1"/>
                <w:color w:val="auto"/>
              </w:rPr>
            </w:pPr>
          </w:p>
        </w:tc>
      </w:tr>
      <w:tr>
        <w:trPr>
          <w:trHeight w:val="216"/>
        </w:trPr>
        <w:tc>
          <w:tcPr>
            <w:tcW w:w="592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400" w:type="dxa"/>
            <w:vAlign w:val="bottom"/>
            <w:gridSpan w:val="2"/>
          </w:tcPr>
          <w:p>
            <w:pPr>
              <w:jc w:val="right"/>
              <w:ind w:right="660"/>
              <w:spacing w:after="0"/>
              <w:rPr>
                <w:sz w:val="20"/>
                <w:szCs w:val="20"/>
                <w:color w:val="auto"/>
              </w:rPr>
            </w:pPr>
            <w:r>
              <w:rPr>
                <w:rFonts w:ascii="Arial" w:cs="Arial" w:eastAsia="Arial" w:hAnsi="Arial"/>
                <w:sz w:val="18"/>
                <w:szCs w:val="18"/>
                <w:color w:val="auto"/>
              </w:rPr>
              <w:t>0%</w:t>
            </w:r>
          </w:p>
        </w:tc>
        <w:tc>
          <w:tcPr>
            <w:tcW w:w="1580" w:type="dxa"/>
            <w:vAlign w:val="bottom"/>
            <w:gridSpan w:val="2"/>
          </w:tcPr>
          <w:p>
            <w:pPr>
              <w:jc w:val="right"/>
              <w:ind w:right="660"/>
              <w:spacing w:after="0"/>
              <w:rPr>
                <w:sz w:val="20"/>
                <w:szCs w:val="20"/>
                <w:color w:val="auto"/>
              </w:rPr>
            </w:pPr>
            <w:r>
              <w:rPr>
                <w:rFonts w:ascii="Arial" w:cs="Arial" w:eastAsia="Arial" w:hAnsi="Arial"/>
                <w:sz w:val="18"/>
                <w:szCs w:val="18"/>
                <w:color w:val="auto"/>
              </w:rPr>
              <w:t>36%</w:t>
            </w:r>
          </w:p>
        </w:tc>
        <w:tc>
          <w:tcPr>
            <w:tcW w:w="1560" w:type="dxa"/>
            <w:vAlign w:val="bottom"/>
            <w:gridSpan w:val="2"/>
          </w:tcPr>
          <w:p>
            <w:pPr>
              <w:jc w:val="right"/>
              <w:ind w:right="660"/>
              <w:spacing w:after="0"/>
              <w:rPr>
                <w:sz w:val="20"/>
                <w:szCs w:val="20"/>
                <w:color w:val="auto"/>
              </w:rPr>
            </w:pPr>
            <w:r>
              <w:rPr>
                <w:rFonts w:ascii="Arial" w:cs="Arial" w:eastAsia="Arial" w:hAnsi="Arial"/>
                <w:sz w:val="18"/>
                <w:szCs w:val="18"/>
                <w:color w:val="auto"/>
              </w:rPr>
              <w:t>60%</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16"/>
        </w:trPr>
        <w:tc>
          <w:tcPr>
            <w:tcW w:w="5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14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0%</w:t>
            </w:r>
          </w:p>
        </w:tc>
        <w:tc>
          <w:tcPr>
            <w:tcW w:w="158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22.5%</w:t>
            </w:r>
          </w:p>
        </w:tc>
        <w:tc>
          <w:tcPr>
            <w:tcW w:w="15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37.5%</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47"/>
        </w:numPr>
        <w:rPr>
          <w:rFonts w:ascii="Arial" w:cs="Arial" w:eastAsia="Arial" w:hAnsi="Arial"/>
          <w:sz w:val="16"/>
          <w:szCs w:val="16"/>
          <w:color w:val="auto"/>
        </w:rPr>
      </w:pPr>
      <w:r>
        <w:rPr>
          <w:rFonts w:ascii="Arial" w:cs="Arial" w:eastAsia="Arial" w:hAnsi="Arial"/>
          <w:sz w:val="16"/>
          <w:szCs w:val="16"/>
          <w:color w:val="auto"/>
        </w:rPr>
        <w:t>Annual incentive payout is calculated using a straight line interpolation for performance between threshold and target or between target and maximum.</w:t>
      </w:r>
    </w:p>
    <w:p>
      <w:pPr>
        <w:spacing w:after="0" w:line="194"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Mr. Nagesh and Mr. Eichler were not participants in the fiscal 2016 Section 162(m) annual incentive plan as they were not named executive officers at the time the plan goals were determined by the ECC. Mr. Rashkin retired during fiscal 2016. Therefore, Mr. Rashkin, Mr. Nagesh and Mr. Eichler were not eligible to receive any cash incentive payout for fiscal 2016.</w:t>
      </w:r>
    </w:p>
    <w:p>
      <w:pPr>
        <w:spacing w:after="0" w:line="14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fiscal 2016 annual incentive plan for our named executive officers was 80% based on a combination of equally weighed revenue and modified non-GAAP operating income goals reflecting significant year-over-year growth targets. Growth in revenue and operating income are considered by the Board to be key drivers of the success of the company. The funding amount varied based on the achievement of goals at threshold, target and maximum levels. The remaining 20% of the plan was subject to the achievement of at least one of the threshold Company financial performance metrics described above, and then based on individual strategic goals, included in fiscal 2016 to account for differences between executives. The funding formula was based on a pre-established, objective formula, and the fiscal 2016 annual incentive plan was intended to qualify under Section 162(m) of the Code.</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128</w:t>
      </w:r>
    </w:p>
    <w:p>
      <w:pPr>
        <w:sectPr>
          <w:pgSz w:w="11900" w:h="16838" w:orient="portrait"/>
          <w:cols w:equalWidth="0" w:num="1">
            <w:col w:w="11420"/>
          </w:cols>
          <w:pgMar w:left="240" w:top="459" w:right="239"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following table presents the fiscal 2016 annual incentive plan goals established by the ECC at threshold, target and maximum performance levels and actual fiscal 2016 performance for each of these metrics. Each of the financial metrics was tied to the annual operating plan approved by the board of directors in April 2015.</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6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80" w:type="dxa"/>
            <w:vAlign w:val="bottom"/>
            <w:gridSpan w:val="6"/>
          </w:tcPr>
          <w:p>
            <w:pPr>
              <w:jc w:val="center"/>
              <w:ind w:left="136"/>
              <w:spacing w:after="0"/>
              <w:rPr>
                <w:sz w:val="20"/>
                <w:szCs w:val="20"/>
                <w:color w:val="auto"/>
              </w:rPr>
            </w:pPr>
            <w:r>
              <w:rPr>
                <w:rFonts w:ascii="Arial" w:cs="Arial" w:eastAsia="Arial" w:hAnsi="Arial"/>
                <w:sz w:val="14"/>
                <w:szCs w:val="14"/>
                <w:b w:val="1"/>
                <w:bCs w:val="1"/>
                <w:color w:val="auto"/>
                <w:w w:val="86"/>
              </w:rPr>
              <w:t>Level of Performance Achievement</w:t>
            </w:r>
          </w:p>
        </w:tc>
        <w:tc>
          <w:tcPr>
            <w:tcW w:w="4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7"/>
              </w:rPr>
              <w:t>Actual Fiscal 2016</w:t>
            </w:r>
          </w:p>
        </w:tc>
        <w:tc>
          <w:tcPr>
            <w:tcW w:w="0" w:type="dxa"/>
            <w:vAlign w:val="bottom"/>
          </w:tcPr>
          <w:p>
            <w:pPr>
              <w:spacing w:after="0"/>
              <w:rPr>
                <w:sz w:val="1"/>
                <w:szCs w:val="1"/>
                <w:color w:val="auto"/>
              </w:rPr>
            </w:pPr>
          </w:p>
        </w:tc>
      </w:tr>
      <w:tr>
        <w:trPr>
          <w:trHeight w:val="161"/>
        </w:trPr>
        <w:tc>
          <w:tcPr>
            <w:tcW w:w="1260" w:type="dxa"/>
            <w:vAlign w:val="bottom"/>
            <w:vMerge w:val="restart"/>
          </w:tcPr>
          <w:p>
            <w:pPr>
              <w:spacing w:after="0"/>
              <w:rPr>
                <w:sz w:val="20"/>
                <w:szCs w:val="20"/>
                <w:color w:val="auto"/>
              </w:rPr>
            </w:pPr>
            <w:r>
              <w:rPr>
                <w:rFonts w:ascii="Arial" w:cs="Arial" w:eastAsia="Arial" w:hAnsi="Arial"/>
                <w:sz w:val="14"/>
                <w:szCs w:val="14"/>
                <w:b w:val="1"/>
                <w:bCs w:val="1"/>
                <w:color w:val="auto"/>
                <w:w w:val="94"/>
              </w:rPr>
              <w:t>Performance Metric</w:t>
            </w:r>
          </w:p>
        </w:tc>
        <w:tc>
          <w:tcPr>
            <w:tcW w:w="3900" w:type="dxa"/>
            <w:vAlign w:val="bottom"/>
            <w:vMerge w:val="restart"/>
          </w:tcPr>
          <w:p>
            <w:pPr>
              <w:spacing w:after="0"/>
              <w:rPr>
                <w:sz w:val="14"/>
                <w:szCs w:val="14"/>
                <w:color w:val="auto"/>
              </w:rPr>
            </w:pPr>
          </w:p>
        </w:tc>
        <w:tc>
          <w:tcPr>
            <w:tcW w:w="5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44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9"/>
              </w:rPr>
              <w:t>(in millions)</w:t>
            </w:r>
          </w:p>
        </w:tc>
        <w:tc>
          <w:tcPr>
            <w:tcW w:w="3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34"/>
        </w:trPr>
        <w:tc>
          <w:tcPr>
            <w:tcW w:w="1260" w:type="dxa"/>
            <w:vAlign w:val="bottom"/>
            <w:tcBorders>
              <w:bottom w:val="single" w:sz="8" w:color="auto"/>
            </w:tcBorders>
            <w:vMerge w:val="continue"/>
          </w:tcPr>
          <w:p>
            <w:pPr>
              <w:spacing w:after="0"/>
              <w:rPr>
                <w:sz w:val="11"/>
                <w:szCs w:val="11"/>
                <w:color w:val="auto"/>
              </w:rPr>
            </w:pPr>
          </w:p>
        </w:tc>
        <w:tc>
          <w:tcPr>
            <w:tcW w:w="3900" w:type="dxa"/>
            <w:vAlign w:val="bottom"/>
            <w:vMerge w:val="continue"/>
          </w:tcPr>
          <w:p>
            <w:pPr>
              <w:spacing w:after="0"/>
              <w:rPr>
                <w:sz w:val="11"/>
                <w:szCs w:val="11"/>
                <w:color w:val="auto"/>
              </w:rPr>
            </w:pPr>
          </w:p>
        </w:tc>
        <w:tc>
          <w:tcPr>
            <w:tcW w:w="1160" w:type="dxa"/>
            <w:vAlign w:val="bottom"/>
            <w:gridSpan w:val="2"/>
          </w:tcPr>
          <w:p>
            <w:pPr>
              <w:jc w:val="right"/>
              <w:ind w:right="580"/>
              <w:spacing w:after="0" w:line="129" w:lineRule="exact"/>
              <w:rPr>
                <w:sz w:val="20"/>
                <w:szCs w:val="20"/>
                <w:color w:val="auto"/>
              </w:rPr>
            </w:pPr>
            <w:r>
              <w:rPr>
                <w:rFonts w:ascii="Arial" w:cs="Arial" w:eastAsia="Arial" w:hAnsi="Arial"/>
                <w:sz w:val="14"/>
                <w:szCs w:val="14"/>
                <w:b w:val="1"/>
                <w:bCs w:val="1"/>
                <w:color w:val="auto"/>
                <w:w w:val="82"/>
              </w:rPr>
              <w:t>Weighting</w:t>
            </w:r>
          </w:p>
        </w:tc>
        <w:tc>
          <w:tcPr>
            <w:tcW w:w="7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Threshold</w:t>
            </w:r>
          </w:p>
        </w:tc>
        <w:tc>
          <w:tcPr>
            <w:tcW w:w="460" w:type="dxa"/>
            <w:vAlign w:val="bottom"/>
          </w:tcPr>
          <w:p>
            <w:pPr>
              <w:spacing w:after="0"/>
              <w:rPr>
                <w:sz w:val="11"/>
                <w:szCs w:val="11"/>
                <w:color w:val="auto"/>
              </w:rPr>
            </w:pPr>
          </w:p>
        </w:tc>
        <w:tc>
          <w:tcPr>
            <w:tcW w:w="980" w:type="dxa"/>
            <w:vAlign w:val="bottom"/>
            <w:gridSpan w:val="3"/>
          </w:tcPr>
          <w:p>
            <w:pPr>
              <w:jc w:val="center"/>
              <w:ind w:right="460"/>
              <w:spacing w:after="0" w:line="129" w:lineRule="exact"/>
              <w:rPr>
                <w:sz w:val="20"/>
                <w:szCs w:val="20"/>
                <w:color w:val="auto"/>
              </w:rPr>
            </w:pPr>
            <w:r>
              <w:rPr>
                <w:rFonts w:ascii="Arial" w:cs="Arial" w:eastAsia="Arial" w:hAnsi="Arial"/>
                <w:sz w:val="14"/>
                <w:szCs w:val="14"/>
                <w:b w:val="1"/>
                <w:bCs w:val="1"/>
                <w:color w:val="auto"/>
                <w:w w:val="84"/>
              </w:rPr>
              <w:t>Target</w:t>
            </w:r>
          </w:p>
        </w:tc>
        <w:tc>
          <w:tcPr>
            <w:tcW w:w="7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9"/>
              </w:rPr>
              <w:t>Maximum</w:t>
            </w:r>
          </w:p>
        </w:tc>
        <w:tc>
          <w:tcPr>
            <w:tcW w:w="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64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(in millions)</w:t>
            </w:r>
          </w:p>
        </w:tc>
        <w:tc>
          <w:tcPr>
            <w:tcW w:w="0" w:type="dxa"/>
            <w:vAlign w:val="bottom"/>
          </w:tcPr>
          <w:p>
            <w:pPr>
              <w:spacing w:after="0"/>
              <w:rPr>
                <w:sz w:val="1"/>
                <w:szCs w:val="1"/>
                <w:color w:val="auto"/>
              </w:rPr>
            </w:pPr>
          </w:p>
        </w:tc>
      </w:tr>
      <w:tr>
        <w:trPr>
          <w:trHeight w:val="20"/>
        </w:trPr>
        <w:tc>
          <w:tcPr>
            <w:tcW w:w="516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Revenue</w:t>
            </w:r>
          </w:p>
        </w:tc>
        <w:tc>
          <w:tcPr>
            <w:tcW w:w="580" w:type="dxa"/>
            <w:vAlign w:val="bottom"/>
            <w:shd w:val="clear" w:color="auto" w:fill="000000"/>
          </w:tcPr>
          <w:p>
            <w:pPr>
              <w:spacing w:after="0" w:line="20" w:lineRule="exact"/>
              <w:rPr>
                <w:sz w:val="1"/>
                <w:szCs w:val="1"/>
                <w:color w:val="auto"/>
              </w:rPr>
            </w:pPr>
          </w:p>
        </w:tc>
        <w:tc>
          <w:tcPr>
            <w:tcW w:w="58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6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460" w:type="dxa"/>
            <w:vAlign w:val="bottom"/>
            <w:tcBorders>
              <w:right w:val="single" w:sz="8" w:color="CCEEFF"/>
            </w:tcBorders>
            <w:vMerge w:val="restart"/>
            <w:shd w:val="clear" w:color="auto" w:fill="CCEEFF"/>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46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540" w:type="dxa"/>
            <w:vAlign w:val="bottom"/>
            <w:shd w:val="clear" w:color="auto" w:fill="000000"/>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160" w:type="dxa"/>
            <w:vAlign w:val="bottom"/>
            <w:gridSpan w:val="2"/>
            <w:vMerge w:val="continue"/>
            <w:shd w:val="clear" w:color="auto" w:fill="CCEEFF"/>
          </w:tcPr>
          <w:p>
            <w:pPr>
              <w:spacing w:after="0"/>
              <w:rPr>
                <w:sz w:val="17"/>
                <w:szCs w:val="17"/>
                <w:color w:val="auto"/>
              </w:rPr>
            </w:pPr>
          </w:p>
        </w:tc>
        <w:tc>
          <w:tcPr>
            <w:tcW w:w="1160" w:type="dxa"/>
            <w:vAlign w:val="bottom"/>
            <w:gridSpan w:val="2"/>
            <w:shd w:val="clear" w:color="auto" w:fill="CCEEFF"/>
          </w:tcPr>
          <w:p>
            <w:pPr>
              <w:jc w:val="right"/>
              <w:ind w:right="420"/>
              <w:spacing w:after="0" w:line="203" w:lineRule="exact"/>
              <w:rPr>
                <w:sz w:val="20"/>
                <w:szCs w:val="20"/>
                <w:color w:val="auto"/>
              </w:rPr>
            </w:pPr>
            <w:r>
              <w:rPr>
                <w:rFonts w:ascii="Arial" w:cs="Arial" w:eastAsia="Arial" w:hAnsi="Arial"/>
                <w:sz w:val="18"/>
                <w:szCs w:val="18"/>
                <w:color w:val="auto"/>
              </w:rPr>
              <w:t>40%</w:t>
            </w:r>
          </w:p>
        </w:tc>
        <w:tc>
          <w:tcPr>
            <w:tcW w:w="200" w:type="dxa"/>
            <w:vAlign w:val="bottom"/>
            <w:shd w:val="clear" w:color="auto" w:fill="CCEEFF"/>
          </w:tcPr>
          <w:p>
            <w:pPr>
              <w:jc w:val="right"/>
              <w:ind w:right="46"/>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3,000</w:t>
            </w:r>
          </w:p>
        </w:tc>
        <w:tc>
          <w:tcPr>
            <w:tcW w:w="46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8"/>
              </w:rPr>
              <w:t>3,400</w:t>
            </w:r>
          </w:p>
        </w:tc>
        <w:tc>
          <w:tcPr>
            <w:tcW w:w="460" w:type="dxa"/>
            <w:vAlign w:val="bottom"/>
            <w:tcBorders>
              <w:right w:val="single" w:sz="8" w:color="CCEEFF"/>
            </w:tcBorders>
            <w:vMerge w:val="continue"/>
            <w:shd w:val="clear" w:color="auto" w:fill="CCEEFF"/>
          </w:tcPr>
          <w:p>
            <w:pPr>
              <w:spacing w:after="0"/>
              <w:rPr>
                <w:sz w:val="17"/>
                <w:szCs w:val="17"/>
                <w:color w:val="auto"/>
              </w:rPr>
            </w:pPr>
          </w:p>
        </w:tc>
        <w:tc>
          <w:tcPr>
            <w:tcW w:w="320" w:type="dxa"/>
            <w:vAlign w:val="bottom"/>
            <w:shd w:val="clear" w:color="auto" w:fill="CCEEFF"/>
          </w:tcPr>
          <w:p>
            <w:pPr>
              <w:jc w:val="right"/>
              <w:ind w:right="166"/>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8"/>
              </w:rPr>
              <w:t>3,869</w:t>
            </w:r>
          </w:p>
        </w:tc>
        <w:tc>
          <w:tcPr>
            <w:tcW w:w="46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540" w:type="dxa"/>
            <w:vAlign w:val="bottom"/>
            <w:shd w:val="clear" w:color="auto" w:fill="CCEEFF"/>
          </w:tcPr>
          <w:p>
            <w:pPr>
              <w:jc w:val="right"/>
              <w:ind w:right="260"/>
              <w:spacing w:after="0" w:line="203" w:lineRule="exact"/>
              <w:rPr>
                <w:sz w:val="20"/>
                <w:szCs w:val="20"/>
                <w:color w:val="auto"/>
              </w:rPr>
            </w:pPr>
            <w:r>
              <w:rPr>
                <w:rFonts w:ascii="Arial" w:cs="Arial" w:eastAsia="Arial" w:hAnsi="Arial"/>
                <w:sz w:val="18"/>
                <w:szCs w:val="18"/>
                <w:color w:val="auto"/>
              </w:rPr>
              <w:t>2,726</w:t>
            </w:r>
          </w:p>
        </w:tc>
        <w:tc>
          <w:tcPr>
            <w:tcW w:w="10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160" w:type="dxa"/>
            <w:vAlign w:val="bottom"/>
            <w:gridSpan w:val="2"/>
          </w:tcPr>
          <w:p>
            <w:pPr>
              <w:spacing w:after="0"/>
              <w:rPr>
                <w:sz w:val="20"/>
                <w:szCs w:val="20"/>
                <w:color w:val="auto"/>
              </w:rPr>
            </w:pPr>
            <w:r>
              <w:rPr>
                <w:rFonts w:ascii="Arial" w:cs="Arial" w:eastAsia="Arial" w:hAnsi="Arial"/>
                <w:sz w:val="18"/>
                <w:szCs w:val="18"/>
                <w:color w:val="auto"/>
              </w:rPr>
              <w:t>Modified Non-GAAP Operating Income (1)</w:t>
            </w: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40%</w:t>
            </w:r>
          </w:p>
        </w:tc>
        <w:tc>
          <w:tcPr>
            <w:tcW w:w="200" w:type="dxa"/>
            <w:vAlign w:val="bottom"/>
          </w:tcPr>
          <w:p>
            <w:pPr>
              <w:jc w:val="right"/>
              <w:ind w:right="46"/>
              <w:spacing w:after="0"/>
              <w:rPr>
                <w:sz w:val="20"/>
                <w:szCs w:val="20"/>
                <w:color w:val="auto"/>
              </w:rPr>
            </w:pPr>
            <w:r>
              <w:rPr>
                <w:rFonts w:ascii="Arial" w:cs="Arial" w:eastAsia="Arial" w:hAnsi="Arial"/>
                <w:sz w:val="15"/>
                <w:szCs w:val="15"/>
                <w:color w:val="auto"/>
                <w:w w:val="71"/>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310</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460</w:t>
            </w:r>
          </w:p>
        </w:tc>
        <w:tc>
          <w:tcPr>
            <w:tcW w:w="460" w:type="dxa"/>
            <w:vAlign w:val="bottom"/>
          </w:tcPr>
          <w:p>
            <w:pPr>
              <w:spacing w:after="0"/>
              <w:rPr>
                <w:sz w:val="18"/>
                <w:szCs w:val="18"/>
                <w:color w:val="auto"/>
              </w:rPr>
            </w:pPr>
          </w:p>
        </w:tc>
        <w:tc>
          <w:tcPr>
            <w:tcW w:w="320" w:type="dxa"/>
            <w:vAlign w:val="bottom"/>
          </w:tcPr>
          <w:p>
            <w:pPr>
              <w:jc w:val="right"/>
              <w:ind w:right="166"/>
              <w:spacing w:after="0"/>
              <w:rPr>
                <w:sz w:val="20"/>
                <w:szCs w:val="20"/>
                <w:color w:val="auto"/>
              </w:rPr>
            </w:pPr>
            <w:r>
              <w:rPr>
                <w:rFonts w:ascii="Arial" w:cs="Arial" w:eastAsia="Arial" w:hAnsi="Arial"/>
                <w:sz w:val="15"/>
                <w:szCs w:val="15"/>
                <w:color w:val="auto"/>
                <w:w w:val="71"/>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585</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260"/>
              <w:spacing w:after="0"/>
              <w:rPr>
                <w:sz w:val="20"/>
                <w:szCs w:val="20"/>
                <w:color w:val="auto"/>
              </w:rPr>
            </w:pPr>
            <w:r>
              <w:rPr>
                <w:rFonts w:ascii="Arial" w:cs="Arial" w:eastAsia="Arial" w:hAnsi="Arial"/>
                <w:sz w:val="18"/>
                <w:szCs w:val="18"/>
                <w:color w:val="auto"/>
              </w:rPr>
              <w:t>194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Strategic Goals</w:t>
            </w: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20%</w:t>
            </w:r>
          </w:p>
        </w:tc>
        <w:tc>
          <w:tcPr>
            <w:tcW w:w="200" w:type="dxa"/>
            <w:vAlign w:val="bottom"/>
            <w:shd w:val="clear" w:color="auto" w:fill="CCEEFF"/>
          </w:tcPr>
          <w:p>
            <w:pPr>
              <w:spacing w:after="0"/>
              <w:rPr>
                <w:sz w:val="18"/>
                <w:szCs w:val="18"/>
                <w:color w:val="auto"/>
              </w:rPr>
            </w:pPr>
          </w:p>
        </w:tc>
        <w:tc>
          <w:tcPr>
            <w:tcW w:w="2280" w:type="dxa"/>
            <w:vAlign w:val="bottom"/>
            <w:gridSpan w:val="6"/>
            <w:shd w:val="clear" w:color="auto" w:fill="CCEEFF"/>
          </w:tcPr>
          <w:p>
            <w:pPr>
              <w:jc w:val="center"/>
              <w:ind w:left="276"/>
              <w:spacing w:after="0"/>
              <w:rPr>
                <w:sz w:val="20"/>
                <w:szCs w:val="20"/>
                <w:color w:val="auto"/>
              </w:rPr>
            </w:pPr>
            <w:r>
              <w:rPr>
                <w:rFonts w:ascii="Arial" w:cs="Arial" w:eastAsia="Arial" w:hAnsi="Arial"/>
                <w:sz w:val="18"/>
                <w:szCs w:val="18"/>
                <w:color w:val="auto"/>
                <w:w w:val="90"/>
              </w:rPr>
              <w:t>Varies by individual but</w:t>
            </w:r>
          </w:p>
        </w:tc>
        <w:tc>
          <w:tcPr>
            <w:tcW w:w="4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20"/>
              <w:spacing w:after="0"/>
              <w:rPr>
                <w:sz w:val="20"/>
                <w:szCs w:val="20"/>
                <w:color w:val="auto"/>
              </w:rPr>
            </w:pPr>
            <w:r>
              <w:rPr>
                <w:rFonts w:ascii="Arial" w:cs="Arial" w:eastAsia="Arial" w:hAnsi="Arial"/>
                <w:sz w:val="18"/>
                <w:szCs w:val="18"/>
                <w:color w:val="auto"/>
                <w:w w:val="88"/>
              </w:rPr>
              <w:t>Threshold Company</w:t>
            </w: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18"/>
                <w:szCs w:val="18"/>
                <w:color w:val="auto"/>
              </w:rPr>
            </w:pPr>
          </w:p>
        </w:tc>
        <w:tc>
          <w:tcPr>
            <w:tcW w:w="39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700" w:type="dxa"/>
            <w:vAlign w:val="bottom"/>
            <w:gridSpan w:val="7"/>
            <w:shd w:val="clear" w:color="auto" w:fill="CCEEFF"/>
          </w:tcPr>
          <w:p>
            <w:pPr>
              <w:jc w:val="center"/>
              <w:spacing w:after="0"/>
              <w:rPr>
                <w:sz w:val="20"/>
                <w:szCs w:val="20"/>
                <w:color w:val="auto"/>
              </w:rPr>
            </w:pPr>
            <w:r>
              <w:rPr>
                <w:rFonts w:ascii="Arial" w:cs="Arial" w:eastAsia="Arial" w:hAnsi="Arial"/>
                <w:sz w:val="18"/>
                <w:szCs w:val="18"/>
                <w:color w:val="auto"/>
                <w:w w:val="89"/>
              </w:rPr>
              <w:t>subject to threshold financial</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9"/>
              </w:rPr>
              <w:t>financial performance</w:t>
            </w: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18"/>
                <w:szCs w:val="18"/>
                <w:color w:val="auto"/>
              </w:rPr>
            </w:pPr>
          </w:p>
        </w:tc>
        <w:tc>
          <w:tcPr>
            <w:tcW w:w="39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80" w:type="dxa"/>
            <w:vAlign w:val="bottom"/>
            <w:gridSpan w:val="6"/>
            <w:shd w:val="clear" w:color="auto" w:fill="CCEEFF"/>
          </w:tcPr>
          <w:p>
            <w:pPr>
              <w:jc w:val="center"/>
              <w:ind w:left="276"/>
              <w:spacing w:after="0"/>
              <w:rPr>
                <w:sz w:val="20"/>
                <w:szCs w:val="20"/>
                <w:color w:val="auto"/>
              </w:rPr>
            </w:pPr>
            <w:r>
              <w:rPr>
                <w:rFonts w:ascii="Arial" w:cs="Arial" w:eastAsia="Arial" w:hAnsi="Arial"/>
                <w:sz w:val="18"/>
                <w:szCs w:val="18"/>
                <w:color w:val="auto"/>
                <w:w w:val="86"/>
              </w:rPr>
              <w:t>performance metrics; see</w:t>
            </w:r>
          </w:p>
        </w:tc>
        <w:tc>
          <w:tcPr>
            <w:tcW w:w="4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8"/>
              </w:rPr>
              <w:t>metrics not achieved</w:t>
            </w:r>
          </w:p>
        </w:tc>
        <w:tc>
          <w:tcPr>
            <w:tcW w:w="0" w:type="dxa"/>
            <w:vAlign w:val="bottom"/>
          </w:tcPr>
          <w:p>
            <w:pPr>
              <w:spacing w:after="0"/>
              <w:rPr>
                <w:sz w:val="1"/>
                <w:szCs w:val="1"/>
                <w:color w:val="auto"/>
              </w:rPr>
            </w:pPr>
          </w:p>
        </w:tc>
      </w:tr>
      <w:tr>
        <w:trPr>
          <w:trHeight w:val="224"/>
        </w:trPr>
        <w:tc>
          <w:tcPr>
            <w:tcW w:w="1260" w:type="dxa"/>
            <w:vAlign w:val="bottom"/>
            <w:shd w:val="clear" w:color="auto" w:fill="CCEEFF"/>
          </w:tcPr>
          <w:p>
            <w:pPr>
              <w:spacing w:after="0"/>
              <w:rPr>
                <w:sz w:val="19"/>
                <w:szCs w:val="19"/>
                <w:color w:val="auto"/>
              </w:rPr>
            </w:pPr>
          </w:p>
        </w:tc>
        <w:tc>
          <w:tcPr>
            <w:tcW w:w="390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520" w:type="dxa"/>
            <w:vAlign w:val="bottom"/>
            <w:shd w:val="clear" w:color="auto" w:fill="CCEEFF"/>
          </w:tcPr>
          <w:p>
            <w:pPr>
              <w:spacing w:after="0"/>
              <w:rPr>
                <w:sz w:val="19"/>
                <w:szCs w:val="19"/>
                <w:color w:val="auto"/>
              </w:rPr>
            </w:pPr>
          </w:p>
        </w:tc>
        <w:tc>
          <w:tcPr>
            <w:tcW w:w="1440" w:type="dxa"/>
            <w:vAlign w:val="bottom"/>
            <w:tcBorders>
              <w:right w:val="single" w:sz="8" w:color="CCEEFF"/>
            </w:tcBorders>
            <w:gridSpan w:val="4"/>
            <w:shd w:val="clear" w:color="auto" w:fill="CCEEFF"/>
          </w:tcPr>
          <w:p>
            <w:pPr>
              <w:jc w:val="center"/>
              <w:ind w:left="59"/>
              <w:spacing w:after="0"/>
              <w:rPr>
                <w:sz w:val="20"/>
                <w:szCs w:val="20"/>
                <w:color w:val="auto"/>
              </w:rPr>
            </w:pPr>
            <w:r>
              <w:rPr>
                <w:rFonts w:ascii="Arial" w:cs="Arial" w:eastAsia="Arial" w:hAnsi="Arial"/>
                <w:sz w:val="18"/>
                <w:szCs w:val="18"/>
                <w:color w:val="auto"/>
                <w:w w:val="90"/>
              </w:rPr>
              <w:t>below for details</w:t>
            </w:r>
          </w:p>
        </w:tc>
        <w:tc>
          <w:tcPr>
            <w:tcW w:w="3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40" w:hanging="452"/>
        <w:spacing w:after="0" w:line="294" w:lineRule="auto"/>
        <w:tabs>
          <w:tab w:leader="none" w:pos="460" w:val="left"/>
        </w:tabs>
        <w:numPr>
          <w:ilvl w:val="0"/>
          <w:numId w:val="48"/>
        </w:numPr>
        <w:rPr>
          <w:rFonts w:ascii="Arial" w:cs="Arial" w:eastAsia="Arial" w:hAnsi="Arial"/>
          <w:sz w:val="16"/>
          <w:szCs w:val="16"/>
          <w:color w:val="auto"/>
        </w:rPr>
      </w:pPr>
      <w:r>
        <w:rPr>
          <w:rFonts w:ascii="Arial" w:cs="Arial" w:eastAsia="Arial" w:hAnsi="Arial"/>
          <w:sz w:val="16"/>
          <w:szCs w:val="16"/>
          <w:color w:val="auto"/>
        </w:rPr>
        <w:t>For purposes of the 2016 annual incentive plan, non-GAAP operating income is defined as GAAP operating income less (i) share-based compensation, (ii) amortization of acquisition-related intangible assets and acquisition-related costs, (iii) restructuring and other exit-related costs, and (iv) litigation settlement costs removed for non-GAAP purposes in our quarterly earnings releases, except with respect to the litigation with Carnegie Mellon University (the “CMU litigation”). Modified non-GAAP operating income excludes amounts paid or accrued in respect of final judgments or settlements related to the CMU litigation, regardless of whether these amounts are excluded from non-GAAP operating income in our quarterly earnings releases.</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individual strategic goals identified for each executive officer included a mix of financial and operational as well as quantitative and qualitative factors. For fiscal 2016, these included, but were not limited to: execution of the strategic plan; cost management, expense and pricing related goals; and product and technology development goals. The strategic goals and weightings approved by the Committee were tailored to the specific roles and responsibilities of each named executive officer. The ECC initially determined what categories of individual strategic goals would be appropriate for the executive officers, and then suggested specific goals for each individual. The individual executive officers proposed additional goals based on the needs of their internal constituents. Following discussion without the executive officers present, the ECC then approved the final individual strategic goals.</w:t>
      </w:r>
    </w:p>
    <w:p>
      <w:pPr>
        <w:spacing w:after="0" w:line="12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Payout of the portion of annual incentive plan subject to individual strategic goals is subject to achievement of the “Threshold” Company financial performance metric for either of the revenue or modified non-GAAP operating income performance metrics described above. Achievement of either threshold Company financial performance metric allows for full payout under this portion of the performance awards, but subject to the ECC applying negative discretion based on actual achievement of individual strategic goals to determine the actual payout.</w:t>
      </w:r>
    </w:p>
    <w:p>
      <w:pPr>
        <w:spacing w:after="0" w:line="143" w:lineRule="exact"/>
        <w:rPr>
          <w:sz w:val="20"/>
          <w:szCs w:val="20"/>
          <w:color w:val="auto"/>
        </w:rPr>
      </w:pPr>
    </w:p>
    <w:p>
      <w:pPr>
        <w:ind w:right="680" w:firstLine="456"/>
        <w:spacing w:after="0" w:line="332" w:lineRule="auto"/>
        <w:rPr>
          <w:sz w:val="20"/>
          <w:szCs w:val="20"/>
          <w:color w:val="auto"/>
        </w:rPr>
      </w:pPr>
      <w:r>
        <w:rPr>
          <w:rFonts w:ascii="Arial" w:cs="Arial" w:eastAsia="Arial" w:hAnsi="Arial"/>
          <w:sz w:val="16"/>
          <w:szCs w:val="16"/>
          <w:color w:val="auto"/>
        </w:rPr>
        <w:t>Fiscal 2016 performance was such that both revenue and modified non-GAAP operating income actually achieved were below the threshold goals established by the ECC and, therefore, the named executive officers did not received any payouts under the fiscal 2016 annual incentive plan.</w:t>
      </w:r>
    </w:p>
    <w:p>
      <w:pPr>
        <w:spacing w:after="0" w:line="1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0" w:type="dxa"/>
            <w:vAlign w:val="bottom"/>
            <w:gridSpan w:val="4"/>
          </w:tcPr>
          <w:p>
            <w:pPr>
              <w:jc w:val="center"/>
              <w:spacing w:after="0"/>
              <w:rPr>
                <w:sz w:val="20"/>
                <w:szCs w:val="20"/>
                <w:color w:val="auto"/>
              </w:rPr>
            </w:pPr>
            <w:r>
              <w:rPr>
                <w:rFonts w:ascii="Arial" w:cs="Arial" w:eastAsia="Arial" w:hAnsi="Arial"/>
                <w:sz w:val="14"/>
                <w:szCs w:val="14"/>
                <w:b w:val="1"/>
                <w:bCs w:val="1"/>
                <w:color w:val="auto"/>
                <w:w w:val="87"/>
              </w:rPr>
              <w:t>Actual Fiscal 2016 Annual</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20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86"/>
              </w:rPr>
              <w:t>Incentive Payout</w:t>
            </w: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5"/>
              </w:rPr>
              <w:t>Fiscal 2016</w:t>
            </w: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20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1"/>
              </w:rPr>
              <w:t>(% of Target)</w:t>
            </w:r>
          </w:p>
        </w:tc>
        <w:tc>
          <w:tcPr>
            <w:tcW w:w="140" w:type="dxa"/>
            <w:vAlign w:val="bottom"/>
            <w:tcBorders>
              <w:bottom w:val="single" w:sz="8" w:color="auto"/>
            </w:tcBorders>
          </w:tcPr>
          <w:p>
            <w:pPr>
              <w:spacing w:after="0"/>
              <w:rPr>
                <w:sz w:val="14"/>
                <w:szCs w:val="14"/>
                <w:color w:val="auto"/>
              </w:rPr>
            </w:pPr>
          </w:p>
        </w:tc>
        <w:tc>
          <w:tcPr>
            <w:tcW w:w="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2"/>
          </w:tcPr>
          <w:p>
            <w:pPr>
              <w:jc w:val="center"/>
              <w:ind w:right="140"/>
              <w:spacing w:after="0" w:line="129" w:lineRule="exact"/>
              <w:rPr>
                <w:sz w:val="20"/>
                <w:szCs w:val="20"/>
                <w:color w:val="auto"/>
              </w:rPr>
            </w:pPr>
            <w:r>
              <w:rPr>
                <w:rFonts w:ascii="Arial" w:cs="Arial" w:eastAsia="Arial" w:hAnsi="Arial"/>
                <w:sz w:val="14"/>
                <w:szCs w:val="14"/>
                <w:b w:val="1"/>
                <w:bCs w:val="1"/>
                <w:color w:val="auto"/>
                <w:w w:val="88"/>
              </w:rPr>
              <w:t>Incentive</w:t>
            </w: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60" w:type="dxa"/>
            <w:vAlign w:val="bottom"/>
          </w:tcPr>
          <w:p>
            <w:pPr>
              <w:jc w:val="center"/>
              <w:ind w:left="50"/>
              <w:spacing w:after="0" w:line="129" w:lineRule="exact"/>
              <w:rPr>
                <w:sz w:val="20"/>
                <w:szCs w:val="20"/>
                <w:color w:val="auto"/>
              </w:rPr>
            </w:pPr>
            <w:r>
              <w:rPr>
                <w:rFonts w:ascii="Arial" w:cs="Arial" w:eastAsia="Arial" w:hAnsi="Arial"/>
                <w:sz w:val="14"/>
                <w:szCs w:val="14"/>
                <w:b w:val="1"/>
                <w:bCs w:val="1"/>
                <w:color w:val="auto"/>
                <w:w w:val="93"/>
              </w:rPr>
              <w:t>Non-GAAP</w:t>
            </w: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1"/>
              </w:rPr>
              <w:t>Opportunity at</w:t>
            </w:r>
          </w:p>
        </w:tc>
        <w:tc>
          <w:tcPr>
            <w:tcW w:w="7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340" w:type="dxa"/>
            <w:vAlign w:val="bottom"/>
            <w:gridSpan w:val="3"/>
          </w:tcPr>
          <w:p>
            <w:pPr>
              <w:jc w:val="center"/>
              <w:ind w:right="332"/>
              <w:spacing w:after="0" w:line="149" w:lineRule="exact"/>
              <w:rPr>
                <w:sz w:val="20"/>
                <w:szCs w:val="20"/>
                <w:color w:val="auto"/>
              </w:rPr>
            </w:pPr>
            <w:r>
              <w:rPr>
                <w:rFonts w:ascii="Arial" w:cs="Arial" w:eastAsia="Arial" w:hAnsi="Arial"/>
                <w:sz w:val="14"/>
                <w:szCs w:val="14"/>
                <w:b w:val="1"/>
                <w:bCs w:val="1"/>
                <w:color w:val="auto"/>
                <w:w w:val="88"/>
              </w:rPr>
              <w:t>Revenue Metric</w:t>
            </w:r>
          </w:p>
        </w:tc>
        <w:tc>
          <w:tcPr>
            <w:tcW w:w="60" w:type="dxa"/>
            <w:vAlign w:val="bottom"/>
          </w:tcPr>
          <w:p>
            <w:pPr>
              <w:spacing w:after="0"/>
              <w:rPr>
                <w:sz w:val="12"/>
                <w:szCs w:val="12"/>
                <w:color w:val="auto"/>
              </w:rPr>
            </w:pPr>
          </w:p>
        </w:tc>
        <w:tc>
          <w:tcPr>
            <w:tcW w:w="15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Operating Income</w:t>
            </w:r>
          </w:p>
        </w:tc>
        <w:tc>
          <w:tcPr>
            <w:tcW w:w="60" w:type="dxa"/>
            <w:vAlign w:val="bottom"/>
          </w:tcPr>
          <w:p>
            <w:pPr>
              <w:spacing w:after="0"/>
              <w:rPr>
                <w:sz w:val="12"/>
                <w:szCs w:val="12"/>
                <w:color w:val="auto"/>
              </w:rPr>
            </w:pPr>
          </w:p>
        </w:tc>
        <w:tc>
          <w:tcPr>
            <w:tcW w:w="18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Total Fiscal 2016 Annual</w:t>
            </w:r>
          </w:p>
        </w:tc>
        <w:tc>
          <w:tcPr>
            <w:tcW w:w="0" w:type="dxa"/>
            <w:vAlign w:val="bottom"/>
          </w:tcPr>
          <w:p>
            <w:pPr>
              <w:spacing w:after="0"/>
              <w:rPr>
                <w:sz w:val="1"/>
                <w:szCs w:val="1"/>
                <w:color w:val="auto"/>
              </w:rPr>
            </w:pPr>
          </w:p>
        </w:tc>
      </w:tr>
      <w:tr>
        <w:trPr>
          <w:trHeight w:val="149"/>
        </w:trPr>
        <w:tc>
          <w:tcPr>
            <w:tcW w:w="25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Executive</w:t>
            </w:r>
          </w:p>
        </w:tc>
        <w:tc>
          <w:tcPr>
            <w:tcW w:w="1280" w:type="dxa"/>
            <w:vAlign w:val="bottom"/>
          </w:tcPr>
          <w:p>
            <w:pPr>
              <w:spacing w:after="0"/>
              <w:rPr>
                <w:sz w:val="12"/>
                <w:szCs w:val="12"/>
                <w:color w:val="auto"/>
              </w:rPr>
            </w:pPr>
          </w:p>
        </w:tc>
        <w:tc>
          <w:tcPr>
            <w:tcW w:w="7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5"/>
              </w:rPr>
              <w:t>Fiscal 2016</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8"/>
              </w:rPr>
              <w:t>Target</w:t>
            </w:r>
          </w:p>
        </w:tc>
        <w:tc>
          <w:tcPr>
            <w:tcW w:w="7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80" w:type="dxa"/>
            <w:vAlign w:val="bottom"/>
            <w:gridSpan w:val="2"/>
          </w:tcPr>
          <w:p>
            <w:pPr>
              <w:jc w:val="center"/>
              <w:ind w:right="492"/>
              <w:spacing w:after="0" w:line="149" w:lineRule="exact"/>
              <w:rPr>
                <w:sz w:val="20"/>
                <w:szCs w:val="20"/>
                <w:color w:val="auto"/>
              </w:rPr>
            </w:pPr>
            <w:r>
              <w:rPr>
                <w:rFonts w:ascii="Arial" w:cs="Arial" w:eastAsia="Arial" w:hAnsi="Arial"/>
                <w:sz w:val="14"/>
                <w:szCs w:val="14"/>
                <w:b w:val="1"/>
                <w:bCs w:val="1"/>
                <w:color w:val="auto"/>
                <w:w w:val="85"/>
              </w:rPr>
              <w:t>Payout</w:t>
            </w:r>
          </w:p>
        </w:tc>
        <w:tc>
          <w:tcPr>
            <w:tcW w:w="60" w:type="dxa"/>
            <w:vAlign w:val="bottom"/>
          </w:tcPr>
          <w:p>
            <w:pPr>
              <w:spacing w:after="0"/>
              <w:rPr>
                <w:sz w:val="12"/>
                <w:szCs w:val="12"/>
                <w:color w:val="auto"/>
              </w:rPr>
            </w:pPr>
          </w:p>
        </w:tc>
        <w:tc>
          <w:tcPr>
            <w:tcW w:w="960" w:type="dxa"/>
            <w:vAlign w:val="bottom"/>
          </w:tcPr>
          <w:p>
            <w:pPr>
              <w:jc w:val="center"/>
              <w:ind w:left="50"/>
              <w:spacing w:after="0" w:line="149" w:lineRule="exact"/>
              <w:rPr>
                <w:sz w:val="20"/>
                <w:szCs w:val="20"/>
                <w:color w:val="auto"/>
              </w:rPr>
            </w:pPr>
            <w:r>
              <w:rPr>
                <w:rFonts w:ascii="Arial" w:cs="Arial" w:eastAsia="Arial" w:hAnsi="Arial"/>
                <w:sz w:val="14"/>
                <w:szCs w:val="14"/>
                <w:b w:val="1"/>
                <w:bCs w:val="1"/>
                <w:color w:val="auto"/>
                <w:w w:val="91"/>
              </w:rPr>
              <w:t>Metric Payout</w:t>
            </w: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80" w:type="dxa"/>
            <w:vAlign w:val="bottom"/>
            <w:gridSpan w:val="2"/>
          </w:tcPr>
          <w:p>
            <w:pPr>
              <w:jc w:val="right"/>
              <w:ind w:right="552"/>
              <w:spacing w:after="0" w:line="149" w:lineRule="exact"/>
              <w:rPr>
                <w:sz w:val="20"/>
                <w:szCs w:val="20"/>
                <w:color w:val="auto"/>
              </w:rPr>
            </w:pPr>
            <w:r>
              <w:rPr>
                <w:rFonts w:ascii="Arial" w:cs="Arial" w:eastAsia="Arial" w:hAnsi="Arial"/>
                <w:sz w:val="14"/>
                <w:szCs w:val="14"/>
                <w:b w:val="1"/>
                <w:bCs w:val="1"/>
                <w:color w:val="auto"/>
                <w:w w:val="91"/>
              </w:rPr>
              <w:t>Incentive Payout</w:t>
            </w:r>
          </w:p>
        </w:tc>
        <w:tc>
          <w:tcPr>
            <w:tcW w:w="0" w:type="dxa"/>
            <w:vAlign w:val="bottom"/>
          </w:tcPr>
          <w:p>
            <w:pPr>
              <w:spacing w:after="0"/>
              <w:rPr>
                <w:sz w:val="1"/>
                <w:szCs w:val="1"/>
                <w:color w:val="auto"/>
              </w:rPr>
            </w:pPr>
          </w:p>
        </w:tc>
      </w:tr>
      <w:tr>
        <w:trPr>
          <w:trHeight w:val="134"/>
        </w:trPr>
        <w:tc>
          <w:tcPr>
            <w:tcW w:w="2580" w:type="dxa"/>
            <w:vAlign w:val="bottom"/>
            <w:gridSpan w:val="2"/>
            <w:vMerge w:val="continue"/>
          </w:tcPr>
          <w:p>
            <w:pPr>
              <w:spacing w:after="0"/>
              <w:rPr>
                <w:sz w:val="11"/>
                <w:szCs w:val="11"/>
                <w:color w:val="auto"/>
              </w:rPr>
            </w:pPr>
          </w:p>
        </w:tc>
        <w:tc>
          <w:tcPr>
            <w:tcW w:w="1280" w:type="dxa"/>
            <w:vAlign w:val="bottom"/>
          </w:tcPr>
          <w:p>
            <w:pPr>
              <w:spacing w:after="0"/>
              <w:rPr>
                <w:sz w:val="11"/>
                <w:szCs w:val="11"/>
                <w:color w:val="auto"/>
              </w:rPr>
            </w:pPr>
          </w:p>
        </w:tc>
        <w:tc>
          <w:tcPr>
            <w:tcW w:w="760" w:type="dxa"/>
            <w:vAlign w:val="bottom"/>
            <w:gridSpan w:val="2"/>
          </w:tcPr>
          <w:p>
            <w:pPr>
              <w:jc w:val="center"/>
              <w:ind w:right="80"/>
              <w:spacing w:after="0" w:line="114" w:lineRule="exact"/>
              <w:rPr>
                <w:sz w:val="20"/>
                <w:szCs w:val="20"/>
                <w:color w:val="auto"/>
              </w:rPr>
            </w:pPr>
            <w:r>
              <w:rPr>
                <w:rFonts w:ascii="Arial" w:cs="Arial" w:eastAsia="Arial" w:hAnsi="Arial"/>
                <w:sz w:val="12"/>
                <w:szCs w:val="12"/>
                <w:b w:val="1"/>
                <w:bCs w:val="1"/>
                <w:color w:val="auto"/>
                <w:w w:val="99"/>
              </w:rPr>
              <w:t>Base Salary</w:t>
            </w:r>
          </w:p>
        </w:tc>
        <w:tc>
          <w:tcPr>
            <w:tcW w:w="80" w:type="dxa"/>
            <w:vAlign w:val="bottom"/>
          </w:tcPr>
          <w:p>
            <w:pPr>
              <w:spacing w:after="0"/>
              <w:rPr>
                <w:sz w:val="11"/>
                <w:szCs w:val="11"/>
                <w:color w:val="auto"/>
              </w:rPr>
            </w:pPr>
          </w:p>
        </w:tc>
        <w:tc>
          <w:tcPr>
            <w:tcW w:w="1140" w:type="dxa"/>
            <w:vAlign w:val="bottom"/>
            <w:gridSpan w:val="3"/>
          </w:tcPr>
          <w:p>
            <w:pPr>
              <w:ind w:left="20"/>
              <w:spacing w:after="0" w:line="114" w:lineRule="exact"/>
              <w:rPr>
                <w:sz w:val="20"/>
                <w:szCs w:val="20"/>
                <w:color w:val="auto"/>
              </w:rPr>
            </w:pPr>
            <w:r>
              <w:rPr>
                <w:rFonts w:ascii="Arial" w:cs="Arial" w:eastAsia="Arial" w:hAnsi="Arial"/>
                <w:sz w:val="12"/>
                <w:szCs w:val="12"/>
                <w:b w:val="1"/>
                <w:bCs w:val="1"/>
                <w:color w:val="auto"/>
              </w:rPr>
              <w:t>(% of Base Salary)</w:t>
            </w: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340" w:type="dxa"/>
            <w:vAlign w:val="bottom"/>
            <w:gridSpan w:val="3"/>
          </w:tcPr>
          <w:p>
            <w:pPr>
              <w:jc w:val="center"/>
              <w:ind w:right="352"/>
              <w:spacing w:after="0" w:line="114" w:lineRule="exact"/>
              <w:rPr>
                <w:sz w:val="20"/>
                <w:szCs w:val="20"/>
                <w:color w:val="auto"/>
              </w:rPr>
            </w:pPr>
            <w:r>
              <w:rPr>
                <w:rFonts w:ascii="Arial" w:cs="Arial" w:eastAsia="Arial" w:hAnsi="Arial"/>
                <w:sz w:val="12"/>
                <w:szCs w:val="12"/>
                <w:b w:val="1"/>
                <w:bCs w:val="1"/>
                <w:color w:val="auto"/>
              </w:rPr>
              <w:t>(% of Target)</w:t>
            </w:r>
          </w:p>
        </w:tc>
        <w:tc>
          <w:tcPr>
            <w:tcW w:w="60" w:type="dxa"/>
            <w:vAlign w:val="bottom"/>
          </w:tcPr>
          <w:p>
            <w:pPr>
              <w:spacing w:after="0"/>
              <w:rPr>
                <w:sz w:val="11"/>
                <w:szCs w:val="11"/>
                <w:color w:val="auto"/>
              </w:rPr>
            </w:pPr>
          </w:p>
        </w:tc>
        <w:tc>
          <w:tcPr>
            <w:tcW w:w="960" w:type="dxa"/>
            <w:vAlign w:val="bottom"/>
          </w:tcPr>
          <w:p>
            <w:pPr>
              <w:jc w:val="center"/>
              <w:ind w:left="70"/>
              <w:spacing w:after="0" w:line="114" w:lineRule="exact"/>
              <w:rPr>
                <w:sz w:val="20"/>
                <w:szCs w:val="20"/>
                <w:color w:val="auto"/>
              </w:rPr>
            </w:pPr>
            <w:r>
              <w:rPr>
                <w:rFonts w:ascii="Arial" w:cs="Arial" w:eastAsia="Arial" w:hAnsi="Arial"/>
                <w:sz w:val="12"/>
                <w:szCs w:val="12"/>
                <w:b w:val="1"/>
                <w:bCs w:val="1"/>
                <w:color w:val="auto"/>
              </w:rPr>
              <w:t>(% of Target)</w:t>
            </w: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680" w:type="dxa"/>
            <w:vAlign w:val="bottom"/>
            <w:gridSpan w:val="2"/>
          </w:tcPr>
          <w:p>
            <w:pPr>
              <w:jc w:val="right"/>
              <w:ind w:right="632"/>
              <w:spacing w:after="0" w:line="114" w:lineRule="exact"/>
              <w:rPr>
                <w:sz w:val="20"/>
                <w:szCs w:val="20"/>
                <w:color w:val="auto"/>
              </w:rPr>
            </w:pPr>
            <w:r>
              <w:rPr>
                <w:rFonts w:ascii="Arial" w:cs="Arial" w:eastAsia="Arial" w:hAnsi="Arial"/>
                <w:sz w:val="12"/>
                <w:szCs w:val="12"/>
                <w:b w:val="1"/>
                <w:bCs w:val="1"/>
                <w:color w:val="auto"/>
              </w:rPr>
              <w:t>(% of Target)</w:t>
            </w:r>
          </w:p>
        </w:tc>
        <w:tc>
          <w:tcPr>
            <w:tcW w:w="0" w:type="dxa"/>
            <w:vAlign w:val="bottom"/>
          </w:tcPr>
          <w:p>
            <w:pPr>
              <w:spacing w:after="0"/>
              <w:rPr>
                <w:sz w:val="1"/>
                <w:szCs w:val="1"/>
                <w:color w:val="auto"/>
              </w:rPr>
            </w:pPr>
          </w:p>
        </w:tc>
      </w:tr>
      <w:tr>
        <w:trPr>
          <w:trHeight w:val="20"/>
        </w:trPr>
        <w:tc>
          <w:tcPr>
            <w:tcW w:w="600" w:type="dxa"/>
            <w:vAlign w:val="bottom"/>
            <w:tcBorders>
              <w:top w:val="single" w:sz="8" w:color="auto"/>
              <w:bottom w:val="single" w:sz="8" w:color="CCEEFF"/>
            </w:tcBorders>
          </w:tcPr>
          <w:p>
            <w:pPr>
              <w:spacing w:after="0" w:line="20" w:lineRule="exact"/>
              <w:rPr>
                <w:sz w:val="1"/>
                <w:szCs w:val="1"/>
                <w:color w:val="auto"/>
              </w:rPr>
            </w:pPr>
          </w:p>
        </w:tc>
        <w:tc>
          <w:tcPr>
            <w:tcW w:w="1980" w:type="dxa"/>
            <w:vAlign w:val="bottom"/>
            <w:tcBorders>
              <w:bottom w:val="single" w:sz="8" w:color="CCEEFF"/>
            </w:tcBorders>
          </w:tcPr>
          <w:p>
            <w:pPr>
              <w:spacing w:after="0" w:line="20" w:lineRule="exact"/>
              <w:rPr>
                <w:sz w:val="1"/>
                <w:szCs w:val="1"/>
                <w:color w:val="auto"/>
              </w:rPr>
            </w:pPr>
          </w:p>
        </w:tc>
        <w:tc>
          <w:tcPr>
            <w:tcW w:w="128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5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color w:val="auto"/>
              </w:rPr>
              <w:t>Dr. Sehat Sutardja</w:t>
            </w:r>
          </w:p>
        </w:tc>
        <w:tc>
          <w:tcPr>
            <w:tcW w:w="1280" w:type="dxa"/>
            <w:vAlign w:val="bottom"/>
            <w:shd w:val="clear" w:color="auto" w:fill="CCEEFF"/>
          </w:tcPr>
          <w:p>
            <w:pPr>
              <w:spacing w:after="0"/>
              <w:rPr>
                <w:sz w:val="17"/>
                <w:szCs w:val="17"/>
                <w:color w:val="auto"/>
              </w:rPr>
            </w:pPr>
          </w:p>
        </w:tc>
        <w:tc>
          <w:tcPr>
            <w:tcW w:w="680" w:type="dxa"/>
            <w:vAlign w:val="bottom"/>
            <w:shd w:val="clear" w:color="auto" w:fill="CCEEFF"/>
          </w:tcPr>
          <w:p>
            <w:pPr>
              <w:jc w:val="center"/>
              <w:spacing w:after="0" w:line="196" w:lineRule="exact"/>
              <w:rPr>
                <w:sz w:val="20"/>
                <w:szCs w:val="20"/>
                <w:color w:val="auto"/>
              </w:rPr>
            </w:pPr>
            <w:r>
              <w:rPr>
                <w:rFonts w:ascii="Arial" w:cs="Arial" w:eastAsia="Arial" w:hAnsi="Arial"/>
                <w:sz w:val="18"/>
                <w:szCs w:val="18"/>
                <w:color w:val="auto"/>
                <w:w w:val="84"/>
              </w:rPr>
              <w:t>$ 980,000</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1,102,500</w:t>
            </w:r>
          </w:p>
        </w:tc>
        <w:tc>
          <w:tcPr>
            <w:tcW w:w="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w w:val="95"/>
              </w:rPr>
              <w:t>(112.5%)</w:t>
            </w:r>
          </w:p>
        </w:tc>
        <w:tc>
          <w:tcPr>
            <w:tcW w:w="60" w:type="dxa"/>
            <w:vAlign w:val="bottom"/>
            <w:shd w:val="clear" w:color="auto" w:fill="CCEEFF"/>
          </w:tcPr>
          <w:p>
            <w:pPr>
              <w:spacing w:after="0"/>
              <w:rPr>
                <w:sz w:val="17"/>
                <w:szCs w:val="17"/>
                <w:color w:val="auto"/>
              </w:rPr>
            </w:pPr>
          </w:p>
        </w:tc>
        <w:tc>
          <w:tcPr>
            <w:tcW w:w="160" w:type="dxa"/>
            <w:vAlign w:val="bottom"/>
            <w:shd w:val="clear" w:color="auto" w:fill="CCEEFF"/>
          </w:tcPr>
          <w:p>
            <w:pPr>
              <w:jc w:val="right"/>
              <w:ind w:right="11"/>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w:t>
            </w:r>
          </w:p>
        </w:tc>
        <w:tc>
          <w:tcPr>
            <w:tcW w:w="4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(0%)</w:t>
            </w:r>
          </w:p>
        </w:tc>
        <w:tc>
          <w:tcPr>
            <w:tcW w:w="6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0</w:t>
            </w:r>
          </w:p>
        </w:tc>
        <w:tc>
          <w:tcPr>
            <w:tcW w:w="4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84"/>
              </w:rPr>
              <w:t>(0%)</w:t>
            </w:r>
          </w:p>
        </w:tc>
        <w:tc>
          <w:tcPr>
            <w:tcW w:w="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t>
            </w:r>
          </w:p>
        </w:tc>
        <w:tc>
          <w:tcPr>
            <w:tcW w:w="12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w:t>
            </w:r>
          </w:p>
        </w:tc>
        <w:tc>
          <w:tcPr>
            <w:tcW w:w="4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84"/>
              </w:rPr>
              <w:t>(0%)</w:t>
            </w:r>
          </w:p>
        </w:tc>
        <w:tc>
          <w:tcPr>
            <w:tcW w:w="0" w:type="dxa"/>
            <w:vAlign w:val="bottom"/>
          </w:tcPr>
          <w:p>
            <w:pPr>
              <w:spacing w:after="0"/>
              <w:rPr>
                <w:sz w:val="1"/>
                <w:szCs w:val="1"/>
                <w:color w:val="auto"/>
              </w:rPr>
            </w:pPr>
          </w:p>
        </w:tc>
      </w:tr>
      <w:tr>
        <w:trPr>
          <w:trHeight w:val="216"/>
        </w:trPr>
        <w:tc>
          <w:tcPr>
            <w:tcW w:w="258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2040" w:type="dxa"/>
            <w:vAlign w:val="bottom"/>
            <w:gridSpan w:val="3"/>
          </w:tcPr>
          <w:p>
            <w:pPr>
              <w:jc w:val="center"/>
              <w:ind w:left="1112"/>
              <w:spacing w:after="0"/>
              <w:rPr>
                <w:sz w:val="20"/>
                <w:szCs w:val="20"/>
                <w:color w:val="auto"/>
              </w:rPr>
            </w:pPr>
            <w:r>
              <w:rPr>
                <w:rFonts w:ascii="Arial" w:cs="Arial" w:eastAsia="Arial" w:hAnsi="Arial"/>
                <w:sz w:val="18"/>
                <w:szCs w:val="18"/>
                <w:color w:val="auto"/>
                <w:w w:val="84"/>
              </w:rPr>
              <w:t>$ 650,000</w:t>
            </w:r>
          </w:p>
        </w:tc>
        <w:tc>
          <w:tcPr>
            <w:tcW w:w="180" w:type="dxa"/>
            <w:vAlign w:val="bottom"/>
            <w:gridSpan w:val="2"/>
          </w:tcPr>
          <w:p>
            <w:pPr>
              <w:ind w:left="80"/>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390,000</w:t>
            </w:r>
          </w:p>
        </w:tc>
        <w:tc>
          <w:tcPr>
            <w:tcW w:w="720" w:type="dxa"/>
            <w:vAlign w:val="bottom"/>
          </w:tcPr>
          <w:p>
            <w:pPr>
              <w:spacing w:after="0"/>
              <w:rPr>
                <w:sz w:val="20"/>
                <w:szCs w:val="20"/>
                <w:color w:val="auto"/>
              </w:rPr>
            </w:pPr>
            <w:r>
              <w:rPr>
                <w:rFonts w:ascii="Arial" w:cs="Arial" w:eastAsia="Arial" w:hAnsi="Arial"/>
                <w:sz w:val="18"/>
                <w:szCs w:val="18"/>
                <w:color w:val="auto"/>
              </w:rPr>
              <w:t>(60%)</w:t>
            </w:r>
          </w:p>
        </w:tc>
        <w:tc>
          <w:tcPr>
            <w:tcW w:w="220" w:type="dxa"/>
            <w:vAlign w:val="bottom"/>
            <w:gridSpan w:val="2"/>
          </w:tcPr>
          <w:p>
            <w:pPr>
              <w:jc w:val="right"/>
              <w:ind w:right="11"/>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0 (0%)</w:t>
            </w:r>
          </w:p>
        </w:tc>
        <w:tc>
          <w:tcPr>
            <w:tcW w:w="10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w w:val="86"/>
              </w:rPr>
              <w:t>0 (0%)</w:t>
            </w:r>
          </w:p>
        </w:tc>
        <w:tc>
          <w:tcPr>
            <w:tcW w:w="2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0 (0%)</w:t>
            </w:r>
          </w:p>
        </w:tc>
        <w:tc>
          <w:tcPr>
            <w:tcW w:w="0" w:type="dxa"/>
            <w:vAlign w:val="bottom"/>
          </w:tcPr>
          <w:p>
            <w:pPr>
              <w:spacing w:after="0"/>
              <w:rPr>
                <w:sz w:val="1"/>
                <w:szCs w:val="1"/>
                <w:color w:val="auto"/>
              </w:rPr>
            </w:pPr>
          </w:p>
        </w:tc>
      </w:tr>
      <w:tr>
        <w:trPr>
          <w:trHeight w:val="216"/>
        </w:trPr>
        <w:tc>
          <w:tcPr>
            <w:tcW w:w="2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2040" w:type="dxa"/>
            <w:vAlign w:val="bottom"/>
            <w:gridSpan w:val="3"/>
            <w:shd w:val="clear" w:color="auto" w:fill="CCEEFF"/>
          </w:tcPr>
          <w:p>
            <w:pPr>
              <w:jc w:val="center"/>
              <w:ind w:left="1112"/>
              <w:spacing w:after="0"/>
              <w:rPr>
                <w:sz w:val="20"/>
                <w:szCs w:val="20"/>
                <w:color w:val="auto"/>
              </w:rPr>
            </w:pPr>
            <w:r>
              <w:rPr>
                <w:rFonts w:ascii="Arial" w:cs="Arial" w:eastAsia="Arial" w:hAnsi="Arial"/>
                <w:sz w:val="18"/>
                <w:szCs w:val="18"/>
                <w:color w:val="auto"/>
                <w:w w:val="84"/>
              </w:rPr>
              <w:t>$ 435,000</w:t>
            </w:r>
          </w:p>
        </w:tc>
        <w:tc>
          <w:tcPr>
            <w:tcW w:w="18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163,125</w:t>
            </w:r>
          </w:p>
        </w:tc>
        <w:tc>
          <w:tcPr>
            <w:tcW w:w="720" w:type="dxa"/>
            <w:vAlign w:val="bottom"/>
            <w:shd w:val="clear" w:color="auto" w:fill="CCEEFF"/>
          </w:tcPr>
          <w:p>
            <w:pPr>
              <w:spacing w:after="0"/>
              <w:rPr>
                <w:sz w:val="20"/>
                <w:szCs w:val="20"/>
                <w:color w:val="auto"/>
              </w:rPr>
            </w:pPr>
            <w:r>
              <w:rPr>
                <w:rFonts w:ascii="Arial" w:cs="Arial" w:eastAsia="Arial" w:hAnsi="Arial"/>
                <w:sz w:val="18"/>
                <w:szCs w:val="18"/>
                <w:color w:val="auto"/>
              </w:rPr>
              <w:t>(37.5%)</w:t>
            </w:r>
          </w:p>
        </w:tc>
        <w:tc>
          <w:tcPr>
            <w:tcW w:w="220" w:type="dxa"/>
            <w:vAlign w:val="bottom"/>
            <w:gridSpan w:val="2"/>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 (0%)</w:t>
            </w:r>
          </w:p>
        </w:tc>
        <w:tc>
          <w:tcPr>
            <w:tcW w:w="10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0 (0%)</w:t>
            </w:r>
          </w:p>
        </w:tc>
        <w:tc>
          <w:tcPr>
            <w:tcW w:w="2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 (0%)</w:t>
            </w:r>
          </w:p>
        </w:tc>
        <w:tc>
          <w:tcPr>
            <w:tcW w:w="0" w:type="dxa"/>
            <w:vAlign w:val="bottom"/>
          </w:tcPr>
          <w:p>
            <w:pPr>
              <w:spacing w:after="0"/>
              <w:rPr>
                <w:sz w:val="1"/>
                <w:szCs w:val="1"/>
                <w:color w:val="auto"/>
              </w:rPr>
            </w:pPr>
          </w:p>
        </w:tc>
      </w:tr>
      <w:tr>
        <w:trPr>
          <w:trHeight w:val="363"/>
        </w:trPr>
        <w:tc>
          <w:tcPr>
            <w:tcW w:w="6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129</w:t>
            </w: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ECC will continue to review non-equity incentive opportunities relative to the difficulty of plan goals and affordability of payouts relative to financial performance.</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2016 Long-Term Incentive (“LTI”) Awards (Equity)</w:t>
      </w:r>
    </w:p>
    <w:p>
      <w:pPr>
        <w:spacing w:after="0" w:line="90"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Our executive compensation packages are designed to ensure that a substantial portion of compensation is linked to incentivizing and rewarding increases in our market capitalization as a result of sustained share price growth. For fiscal 2016, and in response to shareholder feedback, the ECC decided to accomplish this objective by granting equity awards to named executive officers as follows:</w:t>
      </w:r>
    </w:p>
    <w:p>
      <w:pPr>
        <w:spacing w:after="0" w:line="59" w:lineRule="exact"/>
        <w:rPr>
          <w:sz w:val="20"/>
          <w:szCs w:val="20"/>
          <w:color w:val="auto"/>
        </w:rPr>
      </w:pPr>
    </w:p>
    <w:p>
      <w:pPr>
        <w:ind w:left="900" w:right="140" w:hanging="325"/>
        <w:spacing w:after="0" w:line="259"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Approximately 75% as performance-based RSUs and performance awards with equal potential vesting tranches on April 1, 2016 subject to the achievement of pre-determined fiscal 2016 company and individual strategic performance goals, and on April 1, 2017 subject to the achievement of 2-fiscal year relative total shareholder return (TSR) goals; and</w:t>
      </w:r>
    </w:p>
    <w:p>
      <w:pPr>
        <w:spacing w:after="0" w:line="59"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Approximately 25% as stock options with equal vesting on each of April 1, 2018 and April 1, 2019.</w:t>
      </w:r>
    </w:p>
    <w:p>
      <w:pPr>
        <w:spacing w:after="0" w:line="171" w:lineRule="exact"/>
        <w:rPr>
          <w:sz w:val="20"/>
          <w:szCs w:val="20"/>
          <w:color w:val="auto"/>
        </w:rPr>
      </w:pPr>
    </w:p>
    <w:p>
      <w:pPr>
        <w:ind w:right="120" w:firstLine="456"/>
        <w:spacing w:after="0" w:line="335" w:lineRule="auto"/>
        <w:rPr>
          <w:sz w:val="20"/>
          <w:szCs w:val="20"/>
          <w:color w:val="auto"/>
        </w:rPr>
      </w:pPr>
      <w:r>
        <w:rPr>
          <w:rFonts w:ascii="Arial" w:cs="Arial" w:eastAsia="Arial" w:hAnsi="Arial"/>
          <w:sz w:val="15"/>
          <w:szCs w:val="15"/>
          <w:color w:val="auto"/>
        </w:rPr>
        <w:t>Each of the foregoing stock options, performance-based RSUs and performance awards were made pursuant to the 1995 Stock Plan. The performance-based RSUs and performance awards were granted on April 30, 2015, and stock option awards were granted on June 24, 2015. The exercise price of each stock option award was equal to $14.35, the closing price of our common stock as reported on the NASDAQ Global Select Market on June 24, 2015, the date of grant.</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tables below provide the number of shares underlying the equity awards described above.</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120" w:type="dxa"/>
            <w:vAlign w:val="bottom"/>
            <w:gridSpan w:val="4"/>
          </w:tcPr>
          <w:p>
            <w:pPr>
              <w:jc w:val="center"/>
              <w:ind w:right="320"/>
              <w:spacing w:after="0"/>
              <w:rPr>
                <w:sz w:val="20"/>
                <w:szCs w:val="20"/>
                <w:color w:val="auto"/>
              </w:rPr>
            </w:pPr>
            <w:r>
              <w:rPr>
                <w:rFonts w:ascii="Arial" w:cs="Arial" w:eastAsia="Arial" w:hAnsi="Arial"/>
                <w:sz w:val="14"/>
                <w:szCs w:val="14"/>
                <w:b w:val="1"/>
                <w:bCs w:val="1"/>
                <w:color w:val="auto"/>
                <w:w w:val="86"/>
              </w:rPr>
              <w:t>Performance-based RSUs</w:t>
            </w:r>
          </w:p>
        </w:tc>
        <w:tc>
          <w:tcPr>
            <w:tcW w:w="6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120" w:type="dxa"/>
            <w:vAlign w:val="bottom"/>
            <w:gridSpan w:val="4"/>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and Performance Awards</w:t>
            </w:r>
          </w:p>
        </w:tc>
        <w:tc>
          <w:tcPr>
            <w:tcW w:w="6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120" w:type="dxa"/>
            <w:vAlign w:val="bottom"/>
            <w:gridSpan w:val="4"/>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at Target Performance</w:t>
            </w:r>
          </w:p>
        </w:tc>
        <w:tc>
          <w:tcPr>
            <w:tcW w:w="6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460" w:type="dxa"/>
            <w:vAlign w:val="bottom"/>
            <w:gridSpan w:val="3"/>
          </w:tcPr>
          <w:p>
            <w:pPr>
              <w:jc w:val="center"/>
              <w:ind w:right="980"/>
              <w:spacing w:after="0"/>
              <w:rPr>
                <w:sz w:val="20"/>
                <w:szCs w:val="20"/>
                <w:color w:val="auto"/>
              </w:rPr>
            </w:pPr>
            <w:r>
              <w:rPr>
                <w:rFonts w:ascii="Arial" w:cs="Arial" w:eastAsia="Arial" w:hAnsi="Arial"/>
                <w:sz w:val="14"/>
                <w:szCs w:val="14"/>
                <w:b w:val="1"/>
                <w:bCs w:val="1"/>
                <w:color w:val="auto"/>
                <w:w w:val="82"/>
              </w:rPr>
              <w:t>Levels</w:t>
            </w:r>
          </w:p>
        </w:tc>
        <w:tc>
          <w:tcPr>
            <w:tcW w:w="2140" w:type="dxa"/>
            <w:vAlign w:val="bottom"/>
            <w:gridSpan w:val="6"/>
          </w:tcPr>
          <w:p>
            <w:pPr>
              <w:ind w:left="500"/>
              <w:spacing w:after="0"/>
              <w:rPr>
                <w:sz w:val="20"/>
                <w:szCs w:val="20"/>
                <w:color w:val="auto"/>
              </w:rPr>
            </w:pPr>
            <w:r>
              <w:rPr>
                <w:rFonts w:ascii="Arial" w:cs="Arial" w:eastAsia="Arial" w:hAnsi="Arial"/>
                <w:sz w:val="14"/>
                <w:szCs w:val="14"/>
                <w:b w:val="1"/>
                <w:bCs w:val="1"/>
                <w:color w:val="auto"/>
              </w:rPr>
              <w:t>Stock Options</w:t>
            </w:r>
          </w:p>
        </w:tc>
        <w:tc>
          <w:tcPr>
            <w:tcW w:w="140" w:type="dxa"/>
            <w:vAlign w:val="bottom"/>
          </w:tcPr>
          <w:p>
            <w:pPr>
              <w:spacing w:after="0"/>
              <w:rPr>
                <w:sz w:val="14"/>
                <w:szCs w:val="14"/>
                <w:color w:val="auto"/>
              </w:rPr>
            </w:pPr>
          </w:p>
        </w:tc>
        <w:tc>
          <w:tcPr>
            <w:tcW w:w="8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4600" w:type="dxa"/>
            <w:vAlign w:val="bottom"/>
            <w:gridSpan w:val="2"/>
            <w:vMerge w:val="restart"/>
          </w:tcPr>
          <w:p>
            <w:pPr>
              <w:spacing w:after="0"/>
              <w:rPr>
                <w:sz w:val="11"/>
                <w:szCs w:val="11"/>
                <w:color w:val="auto"/>
              </w:rPr>
            </w:pPr>
          </w:p>
        </w:tc>
        <w:tc>
          <w:tcPr>
            <w:tcW w:w="960" w:type="dxa"/>
            <w:vAlign w:val="bottom"/>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2"/>
              </w:rPr>
              <w:t>Grant Date</w:t>
            </w:r>
          </w:p>
        </w:tc>
        <w:tc>
          <w:tcPr>
            <w:tcW w:w="320" w:type="dxa"/>
            <w:vAlign w:val="bottom"/>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jc w:val="right"/>
              <w:ind w:right="80"/>
              <w:spacing w:after="0" w:line="129" w:lineRule="exact"/>
              <w:rPr>
                <w:sz w:val="20"/>
                <w:szCs w:val="20"/>
                <w:color w:val="auto"/>
              </w:rPr>
            </w:pPr>
            <w:r>
              <w:rPr>
                <w:rFonts w:ascii="Arial" w:cs="Arial" w:eastAsia="Arial" w:hAnsi="Arial"/>
                <w:sz w:val="14"/>
                <w:szCs w:val="14"/>
                <w:b w:val="1"/>
                <w:bCs w:val="1"/>
                <w:color w:val="auto"/>
                <w:w w:val="89"/>
              </w:rPr>
              <w:t>Grant Date</w:t>
            </w: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4600" w:type="dxa"/>
            <w:vAlign w:val="bottom"/>
            <w:gridSpan w:val="2"/>
            <w:vMerge w:val="continue"/>
          </w:tcPr>
          <w:p>
            <w:pPr>
              <w:spacing w:after="0"/>
              <w:rPr>
                <w:sz w:val="14"/>
                <w:szCs w:val="14"/>
                <w:color w:val="auto"/>
              </w:rPr>
            </w:pPr>
          </w:p>
        </w:tc>
        <w:tc>
          <w:tcPr>
            <w:tcW w:w="960" w:type="dxa"/>
            <w:vAlign w:val="bottom"/>
          </w:tcPr>
          <w:p>
            <w:pPr>
              <w:spacing w:after="0"/>
              <w:rPr>
                <w:sz w:val="14"/>
                <w:szCs w:val="14"/>
                <w:color w:val="auto"/>
              </w:rPr>
            </w:pPr>
          </w:p>
        </w:tc>
        <w:tc>
          <w:tcPr>
            <w:tcW w:w="660" w:type="dxa"/>
            <w:vAlign w:val="bottom"/>
          </w:tcPr>
          <w:p>
            <w:pPr>
              <w:ind w:left="80"/>
              <w:spacing w:after="0" w:line="148" w:lineRule="exact"/>
              <w:rPr>
                <w:sz w:val="20"/>
                <w:szCs w:val="20"/>
                <w:color w:val="auto"/>
              </w:rPr>
            </w:pPr>
            <w:r>
              <w:rPr>
                <w:rFonts w:ascii="Arial" w:cs="Arial" w:eastAsia="Arial" w:hAnsi="Arial"/>
                <w:sz w:val="14"/>
                <w:szCs w:val="14"/>
                <w:b w:val="1"/>
                <w:bCs w:val="1"/>
                <w:color w:val="auto"/>
              </w:rPr>
              <w:t>Number</w:t>
            </w:r>
          </w:p>
        </w:tc>
        <w:tc>
          <w:tcPr>
            <w:tcW w:w="300" w:type="dxa"/>
            <w:vAlign w:val="bottom"/>
          </w:tcPr>
          <w:p>
            <w:pPr>
              <w:spacing w:after="0"/>
              <w:rPr>
                <w:sz w:val="14"/>
                <w:szCs w:val="14"/>
                <w:color w:val="auto"/>
              </w:rPr>
            </w:pPr>
          </w:p>
        </w:tc>
        <w:tc>
          <w:tcPr>
            <w:tcW w:w="1160" w:type="dxa"/>
            <w:vAlign w:val="bottom"/>
            <w:gridSpan w:val="2"/>
          </w:tcPr>
          <w:p>
            <w:pPr>
              <w:jc w:val="center"/>
              <w:ind w:right="320"/>
              <w:spacing w:after="0" w:line="148" w:lineRule="exact"/>
              <w:rPr>
                <w:sz w:val="20"/>
                <w:szCs w:val="20"/>
                <w:color w:val="auto"/>
              </w:rPr>
            </w:pPr>
            <w:r>
              <w:rPr>
                <w:rFonts w:ascii="Arial" w:cs="Arial" w:eastAsia="Arial" w:hAnsi="Arial"/>
                <w:sz w:val="14"/>
                <w:szCs w:val="14"/>
                <w:b w:val="1"/>
                <w:bCs w:val="1"/>
                <w:color w:val="auto"/>
                <w:w w:val="89"/>
              </w:rPr>
              <w:t>Fair Value</w:t>
            </w:r>
          </w:p>
        </w:tc>
        <w:tc>
          <w:tcPr>
            <w:tcW w:w="980" w:type="dxa"/>
            <w:vAlign w:val="bottom"/>
            <w:gridSpan w:val="2"/>
          </w:tcPr>
          <w:p>
            <w:pPr>
              <w:ind w:left="100"/>
              <w:spacing w:after="0" w:line="148" w:lineRule="exact"/>
              <w:rPr>
                <w:sz w:val="20"/>
                <w:szCs w:val="20"/>
                <w:color w:val="auto"/>
              </w:rPr>
            </w:pPr>
            <w:r>
              <w:rPr>
                <w:rFonts w:ascii="Arial" w:cs="Arial" w:eastAsia="Arial" w:hAnsi="Arial"/>
                <w:sz w:val="14"/>
                <w:szCs w:val="14"/>
                <w:b w:val="1"/>
                <w:bCs w:val="1"/>
                <w:color w:val="auto"/>
              </w:rPr>
              <w:t>Number</w:t>
            </w:r>
          </w:p>
        </w:tc>
        <w:tc>
          <w:tcPr>
            <w:tcW w:w="100" w:type="dxa"/>
            <w:vAlign w:val="bottom"/>
          </w:tcPr>
          <w:p>
            <w:pPr>
              <w:spacing w:after="0"/>
              <w:rPr>
                <w:sz w:val="14"/>
                <w:szCs w:val="14"/>
                <w:color w:val="auto"/>
              </w:rPr>
            </w:pPr>
          </w:p>
        </w:tc>
        <w:tc>
          <w:tcPr>
            <w:tcW w:w="1060" w:type="dxa"/>
            <w:vAlign w:val="bottom"/>
            <w:gridSpan w:val="3"/>
          </w:tcPr>
          <w:p>
            <w:pPr>
              <w:jc w:val="right"/>
              <w:ind w:right="440"/>
              <w:spacing w:after="0" w:line="148" w:lineRule="exact"/>
              <w:rPr>
                <w:sz w:val="20"/>
                <w:szCs w:val="20"/>
                <w:color w:val="auto"/>
              </w:rPr>
            </w:pPr>
            <w:r>
              <w:rPr>
                <w:rFonts w:ascii="Arial" w:cs="Arial" w:eastAsia="Arial" w:hAnsi="Arial"/>
                <w:sz w:val="14"/>
                <w:szCs w:val="14"/>
                <w:b w:val="1"/>
                <w:bCs w:val="1"/>
                <w:color w:val="auto"/>
                <w:w w:val="89"/>
              </w:rPr>
              <w:t>Fair Value</w:t>
            </w:r>
          </w:p>
        </w:tc>
        <w:tc>
          <w:tcPr>
            <w:tcW w:w="140" w:type="dxa"/>
            <w:vAlign w:val="bottom"/>
          </w:tcPr>
          <w:p>
            <w:pPr>
              <w:spacing w:after="0"/>
              <w:rPr>
                <w:sz w:val="14"/>
                <w:szCs w:val="14"/>
                <w:color w:val="auto"/>
              </w:rPr>
            </w:pPr>
          </w:p>
        </w:tc>
        <w:tc>
          <w:tcPr>
            <w:tcW w:w="860" w:type="dxa"/>
            <w:vAlign w:val="bottom"/>
            <w:gridSpan w:val="2"/>
          </w:tcPr>
          <w:p>
            <w:pPr>
              <w:ind w:left="140"/>
              <w:spacing w:after="0" w:line="148" w:lineRule="exact"/>
              <w:rPr>
                <w:sz w:val="20"/>
                <w:szCs w:val="20"/>
                <w:color w:val="auto"/>
              </w:rPr>
            </w:pPr>
            <w:r>
              <w:rPr>
                <w:rFonts w:ascii="Arial" w:cs="Arial" w:eastAsia="Arial" w:hAnsi="Arial"/>
                <w:sz w:val="14"/>
                <w:szCs w:val="14"/>
                <w:b w:val="1"/>
                <w:bCs w:val="1"/>
                <w:color w:val="auto"/>
              </w:rPr>
              <w:t>Value</w:t>
            </w:r>
          </w:p>
        </w:tc>
        <w:tc>
          <w:tcPr>
            <w:tcW w:w="0" w:type="dxa"/>
            <w:vAlign w:val="bottom"/>
          </w:tcPr>
          <w:p>
            <w:pPr>
              <w:spacing w:after="0"/>
              <w:rPr>
                <w:sz w:val="1"/>
                <w:szCs w:val="1"/>
                <w:color w:val="auto"/>
              </w:rPr>
            </w:pPr>
          </w:p>
        </w:tc>
      </w:tr>
      <w:tr>
        <w:trPr>
          <w:trHeight w:val="203"/>
        </w:trPr>
        <w:tc>
          <w:tcPr>
            <w:tcW w:w="520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ind w:left="80"/>
              <w:spacing w:after="0" w:line="203" w:lineRule="exact"/>
              <w:rPr>
                <w:sz w:val="20"/>
                <w:szCs w:val="20"/>
                <w:color w:val="auto"/>
              </w:rPr>
            </w:pPr>
            <w:r>
              <w:rPr>
                <w:rFonts w:ascii="Arial" w:cs="Arial" w:eastAsia="Arial" w:hAnsi="Arial"/>
                <w:sz w:val="18"/>
                <w:szCs w:val="18"/>
                <w:color w:val="auto"/>
                <w:w w:val="86"/>
              </w:rPr>
              <w:t>444,939</w:t>
            </w:r>
          </w:p>
        </w:tc>
        <w:tc>
          <w:tcPr>
            <w:tcW w:w="30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$ 5,831,951</w:t>
            </w:r>
          </w:p>
        </w:tc>
        <w:tc>
          <w:tcPr>
            <w:tcW w:w="32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ind w:left="100"/>
              <w:spacing w:after="0" w:line="203" w:lineRule="exact"/>
              <w:rPr>
                <w:sz w:val="20"/>
                <w:szCs w:val="20"/>
                <w:color w:val="auto"/>
              </w:rPr>
            </w:pPr>
            <w:r>
              <w:rPr>
                <w:rFonts w:ascii="Arial" w:cs="Arial" w:eastAsia="Arial" w:hAnsi="Arial"/>
                <w:sz w:val="18"/>
                <w:szCs w:val="18"/>
                <w:color w:val="auto"/>
                <w:w w:val="82"/>
              </w:rPr>
              <w:t>458,856</w:t>
            </w: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1,823,677</w:t>
            </w:r>
          </w:p>
        </w:tc>
        <w:tc>
          <w:tcPr>
            <w:tcW w:w="3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7,655,628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00" w:type="dxa"/>
            <w:vAlign w:val="bottom"/>
            <w:gridSpan w:val="3"/>
          </w:tcPr>
          <w:p>
            <w:pPr>
              <w:spacing w:after="0"/>
              <w:rPr>
                <w:sz w:val="20"/>
                <w:szCs w:val="20"/>
                <w:color w:val="auto"/>
              </w:rPr>
            </w:pPr>
            <w:r>
              <w:rPr>
                <w:rFonts w:ascii="Arial" w:cs="Arial" w:eastAsia="Arial" w:hAnsi="Arial"/>
                <w:sz w:val="18"/>
                <w:szCs w:val="18"/>
                <w:color w:val="auto"/>
              </w:rPr>
              <w:t>Ms. Weili Dai</w:t>
            </w:r>
          </w:p>
        </w:tc>
        <w:tc>
          <w:tcPr>
            <w:tcW w:w="1620" w:type="dxa"/>
            <w:vAlign w:val="bottom"/>
            <w:gridSpan w:val="2"/>
          </w:tcPr>
          <w:p>
            <w:pPr>
              <w:ind w:left="1040"/>
              <w:spacing w:after="0"/>
              <w:rPr>
                <w:sz w:val="20"/>
                <w:szCs w:val="20"/>
                <w:color w:val="auto"/>
              </w:rPr>
            </w:pPr>
            <w:r>
              <w:rPr>
                <w:rFonts w:ascii="Arial" w:cs="Arial" w:eastAsia="Arial" w:hAnsi="Arial"/>
                <w:sz w:val="18"/>
                <w:szCs w:val="18"/>
                <w:color w:val="auto"/>
                <w:w w:val="86"/>
              </w:rPr>
              <w:t>247,066</w:t>
            </w:r>
          </w:p>
        </w:tc>
        <w:tc>
          <w:tcPr>
            <w:tcW w:w="1140" w:type="dxa"/>
            <w:vAlign w:val="bottom"/>
            <w:gridSpan w:val="2"/>
          </w:tcPr>
          <w:p>
            <w:pPr>
              <w:jc w:val="center"/>
              <w:ind w:left="219"/>
              <w:spacing w:after="0"/>
              <w:rPr>
                <w:sz w:val="20"/>
                <w:szCs w:val="20"/>
                <w:color w:val="auto"/>
              </w:rPr>
            </w:pPr>
            <w:r>
              <w:rPr>
                <w:rFonts w:ascii="Arial" w:cs="Arial" w:eastAsia="Arial" w:hAnsi="Arial"/>
                <w:sz w:val="18"/>
                <w:szCs w:val="18"/>
                <w:color w:val="auto"/>
                <w:w w:val="88"/>
              </w:rPr>
              <w:t>$ 3,243,796</w:t>
            </w:r>
          </w:p>
        </w:tc>
        <w:tc>
          <w:tcPr>
            <w:tcW w:w="320" w:type="dxa"/>
            <w:vAlign w:val="bottom"/>
          </w:tcPr>
          <w:p>
            <w:pPr>
              <w:spacing w:after="0"/>
              <w:rPr>
                <w:sz w:val="18"/>
                <w:szCs w:val="18"/>
                <w:color w:val="auto"/>
              </w:rPr>
            </w:pPr>
          </w:p>
        </w:tc>
        <w:tc>
          <w:tcPr>
            <w:tcW w:w="980" w:type="dxa"/>
            <w:vAlign w:val="bottom"/>
            <w:gridSpan w:val="2"/>
          </w:tcPr>
          <w:p>
            <w:pPr>
              <w:ind w:left="100"/>
              <w:spacing w:after="0"/>
              <w:rPr>
                <w:sz w:val="20"/>
                <w:szCs w:val="20"/>
                <w:color w:val="auto"/>
              </w:rPr>
            </w:pPr>
            <w:r>
              <w:rPr>
                <w:rFonts w:ascii="Arial" w:cs="Arial" w:eastAsia="Arial" w:hAnsi="Arial"/>
                <w:sz w:val="18"/>
                <w:szCs w:val="18"/>
                <w:color w:val="auto"/>
              </w:rPr>
              <w:t>254,920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3"/>
          </w:tcPr>
          <w:p>
            <w:pPr>
              <w:jc w:val="right"/>
              <w:ind w:right="300"/>
              <w:spacing w:after="0"/>
              <w:rPr>
                <w:sz w:val="20"/>
                <w:szCs w:val="20"/>
                <w:color w:val="auto"/>
              </w:rPr>
            </w:pPr>
            <w:r>
              <w:rPr>
                <w:rFonts w:ascii="Arial" w:cs="Arial" w:eastAsia="Arial" w:hAnsi="Arial"/>
                <w:sz w:val="18"/>
                <w:szCs w:val="18"/>
                <w:color w:val="auto"/>
                <w:w w:val="92"/>
              </w:rPr>
              <w:t>1,013,154</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4,256,950</w:t>
            </w:r>
          </w:p>
        </w:tc>
        <w:tc>
          <w:tcPr>
            <w:tcW w:w="0" w:type="dxa"/>
            <w:vAlign w:val="bottom"/>
          </w:tcPr>
          <w:p>
            <w:pPr>
              <w:spacing w:after="0"/>
              <w:rPr>
                <w:sz w:val="1"/>
                <w:szCs w:val="1"/>
                <w:color w:val="auto"/>
              </w:rPr>
            </w:pPr>
          </w:p>
        </w:tc>
      </w:tr>
      <w:tr>
        <w:trPr>
          <w:trHeight w:val="216"/>
        </w:trPr>
        <w:tc>
          <w:tcPr>
            <w:tcW w:w="52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Zining Wu</w:t>
            </w:r>
          </w:p>
        </w:tc>
        <w:tc>
          <w:tcPr>
            <w:tcW w:w="1620" w:type="dxa"/>
            <w:vAlign w:val="bottom"/>
            <w:gridSpan w:val="2"/>
            <w:shd w:val="clear" w:color="auto" w:fill="CCEEFF"/>
          </w:tcPr>
          <w:p>
            <w:pPr>
              <w:ind w:left="1040"/>
              <w:spacing w:after="0"/>
              <w:rPr>
                <w:sz w:val="20"/>
                <w:szCs w:val="20"/>
                <w:color w:val="auto"/>
              </w:rPr>
            </w:pPr>
            <w:r>
              <w:rPr>
                <w:rFonts w:ascii="Arial" w:cs="Arial" w:eastAsia="Arial" w:hAnsi="Arial"/>
                <w:sz w:val="18"/>
                <w:szCs w:val="18"/>
                <w:color w:val="auto"/>
                <w:w w:val="86"/>
              </w:rPr>
              <w:t>142,066</w:t>
            </w:r>
          </w:p>
        </w:tc>
        <w:tc>
          <w:tcPr>
            <w:tcW w:w="1140" w:type="dxa"/>
            <w:vAlign w:val="bottom"/>
            <w:gridSpan w:val="2"/>
            <w:shd w:val="clear" w:color="auto" w:fill="CCEEFF"/>
          </w:tcPr>
          <w:p>
            <w:pPr>
              <w:jc w:val="center"/>
              <w:ind w:left="219"/>
              <w:spacing w:after="0"/>
              <w:rPr>
                <w:sz w:val="20"/>
                <w:szCs w:val="20"/>
                <w:color w:val="auto"/>
              </w:rPr>
            </w:pPr>
            <w:r>
              <w:rPr>
                <w:rFonts w:ascii="Arial" w:cs="Arial" w:eastAsia="Arial" w:hAnsi="Arial"/>
                <w:sz w:val="18"/>
                <w:szCs w:val="18"/>
                <w:color w:val="auto"/>
                <w:w w:val="88"/>
              </w:rPr>
              <w:t>$ 1,874,343</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127,460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506,577</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2,380,920</w:t>
            </w:r>
          </w:p>
        </w:tc>
        <w:tc>
          <w:tcPr>
            <w:tcW w:w="0" w:type="dxa"/>
            <w:vAlign w:val="bottom"/>
          </w:tcPr>
          <w:p>
            <w:pPr>
              <w:spacing w:after="0"/>
              <w:rPr>
                <w:sz w:val="1"/>
                <w:szCs w:val="1"/>
                <w:color w:val="auto"/>
              </w:rPr>
            </w:pPr>
          </w:p>
        </w:tc>
      </w:tr>
      <w:tr>
        <w:trPr>
          <w:trHeight w:val="376"/>
        </w:trPr>
        <w:tc>
          <w:tcPr>
            <w:tcW w:w="5200" w:type="dxa"/>
            <w:vAlign w:val="bottom"/>
            <w:gridSpan w:val="3"/>
          </w:tcPr>
          <w:p>
            <w:pPr>
              <w:ind w:left="460"/>
              <w:spacing w:after="0"/>
              <w:rPr>
                <w:sz w:val="20"/>
                <w:szCs w:val="20"/>
                <w:color w:val="auto"/>
              </w:rPr>
            </w:pPr>
            <w:r>
              <w:rPr>
                <w:rFonts w:ascii="Arial" w:cs="Arial" w:eastAsia="Arial" w:hAnsi="Arial"/>
                <w:sz w:val="18"/>
                <w:szCs w:val="18"/>
                <w:color w:val="auto"/>
                <w:w w:val="96"/>
              </w:rPr>
              <w:t>Assumptions used in valuing the stock option grants included:</w:t>
            </w:r>
          </w:p>
        </w:tc>
        <w:tc>
          <w:tcPr>
            <w:tcW w:w="9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5"/>
        </w:trPr>
        <w:tc>
          <w:tcPr>
            <w:tcW w:w="600" w:type="dxa"/>
            <w:vAlign w:val="bottom"/>
          </w:tcPr>
          <w:p>
            <w:pPr>
              <w:spacing w:after="0"/>
              <w:rPr>
                <w:sz w:val="17"/>
                <w:szCs w:val="17"/>
                <w:color w:val="auto"/>
              </w:rPr>
            </w:pPr>
          </w:p>
        </w:tc>
        <w:tc>
          <w:tcPr>
            <w:tcW w:w="1240" w:type="dxa"/>
            <w:vAlign w:val="bottom"/>
            <w:vMerge w:val="restart"/>
          </w:tcPr>
          <w:p>
            <w:pPr>
              <w:spacing w:after="0"/>
              <w:rPr>
                <w:sz w:val="17"/>
                <w:szCs w:val="17"/>
                <w:color w:val="auto"/>
              </w:rPr>
            </w:pPr>
          </w:p>
        </w:tc>
        <w:tc>
          <w:tcPr>
            <w:tcW w:w="33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320" w:type="dxa"/>
            <w:vAlign w:val="bottom"/>
            <w:gridSpan w:val="4"/>
          </w:tcPr>
          <w:p>
            <w:pPr>
              <w:spacing w:after="0"/>
              <w:rPr>
                <w:sz w:val="17"/>
                <w:szCs w:val="17"/>
                <w:color w:val="auto"/>
              </w:rPr>
            </w:pPr>
          </w:p>
        </w:tc>
        <w:tc>
          <w:tcPr>
            <w:tcW w:w="820" w:type="dxa"/>
            <w:vAlign w:val="bottom"/>
            <w:gridSpan w:val="2"/>
            <w:vMerge w:val="restart"/>
          </w:tcPr>
          <w:p>
            <w:pPr>
              <w:spacing w:after="0"/>
              <w:rPr>
                <w:sz w:val="17"/>
                <w:szCs w:val="17"/>
                <w:color w:val="auto"/>
              </w:rPr>
            </w:pPr>
          </w:p>
        </w:tc>
        <w:tc>
          <w:tcPr>
            <w:tcW w:w="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vMerge w:val="continue"/>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Methodology</w:t>
            </w:r>
          </w:p>
        </w:tc>
        <w:tc>
          <w:tcPr>
            <w:tcW w:w="9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20" w:type="dxa"/>
            <w:vAlign w:val="bottom"/>
            <w:gridSpan w:val="4"/>
            <w:shd w:val="clear" w:color="auto" w:fill="CCEEFF"/>
          </w:tcPr>
          <w:p>
            <w:pPr>
              <w:jc w:val="center"/>
              <w:ind w:right="20"/>
              <w:spacing w:after="0"/>
              <w:rPr>
                <w:sz w:val="20"/>
                <w:szCs w:val="20"/>
                <w:color w:val="auto"/>
              </w:rPr>
            </w:pPr>
            <w:r>
              <w:rPr>
                <w:rFonts w:ascii="Arial" w:cs="Arial" w:eastAsia="Arial" w:hAnsi="Arial"/>
                <w:sz w:val="18"/>
                <w:szCs w:val="18"/>
                <w:color w:val="auto"/>
                <w:w w:val="89"/>
              </w:rPr>
              <w:t>Black-Scholes</w:t>
            </w:r>
          </w:p>
        </w:tc>
        <w:tc>
          <w:tcPr>
            <w:tcW w:w="820" w:type="dxa"/>
            <w:vAlign w:val="bottom"/>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Grant Date</w:t>
            </w:r>
          </w:p>
        </w:tc>
        <w:tc>
          <w:tcPr>
            <w:tcW w:w="9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20" w:type="dxa"/>
            <w:vAlign w:val="bottom"/>
            <w:gridSpan w:val="4"/>
          </w:tcPr>
          <w:p>
            <w:pPr>
              <w:jc w:val="center"/>
              <w:ind w:right="20"/>
              <w:spacing w:after="0"/>
              <w:rPr>
                <w:sz w:val="20"/>
                <w:szCs w:val="20"/>
                <w:color w:val="auto"/>
              </w:rPr>
            </w:pPr>
            <w:r>
              <w:rPr>
                <w:rFonts w:ascii="Arial" w:cs="Arial" w:eastAsia="Arial" w:hAnsi="Arial"/>
                <w:sz w:val="18"/>
                <w:szCs w:val="18"/>
                <w:color w:val="auto"/>
                <w:w w:val="85"/>
              </w:rPr>
              <w:t>June 24, 2015</w:t>
            </w:r>
          </w:p>
        </w:tc>
        <w:tc>
          <w:tcPr>
            <w:tcW w:w="820" w:type="dxa"/>
            <w:vAlign w:val="bottom"/>
            <w:gridSpan w:val="2"/>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Exercise Price/FMV</w:t>
            </w:r>
          </w:p>
        </w:tc>
        <w:tc>
          <w:tcPr>
            <w:tcW w:w="9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center"/>
              <w:ind w:left="136"/>
              <w:spacing w:after="0"/>
              <w:rPr>
                <w:sz w:val="20"/>
                <w:szCs w:val="20"/>
                <w:color w:val="auto"/>
              </w:rPr>
            </w:pPr>
            <w:r>
              <w:rPr>
                <w:rFonts w:ascii="Arial" w:cs="Arial" w:eastAsia="Arial" w:hAnsi="Arial"/>
                <w:sz w:val="18"/>
                <w:szCs w:val="18"/>
                <w:color w:val="auto"/>
                <w:w w:val="87"/>
              </w:rPr>
              <w:t>$14.35</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Volatility</w:t>
            </w:r>
          </w:p>
        </w:tc>
        <w:tc>
          <w:tcPr>
            <w:tcW w:w="9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80" w:type="dxa"/>
            <w:vAlign w:val="bottom"/>
            <w:gridSpan w:val="2"/>
          </w:tcPr>
          <w:p>
            <w:pPr>
              <w:jc w:val="center"/>
              <w:ind w:left="156"/>
              <w:spacing w:after="0"/>
              <w:rPr>
                <w:sz w:val="20"/>
                <w:szCs w:val="20"/>
                <w:color w:val="auto"/>
              </w:rPr>
            </w:pPr>
            <w:r>
              <w:rPr>
                <w:rFonts w:ascii="Arial" w:cs="Arial" w:eastAsia="Arial" w:hAnsi="Arial"/>
                <w:sz w:val="18"/>
                <w:szCs w:val="18"/>
                <w:color w:val="auto"/>
                <w:w w:val="88"/>
              </w:rPr>
              <w:t>33.78%</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Expected Term</w:t>
            </w:r>
          </w:p>
        </w:tc>
        <w:tc>
          <w:tcPr>
            <w:tcW w:w="9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center"/>
              <w:ind w:left="136"/>
              <w:spacing w:after="0"/>
              <w:rPr>
                <w:sz w:val="20"/>
                <w:szCs w:val="20"/>
                <w:color w:val="auto"/>
              </w:rPr>
            </w:pPr>
            <w:r>
              <w:rPr>
                <w:rFonts w:ascii="Arial" w:cs="Arial" w:eastAsia="Arial" w:hAnsi="Arial"/>
                <w:sz w:val="18"/>
                <w:szCs w:val="18"/>
                <w:color w:val="auto"/>
                <w:w w:val="85"/>
              </w:rPr>
              <w:t>5.41 years</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Dividend Yield</w:t>
            </w:r>
          </w:p>
        </w:tc>
        <w:tc>
          <w:tcPr>
            <w:tcW w:w="9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80" w:type="dxa"/>
            <w:vAlign w:val="bottom"/>
            <w:gridSpan w:val="2"/>
          </w:tcPr>
          <w:p>
            <w:pPr>
              <w:jc w:val="center"/>
              <w:ind w:left="156"/>
              <w:spacing w:after="0"/>
              <w:rPr>
                <w:sz w:val="20"/>
                <w:szCs w:val="20"/>
                <w:color w:val="auto"/>
              </w:rPr>
            </w:pPr>
            <w:r>
              <w:rPr>
                <w:rFonts w:ascii="Arial" w:cs="Arial" w:eastAsia="Arial" w:hAnsi="Arial"/>
                <w:sz w:val="18"/>
                <w:szCs w:val="18"/>
                <w:color w:val="auto"/>
                <w:w w:val="90"/>
              </w:rPr>
              <w:t>1.62%</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Valuation</w:t>
            </w:r>
          </w:p>
        </w:tc>
        <w:tc>
          <w:tcPr>
            <w:tcW w:w="9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center"/>
              <w:ind w:left="156"/>
              <w:spacing w:after="0"/>
              <w:rPr>
                <w:sz w:val="20"/>
                <w:szCs w:val="20"/>
                <w:color w:val="auto"/>
              </w:rPr>
            </w:pPr>
            <w:r>
              <w:rPr>
                <w:rFonts w:ascii="Arial" w:cs="Arial" w:eastAsia="Arial" w:hAnsi="Arial"/>
                <w:sz w:val="18"/>
                <w:szCs w:val="18"/>
                <w:color w:val="auto"/>
                <w:w w:val="84"/>
              </w:rPr>
              <w:t>$3.97</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6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960" w:type="dxa"/>
            <w:vAlign w:val="bottom"/>
          </w:tcPr>
          <w:p>
            <w:pPr>
              <w:jc w:val="right"/>
              <w:ind w:right="232"/>
              <w:spacing w:after="0"/>
              <w:rPr>
                <w:sz w:val="20"/>
                <w:szCs w:val="20"/>
                <w:color w:val="auto"/>
              </w:rPr>
            </w:pPr>
            <w:r>
              <w:rPr>
                <w:rFonts w:ascii="Arial" w:cs="Arial" w:eastAsia="Arial" w:hAnsi="Arial"/>
                <w:sz w:val="18"/>
                <w:szCs w:val="18"/>
                <w:color w:val="auto"/>
              </w:rPr>
              <w:t>130</w:t>
            </w:r>
          </w:p>
        </w:tc>
        <w:tc>
          <w:tcPr>
            <w:tcW w:w="6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335" w:lineRule="auto"/>
        <w:rPr>
          <w:sz w:val="20"/>
          <w:szCs w:val="20"/>
          <w:color w:val="auto"/>
        </w:rPr>
      </w:pPr>
      <w:r>
        <w:rPr>
          <w:rFonts w:ascii="Arial" w:cs="Arial" w:eastAsia="Arial" w:hAnsi="Arial"/>
          <w:sz w:val="15"/>
          <w:szCs w:val="15"/>
          <w:color w:val="auto"/>
        </w:rPr>
        <w:t>The LTI plan used the following metrics: revenue, modified non-GAAP operating income, relative total shareholder return (“TSR”), individual strategic goals and supplemental individual strategic goals. Marvell TSR performance was compared to the TSR performance of constituent companies of the Philadelphia Semiconductor Sector Index (SOX) during a 2-fiscal year performance period. See also “— Actual Performance Achievement and Awards Vested” below.</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600" w:type="dxa"/>
            <w:vAlign w:val="bottom"/>
            <w:tcBorders>
              <w:bottom w:val="single" w:sz="8" w:color="auto"/>
            </w:tcBorders>
            <w:gridSpan w:val="4"/>
          </w:tcPr>
          <w:p>
            <w:pPr>
              <w:jc w:val="right"/>
              <w:ind w:right="1200"/>
              <w:spacing w:after="0"/>
              <w:rPr>
                <w:sz w:val="20"/>
                <w:szCs w:val="20"/>
                <w:color w:val="auto"/>
              </w:rPr>
            </w:pPr>
            <w:r>
              <w:rPr>
                <w:rFonts w:ascii="Arial" w:cs="Arial" w:eastAsia="Arial" w:hAnsi="Arial"/>
                <w:sz w:val="14"/>
                <w:szCs w:val="14"/>
                <w:b w:val="1"/>
                <w:bCs w:val="1"/>
                <w:color w:val="auto"/>
              </w:rPr>
              <w:t>LTI Plan Goals</w:t>
            </w:r>
          </w:p>
        </w:tc>
        <w:tc>
          <w:tcPr>
            <w:tcW w:w="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30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720" w:type="dxa"/>
            <w:vAlign w:val="bottom"/>
            <w:gridSpan w:val="3"/>
          </w:tcPr>
          <w:p>
            <w:pPr>
              <w:jc w:val="right"/>
              <w:ind w:right="1120"/>
              <w:spacing w:after="0" w:line="142" w:lineRule="exact"/>
              <w:rPr>
                <w:sz w:val="20"/>
                <w:szCs w:val="20"/>
                <w:color w:val="auto"/>
              </w:rPr>
            </w:pPr>
            <w:r>
              <w:rPr>
                <w:rFonts w:ascii="Arial" w:cs="Arial" w:eastAsia="Arial" w:hAnsi="Arial"/>
                <w:sz w:val="14"/>
                <w:szCs w:val="14"/>
                <w:b w:val="1"/>
                <w:bCs w:val="1"/>
                <w:color w:val="auto"/>
                <w:w w:val="85"/>
              </w:rPr>
              <w:t>Threshold</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940" w:type="dxa"/>
            <w:vAlign w:val="bottom"/>
            <w:gridSpan w:val="3"/>
          </w:tcPr>
          <w:p>
            <w:pPr>
              <w:jc w:val="right"/>
              <w:ind w:right="1500"/>
              <w:spacing w:after="0" w:line="142" w:lineRule="exact"/>
              <w:rPr>
                <w:sz w:val="20"/>
                <w:szCs w:val="20"/>
                <w:color w:val="auto"/>
              </w:rPr>
            </w:pPr>
            <w:r>
              <w:rPr>
                <w:rFonts w:ascii="Arial" w:cs="Arial" w:eastAsia="Arial" w:hAnsi="Arial"/>
                <w:sz w:val="14"/>
                <w:szCs w:val="14"/>
                <w:b w:val="1"/>
                <w:bCs w:val="1"/>
                <w:color w:val="auto"/>
                <w:w w:val="98"/>
              </w:rPr>
              <w:t>Target</w:t>
            </w:r>
          </w:p>
        </w:tc>
        <w:tc>
          <w:tcPr>
            <w:tcW w:w="80" w:type="dxa"/>
            <w:vAlign w:val="bottom"/>
          </w:tcPr>
          <w:p>
            <w:pPr>
              <w:spacing w:after="0"/>
              <w:rPr>
                <w:sz w:val="12"/>
                <w:szCs w:val="12"/>
                <w:color w:val="auto"/>
              </w:rPr>
            </w:pPr>
          </w:p>
        </w:tc>
        <w:tc>
          <w:tcPr>
            <w:tcW w:w="126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rPr>
              <w:t>Maximum</w:t>
            </w: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1300" w:type="dxa"/>
            <w:vAlign w:val="bottom"/>
            <w:vMerge w:val="restart"/>
          </w:tcPr>
          <w:p>
            <w:pPr>
              <w:spacing w:after="0"/>
              <w:rPr>
                <w:sz w:val="20"/>
                <w:szCs w:val="20"/>
                <w:color w:val="auto"/>
              </w:rPr>
            </w:pPr>
            <w:r>
              <w:rPr>
                <w:rFonts w:ascii="Arial" w:cs="Arial" w:eastAsia="Arial" w:hAnsi="Arial"/>
                <w:sz w:val="14"/>
                <w:szCs w:val="14"/>
                <w:b w:val="1"/>
                <w:bCs w:val="1"/>
                <w:color w:val="auto"/>
                <w:w w:val="92"/>
              </w:rPr>
              <w:t>Performance Metrics</w:t>
            </w:r>
          </w:p>
        </w:tc>
        <w:tc>
          <w:tcPr>
            <w:tcW w:w="2080" w:type="dxa"/>
            <w:vAlign w:val="bottom"/>
            <w:vMerge w:val="restart"/>
          </w:tcPr>
          <w:p>
            <w:pPr>
              <w:spacing w:after="0"/>
              <w:rPr>
                <w:sz w:val="11"/>
                <w:szCs w:val="11"/>
                <w:color w:val="auto"/>
              </w:rPr>
            </w:pPr>
          </w:p>
        </w:tc>
        <w:tc>
          <w:tcPr>
            <w:tcW w:w="3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26"/>
              <w:spacing w:after="0" w:line="129" w:lineRule="exact"/>
              <w:rPr>
                <w:sz w:val="20"/>
                <w:szCs w:val="20"/>
                <w:color w:val="auto"/>
              </w:rPr>
            </w:pPr>
            <w:r>
              <w:rPr>
                <w:rFonts w:ascii="Arial" w:cs="Arial" w:eastAsia="Arial" w:hAnsi="Arial"/>
                <w:sz w:val="14"/>
                <w:szCs w:val="14"/>
                <w:b w:val="1"/>
                <w:bCs w:val="1"/>
                <w:color w:val="auto"/>
                <w:w w:val="90"/>
              </w:rPr>
              <w:t>Shares as</w:t>
            </w:r>
          </w:p>
        </w:tc>
        <w:tc>
          <w:tcPr>
            <w:tcW w:w="4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5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6"/>
              <w:spacing w:after="0" w:line="129" w:lineRule="exact"/>
              <w:rPr>
                <w:sz w:val="20"/>
                <w:szCs w:val="20"/>
                <w:color w:val="auto"/>
              </w:rPr>
            </w:pPr>
            <w:r>
              <w:rPr>
                <w:rFonts w:ascii="Arial" w:cs="Arial" w:eastAsia="Arial" w:hAnsi="Arial"/>
                <w:sz w:val="14"/>
                <w:szCs w:val="14"/>
                <w:b w:val="1"/>
                <w:bCs w:val="1"/>
                <w:color w:val="auto"/>
                <w:w w:val="93"/>
              </w:rPr>
              <w:t>Shares as</w:t>
            </w:r>
          </w:p>
        </w:tc>
        <w:tc>
          <w:tcPr>
            <w:tcW w:w="7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20"/>
              <w:spacing w:after="0" w:line="129" w:lineRule="exact"/>
              <w:rPr>
                <w:sz w:val="20"/>
                <w:szCs w:val="20"/>
                <w:color w:val="auto"/>
              </w:rPr>
            </w:pPr>
            <w:r>
              <w:rPr>
                <w:rFonts w:ascii="Arial" w:cs="Arial" w:eastAsia="Arial" w:hAnsi="Arial"/>
                <w:sz w:val="14"/>
                <w:szCs w:val="14"/>
                <w:b w:val="1"/>
                <w:bCs w:val="1"/>
                <w:color w:val="auto"/>
                <w:w w:val="93"/>
              </w:rPr>
              <w:t>Shares as</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1300" w:type="dxa"/>
            <w:vAlign w:val="bottom"/>
            <w:tcBorders>
              <w:bottom w:val="single" w:sz="8" w:color="auto"/>
            </w:tcBorders>
            <w:vMerge w:val="continue"/>
          </w:tcPr>
          <w:p>
            <w:pPr>
              <w:spacing w:after="0"/>
              <w:rPr>
                <w:sz w:val="12"/>
                <w:szCs w:val="12"/>
                <w:color w:val="auto"/>
              </w:rPr>
            </w:pPr>
          </w:p>
        </w:tc>
        <w:tc>
          <w:tcPr>
            <w:tcW w:w="2080" w:type="dxa"/>
            <w:vAlign w:val="bottom"/>
            <w:vMerge w:val="continue"/>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jc w:val="right"/>
              <w:ind w:right="137"/>
              <w:spacing w:after="0" w:line="148" w:lineRule="exact"/>
              <w:rPr>
                <w:sz w:val="20"/>
                <w:szCs w:val="20"/>
                <w:color w:val="auto"/>
              </w:rPr>
            </w:pPr>
            <w:r>
              <w:rPr>
                <w:rFonts w:ascii="Arial" w:cs="Arial" w:eastAsia="Arial" w:hAnsi="Arial"/>
                <w:sz w:val="14"/>
                <w:szCs w:val="14"/>
                <w:b w:val="1"/>
                <w:bCs w:val="1"/>
                <w:color w:val="auto"/>
              </w:rPr>
              <w:t>Goal</w:t>
            </w:r>
          </w:p>
        </w:tc>
        <w:tc>
          <w:tcPr>
            <w:tcW w:w="580" w:type="dxa"/>
            <w:vAlign w:val="bottom"/>
          </w:tcPr>
          <w:p>
            <w:pPr>
              <w:spacing w:after="0"/>
              <w:rPr>
                <w:sz w:val="12"/>
                <w:szCs w:val="12"/>
                <w:color w:val="auto"/>
              </w:rPr>
            </w:pPr>
          </w:p>
        </w:tc>
        <w:tc>
          <w:tcPr>
            <w:tcW w:w="1140" w:type="dxa"/>
            <w:vAlign w:val="bottom"/>
            <w:gridSpan w:val="2"/>
          </w:tcPr>
          <w:p>
            <w:pPr>
              <w:jc w:val="right"/>
              <w:ind w:right="420"/>
              <w:spacing w:after="0" w:line="148" w:lineRule="exact"/>
              <w:rPr>
                <w:sz w:val="20"/>
                <w:szCs w:val="20"/>
                <w:color w:val="auto"/>
              </w:rPr>
            </w:pPr>
            <w:r>
              <w:rPr>
                <w:rFonts w:ascii="Arial" w:cs="Arial" w:eastAsia="Arial" w:hAnsi="Arial"/>
                <w:sz w:val="14"/>
                <w:szCs w:val="14"/>
                <w:b w:val="1"/>
                <w:bCs w:val="1"/>
                <w:color w:val="auto"/>
                <w:w w:val="91"/>
              </w:rPr>
              <w:t>% of Target</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ind w:right="180"/>
              <w:spacing w:after="0" w:line="148" w:lineRule="exact"/>
              <w:rPr>
                <w:sz w:val="20"/>
                <w:szCs w:val="20"/>
                <w:color w:val="auto"/>
              </w:rPr>
            </w:pPr>
            <w:r>
              <w:rPr>
                <w:rFonts w:ascii="Arial" w:cs="Arial" w:eastAsia="Arial" w:hAnsi="Arial"/>
                <w:sz w:val="14"/>
                <w:szCs w:val="14"/>
                <w:b w:val="1"/>
                <w:bCs w:val="1"/>
                <w:color w:val="auto"/>
              </w:rPr>
              <w:t>Goal</w:t>
            </w:r>
          </w:p>
        </w:tc>
        <w:tc>
          <w:tcPr>
            <w:tcW w:w="520" w:type="dxa"/>
            <w:vAlign w:val="bottom"/>
          </w:tcPr>
          <w:p>
            <w:pPr>
              <w:spacing w:after="0"/>
              <w:rPr>
                <w:sz w:val="12"/>
                <w:szCs w:val="12"/>
                <w:color w:val="auto"/>
              </w:rPr>
            </w:pPr>
          </w:p>
        </w:tc>
        <w:tc>
          <w:tcPr>
            <w:tcW w:w="1420" w:type="dxa"/>
            <w:vAlign w:val="bottom"/>
            <w:gridSpan w:val="2"/>
          </w:tcPr>
          <w:p>
            <w:pPr>
              <w:jc w:val="right"/>
              <w:ind w:right="700"/>
              <w:spacing w:after="0" w:line="148" w:lineRule="exact"/>
              <w:rPr>
                <w:sz w:val="20"/>
                <w:szCs w:val="20"/>
                <w:color w:val="auto"/>
              </w:rPr>
            </w:pPr>
            <w:r>
              <w:rPr>
                <w:rFonts w:ascii="Arial" w:cs="Arial" w:eastAsia="Arial" w:hAnsi="Arial"/>
                <w:sz w:val="14"/>
                <w:szCs w:val="14"/>
                <w:b w:val="1"/>
                <w:bCs w:val="1"/>
                <w:color w:val="auto"/>
                <w:w w:val="91"/>
              </w:rPr>
              <w:t>% of Target</w:t>
            </w:r>
          </w:p>
        </w:tc>
        <w:tc>
          <w:tcPr>
            <w:tcW w:w="80" w:type="dxa"/>
            <w:vAlign w:val="bottom"/>
          </w:tcPr>
          <w:p>
            <w:pPr>
              <w:spacing w:after="0"/>
              <w:rPr>
                <w:sz w:val="12"/>
                <w:szCs w:val="12"/>
                <w:color w:val="auto"/>
              </w:rPr>
            </w:pPr>
          </w:p>
        </w:tc>
        <w:tc>
          <w:tcPr>
            <w:tcW w:w="1260" w:type="dxa"/>
            <w:vAlign w:val="bottom"/>
            <w:gridSpan w:val="2"/>
          </w:tcPr>
          <w:p>
            <w:pPr>
              <w:jc w:val="right"/>
              <w:ind w:right="820"/>
              <w:spacing w:after="0" w:line="148" w:lineRule="exact"/>
              <w:rPr>
                <w:sz w:val="20"/>
                <w:szCs w:val="20"/>
                <w:color w:val="auto"/>
              </w:rPr>
            </w:pPr>
            <w:r>
              <w:rPr>
                <w:rFonts w:ascii="Arial" w:cs="Arial" w:eastAsia="Arial" w:hAnsi="Arial"/>
                <w:sz w:val="14"/>
                <w:szCs w:val="14"/>
                <w:b w:val="1"/>
                <w:bCs w:val="1"/>
                <w:color w:val="auto"/>
              </w:rPr>
              <w:t>Goal</w:t>
            </w:r>
          </w:p>
        </w:tc>
        <w:tc>
          <w:tcPr>
            <w:tcW w:w="94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94"/>
              </w:rPr>
              <w:t>% of Target</w:t>
            </w:r>
          </w:p>
        </w:tc>
        <w:tc>
          <w:tcPr>
            <w:tcW w:w="0" w:type="dxa"/>
            <w:vAlign w:val="bottom"/>
          </w:tcPr>
          <w:p>
            <w:pPr>
              <w:spacing w:after="0"/>
              <w:rPr>
                <w:sz w:val="1"/>
                <w:szCs w:val="1"/>
                <w:color w:val="auto"/>
              </w:rPr>
            </w:pPr>
          </w:p>
        </w:tc>
      </w:tr>
      <w:tr>
        <w:trPr>
          <w:trHeight w:val="20"/>
        </w:trPr>
        <w:tc>
          <w:tcPr>
            <w:tcW w:w="338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FY2016 Revenue</w:t>
            </w:r>
          </w:p>
        </w:tc>
        <w:tc>
          <w:tcPr>
            <w:tcW w:w="38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20" w:type="dxa"/>
            <w:vAlign w:val="bottom"/>
            <w:shd w:val="clear" w:color="auto" w:fill="CCEEFF"/>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60" w:type="dxa"/>
            <w:vAlign w:val="bottom"/>
            <w:tcBorders>
              <w:right w:val="single" w:sz="8" w:color="CCEEFF"/>
            </w:tcBorders>
            <w:shd w:val="clear" w:color="auto" w:fill="000000"/>
          </w:tcPr>
          <w:p>
            <w:pPr>
              <w:spacing w:after="0" w:line="20" w:lineRule="exact"/>
              <w:rPr>
                <w:sz w:val="1"/>
                <w:szCs w:val="1"/>
                <w:color w:val="auto"/>
              </w:rPr>
            </w:pPr>
          </w:p>
        </w:tc>
        <w:tc>
          <w:tcPr>
            <w:tcW w:w="520" w:type="dxa"/>
            <w:vAlign w:val="bottom"/>
            <w:vMerge w:val="restart"/>
            <w:shd w:val="clear" w:color="auto" w:fill="CCEEFF"/>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700" w:type="dxa"/>
            <w:vAlign w:val="bottom"/>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gridSpan w:val="2"/>
            <w:vMerge w:val="continue"/>
            <w:shd w:val="clear" w:color="auto" w:fill="CCEEFF"/>
          </w:tcPr>
          <w:p>
            <w:pPr>
              <w:spacing w:after="0"/>
              <w:rPr>
                <w:sz w:val="17"/>
                <w:szCs w:val="17"/>
                <w:color w:val="auto"/>
              </w:rPr>
            </w:pPr>
          </w:p>
        </w:tc>
        <w:tc>
          <w:tcPr>
            <w:tcW w:w="38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6"/>
              </w:rPr>
              <w:t>3,000M</w:t>
            </w:r>
          </w:p>
        </w:tc>
        <w:tc>
          <w:tcPr>
            <w:tcW w:w="580" w:type="dxa"/>
            <w:vAlign w:val="bottom"/>
            <w:vMerge w:val="continue"/>
            <w:shd w:val="clear" w:color="auto" w:fill="CCEEFF"/>
          </w:tcPr>
          <w:p>
            <w:pPr>
              <w:spacing w:after="0"/>
              <w:rPr>
                <w:sz w:val="17"/>
                <w:szCs w:val="17"/>
                <w:color w:val="auto"/>
              </w:rPr>
            </w:pPr>
          </w:p>
        </w:tc>
        <w:tc>
          <w:tcPr>
            <w:tcW w:w="1140" w:type="dxa"/>
            <w:vAlign w:val="bottom"/>
            <w:gridSpan w:val="2"/>
            <w:shd w:val="clear" w:color="auto" w:fill="CCEEFF"/>
          </w:tcPr>
          <w:p>
            <w:pPr>
              <w:jc w:val="right"/>
              <w:ind w:right="280"/>
              <w:spacing w:after="0" w:line="203" w:lineRule="exact"/>
              <w:rPr>
                <w:sz w:val="20"/>
                <w:szCs w:val="20"/>
                <w:color w:val="auto"/>
              </w:rPr>
            </w:pPr>
            <w:r>
              <w:rPr>
                <w:rFonts w:ascii="Arial" w:cs="Arial" w:eastAsia="Arial" w:hAnsi="Arial"/>
                <w:sz w:val="18"/>
                <w:szCs w:val="18"/>
                <w:color w:val="auto"/>
              </w:rPr>
              <w:t>50%</w:t>
            </w:r>
          </w:p>
        </w:tc>
        <w:tc>
          <w:tcPr>
            <w:tcW w:w="280" w:type="dxa"/>
            <w:vAlign w:val="bottom"/>
            <w:vMerge w:val="continue"/>
            <w:shd w:val="clear" w:color="auto" w:fill="CCEEFF"/>
          </w:tcPr>
          <w:p>
            <w:pPr>
              <w:spacing w:after="0"/>
              <w:rPr>
                <w:sz w:val="17"/>
                <w:szCs w:val="17"/>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6"/>
              </w:rPr>
              <w:t>3,400M</w:t>
            </w:r>
          </w:p>
        </w:tc>
        <w:tc>
          <w:tcPr>
            <w:tcW w:w="520" w:type="dxa"/>
            <w:vAlign w:val="bottom"/>
            <w:vMerge w:val="continue"/>
            <w:shd w:val="clear" w:color="auto" w:fill="CCEEFF"/>
          </w:tcPr>
          <w:p>
            <w:pPr>
              <w:spacing w:after="0"/>
              <w:rPr>
                <w:sz w:val="17"/>
                <w:szCs w:val="17"/>
                <w:color w:val="auto"/>
              </w:rPr>
            </w:pPr>
          </w:p>
        </w:tc>
        <w:tc>
          <w:tcPr>
            <w:tcW w:w="1420" w:type="dxa"/>
            <w:vAlign w:val="bottom"/>
            <w:gridSpan w:val="2"/>
            <w:shd w:val="clear" w:color="auto" w:fill="CCEEFF"/>
          </w:tcPr>
          <w:p>
            <w:pPr>
              <w:jc w:val="right"/>
              <w:ind w:right="540"/>
              <w:spacing w:after="0" w:line="203" w:lineRule="exact"/>
              <w:rPr>
                <w:sz w:val="20"/>
                <w:szCs w:val="20"/>
                <w:color w:val="auto"/>
              </w:rPr>
            </w:pPr>
            <w:r>
              <w:rPr>
                <w:rFonts w:ascii="Arial" w:cs="Arial" w:eastAsia="Arial" w:hAnsi="Arial"/>
                <w:sz w:val="18"/>
                <w:szCs w:val="18"/>
                <w:color w:val="auto"/>
              </w:rPr>
              <w:t>100%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3,869M</w:t>
            </w:r>
          </w:p>
        </w:tc>
        <w:tc>
          <w:tcPr>
            <w:tcW w:w="580" w:type="dxa"/>
            <w:vAlign w:val="bottom"/>
            <w:vMerge w:val="continue"/>
            <w:shd w:val="clear" w:color="auto" w:fill="CCEEFF"/>
          </w:tcPr>
          <w:p>
            <w:pPr>
              <w:spacing w:after="0"/>
              <w:rPr>
                <w:sz w:val="17"/>
                <w:szCs w:val="17"/>
                <w:color w:val="auto"/>
              </w:rPr>
            </w:pPr>
          </w:p>
        </w:tc>
        <w:tc>
          <w:tcPr>
            <w:tcW w:w="94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08"/>
        </w:trPr>
        <w:tc>
          <w:tcPr>
            <w:tcW w:w="3380" w:type="dxa"/>
            <w:vAlign w:val="bottom"/>
            <w:gridSpan w:val="2"/>
          </w:tcPr>
          <w:p>
            <w:pPr>
              <w:spacing w:after="0"/>
              <w:rPr>
                <w:sz w:val="20"/>
                <w:szCs w:val="20"/>
                <w:color w:val="auto"/>
              </w:rPr>
            </w:pPr>
            <w:r>
              <w:rPr>
                <w:rFonts w:ascii="Arial" w:cs="Arial" w:eastAsia="Arial" w:hAnsi="Arial"/>
                <w:sz w:val="18"/>
                <w:szCs w:val="18"/>
                <w:color w:val="auto"/>
              </w:rPr>
              <w:t>FY2016 Modified Non-GAAP Operating</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380" w:type="dxa"/>
            <w:vAlign w:val="bottom"/>
            <w:gridSpan w:val="2"/>
          </w:tcPr>
          <w:p>
            <w:pPr>
              <w:ind w:left="220"/>
              <w:spacing w:after="0"/>
              <w:rPr>
                <w:sz w:val="20"/>
                <w:szCs w:val="20"/>
                <w:color w:val="auto"/>
              </w:rPr>
            </w:pPr>
            <w:r>
              <w:rPr>
                <w:rFonts w:ascii="Arial" w:cs="Arial" w:eastAsia="Arial" w:hAnsi="Arial"/>
                <w:sz w:val="18"/>
                <w:szCs w:val="18"/>
                <w:color w:val="auto"/>
              </w:rPr>
              <w:t>Income</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310M</w:t>
            </w:r>
          </w:p>
        </w:tc>
        <w:tc>
          <w:tcPr>
            <w:tcW w:w="1720" w:type="dxa"/>
            <w:vAlign w:val="bottom"/>
            <w:gridSpan w:val="3"/>
          </w:tcPr>
          <w:p>
            <w:pPr>
              <w:jc w:val="right"/>
              <w:ind w:right="280"/>
              <w:spacing w:after="0"/>
              <w:rPr>
                <w:sz w:val="20"/>
                <w:szCs w:val="20"/>
                <w:color w:val="auto"/>
              </w:rPr>
            </w:pPr>
            <w:r>
              <w:rPr>
                <w:rFonts w:ascii="Arial" w:cs="Arial" w:eastAsia="Arial" w:hAnsi="Arial"/>
                <w:sz w:val="18"/>
                <w:szCs w:val="18"/>
                <w:color w:val="auto"/>
              </w:rPr>
              <w:t>50%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460M</w:t>
            </w:r>
          </w:p>
        </w:tc>
        <w:tc>
          <w:tcPr>
            <w:tcW w:w="1940" w:type="dxa"/>
            <w:vAlign w:val="bottom"/>
            <w:gridSpan w:val="3"/>
          </w:tcPr>
          <w:p>
            <w:pPr>
              <w:jc w:val="right"/>
              <w:ind w:right="540"/>
              <w:spacing w:after="0"/>
              <w:rPr>
                <w:sz w:val="20"/>
                <w:szCs w:val="20"/>
                <w:color w:val="auto"/>
              </w:rPr>
            </w:pPr>
            <w:r>
              <w:rPr>
                <w:rFonts w:ascii="Arial" w:cs="Arial" w:eastAsia="Arial" w:hAnsi="Arial"/>
                <w:sz w:val="18"/>
                <w:szCs w:val="18"/>
                <w:color w:val="auto"/>
              </w:rPr>
              <w:t>100%</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260" w:type="dxa"/>
            <w:vAlign w:val="bottom"/>
            <w:gridSpan w:val="2"/>
          </w:tcPr>
          <w:p>
            <w:pPr>
              <w:jc w:val="right"/>
              <w:ind w:right="580"/>
              <w:spacing w:after="0"/>
              <w:rPr>
                <w:sz w:val="20"/>
                <w:szCs w:val="20"/>
                <w:color w:val="auto"/>
              </w:rPr>
            </w:pPr>
            <w:r>
              <w:rPr>
                <w:rFonts w:ascii="Arial" w:cs="Arial" w:eastAsia="Arial" w:hAnsi="Arial"/>
                <w:sz w:val="18"/>
                <w:szCs w:val="18"/>
                <w:color w:val="auto"/>
              </w:rPr>
              <w:t>585M</w:t>
            </w: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10"/>
        </w:trPr>
        <w:tc>
          <w:tcPr>
            <w:tcW w:w="3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FY2016-FY2017 Relative TSR (percentile</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tcBorders>
              <w:right w:val="single" w:sz="8" w:color="CCEEFF"/>
            </w:tcBorders>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positioning relative to SOX index</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tcBorders>
              <w:right w:val="single" w:sz="8" w:color="CCEEFF"/>
            </w:tcBorders>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3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constituents)</w:t>
            </w: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25</w:t>
            </w:r>
            <w:r>
              <w:rPr>
                <w:rFonts w:ascii="Arial" w:cs="Arial" w:eastAsia="Arial" w:hAnsi="Arial"/>
                <w:sz w:val="11"/>
                <w:szCs w:val="11"/>
                <w:color w:val="auto"/>
                <w:w w:val="88"/>
              </w:rPr>
              <w:t>th</w:t>
            </w:r>
            <w:r>
              <w:rPr>
                <w:rFonts w:ascii="Arial" w:cs="Arial" w:eastAsia="Arial" w:hAnsi="Arial"/>
                <w:sz w:val="18"/>
                <w:szCs w:val="18"/>
                <w:color w:val="auto"/>
                <w:w w:val="88"/>
              </w:rPr>
              <w:t>%ile</w:t>
            </w:r>
          </w:p>
        </w:tc>
        <w:tc>
          <w:tcPr>
            <w:tcW w:w="17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50%</w:t>
            </w:r>
          </w:p>
        </w:tc>
        <w:tc>
          <w:tcPr>
            <w:tcW w:w="2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6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8"/>
              </w:rPr>
              <w:t>50</w:t>
            </w:r>
            <w:r>
              <w:rPr>
                <w:rFonts w:ascii="Arial" w:cs="Arial" w:eastAsia="Arial" w:hAnsi="Arial"/>
                <w:sz w:val="11"/>
                <w:szCs w:val="11"/>
                <w:color w:val="auto"/>
                <w:w w:val="88"/>
              </w:rPr>
              <w:t>th</w:t>
            </w:r>
            <w:r>
              <w:rPr>
                <w:rFonts w:ascii="Arial" w:cs="Arial" w:eastAsia="Arial" w:hAnsi="Arial"/>
                <w:sz w:val="18"/>
                <w:szCs w:val="18"/>
                <w:color w:val="auto"/>
                <w:w w:val="88"/>
              </w:rPr>
              <w:t>%ile</w:t>
            </w:r>
          </w:p>
        </w:tc>
        <w:tc>
          <w:tcPr>
            <w:tcW w:w="194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100%</w:t>
            </w:r>
          </w:p>
        </w:tc>
        <w:tc>
          <w:tcPr>
            <w:tcW w:w="8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0"/>
              </w:rPr>
              <w:t>100</w:t>
            </w:r>
            <w:r>
              <w:rPr>
                <w:rFonts w:ascii="Arial" w:cs="Arial" w:eastAsia="Arial" w:hAnsi="Arial"/>
                <w:sz w:val="11"/>
                <w:szCs w:val="11"/>
                <w:color w:val="auto"/>
                <w:w w:val="90"/>
              </w:rPr>
              <w:t>th</w:t>
            </w:r>
            <w:r>
              <w:rPr>
                <w:rFonts w:ascii="Arial" w:cs="Arial" w:eastAsia="Arial" w:hAnsi="Arial"/>
                <w:sz w:val="18"/>
                <w:szCs w:val="18"/>
                <w:color w:val="auto"/>
                <w:w w:val="90"/>
              </w:rPr>
              <w:t>%ile</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awards of performance-based RSUs and performance awards described above, as determined by the ECC, resulted in the following weightings of financial performance metrics, individual strategic goals and relative TSR goals: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3980" w:type="dxa"/>
            <w:vAlign w:val="bottom"/>
            <w:tcBorders>
              <w:bottom w:val="single" w:sz="8" w:color="auto"/>
            </w:tcBorders>
            <w:gridSpan w:val="4"/>
          </w:tcPr>
          <w:p>
            <w:pPr>
              <w:jc w:val="right"/>
              <w:ind w:right="1040"/>
              <w:spacing w:after="0"/>
              <w:rPr>
                <w:sz w:val="20"/>
                <w:szCs w:val="20"/>
                <w:color w:val="auto"/>
              </w:rPr>
            </w:pPr>
            <w:r>
              <w:rPr>
                <w:rFonts w:ascii="Arial" w:cs="Arial" w:eastAsia="Arial" w:hAnsi="Arial"/>
                <w:sz w:val="14"/>
                <w:szCs w:val="14"/>
                <w:b w:val="1"/>
                <w:bCs w:val="1"/>
                <w:color w:val="auto"/>
              </w:rPr>
              <w:t>Weighting of Performance Metrics by NEO</w:t>
            </w:r>
          </w:p>
        </w:tc>
        <w:tc>
          <w:tcPr>
            <w:tcW w:w="4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8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2240" w:type="dxa"/>
            <w:vAlign w:val="bottom"/>
            <w:gridSpan w:val="2"/>
          </w:tcPr>
          <w:p>
            <w:pPr>
              <w:jc w:val="right"/>
              <w:ind w:right="1020"/>
              <w:spacing w:after="0" w:line="129" w:lineRule="exact"/>
              <w:rPr>
                <w:sz w:val="20"/>
                <w:szCs w:val="20"/>
                <w:color w:val="auto"/>
              </w:rPr>
            </w:pPr>
            <w:r>
              <w:rPr>
                <w:rFonts w:ascii="Arial" w:cs="Arial" w:eastAsia="Arial" w:hAnsi="Arial"/>
                <w:sz w:val="14"/>
                <w:szCs w:val="14"/>
                <w:b w:val="1"/>
                <w:bCs w:val="1"/>
                <w:color w:val="auto"/>
                <w:w w:val="89"/>
              </w:rPr>
              <w:t>Modified Non-GAAP</w:t>
            </w:r>
          </w:p>
        </w:tc>
        <w:tc>
          <w:tcPr>
            <w:tcW w:w="1740" w:type="dxa"/>
            <w:vAlign w:val="bottom"/>
            <w:gridSpan w:val="2"/>
          </w:tcPr>
          <w:p>
            <w:pPr>
              <w:jc w:val="right"/>
              <w:ind w:right="600"/>
              <w:spacing w:after="0" w:line="129" w:lineRule="exact"/>
              <w:rPr>
                <w:sz w:val="20"/>
                <w:szCs w:val="20"/>
                <w:color w:val="auto"/>
              </w:rPr>
            </w:pPr>
            <w:r>
              <w:rPr>
                <w:rFonts w:ascii="Arial" w:cs="Arial" w:eastAsia="Arial" w:hAnsi="Arial"/>
                <w:sz w:val="14"/>
                <w:szCs w:val="14"/>
                <w:b w:val="1"/>
                <w:bCs w:val="1"/>
                <w:color w:val="auto"/>
                <w:w w:val="86"/>
              </w:rPr>
              <w:t>Individual Strategic</w:t>
            </w:r>
          </w:p>
        </w:tc>
        <w:tc>
          <w:tcPr>
            <w:tcW w:w="9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Relative</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40" w:type="dxa"/>
            <w:vAlign w:val="bottom"/>
          </w:tcPr>
          <w:p>
            <w:pPr>
              <w:spacing w:after="0"/>
              <w:rPr>
                <w:sz w:val="14"/>
                <w:szCs w:val="14"/>
                <w:color w:val="auto"/>
              </w:rPr>
            </w:pPr>
          </w:p>
        </w:tc>
        <w:tc>
          <w:tcPr>
            <w:tcW w:w="1500" w:type="dxa"/>
            <w:vAlign w:val="bottom"/>
            <w:gridSpan w:val="2"/>
          </w:tcPr>
          <w:p>
            <w:pPr>
              <w:jc w:val="right"/>
              <w:ind w:right="1000"/>
              <w:spacing w:after="0"/>
              <w:rPr>
                <w:sz w:val="20"/>
                <w:szCs w:val="20"/>
                <w:color w:val="auto"/>
              </w:rPr>
            </w:pPr>
            <w:r>
              <w:rPr>
                <w:rFonts w:ascii="Arial" w:cs="Arial" w:eastAsia="Arial" w:hAnsi="Arial"/>
                <w:sz w:val="14"/>
                <w:szCs w:val="14"/>
                <w:b w:val="1"/>
                <w:bCs w:val="1"/>
                <w:color w:val="auto"/>
                <w:w w:val="82"/>
              </w:rPr>
              <w:t>Revenue</w:t>
            </w:r>
          </w:p>
        </w:tc>
        <w:tc>
          <w:tcPr>
            <w:tcW w:w="2240" w:type="dxa"/>
            <w:vAlign w:val="bottom"/>
            <w:gridSpan w:val="2"/>
          </w:tcPr>
          <w:p>
            <w:pPr>
              <w:jc w:val="right"/>
              <w:ind w:right="1100"/>
              <w:spacing w:after="0"/>
              <w:rPr>
                <w:sz w:val="20"/>
                <w:szCs w:val="20"/>
                <w:color w:val="auto"/>
              </w:rPr>
            </w:pPr>
            <w:r>
              <w:rPr>
                <w:rFonts w:ascii="Arial" w:cs="Arial" w:eastAsia="Arial" w:hAnsi="Arial"/>
                <w:sz w:val="14"/>
                <w:szCs w:val="14"/>
                <w:b w:val="1"/>
                <w:bCs w:val="1"/>
                <w:color w:val="auto"/>
                <w:w w:val="94"/>
              </w:rPr>
              <w:t>Operating Income</w:t>
            </w:r>
          </w:p>
        </w:tc>
        <w:tc>
          <w:tcPr>
            <w:tcW w:w="1740" w:type="dxa"/>
            <w:vAlign w:val="bottom"/>
            <w:gridSpan w:val="2"/>
          </w:tcPr>
          <w:p>
            <w:pPr>
              <w:jc w:val="right"/>
              <w:ind w:right="1000"/>
              <w:spacing w:after="0"/>
              <w:rPr>
                <w:sz w:val="20"/>
                <w:szCs w:val="20"/>
                <w:color w:val="auto"/>
              </w:rPr>
            </w:pPr>
            <w:r>
              <w:rPr>
                <w:rFonts w:ascii="Arial" w:cs="Arial" w:eastAsia="Arial" w:hAnsi="Arial"/>
                <w:sz w:val="14"/>
                <w:szCs w:val="14"/>
                <w:b w:val="1"/>
                <w:bCs w:val="1"/>
                <w:color w:val="auto"/>
              </w:rPr>
              <w:t>Goals</w:t>
            </w:r>
          </w:p>
        </w:tc>
        <w:tc>
          <w:tcPr>
            <w:tcW w:w="420" w:type="dxa"/>
            <w:vAlign w:val="bottom"/>
          </w:tcPr>
          <w:p>
            <w:pPr>
              <w:spacing w:after="0"/>
              <w:rPr>
                <w:sz w:val="14"/>
                <w:szCs w:val="14"/>
                <w:color w:val="auto"/>
              </w:rPr>
            </w:pPr>
          </w:p>
        </w:tc>
        <w:tc>
          <w:tcPr>
            <w:tcW w:w="6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TSR</w:t>
            </w:r>
          </w:p>
        </w:tc>
        <w:tc>
          <w:tcPr>
            <w:tcW w:w="0" w:type="dxa"/>
            <w:vAlign w:val="bottom"/>
          </w:tcPr>
          <w:p>
            <w:pPr>
              <w:spacing w:after="0"/>
              <w:rPr>
                <w:sz w:val="1"/>
                <w:szCs w:val="1"/>
                <w:color w:val="auto"/>
              </w:rPr>
            </w:pPr>
          </w:p>
        </w:tc>
      </w:tr>
      <w:tr>
        <w:trPr>
          <w:trHeight w:val="20"/>
        </w:trPr>
        <w:tc>
          <w:tcPr>
            <w:tcW w:w="484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5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124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1160" w:type="dxa"/>
            <w:vAlign w:val="bottom"/>
            <w:shd w:val="clear" w:color="auto" w:fill="000000"/>
          </w:tcPr>
          <w:p>
            <w:pPr>
              <w:spacing w:after="0" w:line="20" w:lineRule="exact"/>
              <w:rPr>
                <w:sz w:val="1"/>
                <w:szCs w:val="1"/>
                <w:color w:val="auto"/>
              </w:rPr>
            </w:pPr>
          </w:p>
        </w:tc>
        <w:tc>
          <w:tcPr>
            <w:tcW w:w="580" w:type="dxa"/>
            <w:vAlign w:val="bottom"/>
            <w:shd w:val="clear" w:color="auto" w:fill="CCEEFF"/>
          </w:tcPr>
          <w:p>
            <w:pPr>
              <w:spacing w:after="0" w:line="20" w:lineRule="exact"/>
              <w:rPr>
                <w:sz w:val="1"/>
                <w:szCs w:val="1"/>
                <w:color w:val="auto"/>
              </w:rPr>
            </w:pPr>
          </w:p>
        </w:tc>
        <w:tc>
          <w:tcPr>
            <w:tcW w:w="420" w:type="dxa"/>
            <w:vAlign w:val="bottom"/>
            <w:vMerge w:val="restart"/>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40" w:type="dxa"/>
            <w:vAlign w:val="bottom"/>
            <w:vMerge w:val="continue"/>
            <w:shd w:val="clear" w:color="auto" w:fill="CCEEFF"/>
          </w:tcPr>
          <w:p>
            <w:pPr>
              <w:spacing w:after="0"/>
              <w:rPr>
                <w:sz w:val="18"/>
                <w:szCs w:val="18"/>
                <w:color w:val="auto"/>
              </w:rPr>
            </w:pPr>
          </w:p>
        </w:tc>
        <w:tc>
          <w:tcPr>
            <w:tcW w:w="15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18%</w:t>
            </w:r>
          </w:p>
        </w:tc>
        <w:tc>
          <w:tcPr>
            <w:tcW w:w="224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18%</w:t>
            </w:r>
          </w:p>
        </w:tc>
        <w:tc>
          <w:tcPr>
            <w:tcW w:w="17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23%</w:t>
            </w:r>
          </w:p>
        </w:tc>
        <w:tc>
          <w:tcPr>
            <w:tcW w:w="420" w:type="dxa"/>
            <w:vAlign w:val="bottom"/>
            <w:vMerge w:val="continue"/>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4840" w:type="dxa"/>
            <w:vAlign w:val="bottom"/>
          </w:tcPr>
          <w:p>
            <w:pPr>
              <w:spacing w:after="0"/>
              <w:rPr>
                <w:sz w:val="20"/>
                <w:szCs w:val="20"/>
                <w:color w:val="auto"/>
              </w:rPr>
            </w:pPr>
            <w:r>
              <w:rPr>
                <w:rFonts w:ascii="Arial" w:cs="Arial" w:eastAsia="Arial" w:hAnsi="Arial"/>
                <w:sz w:val="18"/>
                <w:szCs w:val="18"/>
                <w:color w:val="auto"/>
              </w:rPr>
              <w:t>Ms. Weili Dai</w:t>
            </w:r>
          </w:p>
        </w:tc>
        <w:tc>
          <w:tcPr>
            <w:tcW w:w="1500" w:type="dxa"/>
            <w:vAlign w:val="bottom"/>
            <w:gridSpan w:val="2"/>
          </w:tcPr>
          <w:p>
            <w:pPr>
              <w:jc w:val="right"/>
              <w:ind w:right="860"/>
              <w:spacing w:after="0"/>
              <w:rPr>
                <w:sz w:val="20"/>
                <w:szCs w:val="20"/>
                <w:color w:val="auto"/>
              </w:rPr>
            </w:pPr>
            <w:r>
              <w:rPr>
                <w:rFonts w:ascii="Arial" w:cs="Arial" w:eastAsia="Arial" w:hAnsi="Arial"/>
                <w:sz w:val="18"/>
                <w:szCs w:val="18"/>
                <w:color w:val="auto"/>
              </w:rPr>
              <w:t>18%</w:t>
            </w:r>
          </w:p>
        </w:tc>
        <w:tc>
          <w:tcPr>
            <w:tcW w:w="2240" w:type="dxa"/>
            <w:vAlign w:val="bottom"/>
            <w:gridSpan w:val="2"/>
          </w:tcPr>
          <w:p>
            <w:pPr>
              <w:jc w:val="right"/>
              <w:ind w:right="860"/>
              <w:spacing w:after="0"/>
              <w:rPr>
                <w:sz w:val="20"/>
                <w:szCs w:val="20"/>
                <w:color w:val="auto"/>
              </w:rPr>
            </w:pPr>
            <w:r>
              <w:rPr>
                <w:rFonts w:ascii="Arial" w:cs="Arial" w:eastAsia="Arial" w:hAnsi="Arial"/>
                <w:sz w:val="18"/>
                <w:szCs w:val="18"/>
                <w:color w:val="auto"/>
              </w:rPr>
              <w:t>18%</w:t>
            </w:r>
          </w:p>
        </w:tc>
        <w:tc>
          <w:tcPr>
            <w:tcW w:w="1740" w:type="dxa"/>
            <w:vAlign w:val="bottom"/>
            <w:gridSpan w:val="2"/>
          </w:tcPr>
          <w:p>
            <w:pPr>
              <w:jc w:val="right"/>
              <w:ind w:right="440"/>
              <w:spacing w:after="0"/>
              <w:rPr>
                <w:sz w:val="20"/>
                <w:szCs w:val="20"/>
                <w:color w:val="auto"/>
              </w:rPr>
            </w:pPr>
            <w:r>
              <w:rPr>
                <w:rFonts w:ascii="Arial" w:cs="Arial" w:eastAsia="Arial" w:hAnsi="Arial"/>
                <w:sz w:val="18"/>
                <w:szCs w:val="18"/>
                <w:color w:val="auto"/>
              </w:rPr>
              <w:t>23%</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Dr. Zining Wu</w:t>
            </w:r>
          </w:p>
        </w:tc>
        <w:tc>
          <w:tcPr>
            <w:tcW w:w="15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16%</w:t>
            </w:r>
          </w:p>
        </w:tc>
        <w:tc>
          <w:tcPr>
            <w:tcW w:w="224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16%</w:t>
            </w:r>
          </w:p>
        </w:tc>
        <w:tc>
          <w:tcPr>
            <w:tcW w:w="17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34%</w:t>
            </w:r>
          </w:p>
        </w:tc>
        <w:tc>
          <w:tcPr>
            <w:tcW w:w="11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0" w:firstLine="456"/>
        <w:spacing w:after="0" w:line="291" w:lineRule="auto"/>
        <w:rPr>
          <w:sz w:val="20"/>
          <w:szCs w:val="20"/>
          <w:color w:val="auto"/>
        </w:rPr>
      </w:pPr>
      <w:r>
        <w:rPr>
          <w:rFonts w:ascii="Arial" w:cs="Arial" w:eastAsia="Arial" w:hAnsi="Arial"/>
          <w:sz w:val="16"/>
          <w:szCs w:val="16"/>
          <w:color w:val="auto"/>
        </w:rPr>
        <w:t>The individual strategic goals identified for each executive officer included a mix of financial and operational, quantitative and qualitative factors. For fiscal 2016, these included, but were not limited to: execution of the strategic plan; cost management, expense and pricing related goals; and product and technology development goals. The strategic goals and weightings approved by the Committee were tailored to the specific roles and responsibilities of each named executive officer. The ECC initially determined what categories of individual strategic goals would be appropriate for the executive officers, and then suggested specific goals for each individual. The individual executive officers proposed additional goals based on the needs of their internal constituents. Following discussion without the executive officers present, the ECC then approved the final individual strategic goals.</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Vesting of a portion of the performance awards subject to individual strategic goals is subject to achievement of the “Threshold” Company financial performance metric for either of the revenue or modified non-GAAP operating income performance metrics described above. Achievement of threshold financial performance metric allows for vesting of all shares under this portion of the performance awards, but subject to the ECC applying negative discretion based on actual achievement of individual strategic goals to determine the number of shares that shall vest in respect of the performance award for each named executive officer.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Total Compensation Value and Competitive Positioning</w:t>
      </w:r>
    </w:p>
    <w:p>
      <w:pPr>
        <w:spacing w:after="0" w:line="9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The ECC positioned the fiscal 2016 named executive officer compensation packages to be consistent with the compensation philosophy and compensation principles discussed above. The table below presents the resulting positioning of fiscal 2016 compensation for our named executive officers:</w:t>
      </w:r>
    </w:p>
    <w:p>
      <w:pPr>
        <w:spacing w:after="0" w:line="4" w:lineRule="exact"/>
        <w:rPr>
          <w:sz w:val="20"/>
          <w:szCs w:val="20"/>
          <w:color w:val="auto"/>
        </w:rPr>
      </w:pPr>
    </w:p>
    <w:p>
      <w:pPr>
        <w:ind w:left="900" w:hanging="446"/>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As a percentage of the median (50</w:t>
      </w:r>
      <w:r>
        <w:rPr>
          <w:rFonts w:ascii="Arial" w:cs="Arial" w:eastAsia="Arial" w:hAnsi="Arial"/>
          <w:sz w:val="11"/>
          <w:szCs w:val="11"/>
          <w:color w:val="auto"/>
        </w:rPr>
        <w:t>th</w:t>
      </w:r>
      <w:r>
        <w:rPr>
          <w:rFonts w:ascii="Arial" w:cs="Arial" w:eastAsia="Arial" w:hAnsi="Arial"/>
          <w:sz w:val="18"/>
          <w:szCs w:val="18"/>
          <w:color w:val="auto"/>
        </w:rPr>
        <w:t xml:space="preserve"> percentile) of competitive compensation data collected for the 2016 peer group companies;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As a percentile rank relative to competitive compensation data collected for the 2016 peer group companies.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131</w:t>
      </w:r>
    </w:p>
    <w:p>
      <w:pPr>
        <w:sectPr>
          <w:pgSz w:w="11900" w:h="16838" w:orient="portrait"/>
          <w:cols w:equalWidth="0" w:num="1">
            <w:col w:w="11420"/>
          </w:cols>
          <w:pgMar w:left="240" w:top="459" w:right="23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value attributed to the equity awards is equal to the accounting grant date fair value of the awards. The named executive officer competitive compensation positioning is relative to publicly disclosed compensation information for the 2016 peer group companies as available at the time the ECC approved our fiscal 2016 compensation programs and, therefore, reflects historical, not current year compensation. For purposes of the table below, “AIP” means Annual Incentive Plan and “LTI” means Long-Term Incentive.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40" w:type="dxa"/>
            <w:vAlign w:val="bottom"/>
            <w:gridSpan w:val="7"/>
          </w:tcPr>
          <w:p>
            <w:pPr>
              <w:jc w:val="center"/>
              <w:ind w:right="120"/>
              <w:spacing w:after="0"/>
              <w:rPr>
                <w:sz w:val="20"/>
                <w:szCs w:val="20"/>
                <w:color w:val="auto"/>
              </w:rPr>
            </w:pPr>
            <w:r>
              <w:rPr>
                <w:rFonts w:ascii="Arial" w:cs="Arial" w:eastAsia="Arial" w:hAnsi="Arial"/>
                <w:sz w:val="14"/>
                <w:szCs w:val="14"/>
                <w:b w:val="1"/>
                <w:bCs w:val="1"/>
                <w:color w:val="auto"/>
                <w:w w:val="86"/>
              </w:rPr>
              <w:t>As a Percentage of Median of</w:t>
            </w: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78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80" w:type="dxa"/>
            <w:vAlign w:val="bottom"/>
            <w:gridSpan w:val="5"/>
          </w:tcPr>
          <w:p>
            <w:pPr>
              <w:jc w:val="center"/>
              <w:ind w:left="481"/>
              <w:spacing w:after="0" w:line="149" w:lineRule="exact"/>
              <w:rPr>
                <w:sz w:val="20"/>
                <w:szCs w:val="20"/>
                <w:color w:val="auto"/>
              </w:rPr>
            </w:pPr>
            <w:r>
              <w:rPr>
                <w:rFonts w:ascii="Arial" w:cs="Arial" w:eastAsia="Arial" w:hAnsi="Arial"/>
                <w:sz w:val="14"/>
                <w:szCs w:val="14"/>
                <w:b w:val="1"/>
                <w:bCs w:val="1"/>
                <w:color w:val="auto"/>
                <w:w w:val="88"/>
              </w:rPr>
              <w:t>2016 Peer Group</w:t>
            </w: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400" w:type="dxa"/>
            <w:vAlign w:val="bottom"/>
            <w:gridSpan w:val="5"/>
          </w:tcPr>
          <w:p>
            <w:pPr>
              <w:jc w:val="center"/>
              <w:spacing w:after="0" w:line="149" w:lineRule="exact"/>
              <w:rPr>
                <w:sz w:val="20"/>
                <w:szCs w:val="20"/>
                <w:color w:val="auto"/>
              </w:rPr>
            </w:pPr>
            <w:r>
              <w:rPr>
                <w:rFonts w:ascii="Arial" w:cs="Arial" w:eastAsia="Arial" w:hAnsi="Arial"/>
                <w:sz w:val="14"/>
                <w:szCs w:val="14"/>
                <w:b w:val="1"/>
                <w:bCs w:val="1"/>
                <w:color w:val="auto"/>
                <w:w w:val="87"/>
              </w:rPr>
              <w:t>Percentile Rank Relative to</w:t>
            </w:r>
          </w:p>
        </w:tc>
        <w:tc>
          <w:tcPr>
            <w:tcW w:w="0" w:type="dxa"/>
            <w:vAlign w:val="bottom"/>
          </w:tcPr>
          <w:p>
            <w:pPr>
              <w:spacing w:after="0"/>
              <w:rPr>
                <w:sz w:val="1"/>
                <w:szCs w:val="1"/>
                <w:color w:val="auto"/>
              </w:rPr>
            </w:pPr>
          </w:p>
        </w:tc>
      </w:tr>
      <w:tr>
        <w:trPr>
          <w:trHeight w:val="161"/>
        </w:trPr>
        <w:tc>
          <w:tcPr>
            <w:tcW w:w="78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4"/>
          </w:tcPr>
          <w:p>
            <w:pPr>
              <w:jc w:val="center"/>
              <w:ind w:right="160"/>
              <w:spacing w:after="0"/>
              <w:rPr>
                <w:sz w:val="20"/>
                <w:szCs w:val="20"/>
                <w:color w:val="auto"/>
              </w:rPr>
            </w:pPr>
            <w:r>
              <w:rPr>
                <w:rFonts w:ascii="Arial" w:cs="Arial" w:eastAsia="Arial" w:hAnsi="Arial"/>
                <w:sz w:val="14"/>
                <w:szCs w:val="14"/>
                <w:b w:val="1"/>
                <w:bCs w:val="1"/>
                <w:color w:val="auto"/>
                <w:w w:val="84"/>
              </w:rPr>
              <w:t>Companies</w:t>
            </w:r>
          </w:p>
        </w:tc>
        <w:tc>
          <w:tcPr>
            <w:tcW w:w="5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2400" w:type="dxa"/>
            <w:vAlign w:val="bottom"/>
            <w:tcBorders>
              <w:bottom w:val="single" w:sz="8" w:color="auto"/>
            </w:tcBorders>
            <w:gridSpan w:val="5"/>
          </w:tcPr>
          <w:p>
            <w:pPr>
              <w:jc w:val="center"/>
              <w:spacing w:after="0"/>
              <w:rPr>
                <w:sz w:val="20"/>
                <w:szCs w:val="20"/>
                <w:color w:val="auto"/>
              </w:rPr>
            </w:pPr>
            <w:r>
              <w:rPr>
                <w:rFonts w:ascii="Arial" w:cs="Arial" w:eastAsia="Arial" w:hAnsi="Arial"/>
                <w:sz w:val="14"/>
                <w:szCs w:val="14"/>
                <w:b w:val="1"/>
                <w:bCs w:val="1"/>
                <w:color w:val="auto"/>
                <w:w w:val="88"/>
              </w:rPr>
              <w:t>2016 Peer Group Companies</w:t>
            </w:r>
          </w:p>
        </w:tc>
        <w:tc>
          <w:tcPr>
            <w:tcW w:w="0" w:type="dxa"/>
            <w:vAlign w:val="bottom"/>
          </w:tcPr>
          <w:p>
            <w:pPr>
              <w:spacing w:after="0"/>
              <w:rPr>
                <w:sz w:val="1"/>
                <w:szCs w:val="1"/>
                <w:color w:val="auto"/>
              </w:rPr>
            </w:pPr>
          </w:p>
        </w:tc>
      </w:tr>
      <w:tr>
        <w:trPr>
          <w:trHeight w:val="129"/>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w w:val="91"/>
              </w:rPr>
              <w:t>Pay Element</w:t>
            </w:r>
          </w:p>
        </w:tc>
        <w:tc>
          <w:tcPr>
            <w:tcW w:w="3440" w:type="dxa"/>
            <w:vAlign w:val="bottom"/>
            <w:vMerge w:val="restart"/>
          </w:tcPr>
          <w:p>
            <w:pPr>
              <w:spacing w:after="0"/>
              <w:rPr>
                <w:sz w:val="11"/>
                <w:szCs w:val="11"/>
                <w:color w:val="auto"/>
              </w:rPr>
            </w:pPr>
          </w:p>
        </w:tc>
        <w:tc>
          <w:tcPr>
            <w:tcW w:w="24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2"/>
              </w:rPr>
              <w:t>Dr.</w:t>
            </w:r>
          </w:p>
        </w:tc>
        <w:tc>
          <w:tcPr>
            <w:tcW w:w="120" w:type="dxa"/>
            <w:vAlign w:val="bottom"/>
          </w:tcPr>
          <w:p>
            <w:pPr>
              <w:spacing w:after="0"/>
              <w:rPr>
                <w:sz w:val="11"/>
                <w:szCs w:val="11"/>
                <w:color w:val="auto"/>
              </w:rPr>
            </w:pPr>
          </w:p>
        </w:tc>
        <w:tc>
          <w:tcPr>
            <w:tcW w:w="760" w:type="dxa"/>
            <w:vAlign w:val="bottom"/>
            <w:gridSpan w:val="3"/>
          </w:tcPr>
          <w:p>
            <w:pPr>
              <w:jc w:val="center"/>
              <w:ind w:right="160"/>
              <w:spacing w:after="0" w:line="129" w:lineRule="exact"/>
              <w:rPr>
                <w:sz w:val="20"/>
                <w:szCs w:val="20"/>
                <w:color w:val="auto"/>
              </w:rPr>
            </w:pPr>
            <w:r>
              <w:rPr>
                <w:rFonts w:ascii="Arial" w:cs="Arial" w:eastAsia="Arial" w:hAnsi="Arial"/>
                <w:sz w:val="14"/>
                <w:szCs w:val="14"/>
                <w:b w:val="1"/>
                <w:bCs w:val="1"/>
                <w:color w:val="auto"/>
                <w:w w:val="90"/>
              </w:rPr>
              <w:t>Ms. W.</w:t>
            </w:r>
          </w:p>
        </w:tc>
        <w:tc>
          <w:tcPr>
            <w:tcW w:w="5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4"/>
              </w:rPr>
              <w:t>Dr. Z.</w:t>
            </w:r>
          </w:p>
        </w:tc>
        <w:tc>
          <w:tcPr>
            <w:tcW w:w="120" w:type="dxa"/>
            <w:vAlign w:val="bottom"/>
          </w:tcPr>
          <w:p>
            <w:pPr>
              <w:spacing w:after="0"/>
              <w:rPr>
                <w:sz w:val="11"/>
                <w:szCs w:val="11"/>
                <w:color w:val="auto"/>
              </w:rPr>
            </w:pPr>
          </w:p>
        </w:tc>
        <w:tc>
          <w:tcPr>
            <w:tcW w:w="840" w:type="dxa"/>
            <w:vAlign w:val="bottom"/>
            <w:gridSpan w:val="2"/>
          </w:tcPr>
          <w:p>
            <w:pPr>
              <w:jc w:val="center"/>
              <w:ind w:right="100"/>
              <w:spacing w:after="0" w:line="129" w:lineRule="exact"/>
              <w:rPr>
                <w:sz w:val="20"/>
                <w:szCs w:val="20"/>
                <w:color w:val="auto"/>
              </w:rPr>
            </w:pPr>
            <w:r>
              <w:rPr>
                <w:rFonts w:ascii="Arial" w:cs="Arial" w:eastAsia="Arial" w:hAnsi="Arial"/>
                <w:sz w:val="14"/>
                <w:szCs w:val="14"/>
                <w:b w:val="1"/>
                <w:bCs w:val="1"/>
                <w:color w:val="auto"/>
                <w:w w:val="92"/>
              </w:rPr>
              <w:t>Dr.</w:t>
            </w:r>
          </w:p>
        </w:tc>
        <w:tc>
          <w:tcPr>
            <w:tcW w:w="840" w:type="dxa"/>
            <w:vAlign w:val="bottom"/>
            <w:gridSpan w:val="2"/>
          </w:tcPr>
          <w:p>
            <w:pPr>
              <w:jc w:val="center"/>
              <w:ind w:right="120"/>
              <w:spacing w:after="0" w:line="129" w:lineRule="exact"/>
              <w:rPr>
                <w:sz w:val="20"/>
                <w:szCs w:val="20"/>
                <w:color w:val="auto"/>
              </w:rPr>
            </w:pPr>
            <w:r>
              <w:rPr>
                <w:rFonts w:ascii="Arial" w:cs="Arial" w:eastAsia="Arial" w:hAnsi="Arial"/>
                <w:sz w:val="14"/>
                <w:szCs w:val="14"/>
                <w:b w:val="1"/>
                <w:bCs w:val="1"/>
                <w:color w:val="auto"/>
                <w:w w:val="90"/>
              </w:rPr>
              <w:t>Ms. W.</w:t>
            </w:r>
          </w:p>
        </w:tc>
        <w:tc>
          <w:tcPr>
            <w:tcW w:w="7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4"/>
              </w:rPr>
              <w:t>Dr. Z.</w:t>
            </w:r>
          </w:p>
        </w:tc>
        <w:tc>
          <w:tcPr>
            <w:tcW w:w="0" w:type="dxa"/>
            <w:vAlign w:val="bottom"/>
          </w:tcPr>
          <w:p>
            <w:pPr>
              <w:spacing w:after="0"/>
              <w:rPr>
                <w:sz w:val="1"/>
                <w:szCs w:val="1"/>
                <w:color w:val="auto"/>
              </w:rPr>
            </w:pPr>
          </w:p>
        </w:tc>
      </w:tr>
      <w:tr>
        <w:trPr>
          <w:trHeight w:val="168"/>
        </w:trPr>
        <w:tc>
          <w:tcPr>
            <w:tcW w:w="780" w:type="dxa"/>
            <w:vAlign w:val="bottom"/>
            <w:tcBorders>
              <w:bottom w:val="single" w:sz="8" w:color="auto"/>
            </w:tcBorders>
            <w:vMerge w:val="continue"/>
          </w:tcPr>
          <w:p>
            <w:pPr>
              <w:spacing w:after="0"/>
              <w:rPr>
                <w:sz w:val="14"/>
                <w:szCs w:val="14"/>
                <w:color w:val="auto"/>
              </w:rPr>
            </w:pPr>
          </w:p>
        </w:tc>
        <w:tc>
          <w:tcPr>
            <w:tcW w:w="3440" w:type="dxa"/>
            <w:vAlign w:val="bottom"/>
            <w:vMerge w:val="continue"/>
          </w:tcPr>
          <w:p>
            <w:pPr>
              <w:spacing w:after="0"/>
              <w:rPr>
                <w:sz w:val="14"/>
                <w:szCs w:val="14"/>
                <w:color w:val="auto"/>
              </w:rPr>
            </w:pPr>
          </w:p>
        </w:tc>
        <w:tc>
          <w:tcPr>
            <w:tcW w:w="2560" w:type="dxa"/>
            <w:vAlign w:val="bottom"/>
            <w:gridSpan w:val="2"/>
          </w:tcPr>
          <w:p>
            <w:pPr>
              <w:jc w:val="center"/>
              <w:ind w:right="120"/>
              <w:spacing w:after="0" w:line="148" w:lineRule="exact"/>
              <w:rPr>
                <w:sz w:val="20"/>
                <w:szCs w:val="20"/>
                <w:color w:val="auto"/>
              </w:rPr>
            </w:pPr>
            <w:r>
              <w:rPr>
                <w:rFonts w:ascii="Arial" w:cs="Arial" w:eastAsia="Arial" w:hAnsi="Arial"/>
                <w:sz w:val="14"/>
                <w:szCs w:val="14"/>
                <w:b w:val="1"/>
                <w:bCs w:val="1"/>
                <w:color w:val="auto"/>
                <w:w w:val="86"/>
              </w:rPr>
              <w:t>Performance Assumption</w:t>
            </w:r>
          </w:p>
        </w:tc>
        <w:tc>
          <w:tcPr>
            <w:tcW w:w="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Sutardja</w:t>
            </w:r>
          </w:p>
        </w:tc>
        <w:tc>
          <w:tcPr>
            <w:tcW w:w="120" w:type="dxa"/>
            <w:vAlign w:val="bottom"/>
          </w:tcPr>
          <w:p>
            <w:pPr>
              <w:spacing w:after="0"/>
              <w:rPr>
                <w:sz w:val="14"/>
                <w:szCs w:val="14"/>
                <w:color w:val="auto"/>
              </w:rPr>
            </w:pPr>
          </w:p>
        </w:tc>
        <w:tc>
          <w:tcPr>
            <w:tcW w:w="760" w:type="dxa"/>
            <w:vAlign w:val="bottom"/>
            <w:gridSpan w:val="3"/>
          </w:tcPr>
          <w:p>
            <w:pPr>
              <w:jc w:val="center"/>
              <w:ind w:right="160"/>
              <w:spacing w:after="0" w:line="148" w:lineRule="exact"/>
              <w:rPr>
                <w:sz w:val="20"/>
                <w:szCs w:val="20"/>
                <w:color w:val="auto"/>
              </w:rPr>
            </w:pPr>
            <w:r>
              <w:rPr>
                <w:rFonts w:ascii="Arial" w:cs="Arial" w:eastAsia="Arial" w:hAnsi="Arial"/>
                <w:sz w:val="14"/>
                <w:szCs w:val="14"/>
                <w:b w:val="1"/>
                <w:bCs w:val="1"/>
                <w:color w:val="auto"/>
                <w:w w:val="91"/>
              </w:rPr>
              <w:t>Dai</w:t>
            </w:r>
          </w:p>
        </w:tc>
        <w:tc>
          <w:tcPr>
            <w:tcW w:w="66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91"/>
              </w:rPr>
              <w:t>Wu</w:t>
            </w:r>
          </w:p>
        </w:tc>
        <w:tc>
          <w:tcPr>
            <w:tcW w:w="840" w:type="dxa"/>
            <w:vAlign w:val="bottom"/>
            <w:gridSpan w:val="2"/>
          </w:tcPr>
          <w:p>
            <w:pPr>
              <w:jc w:val="center"/>
              <w:ind w:right="120"/>
              <w:spacing w:after="0" w:line="148" w:lineRule="exact"/>
              <w:rPr>
                <w:sz w:val="20"/>
                <w:szCs w:val="20"/>
                <w:color w:val="auto"/>
              </w:rPr>
            </w:pPr>
            <w:r>
              <w:rPr>
                <w:rFonts w:ascii="Arial" w:cs="Arial" w:eastAsia="Arial" w:hAnsi="Arial"/>
                <w:sz w:val="14"/>
                <w:szCs w:val="14"/>
                <w:b w:val="1"/>
                <w:bCs w:val="1"/>
                <w:color w:val="auto"/>
                <w:w w:val="92"/>
              </w:rPr>
              <w:t>Sutardja</w:t>
            </w:r>
          </w:p>
        </w:tc>
        <w:tc>
          <w:tcPr>
            <w:tcW w:w="840" w:type="dxa"/>
            <w:vAlign w:val="bottom"/>
            <w:gridSpan w:val="2"/>
          </w:tcPr>
          <w:p>
            <w:pPr>
              <w:jc w:val="center"/>
              <w:ind w:right="120"/>
              <w:spacing w:after="0" w:line="148" w:lineRule="exact"/>
              <w:rPr>
                <w:sz w:val="20"/>
                <w:szCs w:val="20"/>
                <w:color w:val="auto"/>
              </w:rPr>
            </w:pPr>
            <w:r>
              <w:rPr>
                <w:rFonts w:ascii="Arial" w:cs="Arial" w:eastAsia="Arial" w:hAnsi="Arial"/>
                <w:sz w:val="14"/>
                <w:szCs w:val="14"/>
                <w:b w:val="1"/>
                <w:bCs w:val="1"/>
                <w:color w:val="auto"/>
                <w:w w:val="91"/>
              </w:rPr>
              <w:t>Dai</w:t>
            </w:r>
          </w:p>
        </w:tc>
        <w:tc>
          <w:tcPr>
            <w:tcW w:w="7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1"/>
              </w:rPr>
              <w:t>Wu</w:t>
            </w:r>
          </w:p>
        </w:tc>
        <w:tc>
          <w:tcPr>
            <w:tcW w:w="0" w:type="dxa"/>
            <w:vAlign w:val="bottom"/>
          </w:tcPr>
          <w:p>
            <w:pPr>
              <w:spacing w:after="0"/>
              <w:rPr>
                <w:sz w:val="1"/>
                <w:szCs w:val="1"/>
                <w:color w:val="auto"/>
              </w:rPr>
            </w:pPr>
          </w:p>
        </w:tc>
      </w:tr>
      <w:tr>
        <w:trPr>
          <w:trHeight w:val="203"/>
        </w:trPr>
        <w:tc>
          <w:tcPr>
            <w:tcW w:w="42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Salary</w:t>
            </w:r>
          </w:p>
        </w:tc>
        <w:tc>
          <w:tcPr>
            <w:tcW w:w="2440" w:type="dxa"/>
            <w:vAlign w:val="bottom"/>
            <w:tcBorders>
              <w:top w:val="single" w:sz="8" w:color="auto"/>
            </w:tcBorders>
            <w:shd w:val="clear" w:color="auto" w:fill="CCEEFF"/>
          </w:tcPr>
          <w:p>
            <w:pPr>
              <w:ind w:left="1100"/>
              <w:spacing w:after="0" w:line="203" w:lineRule="exact"/>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6"/>
              </w:rPr>
              <w:t>112%</w:t>
            </w:r>
          </w:p>
        </w:tc>
        <w:tc>
          <w:tcPr>
            <w:tcW w:w="12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6"/>
              </w:rPr>
              <w:t>128%</w:t>
            </w:r>
          </w:p>
        </w:tc>
        <w:tc>
          <w:tcPr>
            <w:tcW w:w="1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88%</w:t>
            </w:r>
          </w:p>
        </w:tc>
        <w:tc>
          <w:tcPr>
            <w:tcW w:w="1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60%ile</w:t>
            </w:r>
          </w:p>
        </w:tc>
        <w:tc>
          <w:tcPr>
            <w:tcW w:w="1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92"/>
              </w:rPr>
              <w:t>&gt;75%ile</w:t>
            </w:r>
          </w:p>
        </w:tc>
        <w:tc>
          <w:tcPr>
            <w:tcW w:w="1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92"/>
              </w:rPr>
              <w:t>36%ile</w:t>
            </w:r>
          </w:p>
        </w:tc>
        <w:tc>
          <w:tcPr>
            <w:tcW w:w="0" w:type="dxa"/>
            <w:vAlign w:val="bottom"/>
          </w:tcPr>
          <w:p>
            <w:pPr>
              <w:spacing w:after="0"/>
              <w:rPr>
                <w:sz w:val="1"/>
                <w:szCs w:val="1"/>
                <w:color w:val="auto"/>
              </w:rPr>
            </w:pPr>
          </w:p>
        </w:tc>
      </w:tr>
      <w:tr>
        <w:trPr>
          <w:trHeight w:val="208"/>
        </w:trPr>
        <w:tc>
          <w:tcPr>
            <w:tcW w:w="4220" w:type="dxa"/>
            <w:vAlign w:val="bottom"/>
            <w:gridSpan w:val="2"/>
          </w:tcPr>
          <w:p>
            <w:pPr>
              <w:spacing w:after="0"/>
              <w:rPr>
                <w:sz w:val="20"/>
                <w:szCs w:val="20"/>
                <w:color w:val="auto"/>
              </w:rPr>
            </w:pPr>
            <w:r>
              <w:rPr>
                <w:rFonts w:ascii="Arial" w:cs="Arial" w:eastAsia="Arial" w:hAnsi="Arial"/>
                <w:sz w:val="18"/>
                <w:szCs w:val="18"/>
                <w:color w:val="auto"/>
              </w:rPr>
              <w:t>Total Cash Compensation</w:t>
            </w:r>
          </w:p>
        </w:tc>
        <w:tc>
          <w:tcPr>
            <w:tcW w:w="2560" w:type="dxa"/>
            <w:vAlign w:val="bottom"/>
            <w:gridSpan w:val="2"/>
            <w:vMerge w:val="restart"/>
          </w:tcPr>
          <w:p>
            <w:pPr>
              <w:jc w:val="center"/>
              <w:ind w:right="120"/>
              <w:spacing w:after="0"/>
              <w:rPr>
                <w:sz w:val="20"/>
                <w:szCs w:val="20"/>
                <w:color w:val="auto"/>
              </w:rPr>
            </w:pPr>
            <w:r>
              <w:rPr>
                <w:rFonts w:ascii="Arial" w:cs="Arial" w:eastAsia="Arial" w:hAnsi="Arial"/>
                <w:sz w:val="18"/>
                <w:szCs w:val="18"/>
                <w:color w:val="auto"/>
                <w:w w:val="86"/>
              </w:rPr>
              <w:t>Target AIP Payout</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auto"/>
                <w:w w:val="91"/>
              </w:rPr>
              <w:t>106%</w:t>
            </w:r>
          </w:p>
        </w:tc>
        <w:tc>
          <w:tcPr>
            <w:tcW w:w="720" w:type="dxa"/>
            <w:vAlign w:val="bottom"/>
            <w:gridSpan w:val="2"/>
            <w:vMerge w:val="restart"/>
          </w:tcPr>
          <w:p>
            <w:pPr>
              <w:jc w:val="center"/>
              <w:ind w:left="36"/>
              <w:spacing w:after="0"/>
              <w:rPr>
                <w:sz w:val="20"/>
                <w:szCs w:val="20"/>
                <w:color w:val="auto"/>
              </w:rPr>
            </w:pPr>
            <w:r>
              <w:rPr>
                <w:rFonts w:ascii="Arial" w:cs="Arial" w:eastAsia="Arial" w:hAnsi="Arial"/>
                <w:sz w:val="18"/>
                <w:szCs w:val="18"/>
                <w:color w:val="auto"/>
                <w:w w:val="88"/>
              </w:rPr>
              <w:t>98%</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40" w:type="dxa"/>
            <w:vAlign w:val="bottom"/>
            <w:vMerge w:val="restart"/>
          </w:tcPr>
          <w:p>
            <w:pPr>
              <w:jc w:val="center"/>
              <w:spacing w:after="0"/>
              <w:rPr>
                <w:sz w:val="20"/>
                <w:szCs w:val="20"/>
                <w:color w:val="auto"/>
              </w:rPr>
            </w:pPr>
            <w:r>
              <w:rPr>
                <w:rFonts w:ascii="Arial" w:cs="Arial" w:eastAsia="Arial" w:hAnsi="Arial"/>
                <w:sz w:val="18"/>
                <w:szCs w:val="18"/>
                <w:color w:val="auto"/>
                <w:w w:val="88"/>
              </w:rPr>
              <w:t>59%</w:t>
            </w:r>
          </w:p>
        </w:tc>
        <w:tc>
          <w:tcPr>
            <w:tcW w:w="120" w:type="dxa"/>
            <w:vAlign w:val="bottom"/>
          </w:tcPr>
          <w:p>
            <w:pPr>
              <w:spacing w:after="0"/>
              <w:rPr>
                <w:sz w:val="18"/>
                <w:szCs w:val="18"/>
                <w:color w:val="auto"/>
              </w:rPr>
            </w:pPr>
          </w:p>
        </w:tc>
        <w:tc>
          <w:tcPr>
            <w:tcW w:w="840" w:type="dxa"/>
            <w:vAlign w:val="bottom"/>
            <w:gridSpan w:val="2"/>
            <w:vMerge w:val="restart"/>
          </w:tcPr>
          <w:p>
            <w:pPr>
              <w:jc w:val="center"/>
              <w:ind w:right="120"/>
              <w:spacing w:after="0"/>
              <w:rPr>
                <w:sz w:val="20"/>
                <w:szCs w:val="20"/>
                <w:color w:val="auto"/>
              </w:rPr>
            </w:pPr>
            <w:r>
              <w:rPr>
                <w:rFonts w:ascii="Arial" w:cs="Arial" w:eastAsia="Arial" w:hAnsi="Arial"/>
                <w:sz w:val="18"/>
                <w:szCs w:val="18"/>
                <w:color w:val="auto"/>
                <w:w w:val="88"/>
              </w:rPr>
              <w:t>56%ile</w:t>
            </w:r>
          </w:p>
        </w:tc>
        <w:tc>
          <w:tcPr>
            <w:tcW w:w="840" w:type="dxa"/>
            <w:vAlign w:val="bottom"/>
            <w:gridSpan w:val="2"/>
            <w:vMerge w:val="restart"/>
          </w:tcPr>
          <w:p>
            <w:pPr>
              <w:jc w:val="center"/>
              <w:ind w:right="140"/>
              <w:spacing w:after="0"/>
              <w:rPr>
                <w:sz w:val="20"/>
                <w:szCs w:val="20"/>
                <w:color w:val="auto"/>
              </w:rPr>
            </w:pPr>
            <w:r>
              <w:rPr>
                <w:rFonts w:ascii="Arial" w:cs="Arial" w:eastAsia="Arial" w:hAnsi="Arial"/>
                <w:sz w:val="18"/>
                <w:szCs w:val="18"/>
                <w:color w:val="auto"/>
                <w:w w:val="92"/>
              </w:rPr>
              <w:t>50%ile</w:t>
            </w:r>
          </w:p>
        </w:tc>
        <w:tc>
          <w:tcPr>
            <w:tcW w:w="720" w:type="dxa"/>
            <w:vAlign w:val="bottom"/>
            <w:vMerge w:val="restart"/>
          </w:tcPr>
          <w:p>
            <w:pPr>
              <w:jc w:val="center"/>
              <w:spacing w:after="0"/>
              <w:rPr>
                <w:sz w:val="20"/>
                <w:szCs w:val="20"/>
                <w:color w:val="auto"/>
              </w:rPr>
            </w:pPr>
            <w:r>
              <w:rPr>
                <w:rFonts w:ascii="Arial" w:cs="Arial" w:eastAsia="Arial" w:hAnsi="Arial"/>
                <w:sz w:val="18"/>
                <w:szCs w:val="18"/>
                <w:color w:val="auto"/>
                <w:w w:val="92"/>
              </w:rPr>
              <w:t>&lt;25%ile</w:t>
            </w:r>
          </w:p>
        </w:tc>
        <w:tc>
          <w:tcPr>
            <w:tcW w:w="0" w:type="dxa"/>
            <w:vAlign w:val="bottom"/>
          </w:tcPr>
          <w:p>
            <w:pPr>
              <w:spacing w:after="0"/>
              <w:rPr>
                <w:sz w:val="1"/>
                <w:szCs w:val="1"/>
                <w:color w:val="auto"/>
              </w:rPr>
            </w:pPr>
          </w:p>
        </w:tc>
      </w:tr>
      <w:tr>
        <w:trPr>
          <w:trHeight w:val="114"/>
        </w:trPr>
        <w:tc>
          <w:tcPr>
            <w:tcW w:w="4220" w:type="dxa"/>
            <w:vAlign w:val="bottom"/>
            <w:gridSpan w:val="2"/>
            <w:vMerge w:val="restart"/>
          </w:tcPr>
          <w:p>
            <w:pPr>
              <w:spacing w:after="0"/>
              <w:rPr>
                <w:sz w:val="20"/>
                <w:szCs w:val="20"/>
                <w:color w:val="auto"/>
              </w:rPr>
            </w:pPr>
            <w:r>
              <w:rPr>
                <w:rFonts w:ascii="Arial" w:cs="Arial" w:eastAsia="Arial" w:hAnsi="Arial"/>
                <w:sz w:val="18"/>
                <w:szCs w:val="18"/>
                <w:color w:val="auto"/>
              </w:rPr>
              <w:t>(Salary + AIP)</w:t>
            </w:r>
          </w:p>
        </w:tc>
        <w:tc>
          <w:tcPr>
            <w:tcW w:w="25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54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4220" w:type="dxa"/>
            <w:vAlign w:val="bottom"/>
            <w:gridSpan w:val="2"/>
            <w:vMerge w:val="continue"/>
          </w:tcPr>
          <w:p>
            <w:pPr>
              <w:spacing w:after="0"/>
              <w:rPr>
                <w:sz w:val="9"/>
                <w:szCs w:val="9"/>
                <w:color w:val="auto"/>
              </w:rPr>
            </w:pPr>
          </w:p>
        </w:tc>
        <w:tc>
          <w:tcPr>
            <w:tcW w:w="24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23"/>
        </w:trPr>
        <w:tc>
          <w:tcPr>
            <w:tcW w:w="4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Cash Compensation</w:t>
            </w:r>
          </w:p>
        </w:tc>
        <w:tc>
          <w:tcPr>
            <w:tcW w:w="2560" w:type="dxa"/>
            <w:vAlign w:val="bottom"/>
            <w:gridSpan w:val="2"/>
            <w:vMerge w:val="restart"/>
            <w:shd w:val="clear" w:color="auto" w:fill="CCEEFF"/>
          </w:tcPr>
          <w:p>
            <w:pPr>
              <w:jc w:val="center"/>
              <w:ind w:right="120"/>
              <w:spacing w:after="0"/>
              <w:rPr>
                <w:sz w:val="20"/>
                <w:szCs w:val="20"/>
                <w:color w:val="auto"/>
              </w:rPr>
            </w:pPr>
            <w:r>
              <w:rPr>
                <w:rFonts w:ascii="Arial" w:cs="Arial" w:eastAsia="Arial" w:hAnsi="Arial"/>
                <w:sz w:val="18"/>
                <w:szCs w:val="18"/>
                <w:color w:val="auto"/>
                <w:w w:val="92"/>
              </w:rPr>
              <w:t>Maximum AIP Payout</w:t>
            </w:r>
          </w:p>
        </w:tc>
        <w:tc>
          <w:tcPr>
            <w:tcW w:w="700" w:type="dxa"/>
            <w:vAlign w:val="bottom"/>
            <w:vMerge w:val="restart"/>
            <w:shd w:val="clear" w:color="auto" w:fill="CCEEFF"/>
          </w:tcPr>
          <w:p>
            <w:pPr>
              <w:jc w:val="center"/>
              <w:spacing w:after="0"/>
              <w:rPr>
                <w:sz w:val="20"/>
                <w:szCs w:val="20"/>
                <w:color w:val="auto"/>
              </w:rPr>
            </w:pPr>
            <w:r>
              <w:rPr>
                <w:rFonts w:ascii="Arial" w:cs="Arial" w:eastAsia="Arial" w:hAnsi="Arial"/>
                <w:sz w:val="18"/>
                <w:szCs w:val="18"/>
                <w:color w:val="auto"/>
                <w:w w:val="91"/>
              </w:rPr>
              <w:t>150%</w:t>
            </w:r>
          </w:p>
        </w:tc>
        <w:tc>
          <w:tcPr>
            <w:tcW w:w="720" w:type="dxa"/>
            <w:vAlign w:val="bottom"/>
            <w:gridSpan w:val="2"/>
            <w:vMerge w:val="restart"/>
            <w:shd w:val="clear" w:color="auto" w:fill="CCEEFF"/>
          </w:tcPr>
          <w:p>
            <w:pPr>
              <w:jc w:val="center"/>
              <w:ind w:left="36"/>
              <w:spacing w:after="0"/>
              <w:rPr>
                <w:sz w:val="20"/>
                <w:szCs w:val="20"/>
                <w:color w:val="auto"/>
              </w:rPr>
            </w:pPr>
            <w:r>
              <w:rPr>
                <w:rFonts w:ascii="Arial" w:cs="Arial" w:eastAsia="Arial" w:hAnsi="Arial"/>
                <w:sz w:val="18"/>
                <w:szCs w:val="18"/>
                <w:color w:val="auto"/>
                <w:w w:val="86"/>
              </w:rPr>
              <w:t>127%</w:t>
            </w:r>
          </w:p>
        </w:tc>
        <w:tc>
          <w:tcPr>
            <w:tcW w:w="10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540" w:type="dxa"/>
            <w:vAlign w:val="bottom"/>
            <w:vMerge w:val="restart"/>
            <w:shd w:val="clear" w:color="auto" w:fill="CCEEFF"/>
          </w:tcPr>
          <w:p>
            <w:pPr>
              <w:jc w:val="center"/>
              <w:spacing w:after="0"/>
              <w:rPr>
                <w:sz w:val="20"/>
                <w:szCs w:val="20"/>
                <w:color w:val="auto"/>
              </w:rPr>
            </w:pPr>
            <w:r>
              <w:rPr>
                <w:rFonts w:ascii="Arial" w:cs="Arial" w:eastAsia="Arial" w:hAnsi="Arial"/>
                <w:sz w:val="18"/>
                <w:szCs w:val="18"/>
                <w:color w:val="auto"/>
                <w:w w:val="88"/>
              </w:rPr>
              <w:t>72%</w:t>
            </w:r>
          </w:p>
        </w:tc>
        <w:tc>
          <w:tcPr>
            <w:tcW w:w="120" w:type="dxa"/>
            <w:vAlign w:val="bottom"/>
            <w:shd w:val="clear" w:color="auto" w:fill="CCEEFF"/>
          </w:tcPr>
          <w:p>
            <w:pPr>
              <w:spacing w:after="0"/>
              <w:rPr>
                <w:sz w:val="19"/>
                <w:szCs w:val="19"/>
                <w:color w:val="auto"/>
              </w:rPr>
            </w:pPr>
          </w:p>
        </w:tc>
        <w:tc>
          <w:tcPr>
            <w:tcW w:w="840" w:type="dxa"/>
            <w:vAlign w:val="bottom"/>
            <w:gridSpan w:val="2"/>
            <w:vMerge w:val="restart"/>
            <w:shd w:val="clear" w:color="auto" w:fill="CCEEFF"/>
          </w:tcPr>
          <w:p>
            <w:pPr>
              <w:jc w:val="center"/>
              <w:ind w:right="120"/>
              <w:spacing w:after="0"/>
              <w:rPr>
                <w:sz w:val="20"/>
                <w:szCs w:val="20"/>
                <w:color w:val="auto"/>
              </w:rPr>
            </w:pPr>
            <w:r>
              <w:rPr>
                <w:rFonts w:ascii="Arial" w:cs="Arial" w:eastAsia="Arial" w:hAnsi="Arial"/>
                <w:sz w:val="18"/>
                <w:szCs w:val="18"/>
                <w:color w:val="auto"/>
                <w:w w:val="92"/>
              </w:rPr>
              <w:t>&gt;75%ile</w:t>
            </w:r>
          </w:p>
        </w:tc>
        <w:tc>
          <w:tcPr>
            <w:tcW w:w="840" w:type="dxa"/>
            <w:vAlign w:val="bottom"/>
            <w:gridSpan w:val="2"/>
            <w:vMerge w:val="restart"/>
            <w:shd w:val="clear" w:color="auto" w:fill="CCEEFF"/>
          </w:tcPr>
          <w:p>
            <w:pPr>
              <w:jc w:val="center"/>
              <w:ind w:right="120"/>
              <w:spacing w:after="0"/>
              <w:rPr>
                <w:sz w:val="20"/>
                <w:szCs w:val="20"/>
                <w:color w:val="auto"/>
              </w:rPr>
            </w:pPr>
            <w:r>
              <w:rPr>
                <w:rFonts w:ascii="Arial" w:cs="Arial" w:eastAsia="Arial" w:hAnsi="Arial"/>
                <w:sz w:val="18"/>
                <w:szCs w:val="18"/>
                <w:color w:val="auto"/>
                <w:w w:val="92"/>
              </w:rPr>
              <w:t>&gt;75%ile</w:t>
            </w:r>
          </w:p>
        </w:tc>
        <w:tc>
          <w:tcPr>
            <w:tcW w:w="720" w:type="dxa"/>
            <w:vAlign w:val="bottom"/>
            <w:vMerge w:val="restart"/>
            <w:shd w:val="clear" w:color="auto" w:fill="CCEEFF"/>
          </w:tcPr>
          <w:p>
            <w:pPr>
              <w:jc w:val="center"/>
              <w:spacing w:after="0"/>
              <w:rPr>
                <w:sz w:val="20"/>
                <w:szCs w:val="20"/>
                <w:color w:val="auto"/>
              </w:rPr>
            </w:pPr>
            <w:r>
              <w:rPr>
                <w:rFonts w:ascii="Arial" w:cs="Arial" w:eastAsia="Arial" w:hAnsi="Arial"/>
                <w:sz w:val="18"/>
                <w:szCs w:val="18"/>
                <w:color w:val="auto"/>
                <w:w w:val="92"/>
              </w:rPr>
              <w:t>&lt;25%ile</w:t>
            </w:r>
          </w:p>
        </w:tc>
        <w:tc>
          <w:tcPr>
            <w:tcW w:w="0" w:type="dxa"/>
            <w:vAlign w:val="bottom"/>
          </w:tcPr>
          <w:p>
            <w:pPr>
              <w:spacing w:after="0"/>
              <w:rPr>
                <w:sz w:val="1"/>
                <w:szCs w:val="1"/>
                <w:color w:val="auto"/>
              </w:rPr>
            </w:pPr>
          </w:p>
        </w:tc>
      </w:tr>
      <w:tr>
        <w:trPr>
          <w:trHeight w:val="114"/>
        </w:trPr>
        <w:tc>
          <w:tcPr>
            <w:tcW w:w="42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(Salary + AIP)</w:t>
            </w:r>
          </w:p>
        </w:tc>
        <w:tc>
          <w:tcPr>
            <w:tcW w:w="2560" w:type="dxa"/>
            <w:vAlign w:val="bottom"/>
            <w:gridSpan w:val="2"/>
            <w:vMerge w:val="continue"/>
            <w:shd w:val="clear" w:color="auto" w:fill="CCEEFF"/>
          </w:tcPr>
          <w:p>
            <w:pPr>
              <w:spacing w:after="0"/>
              <w:rPr>
                <w:sz w:val="9"/>
                <w:szCs w:val="9"/>
                <w:color w:val="auto"/>
              </w:rPr>
            </w:pPr>
          </w:p>
        </w:tc>
        <w:tc>
          <w:tcPr>
            <w:tcW w:w="700" w:type="dxa"/>
            <w:vAlign w:val="bottom"/>
            <w:vMerge w:val="continue"/>
            <w:shd w:val="clear" w:color="auto" w:fill="CCEEFF"/>
          </w:tcPr>
          <w:p>
            <w:pPr>
              <w:spacing w:after="0"/>
              <w:rPr>
                <w:sz w:val="9"/>
                <w:szCs w:val="9"/>
                <w:color w:val="auto"/>
              </w:rPr>
            </w:pPr>
          </w:p>
        </w:tc>
        <w:tc>
          <w:tcPr>
            <w:tcW w:w="720" w:type="dxa"/>
            <w:vAlign w:val="bottom"/>
            <w:gridSpan w:val="2"/>
            <w:vMerge w:val="continue"/>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540" w:type="dxa"/>
            <w:vAlign w:val="bottom"/>
            <w:vMerge w:val="continue"/>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840" w:type="dxa"/>
            <w:vAlign w:val="bottom"/>
            <w:gridSpan w:val="2"/>
            <w:vMerge w:val="continue"/>
            <w:shd w:val="clear" w:color="auto" w:fill="CCEEFF"/>
          </w:tcPr>
          <w:p>
            <w:pPr>
              <w:spacing w:after="0"/>
              <w:rPr>
                <w:sz w:val="9"/>
                <w:szCs w:val="9"/>
                <w:color w:val="auto"/>
              </w:rPr>
            </w:pPr>
          </w:p>
        </w:tc>
        <w:tc>
          <w:tcPr>
            <w:tcW w:w="840" w:type="dxa"/>
            <w:vAlign w:val="bottom"/>
            <w:gridSpan w:val="2"/>
            <w:vMerge w:val="continue"/>
            <w:shd w:val="clear" w:color="auto" w:fill="CCEEFF"/>
          </w:tcPr>
          <w:p>
            <w:pPr>
              <w:spacing w:after="0"/>
              <w:rPr>
                <w:sz w:val="9"/>
                <w:szCs w:val="9"/>
                <w:color w:val="auto"/>
              </w:rPr>
            </w:pPr>
          </w:p>
        </w:tc>
        <w:tc>
          <w:tcPr>
            <w:tcW w:w="720" w:type="dxa"/>
            <w:vAlign w:val="bottom"/>
            <w:vMerge w:val="continue"/>
            <w:shd w:val="clear" w:color="auto" w:fill="CCEEFF"/>
          </w:tcPr>
          <w:p>
            <w:pPr>
              <w:spacing w:after="0"/>
              <w:rPr>
                <w:sz w:val="9"/>
                <w:szCs w:val="9"/>
                <w:color w:val="auto"/>
              </w:rPr>
            </w:pPr>
          </w:p>
        </w:tc>
        <w:tc>
          <w:tcPr>
            <w:tcW w:w="0" w:type="dxa"/>
            <w:vAlign w:val="bottom"/>
          </w:tcPr>
          <w:p>
            <w:pPr>
              <w:spacing w:after="0"/>
              <w:rPr>
                <w:sz w:val="1"/>
                <w:szCs w:val="1"/>
                <w:color w:val="auto"/>
              </w:rPr>
            </w:pPr>
          </w:p>
        </w:tc>
      </w:tr>
      <w:tr>
        <w:trPr>
          <w:trHeight w:val="124"/>
        </w:trPr>
        <w:tc>
          <w:tcPr>
            <w:tcW w:w="4220" w:type="dxa"/>
            <w:vAlign w:val="bottom"/>
            <w:gridSpan w:val="2"/>
            <w:vMerge w:val="continue"/>
            <w:shd w:val="clear" w:color="auto" w:fill="CCEEFF"/>
          </w:tcPr>
          <w:p>
            <w:pPr>
              <w:spacing w:after="0"/>
              <w:rPr>
                <w:sz w:val="10"/>
                <w:szCs w:val="10"/>
                <w:color w:val="auto"/>
              </w:rPr>
            </w:pPr>
          </w:p>
        </w:tc>
        <w:tc>
          <w:tcPr>
            <w:tcW w:w="24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5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208"/>
        </w:trPr>
        <w:tc>
          <w:tcPr>
            <w:tcW w:w="4220" w:type="dxa"/>
            <w:vAlign w:val="bottom"/>
            <w:gridSpan w:val="2"/>
          </w:tcPr>
          <w:p>
            <w:pPr>
              <w:spacing w:after="0"/>
              <w:rPr>
                <w:sz w:val="20"/>
                <w:szCs w:val="20"/>
                <w:color w:val="auto"/>
              </w:rPr>
            </w:pPr>
            <w:r>
              <w:rPr>
                <w:rFonts w:ascii="Arial" w:cs="Arial" w:eastAsia="Arial" w:hAnsi="Arial"/>
                <w:sz w:val="18"/>
                <w:szCs w:val="18"/>
                <w:color w:val="auto"/>
              </w:rPr>
              <w:t>Total Direct Compensation</w:t>
            </w:r>
          </w:p>
        </w:tc>
        <w:tc>
          <w:tcPr>
            <w:tcW w:w="2560" w:type="dxa"/>
            <w:vAlign w:val="bottom"/>
            <w:gridSpan w:val="2"/>
            <w:vMerge w:val="restart"/>
          </w:tcPr>
          <w:p>
            <w:pPr>
              <w:jc w:val="center"/>
              <w:ind w:right="100"/>
              <w:spacing w:after="0"/>
              <w:rPr>
                <w:sz w:val="20"/>
                <w:szCs w:val="20"/>
                <w:color w:val="auto"/>
              </w:rPr>
            </w:pPr>
            <w:r>
              <w:rPr>
                <w:rFonts w:ascii="Arial" w:cs="Arial" w:eastAsia="Arial" w:hAnsi="Arial"/>
                <w:sz w:val="18"/>
                <w:szCs w:val="18"/>
                <w:color w:val="auto"/>
                <w:w w:val="91"/>
              </w:rPr>
              <w:t>Target AIP &amp; LTI Payout</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auto"/>
                <w:w w:val="91"/>
              </w:rPr>
              <w:t>135%</w:t>
            </w:r>
          </w:p>
        </w:tc>
        <w:tc>
          <w:tcPr>
            <w:tcW w:w="720" w:type="dxa"/>
            <w:vAlign w:val="bottom"/>
            <w:gridSpan w:val="2"/>
            <w:vMerge w:val="restart"/>
          </w:tcPr>
          <w:p>
            <w:pPr>
              <w:jc w:val="center"/>
              <w:ind w:left="36"/>
              <w:spacing w:after="0"/>
              <w:rPr>
                <w:sz w:val="20"/>
                <w:szCs w:val="20"/>
                <w:color w:val="auto"/>
              </w:rPr>
            </w:pPr>
            <w:r>
              <w:rPr>
                <w:rFonts w:ascii="Arial" w:cs="Arial" w:eastAsia="Arial" w:hAnsi="Arial"/>
                <w:sz w:val="18"/>
                <w:szCs w:val="18"/>
                <w:color w:val="auto"/>
                <w:w w:val="86"/>
              </w:rPr>
              <w:t>173%</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40" w:type="dxa"/>
            <w:vAlign w:val="bottom"/>
            <w:vMerge w:val="restart"/>
          </w:tcPr>
          <w:p>
            <w:pPr>
              <w:jc w:val="center"/>
              <w:spacing w:after="0"/>
              <w:rPr>
                <w:sz w:val="20"/>
                <w:szCs w:val="20"/>
                <w:color w:val="auto"/>
              </w:rPr>
            </w:pPr>
            <w:r>
              <w:rPr>
                <w:rFonts w:ascii="Arial" w:cs="Arial" w:eastAsia="Arial" w:hAnsi="Arial"/>
                <w:sz w:val="18"/>
                <w:szCs w:val="18"/>
                <w:color w:val="auto"/>
                <w:w w:val="86"/>
              </w:rPr>
              <w:t>133%</w:t>
            </w:r>
          </w:p>
        </w:tc>
        <w:tc>
          <w:tcPr>
            <w:tcW w:w="120" w:type="dxa"/>
            <w:vAlign w:val="bottom"/>
          </w:tcPr>
          <w:p>
            <w:pPr>
              <w:spacing w:after="0"/>
              <w:rPr>
                <w:sz w:val="18"/>
                <w:szCs w:val="18"/>
                <w:color w:val="auto"/>
              </w:rPr>
            </w:pPr>
          </w:p>
        </w:tc>
        <w:tc>
          <w:tcPr>
            <w:tcW w:w="840" w:type="dxa"/>
            <w:vAlign w:val="bottom"/>
            <w:gridSpan w:val="2"/>
            <w:vMerge w:val="restart"/>
          </w:tcPr>
          <w:p>
            <w:pPr>
              <w:jc w:val="center"/>
              <w:ind w:right="120"/>
              <w:spacing w:after="0"/>
              <w:rPr>
                <w:sz w:val="20"/>
                <w:szCs w:val="20"/>
                <w:color w:val="auto"/>
              </w:rPr>
            </w:pPr>
            <w:r>
              <w:rPr>
                <w:rFonts w:ascii="Arial" w:cs="Arial" w:eastAsia="Arial" w:hAnsi="Arial"/>
                <w:sz w:val="18"/>
                <w:szCs w:val="18"/>
                <w:color w:val="auto"/>
                <w:w w:val="92"/>
              </w:rPr>
              <w:t>&gt;75%ile</w:t>
            </w:r>
          </w:p>
        </w:tc>
        <w:tc>
          <w:tcPr>
            <w:tcW w:w="840" w:type="dxa"/>
            <w:vAlign w:val="bottom"/>
            <w:gridSpan w:val="2"/>
            <w:vMerge w:val="restart"/>
          </w:tcPr>
          <w:p>
            <w:pPr>
              <w:jc w:val="center"/>
              <w:ind w:right="120"/>
              <w:spacing w:after="0"/>
              <w:rPr>
                <w:sz w:val="20"/>
                <w:szCs w:val="20"/>
                <w:color w:val="auto"/>
              </w:rPr>
            </w:pPr>
            <w:r>
              <w:rPr>
                <w:rFonts w:ascii="Arial" w:cs="Arial" w:eastAsia="Arial" w:hAnsi="Arial"/>
                <w:sz w:val="18"/>
                <w:szCs w:val="18"/>
                <w:color w:val="auto"/>
                <w:w w:val="92"/>
              </w:rPr>
              <w:t>&gt;75%ile</w:t>
            </w:r>
          </w:p>
        </w:tc>
        <w:tc>
          <w:tcPr>
            <w:tcW w:w="720" w:type="dxa"/>
            <w:vAlign w:val="bottom"/>
            <w:vMerge w:val="restart"/>
          </w:tcPr>
          <w:p>
            <w:pPr>
              <w:jc w:val="center"/>
              <w:spacing w:after="0"/>
              <w:rPr>
                <w:sz w:val="20"/>
                <w:szCs w:val="20"/>
                <w:color w:val="auto"/>
              </w:rPr>
            </w:pPr>
            <w:r>
              <w:rPr>
                <w:rFonts w:ascii="Arial" w:cs="Arial" w:eastAsia="Arial" w:hAnsi="Arial"/>
                <w:sz w:val="18"/>
                <w:szCs w:val="18"/>
                <w:color w:val="auto"/>
                <w:w w:val="92"/>
              </w:rPr>
              <w:t>69%ile</w:t>
            </w:r>
          </w:p>
        </w:tc>
        <w:tc>
          <w:tcPr>
            <w:tcW w:w="0" w:type="dxa"/>
            <w:vAlign w:val="bottom"/>
          </w:tcPr>
          <w:p>
            <w:pPr>
              <w:spacing w:after="0"/>
              <w:rPr>
                <w:sz w:val="1"/>
                <w:szCs w:val="1"/>
                <w:color w:val="auto"/>
              </w:rPr>
            </w:pPr>
          </w:p>
        </w:tc>
      </w:tr>
      <w:tr>
        <w:trPr>
          <w:trHeight w:val="114"/>
        </w:trPr>
        <w:tc>
          <w:tcPr>
            <w:tcW w:w="4220" w:type="dxa"/>
            <w:vAlign w:val="bottom"/>
            <w:gridSpan w:val="2"/>
            <w:vMerge w:val="restart"/>
          </w:tcPr>
          <w:p>
            <w:pPr>
              <w:spacing w:after="0"/>
              <w:rPr>
                <w:sz w:val="20"/>
                <w:szCs w:val="20"/>
                <w:color w:val="auto"/>
              </w:rPr>
            </w:pPr>
            <w:r>
              <w:rPr>
                <w:rFonts w:ascii="Arial" w:cs="Arial" w:eastAsia="Arial" w:hAnsi="Arial"/>
                <w:sz w:val="18"/>
                <w:szCs w:val="18"/>
                <w:color w:val="auto"/>
              </w:rPr>
              <w:t>(Salary + AIP + LTI)</w:t>
            </w:r>
          </w:p>
        </w:tc>
        <w:tc>
          <w:tcPr>
            <w:tcW w:w="256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54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4220" w:type="dxa"/>
            <w:vAlign w:val="bottom"/>
            <w:gridSpan w:val="2"/>
            <w:vMerge w:val="continue"/>
          </w:tcPr>
          <w:p>
            <w:pPr>
              <w:spacing w:after="0"/>
              <w:rPr>
                <w:sz w:val="9"/>
                <w:szCs w:val="9"/>
                <w:color w:val="auto"/>
              </w:rPr>
            </w:pPr>
          </w:p>
        </w:tc>
        <w:tc>
          <w:tcPr>
            <w:tcW w:w="24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23"/>
        </w:trPr>
        <w:tc>
          <w:tcPr>
            <w:tcW w:w="4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Direct Compensation</w:t>
            </w:r>
          </w:p>
        </w:tc>
        <w:tc>
          <w:tcPr>
            <w:tcW w:w="2560" w:type="dxa"/>
            <w:vAlign w:val="bottom"/>
            <w:gridSpan w:val="2"/>
            <w:vMerge w:val="restart"/>
            <w:shd w:val="clear" w:color="auto" w:fill="CCEEFF"/>
          </w:tcPr>
          <w:p>
            <w:pPr>
              <w:jc w:val="center"/>
              <w:ind w:right="100"/>
              <w:spacing w:after="0"/>
              <w:rPr>
                <w:sz w:val="20"/>
                <w:szCs w:val="20"/>
                <w:color w:val="auto"/>
              </w:rPr>
            </w:pPr>
            <w:r>
              <w:rPr>
                <w:rFonts w:ascii="Arial" w:cs="Arial" w:eastAsia="Arial" w:hAnsi="Arial"/>
                <w:sz w:val="18"/>
                <w:szCs w:val="18"/>
                <w:color w:val="auto"/>
                <w:w w:val="93"/>
              </w:rPr>
              <w:t>Maximum AIP &amp; LTI Payout</w:t>
            </w:r>
          </w:p>
        </w:tc>
        <w:tc>
          <w:tcPr>
            <w:tcW w:w="700" w:type="dxa"/>
            <w:vAlign w:val="bottom"/>
            <w:vMerge w:val="restart"/>
            <w:shd w:val="clear" w:color="auto" w:fill="CCEEFF"/>
          </w:tcPr>
          <w:p>
            <w:pPr>
              <w:jc w:val="center"/>
              <w:spacing w:after="0"/>
              <w:rPr>
                <w:sz w:val="20"/>
                <w:szCs w:val="20"/>
                <w:color w:val="auto"/>
              </w:rPr>
            </w:pPr>
            <w:r>
              <w:rPr>
                <w:rFonts w:ascii="Arial" w:cs="Arial" w:eastAsia="Arial" w:hAnsi="Arial"/>
                <w:sz w:val="18"/>
                <w:szCs w:val="18"/>
                <w:color w:val="auto"/>
                <w:w w:val="91"/>
              </w:rPr>
              <w:t>209%</w:t>
            </w:r>
          </w:p>
        </w:tc>
        <w:tc>
          <w:tcPr>
            <w:tcW w:w="720" w:type="dxa"/>
            <w:vAlign w:val="bottom"/>
            <w:gridSpan w:val="2"/>
            <w:vMerge w:val="restart"/>
            <w:shd w:val="clear" w:color="auto" w:fill="CCEEFF"/>
          </w:tcPr>
          <w:p>
            <w:pPr>
              <w:jc w:val="center"/>
              <w:ind w:left="36"/>
              <w:spacing w:after="0"/>
              <w:rPr>
                <w:sz w:val="20"/>
                <w:szCs w:val="20"/>
                <w:color w:val="auto"/>
              </w:rPr>
            </w:pPr>
            <w:r>
              <w:rPr>
                <w:rFonts w:ascii="Arial" w:cs="Arial" w:eastAsia="Arial" w:hAnsi="Arial"/>
                <w:sz w:val="18"/>
                <w:szCs w:val="18"/>
                <w:color w:val="auto"/>
                <w:w w:val="86"/>
              </w:rPr>
              <w:t>265%</w:t>
            </w:r>
          </w:p>
        </w:tc>
        <w:tc>
          <w:tcPr>
            <w:tcW w:w="10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540" w:type="dxa"/>
            <w:vAlign w:val="bottom"/>
            <w:vMerge w:val="restart"/>
            <w:shd w:val="clear" w:color="auto" w:fill="CCEEFF"/>
          </w:tcPr>
          <w:p>
            <w:pPr>
              <w:jc w:val="center"/>
              <w:spacing w:after="0"/>
              <w:rPr>
                <w:sz w:val="20"/>
                <w:szCs w:val="20"/>
                <w:color w:val="auto"/>
              </w:rPr>
            </w:pPr>
            <w:r>
              <w:rPr>
                <w:rFonts w:ascii="Arial" w:cs="Arial" w:eastAsia="Arial" w:hAnsi="Arial"/>
                <w:sz w:val="18"/>
                <w:szCs w:val="18"/>
                <w:color w:val="auto"/>
                <w:w w:val="86"/>
              </w:rPr>
              <w:t>194%</w:t>
            </w:r>
          </w:p>
        </w:tc>
        <w:tc>
          <w:tcPr>
            <w:tcW w:w="120" w:type="dxa"/>
            <w:vAlign w:val="bottom"/>
            <w:shd w:val="clear" w:color="auto" w:fill="CCEEFF"/>
          </w:tcPr>
          <w:p>
            <w:pPr>
              <w:spacing w:after="0"/>
              <w:rPr>
                <w:sz w:val="19"/>
                <w:szCs w:val="19"/>
                <w:color w:val="auto"/>
              </w:rPr>
            </w:pPr>
          </w:p>
        </w:tc>
        <w:tc>
          <w:tcPr>
            <w:tcW w:w="840" w:type="dxa"/>
            <w:vAlign w:val="bottom"/>
            <w:gridSpan w:val="2"/>
            <w:vMerge w:val="restart"/>
            <w:shd w:val="clear" w:color="auto" w:fill="CCEEFF"/>
          </w:tcPr>
          <w:p>
            <w:pPr>
              <w:jc w:val="center"/>
              <w:ind w:right="120"/>
              <w:spacing w:after="0"/>
              <w:rPr>
                <w:sz w:val="20"/>
                <w:szCs w:val="20"/>
                <w:color w:val="auto"/>
              </w:rPr>
            </w:pPr>
            <w:r>
              <w:rPr>
                <w:rFonts w:ascii="Arial" w:cs="Arial" w:eastAsia="Arial" w:hAnsi="Arial"/>
                <w:sz w:val="18"/>
                <w:szCs w:val="18"/>
                <w:color w:val="auto"/>
                <w:w w:val="92"/>
              </w:rPr>
              <w:t>&gt;75%ile</w:t>
            </w:r>
          </w:p>
        </w:tc>
        <w:tc>
          <w:tcPr>
            <w:tcW w:w="840" w:type="dxa"/>
            <w:vAlign w:val="bottom"/>
            <w:gridSpan w:val="2"/>
            <w:vMerge w:val="restart"/>
            <w:shd w:val="clear" w:color="auto" w:fill="CCEEFF"/>
          </w:tcPr>
          <w:p>
            <w:pPr>
              <w:jc w:val="center"/>
              <w:ind w:right="120"/>
              <w:spacing w:after="0"/>
              <w:rPr>
                <w:sz w:val="20"/>
                <w:szCs w:val="20"/>
                <w:color w:val="auto"/>
              </w:rPr>
            </w:pPr>
            <w:r>
              <w:rPr>
                <w:rFonts w:ascii="Arial" w:cs="Arial" w:eastAsia="Arial" w:hAnsi="Arial"/>
                <w:sz w:val="18"/>
                <w:szCs w:val="18"/>
                <w:color w:val="auto"/>
                <w:w w:val="92"/>
              </w:rPr>
              <w:t>&gt;75%ile</w:t>
            </w:r>
          </w:p>
        </w:tc>
        <w:tc>
          <w:tcPr>
            <w:tcW w:w="720" w:type="dxa"/>
            <w:vAlign w:val="bottom"/>
            <w:vMerge w:val="restart"/>
            <w:shd w:val="clear" w:color="auto" w:fill="CCEEFF"/>
          </w:tcPr>
          <w:p>
            <w:pPr>
              <w:jc w:val="center"/>
              <w:spacing w:after="0"/>
              <w:rPr>
                <w:sz w:val="20"/>
                <w:szCs w:val="20"/>
                <w:color w:val="auto"/>
              </w:rPr>
            </w:pPr>
            <w:r>
              <w:rPr>
                <w:rFonts w:ascii="Arial" w:cs="Arial" w:eastAsia="Arial" w:hAnsi="Arial"/>
                <w:sz w:val="18"/>
                <w:szCs w:val="18"/>
                <w:color w:val="auto"/>
                <w:w w:val="92"/>
              </w:rPr>
              <w:t>&gt;75%ile</w:t>
            </w:r>
          </w:p>
        </w:tc>
        <w:tc>
          <w:tcPr>
            <w:tcW w:w="0" w:type="dxa"/>
            <w:vAlign w:val="bottom"/>
          </w:tcPr>
          <w:p>
            <w:pPr>
              <w:spacing w:after="0"/>
              <w:rPr>
                <w:sz w:val="1"/>
                <w:szCs w:val="1"/>
                <w:color w:val="auto"/>
              </w:rPr>
            </w:pPr>
          </w:p>
        </w:tc>
      </w:tr>
      <w:tr>
        <w:trPr>
          <w:trHeight w:val="114"/>
        </w:trPr>
        <w:tc>
          <w:tcPr>
            <w:tcW w:w="42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(Salary + AIP + LTI)</w:t>
            </w:r>
          </w:p>
        </w:tc>
        <w:tc>
          <w:tcPr>
            <w:tcW w:w="2560" w:type="dxa"/>
            <w:vAlign w:val="bottom"/>
            <w:gridSpan w:val="2"/>
            <w:vMerge w:val="continue"/>
            <w:shd w:val="clear" w:color="auto" w:fill="CCEEFF"/>
          </w:tcPr>
          <w:p>
            <w:pPr>
              <w:spacing w:after="0"/>
              <w:rPr>
                <w:sz w:val="9"/>
                <w:szCs w:val="9"/>
                <w:color w:val="auto"/>
              </w:rPr>
            </w:pPr>
          </w:p>
        </w:tc>
        <w:tc>
          <w:tcPr>
            <w:tcW w:w="700" w:type="dxa"/>
            <w:vAlign w:val="bottom"/>
            <w:vMerge w:val="continue"/>
            <w:shd w:val="clear" w:color="auto" w:fill="CCEEFF"/>
          </w:tcPr>
          <w:p>
            <w:pPr>
              <w:spacing w:after="0"/>
              <w:rPr>
                <w:sz w:val="9"/>
                <w:szCs w:val="9"/>
                <w:color w:val="auto"/>
              </w:rPr>
            </w:pPr>
          </w:p>
        </w:tc>
        <w:tc>
          <w:tcPr>
            <w:tcW w:w="720" w:type="dxa"/>
            <w:vAlign w:val="bottom"/>
            <w:gridSpan w:val="2"/>
            <w:vMerge w:val="continue"/>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60" w:type="dxa"/>
            <w:vAlign w:val="bottom"/>
            <w:shd w:val="clear" w:color="auto" w:fill="CCEEFF"/>
          </w:tcPr>
          <w:p>
            <w:pPr>
              <w:spacing w:after="0"/>
              <w:rPr>
                <w:sz w:val="9"/>
                <w:szCs w:val="9"/>
                <w:color w:val="auto"/>
              </w:rPr>
            </w:pPr>
          </w:p>
        </w:tc>
        <w:tc>
          <w:tcPr>
            <w:tcW w:w="540" w:type="dxa"/>
            <w:vAlign w:val="bottom"/>
            <w:vMerge w:val="continue"/>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840" w:type="dxa"/>
            <w:vAlign w:val="bottom"/>
            <w:gridSpan w:val="2"/>
            <w:vMerge w:val="continue"/>
            <w:shd w:val="clear" w:color="auto" w:fill="CCEEFF"/>
          </w:tcPr>
          <w:p>
            <w:pPr>
              <w:spacing w:after="0"/>
              <w:rPr>
                <w:sz w:val="9"/>
                <w:szCs w:val="9"/>
                <w:color w:val="auto"/>
              </w:rPr>
            </w:pPr>
          </w:p>
        </w:tc>
        <w:tc>
          <w:tcPr>
            <w:tcW w:w="840" w:type="dxa"/>
            <w:vAlign w:val="bottom"/>
            <w:gridSpan w:val="2"/>
            <w:vMerge w:val="continue"/>
            <w:shd w:val="clear" w:color="auto" w:fill="CCEEFF"/>
          </w:tcPr>
          <w:p>
            <w:pPr>
              <w:spacing w:after="0"/>
              <w:rPr>
                <w:sz w:val="9"/>
                <w:szCs w:val="9"/>
                <w:color w:val="auto"/>
              </w:rPr>
            </w:pPr>
          </w:p>
        </w:tc>
        <w:tc>
          <w:tcPr>
            <w:tcW w:w="720" w:type="dxa"/>
            <w:vAlign w:val="bottom"/>
            <w:vMerge w:val="continue"/>
            <w:shd w:val="clear" w:color="auto" w:fill="CCEEFF"/>
          </w:tcPr>
          <w:p>
            <w:pPr>
              <w:spacing w:after="0"/>
              <w:rPr>
                <w:sz w:val="9"/>
                <w:szCs w:val="9"/>
                <w:color w:val="auto"/>
              </w:rPr>
            </w:pPr>
          </w:p>
        </w:tc>
        <w:tc>
          <w:tcPr>
            <w:tcW w:w="0" w:type="dxa"/>
            <w:vAlign w:val="bottom"/>
          </w:tcPr>
          <w:p>
            <w:pPr>
              <w:spacing w:after="0"/>
              <w:rPr>
                <w:sz w:val="1"/>
                <w:szCs w:val="1"/>
                <w:color w:val="auto"/>
              </w:rPr>
            </w:pPr>
          </w:p>
        </w:tc>
      </w:tr>
      <w:tr>
        <w:trPr>
          <w:trHeight w:val="124"/>
        </w:trPr>
        <w:tc>
          <w:tcPr>
            <w:tcW w:w="4220" w:type="dxa"/>
            <w:vAlign w:val="bottom"/>
            <w:gridSpan w:val="2"/>
            <w:vMerge w:val="continue"/>
            <w:shd w:val="clear" w:color="auto" w:fill="CCEEFF"/>
          </w:tcPr>
          <w:p>
            <w:pPr>
              <w:spacing w:after="0"/>
              <w:rPr>
                <w:sz w:val="10"/>
                <w:szCs w:val="10"/>
                <w:color w:val="auto"/>
              </w:rPr>
            </w:pPr>
          </w:p>
        </w:tc>
        <w:tc>
          <w:tcPr>
            <w:tcW w:w="24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5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Outstanding Performance-Based Equity Awards</w:t>
      </w:r>
    </w:p>
    <w:p>
      <w:pPr>
        <w:spacing w:after="0" w:line="90"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In fiscal 2012, performance-based equity awards were granted in the form of stock options with vesting contingent on the achievement of a stringent average stock price hurdle described in more detail below. In fiscal 2013, no performance-based equity awards were granted. In fiscal 2014, Ms. Dai received a performance-based equity award that is no longer outstanding. In fiscal 2015 and fiscal 2016, all named executive officers received performance-based equity awards in the form of RSUs and performance awards.</w:t>
      </w:r>
    </w:p>
    <w:p>
      <w:pPr>
        <w:spacing w:after="0" w:line="143"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table below provides detailed information regarding outstanding performance-based equity awards granted to each named executive officer, including vesting conditions and number of shares vesting based on fiscal 2016 performance.</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3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8"/>
              </w:rPr>
              <w:t>Number of</w:t>
            </w:r>
          </w:p>
        </w:tc>
        <w:tc>
          <w:tcPr>
            <w:tcW w:w="10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7"/>
              </w:rPr>
              <w:t>Shares That</w:t>
            </w:r>
          </w:p>
        </w:tc>
        <w:tc>
          <w:tcPr>
            <w:tcW w:w="10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Total Number of</w:t>
            </w:r>
          </w:p>
        </w:tc>
        <w:tc>
          <w:tcPr>
            <w:tcW w:w="32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4"/>
              </w:rPr>
              <w:t>Could Vest</w:t>
            </w:r>
          </w:p>
        </w:tc>
        <w:tc>
          <w:tcPr>
            <w:tcW w:w="10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Performance-Based</w:t>
            </w:r>
          </w:p>
        </w:tc>
        <w:tc>
          <w:tcPr>
            <w:tcW w:w="32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at Target</w:t>
            </w:r>
          </w:p>
        </w:tc>
        <w:tc>
          <w:tcPr>
            <w:tcW w:w="10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Actual Number of</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Shares (options or</w:t>
            </w:r>
          </w:p>
        </w:tc>
        <w:tc>
          <w:tcPr>
            <w:tcW w:w="32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7"/>
              </w:rPr>
              <w:t>Performance For</w:t>
            </w:r>
          </w:p>
        </w:tc>
        <w:tc>
          <w:tcPr>
            <w:tcW w:w="10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Shares Vested</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RSUs/Performance</w:t>
            </w:r>
          </w:p>
        </w:tc>
        <w:tc>
          <w:tcPr>
            <w:tcW w:w="32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Fiscal 2016</w:t>
            </w:r>
          </w:p>
        </w:tc>
        <w:tc>
          <w:tcPr>
            <w:tcW w:w="10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For Fiscal 2016</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6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Fiscal</w:t>
            </w: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Awards) Granted in</w:t>
            </w:r>
          </w:p>
        </w:tc>
        <w:tc>
          <w:tcPr>
            <w:tcW w:w="32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10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120" w:type="dxa"/>
            <w:vAlign w:val="bottom"/>
            <w:vMerge w:val="restart"/>
          </w:tcPr>
          <w:p>
            <w:pPr>
              <w:spacing w:after="0"/>
              <w:rPr>
                <w:sz w:val="12"/>
                <w:szCs w:val="12"/>
                <w:color w:val="auto"/>
              </w:rPr>
            </w:pPr>
          </w:p>
        </w:tc>
        <w:tc>
          <w:tcPr>
            <w:tcW w:w="340" w:type="dxa"/>
            <w:vAlign w:val="bottom"/>
          </w:tcPr>
          <w:p>
            <w:pPr>
              <w:spacing w:after="0"/>
              <w:rPr>
                <w:sz w:val="12"/>
                <w:szCs w:val="12"/>
                <w:color w:val="auto"/>
              </w:rPr>
            </w:pPr>
          </w:p>
        </w:tc>
        <w:tc>
          <w:tcPr>
            <w:tcW w:w="86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w w:val="84"/>
              </w:rPr>
              <w:t>Year of</w:t>
            </w: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Grant Year</w:t>
            </w:r>
          </w:p>
        </w:tc>
        <w:tc>
          <w:tcPr>
            <w:tcW w:w="320" w:type="dxa"/>
            <w:vAlign w:val="bottom"/>
          </w:tcPr>
          <w:p>
            <w:pPr>
              <w:spacing w:after="0"/>
              <w:rPr>
                <w:sz w:val="12"/>
                <w:szCs w:val="12"/>
                <w:color w:val="auto"/>
              </w:rPr>
            </w:pPr>
          </w:p>
        </w:tc>
        <w:tc>
          <w:tcPr>
            <w:tcW w:w="32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3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7"/>
              </w:rPr>
              <w:t>Period</w:t>
            </w:r>
          </w:p>
        </w:tc>
        <w:tc>
          <w:tcPr>
            <w:tcW w:w="10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Period</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2120" w:type="dxa"/>
            <w:vAlign w:val="bottom"/>
            <w:vMerge w:val="continue"/>
          </w:tcPr>
          <w:p>
            <w:pPr>
              <w:spacing w:after="0"/>
              <w:rPr>
                <w:sz w:val="14"/>
                <w:szCs w:val="14"/>
                <w:color w:val="auto"/>
              </w:rPr>
            </w:pPr>
          </w:p>
        </w:tc>
        <w:tc>
          <w:tcPr>
            <w:tcW w:w="340" w:type="dxa"/>
            <w:vAlign w:val="bottom"/>
          </w:tcPr>
          <w:p>
            <w:pPr>
              <w:spacing w:after="0"/>
              <w:rPr>
                <w:sz w:val="14"/>
                <w:szCs w:val="14"/>
                <w:color w:val="auto"/>
              </w:rPr>
            </w:pPr>
          </w:p>
        </w:tc>
        <w:tc>
          <w:tcPr>
            <w:tcW w:w="860" w:type="dxa"/>
            <w:vAlign w:val="bottom"/>
            <w:gridSpan w:val="2"/>
          </w:tcPr>
          <w:p>
            <w:pPr>
              <w:ind w:left="40"/>
              <w:spacing w:after="0" w:line="148" w:lineRule="exact"/>
              <w:rPr>
                <w:sz w:val="20"/>
                <w:szCs w:val="20"/>
                <w:color w:val="auto"/>
              </w:rPr>
            </w:pPr>
            <w:r>
              <w:rPr>
                <w:rFonts w:ascii="Arial" w:cs="Arial" w:eastAsia="Arial" w:hAnsi="Arial"/>
                <w:sz w:val="14"/>
                <w:szCs w:val="14"/>
                <w:b w:val="1"/>
                <w:bCs w:val="1"/>
                <w:color w:val="auto"/>
              </w:rPr>
              <w:t>Grant</w:t>
            </w:r>
          </w:p>
        </w:tc>
        <w:tc>
          <w:tcPr>
            <w:tcW w:w="15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20" w:type="dxa"/>
            <w:vAlign w:val="bottom"/>
          </w:tcPr>
          <w:p>
            <w:pPr>
              <w:spacing w:after="0"/>
              <w:rPr>
                <w:sz w:val="14"/>
                <w:szCs w:val="14"/>
                <w:color w:val="auto"/>
              </w:rPr>
            </w:pPr>
          </w:p>
        </w:tc>
        <w:tc>
          <w:tcPr>
            <w:tcW w:w="3280" w:type="dxa"/>
            <w:vAlign w:val="bottom"/>
            <w:gridSpan w:val="2"/>
          </w:tcPr>
          <w:p>
            <w:pPr>
              <w:jc w:val="center"/>
              <w:ind w:right="320"/>
              <w:spacing w:after="0" w:line="148" w:lineRule="exact"/>
              <w:rPr>
                <w:sz w:val="20"/>
                <w:szCs w:val="20"/>
                <w:color w:val="auto"/>
              </w:rPr>
            </w:pPr>
            <w:r>
              <w:rPr>
                <w:rFonts w:ascii="Arial" w:cs="Arial" w:eastAsia="Arial" w:hAnsi="Arial"/>
                <w:sz w:val="14"/>
                <w:szCs w:val="14"/>
                <w:b w:val="1"/>
                <w:bCs w:val="1"/>
                <w:color w:val="auto"/>
                <w:w w:val="86"/>
              </w:rPr>
              <w:t>Measures</w:t>
            </w:r>
          </w:p>
        </w:tc>
        <w:tc>
          <w:tcPr>
            <w:tcW w:w="10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1"/>
              </w:rPr>
              <w:t>(#)</w:t>
            </w:r>
          </w:p>
        </w:tc>
        <w:tc>
          <w:tcPr>
            <w:tcW w:w="340" w:type="dxa"/>
            <w:vAlign w:val="bottom"/>
          </w:tcPr>
          <w:p>
            <w:pPr>
              <w:spacing w:after="0"/>
              <w:rPr>
                <w:sz w:val="14"/>
                <w:szCs w:val="14"/>
                <w:color w:val="auto"/>
              </w:rPr>
            </w:pPr>
          </w:p>
        </w:tc>
        <w:tc>
          <w:tcPr>
            <w:tcW w:w="10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0" w:type="dxa"/>
            <w:vAlign w:val="bottom"/>
          </w:tcPr>
          <w:p>
            <w:pPr>
              <w:spacing w:after="0"/>
              <w:rPr>
                <w:sz w:val="1"/>
                <w:szCs w:val="1"/>
                <w:color w:val="auto"/>
              </w:rPr>
            </w:pPr>
          </w:p>
        </w:tc>
      </w:tr>
      <w:tr>
        <w:trPr>
          <w:trHeight w:val="195"/>
        </w:trPr>
        <w:tc>
          <w:tcPr>
            <w:tcW w:w="2720" w:type="dxa"/>
            <w:vAlign w:val="bottom"/>
            <w:tcBorders>
              <w:top w:val="single" w:sz="8" w:color="CCEEFF"/>
            </w:tcBorders>
            <w:gridSpan w:val="2"/>
            <w:shd w:val="clear" w:color="auto" w:fill="CCEEFF"/>
          </w:tcPr>
          <w:p>
            <w:pPr>
              <w:spacing w:after="0" w:line="195" w:lineRule="exact"/>
              <w:rPr>
                <w:sz w:val="20"/>
                <w:szCs w:val="20"/>
                <w:color w:val="auto"/>
              </w:rPr>
            </w:pPr>
            <w:r>
              <w:rPr>
                <w:rFonts w:ascii="Arial" w:cs="Arial" w:eastAsia="Arial" w:hAnsi="Arial"/>
                <w:sz w:val="18"/>
                <w:szCs w:val="18"/>
                <w:color w:val="auto"/>
              </w:rPr>
              <w:t>Dr. Sehat Sutardja</w:t>
            </w:r>
          </w:p>
        </w:tc>
        <w:tc>
          <w:tcPr>
            <w:tcW w:w="340" w:type="dxa"/>
            <w:vAlign w:val="bottom"/>
            <w:tcBorders>
              <w:top w:val="single" w:sz="8" w:color="CCEEFF"/>
            </w:tcBorders>
            <w:shd w:val="clear" w:color="auto" w:fill="CCEEFF"/>
          </w:tcPr>
          <w:p>
            <w:pPr>
              <w:spacing w:after="0"/>
              <w:rPr>
                <w:sz w:val="16"/>
                <w:szCs w:val="16"/>
                <w:color w:val="auto"/>
              </w:rPr>
            </w:pPr>
          </w:p>
        </w:tc>
        <w:tc>
          <w:tcPr>
            <w:tcW w:w="42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w w:val="99"/>
              </w:rPr>
              <w:t>2016</w:t>
            </w:r>
          </w:p>
        </w:tc>
        <w:tc>
          <w:tcPr>
            <w:tcW w:w="440" w:type="dxa"/>
            <w:vAlign w:val="bottom"/>
            <w:tcBorders>
              <w:top w:val="single" w:sz="8" w:color="CCEEFF"/>
            </w:tcBorders>
            <w:shd w:val="clear" w:color="auto" w:fill="CCEEFF"/>
          </w:tcPr>
          <w:p>
            <w:pPr>
              <w:spacing w:after="0"/>
              <w:rPr>
                <w:sz w:val="16"/>
                <w:szCs w:val="16"/>
                <w:color w:val="auto"/>
              </w:rPr>
            </w:pPr>
          </w:p>
        </w:tc>
        <w:tc>
          <w:tcPr>
            <w:tcW w:w="150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87"/>
              </w:rPr>
              <w:t>444,939 (RSUs and</w:t>
            </w:r>
          </w:p>
        </w:tc>
        <w:tc>
          <w:tcPr>
            <w:tcW w:w="320" w:type="dxa"/>
            <w:vAlign w:val="bottom"/>
            <w:tcBorders>
              <w:top w:val="single" w:sz="8" w:color="CCEEFF"/>
            </w:tcBorders>
            <w:shd w:val="clear" w:color="auto" w:fill="CCEEFF"/>
          </w:tcPr>
          <w:p>
            <w:pPr>
              <w:spacing w:after="0"/>
              <w:rPr>
                <w:sz w:val="16"/>
                <w:szCs w:val="16"/>
                <w:color w:val="auto"/>
              </w:rPr>
            </w:pPr>
          </w:p>
        </w:tc>
        <w:tc>
          <w:tcPr>
            <w:tcW w:w="29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91"/>
              </w:rPr>
              <w:t>Revenue /Modified non-GAAP Operating</w:t>
            </w:r>
          </w:p>
        </w:tc>
        <w:tc>
          <w:tcPr>
            <w:tcW w:w="320" w:type="dxa"/>
            <w:vAlign w:val="bottom"/>
            <w:tcBorders>
              <w:top w:val="single" w:sz="8" w:color="CCEEFF"/>
            </w:tcBorders>
            <w:shd w:val="clear" w:color="auto" w:fill="CCEEFF"/>
          </w:tcPr>
          <w:p>
            <w:pPr>
              <w:spacing w:after="0"/>
              <w:rPr>
                <w:sz w:val="16"/>
                <w:szCs w:val="16"/>
                <w:color w:val="auto"/>
              </w:rPr>
            </w:pPr>
          </w:p>
        </w:tc>
        <w:tc>
          <w:tcPr>
            <w:tcW w:w="100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89"/>
              </w:rPr>
              <w:t>252,220</w:t>
            </w:r>
          </w:p>
        </w:tc>
        <w:tc>
          <w:tcPr>
            <w:tcW w:w="340" w:type="dxa"/>
            <w:vAlign w:val="bottom"/>
            <w:tcBorders>
              <w:top w:val="single" w:sz="8" w:color="CCEEFF"/>
            </w:tcBorders>
            <w:shd w:val="clear" w:color="auto" w:fill="CCEEFF"/>
          </w:tcPr>
          <w:p>
            <w:pPr>
              <w:spacing w:after="0"/>
              <w:rPr>
                <w:sz w:val="16"/>
                <w:szCs w:val="16"/>
                <w:color w:val="auto"/>
              </w:rPr>
            </w:pPr>
          </w:p>
        </w:tc>
        <w:tc>
          <w:tcPr>
            <w:tcW w:w="10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2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performance awards)</w:t>
            </w:r>
          </w:p>
        </w:tc>
        <w:tc>
          <w:tcPr>
            <w:tcW w:w="320" w:type="dxa"/>
            <w:vAlign w:val="bottom"/>
            <w:shd w:val="clear" w:color="auto" w:fill="CCEEFF"/>
          </w:tcPr>
          <w:p>
            <w:pPr>
              <w:spacing w:after="0"/>
              <w:rPr>
                <w:sz w:val="19"/>
                <w:szCs w:val="19"/>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8"/>
              </w:rPr>
              <w:t>Income / Strategic Goals / Relative TSR</w:t>
            </w:r>
            <w:r>
              <w:rPr>
                <w:rFonts w:ascii="Arial" w:cs="Arial" w:eastAsia="Arial" w:hAnsi="Arial"/>
                <w:sz w:val="11"/>
                <w:szCs w:val="11"/>
                <w:color w:val="auto"/>
                <w:w w:val="88"/>
              </w:rPr>
              <w:t>1</w:t>
            </w:r>
          </w:p>
        </w:tc>
        <w:tc>
          <w:tcPr>
            <w:tcW w:w="10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600" w:type="dxa"/>
            <w:vAlign w:val="bottom"/>
            <w:shd w:val="clear" w:color="auto" w:fill="CCEEFF"/>
          </w:tcPr>
          <w:p>
            <w:pPr>
              <w:spacing w:after="0"/>
              <w:rPr>
                <w:sz w:val="18"/>
                <w:szCs w:val="18"/>
                <w:color w:val="auto"/>
              </w:rPr>
            </w:pPr>
          </w:p>
        </w:tc>
        <w:tc>
          <w:tcPr>
            <w:tcW w:w="2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2015</w:t>
            </w:r>
          </w:p>
        </w:tc>
        <w:tc>
          <w:tcPr>
            <w:tcW w:w="4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357,000 (RSUs and</w:t>
            </w:r>
          </w:p>
        </w:tc>
        <w:tc>
          <w:tcPr>
            <w:tcW w:w="320" w:type="dxa"/>
            <w:vAlign w:val="bottom"/>
            <w:shd w:val="clear" w:color="auto" w:fill="CCEEFF"/>
          </w:tcPr>
          <w:p>
            <w:pPr>
              <w:spacing w:after="0"/>
              <w:rPr>
                <w:sz w:val="18"/>
                <w:szCs w:val="18"/>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90"/>
              </w:rPr>
              <w:t>Revenue / Modified non-GAAP</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178,500</w:t>
            </w:r>
          </w:p>
        </w:tc>
        <w:tc>
          <w:tcPr>
            <w:tcW w:w="340" w:type="dxa"/>
            <w:vAlign w:val="bottom"/>
            <w:shd w:val="clear" w:color="auto" w:fill="CCEEFF"/>
          </w:tcPr>
          <w:p>
            <w:pPr>
              <w:spacing w:after="0"/>
              <w:rPr>
                <w:sz w:val="18"/>
                <w:szCs w:val="18"/>
                <w:color w:val="auto"/>
              </w:rPr>
            </w:pP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2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performance awards)</w:t>
            </w:r>
          </w:p>
        </w:tc>
        <w:tc>
          <w:tcPr>
            <w:tcW w:w="320" w:type="dxa"/>
            <w:vAlign w:val="bottom"/>
            <w:shd w:val="clear" w:color="auto" w:fill="CCEEFF"/>
          </w:tcPr>
          <w:p>
            <w:pPr>
              <w:spacing w:after="0"/>
              <w:rPr>
                <w:sz w:val="19"/>
                <w:szCs w:val="19"/>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9"/>
              </w:rPr>
              <w:t>Operating Income / Strategic Goals</w:t>
            </w:r>
            <w:r>
              <w:rPr>
                <w:rFonts w:ascii="Arial" w:cs="Arial" w:eastAsia="Arial" w:hAnsi="Arial"/>
                <w:sz w:val="11"/>
                <w:szCs w:val="11"/>
                <w:color w:val="auto"/>
                <w:w w:val="89"/>
              </w:rPr>
              <w:t>2</w:t>
            </w:r>
          </w:p>
        </w:tc>
        <w:tc>
          <w:tcPr>
            <w:tcW w:w="10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00" w:type="dxa"/>
            <w:vAlign w:val="bottom"/>
            <w:shd w:val="clear" w:color="auto" w:fill="CCEEFF"/>
          </w:tcPr>
          <w:p>
            <w:pPr>
              <w:spacing w:after="0"/>
              <w:rPr>
                <w:sz w:val="18"/>
                <w:szCs w:val="18"/>
                <w:color w:val="auto"/>
              </w:rPr>
            </w:pPr>
          </w:p>
        </w:tc>
        <w:tc>
          <w:tcPr>
            <w:tcW w:w="2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2012</w:t>
            </w:r>
          </w:p>
        </w:tc>
        <w:tc>
          <w:tcPr>
            <w:tcW w:w="4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1,400,000 (options)</w:t>
            </w:r>
          </w:p>
        </w:tc>
        <w:tc>
          <w:tcPr>
            <w:tcW w:w="320" w:type="dxa"/>
            <w:vAlign w:val="bottom"/>
            <w:shd w:val="clear" w:color="auto" w:fill="CCEEFF"/>
          </w:tcPr>
          <w:p>
            <w:pPr>
              <w:spacing w:after="0"/>
              <w:rPr>
                <w:sz w:val="18"/>
                <w:szCs w:val="18"/>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7"/>
              </w:rPr>
              <w:t>Share Price</w:t>
            </w:r>
            <w:r>
              <w:rPr>
                <w:rFonts w:ascii="Arial" w:cs="Arial" w:eastAsia="Arial" w:hAnsi="Arial"/>
                <w:sz w:val="11"/>
                <w:szCs w:val="11"/>
                <w:color w:val="auto"/>
                <w:w w:val="87"/>
              </w:rPr>
              <w:t>3</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1,400,000</w:t>
            </w:r>
          </w:p>
        </w:tc>
        <w:tc>
          <w:tcPr>
            <w:tcW w:w="340" w:type="dxa"/>
            <w:vAlign w:val="bottom"/>
            <w:shd w:val="clear" w:color="auto" w:fill="CCEEFF"/>
          </w:tcPr>
          <w:p>
            <w:pPr>
              <w:spacing w:after="0"/>
              <w:rPr>
                <w:sz w:val="18"/>
                <w:szCs w:val="18"/>
                <w:color w:val="auto"/>
              </w:rPr>
            </w:pP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08"/>
        </w:trPr>
        <w:tc>
          <w:tcPr>
            <w:tcW w:w="272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34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9"/>
              </w:rPr>
              <w:t>2016</w:t>
            </w:r>
          </w:p>
        </w:tc>
        <w:tc>
          <w:tcPr>
            <w:tcW w:w="440" w:type="dxa"/>
            <w:vAlign w:val="bottom"/>
          </w:tcPr>
          <w:p>
            <w:pPr>
              <w:spacing w:after="0"/>
              <w:rPr>
                <w:sz w:val="18"/>
                <w:szCs w:val="18"/>
                <w:color w:val="auto"/>
              </w:rPr>
            </w:pPr>
          </w:p>
        </w:tc>
        <w:tc>
          <w:tcPr>
            <w:tcW w:w="1500" w:type="dxa"/>
            <w:vAlign w:val="bottom"/>
          </w:tcPr>
          <w:p>
            <w:pPr>
              <w:jc w:val="center"/>
              <w:spacing w:after="0"/>
              <w:rPr>
                <w:sz w:val="20"/>
                <w:szCs w:val="20"/>
                <w:color w:val="auto"/>
              </w:rPr>
            </w:pPr>
            <w:r>
              <w:rPr>
                <w:rFonts w:ascii="Arial" w:cs="Arial" w:eastAsia="Arial" w:hAnsi="Arial"/>
                <w:sz w:val="18"/>
                <w:szCs w:val="18"/>
                <w:color w:val="auto"/>
                <w:w w:val="87"/>
              </w:rPr>
              <w:t>247,466 (RSUs and</w:t>
            </w:r>
          </w:p>
        </w:tc>
        <w:tc>
          <w:tcPr>
            <w:tcW w:w="320" w:type="dxa"/>
            <w:vAlign w:val="bottom"/>
          </w:tcPr>
          <w:p>
            <w:pPr>
              <w:spacing w:after="0"/>
              <w:rPr>
                <w:sz w:val="18"/>
                <w:szCs w:val="18"/>
                <w:color w:val="auto"/>
              </w:rPr>
            </w:pPr>
          </w:p>
        </w:tc>
        <w:tc>
          <w:tcPr>
            <w:tcW w:w="3280" w:type="dxa"/>
            <w:vAlign w:val="bottom"/>
            <w:gridSpan w:val="2"/>
          </w:tcPr>
          <w:p>
            <w:pPr>
              <w:jc w:val="center"/>
              <w:ind w:right="320"/>
              <w:spacing w:after="0"/>
              <w:rPr>
                <w:sz w:val="20"/>
                <w:szCs w:val="20"/>
                <w:color w:val="auto"/>
              </w:rPr>
            </w:pPr>
            <w:r>
              <w:rPr>
                <w:rFonts w:ascii="Arial" w:cs="Arial" w:eastAsia="Arial" w:hAnsi="Arial"/>
                <w:sz w:val="18"/>
                <w:szCs w:val="18"/>
                <w:color w:val="auto"/>
                <w:w w:val="90"/>
              </w:rPr>
              <w:t>Revenue / Modified non-GAAP</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140,400</w:t>
            </w:r>
          </w:p>
        </w:tc>
        <w:tc>
          <w:tcPr>
            <w:tcW w:w="340" w:type="dxa"/>
            <w:vAlign w:val="bottom"/>
          </w:tcPr>
          <w:p>
            <w:pPr>
              <w:spacing w:after="0"/>
              <w:rPr>
                <w:sz w:val="18"/>
                <w:szCs w:val="18"/>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500" w:type="dxa"/>
            <w:vAlign w:val="bottom"/>
          </w:tcPr>
          <w:p>
            <w:pPr>
              <w:jc w:val="center"/>
              <w:spacing w:after="0"/>
              <w:rPr>
                <w:sz w:val="20"/>
                <w:szCs w:val="20"/>
                <w:color w:val="auto"/>
              </w:rPr>
            </w:pPr>
            <w:r>
              <w:rPr>
                <w:rFonts w:ascii="Arial" w:cs="Arial" w:eastAsia="Arial" w:hAnsi="Arial"/>
                <w:sz w:val="18"/>
                <w:szCs w:val="18"/>
                <w:color w:val="auto"/>
                <w:w w:val="87"/>
              </w:rPr>
              <w:t>performance awards)</w:t>
            </w:r>
          </w:p>
        </w:tc>
        <w:tc>
          <w:tcPr>
            <w:tcW w:w="320" w:type="dxa"/>
            <w:vAlign w:val="bottom"/>
          </w:tcPr>
          <w:p>
            <w:pPr>
              <w:spacing w:after="0"/>
              <w:rPr>
                <w:sz w:val="18"/>
                <w:szCs w:val="18"/>
                <w:color w:val="auto"/>
              </w:rPr>
            </w:pPr>
          </w:p>
        </w:tc>
        <w:tc>
          <w:tcPr>
            <w:tcW w:w="3280" w:type="dxa"/>
            <w:vAlign w:val="bottom"/>
            <w:gridSpan w:val="2"/>
          </w:tcPr>
          <w:p>
            <w:pPr>
              <w:jc w:val="center"/>
              <w:ind w:right="320"/>
              <w:spacing w:after="0"/>
              <w:rPr>
                <w:sz w:val="20"/>
                <w:szCs w:val="20"/>
                <w:color w:val="auto"/>
              </w:rPr>
            </w:pPr>
            <w:r>
              <w:rPr>
                <w:rFonts w:ascii="Arial" w:cs="Arial" w:eastAsia="Arial" w:hAnsi="Arial"/>
                <w:sz w:val="18"/>
                <w:szCs w:val="18"/>
                <w:color w:val="auto"/>
                <w:w w:val="87"/>
              </w:rPr>
              <w:t>Operating Income / Strategic Goals /</w:t>
            </w:r>
          </w:p>
        </w:tc>
        <w:tc>
          <w:tcPr>
            <w:tcW w:w="10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80" w:type="dxa"/>
            <w:vAlign w:val="bottom"/>
            <w:gridSpan w:val="2"/>
          </w:tcPr>
          <w:p>
            <w:pPr>
              <w:jc w:val="center"/>
              <w:ind w:right="320"/>
              <w:spacing w:after="0"/>
              <w:rPr>
                <w:sz w:val="20"/>
                <w:szCs w:val="20"/>
                <w:color w:val="auto"/>
              </w:rPr>
            </w:pPr>
            <w:r>
              <w:rPr>
                <w:rFonts w:ascii="Arial" w:cs="Arial" w:eastAsia="Arial" w:hAnsi="Arial"/>
                <w:sz w:val="18"/>
                <w:szCs w:val="18"/>
                <w:color w:val="auto"/>
                <w:w w:val="89"/>
              </w:rPr>
              <w:t>Relative TSR</w:t>
            </w:r>
            <w:r>
              <w:rPr>
                <w:rFonts w:ascii="Arial" w:cs="Arial" w:eastAsia="Arial" w:hAnsi="Arial"/>
                <w:sz w:val="11"/>
                <w:szCs w:val="11"/>
                <w:color w:val="auto"/>
                <w:w w:val="89"/>
              </w:rPr>
              <w:t>1</w:t>
            </w:r>
          </w:p>
        </w:tc>
        <w:tc>
          <w:tcPr>
            <w:tcW w:w="10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2015</w:t>
            </w:r>
          </w:p>
        </w:tc>
        <w:tc>
          <w:tcPr>
            <w:tcW w:w="440" w:type="dxa"/>
            <w:vAlign w:val="bottom"/>
          </w:tcPr>
          <w:p>
            <w:pPr>
              <w:spacing w:after="0"/>
              <w:rPr>
                <w:sz w:val="18"/>
                <w:szCs w:val="18"/>
                <w:color w:val="auto"/>
              </w:rPr>
            </w:pPr>
          </w:p>
        </w:tc>
        <w:tc>
          <w:tcPr>
            <w:tcW w:w="1500" w:type="dxa"/>
            <w:vAlign w:val="bottom"/>
          </w:tcPr>
          <w:p>
            <w:pPr>
              <w:jc w:val="center"/>
              <w:spacing w:after="0"/>
              <w:rPr>
                <w:sz w:val="20"/>
                <w:szCs w:val="20"/>
                <w:color w:val="auto"/>
              </w:rPr>
            </w:pPr>
            <w:r>
              <w:rPr>
                <w:rFonts w:ascii="Arial" w:cs="Arial" w:eastAsia="Arial" w:hAnsi="Arial"/>
                <w:sz w:val="18"/>
                <w:szCs w:val="18"/>
                <w:color w:val="auto"/>
                <w:w w:val="87"/>
              </w:rPr>
              <w:t>200,000 (RSUs and</w:t>
            </w:r>
          </w:p>
        </w:tc>
        <w:tc>
          <w:tcPr>
            <w:tcW w:w="320" w:type="dxa"/>
            <w:vAlign w:val="bottom"/>
          </w:tcPr>
          <w:p>
            <w:pPr>
              <w:spacing w:after="0"/>
              <w:rPr>
                <w:sz w:val="18"/>
                <w:szCs w:val="18"/>
                <w:color w:val="auto"/>
              </w:rPr>
            </w:pPr>
          </w:p>
        </w:tc>
        <w:tc>
          <w:tcPr>
            <w:tcW w:w="3280" w:type="dxa"/>
            <w:vAlign w:val="bottom"/>
            <w:gridSpan w:val="2"/>
          </w:tcPr>
          <w:p>
            <w:pPr>
              <w:jc w:val="center"/>
              <w:ind w:right="320"/>
              <w:spacing w:after="0"/>
              <w:rPr>
                <w:sz w:val="20"/>
                <w:szCs w:val="20"/>
                <w:color w:val="auto"/>
              </w:rPr>
            </w:pPr>
            <w:r>
              <w:rPr>
                <w:rFonts w:ascii="Arial" w:cs="Arial" w:eastAsia="Arial" w:hAnsi="Arial"/>
                <w:sz w:val="18"/>
                <w:szCs w:val="18"/>
                <w:color w:val="auto"/>
                <w:w w:val="90"/>
              </w:rPr>
              <w:t>Revenue / Modified non-GAAP</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100,000</w:t>
            </w:r>
          </w:p>
        </w:tc>
        <w:tc>
          <w:tcPr>
            <w:tcW w:w="340" w:type="dxa"/>
            <w:vAlign w:val="bottom"/>
          </w:tcPr>
          <w:p>
            <w:pPr>
              <w:spacing w:after="0"/>
              <w:rPr>
                <w:sz w:val="18"/>
                <w:szCs w:val="18"/>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500" w:type="dxa"/>
            <w:vAlign w:val="bottom"/>
          </w:tcPr>
          <w:p>
            <w:pPr>
              <w:jc w:val="center"/>
              <w:spacing w:after="0"/>
              <w:rPr>
                <w:sz w:val="20"/>
                <w:szCs w:val="20"/>
                <w:color w:val="auto"/>
              </w:rPr>
            </w:pPr>
            <w:r>
              <w:rPr>
                <w:rFonts w:ascii="Arial" w:cs="Arial" w:eastAsia="Arial" w:hAnsi="Arial"/>
                <w:sz w:val="18"/>
                <w:szCs w:val="18"/>
                <w:color w:val="auto"/>
                <w:w w:val="87"/>
              </w:rPr>
              <w:t>performance awards)</w:t>
            </w:r>
          </w:p>
        </w:tc>
        <w:tc>
          <w:tcPr>
            <w:tcW w:w="320" w:type="dxa"/>
            <w:vAlign w:val="bottom"/>
          </w:tcPr>
          <w:p>
            <w:pPr>
              <w:spacing w:after="0"/>
              <w:rPr>
                <w:sz w:val="18"/>
                <w:szCs w:val="18"/>
                <w:color w:val="auto"/>
              </w:rPr>
            </w:pPr>
          </w:p>
        </w:tc>
        <w:tc>
          <w:tcPr>
            <w:tcW w:w="3280" w:type="dxa"/>
            <w:vAlign w:val="bottom"/>
            <w:gridSpan w:val="2"/>
          </w:tcPr>
          <w:p>
            <w:pPr>
              <w:jc w:val="center"/>
              <w:ind w:right="320"/>
              <w:spacing w:after="0"/>
              <w:rPr>
                <w:sz w:val="20"/>
                <w:szCs w:val="20"/>
                <w:color w:val="auto"/>
              </w:rPr>
            </w:pPr>
            <w:r>
              <w:rPr>
                <w:rFonts w:ascii="Arial" w:cs="Arial" w:eastAsia="Arial" w:hAnsi="Arial"/>
                <w:sz w:val="18"/>
                <w:szCs w:val="18"/>
                <w:color w:val="auto"/>
                <w:w w:val="89"/>
              </w:rPr>
              <w:t>Operating Income / Strategic Goals</w:t>
            </w:r>
            <w:r>
              <w:rPr>
                <w:rFonts w:ascii="Arial" w:cs="Arial" w:eastAsia="Arial" w:hAnsi="Arial"/>
                <w:sz w:val="11"/>
                <w:szCs w:val="11"/>
                <w:color w:val="auto"/>
                <w:w w:val="89"/>
              </w:rPr>
              <w:t>2</w:t>
            </w:r>
          </w:p>
        </w:tc>
        <w:tc>
          <w:tcPr>
            <w:tcW w:w="10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tcPr>
          <w:p>
            <w:pPr>
              <w:spacing w:after="0"/>
              <w:rPr>
                <w:sz w:val="19"/>
                <w:szCs w:val="19"/>
                <w:color w:val="auto"/>
              </w:rPr>
            </w:pPr>
          </w:p>
        </w:tc>
        <w:tc>
          <w:tcPr>
            <w:tcW w:w="212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2012</w:t>
            </w:r>
          </w:p>
        </w:tc>
        <w:tc>
          <w:tcPr>
            <w:tcW w:w="440" w:type="dxa"/>
            <w:vAlign w:val="bottom"/>
          </w:tcPr>
          <w:p>
            <w:pPr>
              <w:spacing w:after="0"/>
              <w:rPr>
                <w:sz w:val="19"/>
                <w:szCs w:val="19"/>
                <w:color w:val="auto"/>
              </w:rPr>
            </w:pPr>
          </w:p>
        </w:tc>
        <w:tc>
          <w:tcPr>
            <w:tcW w:w="1500" w:type="dxa"/>
            <w:vAlign w:val="bottom"/>
          </w:tcPr>
          <w:p>
            <w:pPr>
              <w:jc w:val="center"/>
              <w:spacing w:after="0"/>
              <w:rPr>
                <w:sz w:val="20"/>
                <w:szCs w:val="20"/>
                <w:color w:val="auto"/>
              </w:rPr>
            </w:pPr>
            <w:r>
              <w:rPr>
                <w:rFonts w:ascii="Arial" w:cs="Arial" w:eastAsia="Arial" w:hAnsi="Arial"/>
                <w:sz w:val="18"/>
                <w:szCs w:val="18"/>
                <w:color w:val="auto"/>
                <w:w w:val="88"/>
              </w:rPr>
              <w:t>360,000 (options)</w:t>
            </w:r>
          </w:p>
        </w:tc>
        <w:tc>
          <w:tcPr>
            <w:tcW w:w="320" w:type="dxa"/>
            <w:vAlign w:val="bottom"/>
          </w:tcPr>
          <w:p>
            <w:pPr>
              <w:spacing w:after="0"/>
              <w:rPr>
                <w:sz w:val="19"/>
                <w:szCs w:val="19"/>
                <w:color w:val="auto"/>
              </w:rPr>
            </w:pPr>
          </w:p>
        </w:tc>
        <w:tc>
          <w:tcPr>
            <w:tcW w:w="3280" w:type="dxa"/>
            <w:vAlign w:val="bottom"/>
            <w:gridSpan w:val="2"/>
          </w:tcPr>
          <w:p>
            <w:pPr>
              <w:jc w:val="center"/>
              <w:ind w:right="320"/>
              <w:spacing w:after="0"/>
              <w:rPr>
                <w:sz w:val="20"/>
                <w:szCs w:val="20"/>
                <w:color w:val="auto"/>
              </w:rPr>
            </w:pPr>
            <w:r>
              <w:rPr>
                <w:rFonts w:ascii="Arial" w:cs="Arial" w:eastAsia="Arial" w:hAnsi="Arial"/>
                <w:sz w:val="18"/>
                <w:szCs w:val="18"/>
                <w:color w:val="auto"/>
                <w:w w:val="87"/>
              </w:rPr>
              <w:t>Share Price</w:t>
            </w:r>
            <w:r>
              <w:rPr>
                <w:rFonts w:ascii="Arial" w:cs="Arial" w:eastAsia="Arial" w:hAnsi="Arial"/>
                <w:sz w:val="11"/>
                <w:szCs w:val="11"/>
                <w:color w:val="auto"/>
                <w:w w:val="87"/>
              </w:rPr>
              <w:t>2</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360,000</w:t>
            </w:r>
          </w:p>
        </w:tc>
        <w:tc>
          <w:tcPr>
            <w:tcW w:w="340" w:type="dxa"/>
            <w:vAlign w:val="bottom"/>
          </w:tcPr>
          <w:p>
            <w:pPr>
              <w:spacing w:after="0"/>
              <w:rPr>
                <w:sz w:val="19"/>
                <w:szCs w:val="19"/>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0"/>
        </w:trPr>
        <w:tc>
          <w:tcPr>
            <w:tcW w:w="2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3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2016</w:t>
            </w:r>
          </w:p>
        </w:tc>
        <w:tc>
          <w:tcPr>
            <w:tcW w:w="4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142,066 (RSUs and</w:t>
            </w:r>
          </w:p>
        </w:tc>
        <w:tc>
          <w:tcPr>
            <w:tcW w:w="320" w:type="dxa"/>
            <w:vAlign w:val="bottom"/>
            <w:shd w:val="clear" w:color="auto" w:fill="CCEEFF"/>
          </w:tcPr>
          <w:p>
            <w:pPr>
              <w:spacing w:after="0"/>
              <w:rPr>
                <w:sz w:val="18"/>
                <w:szCs w:val="18"/>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90"/>
              </w:rPr>
              <w:t>Revenue / Modified non-GAAP</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88,533</w:t>
            </w:r>
          </w:p>
        </w:tc>
        <w:tc>
          <w:tcPr>
            <w:tcW w:w="340" w:type="dxa"/>
            <w:vAlign w:val="bottom"/>
            <w:shd w:val="clear" w:color="auto" w:fill="CCEEFF"/>
          </w:tcPr>
          <w:p>
            <w:pPr>
              <w:spacing w:after="0"/>
              <w:rPr>
                <w:sz w:val="18"/>
                <w:szCs w:val="18"/>
                <w:color w:val="auto"/>
              </w:rPr>
            </w:pP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33,616</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2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performance awards)</w:t>
            </w:r>
          </w:p>
        </w:tc>
        <w:tc>
          <w:tcPr>
            <w:tcW w:w="320" w:type="dxa"/>
            <w:vAlign w:val="bottom"/>
            <w:shd w:val="clear" w:color="auto" w:fill="CCEEFF"/>
          </w:tcPr>
          <w:p>
            <w:pPr>
              <w:spacing w:after="0"/>
              <w:rPr>
                <w:sz w:val="18"/>
                <w:szCs w:val="18"/>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7"/>
              </w:rPr>
              <w:t>Operating Income / Strategic Goals /</w:t>
            </w:r>
          </w:p>
        </w:tc>
        <w:tc>
          <w:tcPr>
            <w:tcW w:w="10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2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5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9"/>
              </w:rPr>
              <w:t>Relative TSR</w:t>
            </w:r>
            <w:r>
              <w:rPr>
                <w:rFonts w:ascii="Arial" w:cs="Arial" w:eastAsia="Arial" w:hAnsi="Arial"/>
                <w:sz w:val="11"/>
                <w:szCs w:val="11"/>
                <w:color w:val="auto"/>
                <w:w w:val="89"/>
              </w:rPr>
              <w:t>1</w:t>
            </w:r>
          </w:p>
        </w:tc>
        <w:tc>
          <w:tcPr>
            <w:tcW w:w="10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600" w:type="dxa"/>
            <w:vAlign w:val="bottom"/>
            <w:shd w:val="clear" w:color="auto" w:fill="CCEEFF"/>
          </w:tcPr>
          <w:p>
            <w:pPr>
              <w:spacing w:after="0"/>
              <w:rPr>
                <w:sz w:val="18"/>
                <w:szCs w:val="18"/>
                <w:color w:val="auto"/>
              </w:rPr>
            </w:pPr>
          </w:p>
        </w:tc>
        <w:tc>
          <w:tcPr>
            <w:tcW w:w="2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2015</w:t>
            </w:r>
          </w:p>
        </w:tc>
        <w:tc>
          <w:tcPr>
            <w:tcW w:w="4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100,000 (RSUs and</w:t>
            </w:r>
          </w:p>
        </w:tc>
        <w:tc>
          <w:tcPr>
            <w:tcW w:w="320" w:type="dxa"/>
            <w:vAlign w:val="bottom"/>
            <w:shd w:val="clear" w:color="auto" w:fill="CCEEFF"/>
          </w:tcPr>
          <w:p>
            <w:pPr>
              <w:spacing w:after="0"/>
              <w:rPr>
                <w:sz w:val="18"/>
                <w:szCs w:val="18"/>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90"/>
              </w:rPr>
              <w:t>Revenue / Modified non-GAAP</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50,000</w:t>
            </w:r>
          </w:p>
        </w:tc>
        <w:tc>
          <w:tcPr>
            <w:tcW w:w="340" w:type="dxa"/>
            <w:vAlign w:val="bottom"/>
            <w:shd w:val="clear" w:color="auto" w:fill="CCEEFF"/>
          </w:tcPr>
          <w:p>
            <w:pPr>
              <w:spacing w:after="0"/>
              <w:rPr>
                <w:sz w:val="18"/>
                <w:szCs w:val="18"/>
                <w:color w:val="auto"/>
              </w:rPr>
            </w:pP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2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performance awards)</w:t>
            </w:r>
          </w:p>
        </w:tc>
        <w:tc>
          <w:tcPr>
            <w:tcW w:w="320" w:type="dxa"/>
            <w:vAlign w:val="bottom"/>
            <w:shd w:val="clear" w:color="auto" w:fill="CCEEFF"/>
          </w:tcPr>
          <w:p>
            <w:pPr>
              <w:spacing w:after="0"/>
              <w:rPr>
                <w:sz w:val="19"/>
                <w:szCs w:val="19"/>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9"/>
              </w:rPr>
              <w:t>Operating Income / Strategic Goals</w:t>
            </w:r>
            <w:r>
              <w:rPr>
                <w:rFonts w:ascii="Arial" w:cs="Arial" w:eastAsia="Arial" w:hAnsi="Arial"/>
                <w:sz w:val="11"/>
                <w:szCs w:val="11"/>
                <w:color w:val="auto"/>
                <w:w w:val="89"/>
              </w:rPr>
              <w:t>2</w:t>
            </w:r>
          </w:p>
        </w:tc>
        <w:tc>
          <w:tcPr>
            <w:tcW w:w="10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00" w:type="dxa"/>
            <w:vAlign w:val="bottom"/>
            <w:shd w:val="clear" w:color="auto" w:fill="CCEEFF"/>
          </w:tcPr>
          <w:p>
            <w:pPr>
              <w:spacing w:after="0"/>
              <w:rPr>
                <w:sz w:val="18"/>
                <w:szCs w:val="18"/>
                <w:color w:val="auto"/>
              </w:rPr>
            </w:pPr>
          </w:p>
        </w:tc>
        <w:tc>
          <w:tcPr>
            <w:tcW w:w="2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2012</w:t>
            </w:r>
          </w:p>
        </w:tc>
        <w:tc>
          <w:tcPr>
            <w:tcW w:w="4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50,000 (options)</w:t>
            </w:r>
          </w:p>
        </w:tc>
        <w:tc>
          <w:tcPr>
            <w:tcW w:w="320" w:type="dxa"/>
            <w:vAlign w:val="bottom"/>
            <w:shd w:val="clear" w:color="auto" w:fill="CCEEFF"/>
          </w:tcPr>
          <w:p>
            <w:pPr>
              <w:spacing w:after="0"/>
              <w:rPr>
                <w:sz w:val="18"/>
                <w:szCs w:val="18"/>
                <w:color w:val="auto"/>
              </w:rPr>
            </w:pPr>
          </w:p>
        </w:tc>
        <w:tc>
          <w:tcPr>
            <w:tcW w:w="328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7"/>
              </w:rPr>
              <w:t>Share Price</w:t>
            </w:r>
            <w:r>
              <w:rPr>
                <w:rFonts w:ascii="Arial" w:cs="Arial" w:eastAsia="Arial" w:hAnsi="Arial"/>
                <w:sz w:val="11"/>
                <w:szCs w:val="11"/>
                <w:color w:val="auto"/>
                <w:w w:val="87"/>
              </w:rPr>
              <w:t>2</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50,000</w:t>
            </w:r>
          </w:p>
        </w:tc>
        <w:tc>
          <w:tcPr>
            <w:tcW w:w="340" w:type="dxa"/>
            <w:vAlign w:val="bottom"/>
            <w:shd w:val="clear" w:color="auto" w:fill="CCEEFF"/>
          </w:tcPr>
          <w:p>
            <w:pPr>
              <w:spacing w:after="0"/>
              <w:rPr>
                <w:sz w:val="18"/>
                <w:szCs w:val="18"/>
                <w:color w:val="auto"/>
              </w:rPr>
            </w:pP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363"/>
        </w:trPr>
        <w:tc>
          <w:tcPr>
            <w:tcW w:w="60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3280" w:type="dxa"/>
            <w:vAlign w:val="bottom"/>
            <w:gridSpan w:val="2"/>
          </w:tcPr>
          <w:p>
            <w:pPr>
              <w:jc w:val="right"/>
              <w:ind w:right="2774"/>
              <w:spacing w:after="0"/>
              <w:rPr>
                <w:sz w:val="20"/>
                <w:szCs w:val="20"/>
                <w:color w:val="auto"/>
              </w:rPr>
            </w:pPr>
            <w:r>
              <w:rPr>
                <w:rFonts w:ascii="Arial" w:cs="Arial" w:eastAsia="Arial" w:hAnsi="Arial"/>
                <w:sz w:val="18"/>
                <w:szCs w:val="18"/>
                <w:color w:val="auto"/>
              </w:rPr>
              <w:t>132</w:t>
            </w:r>
          </w:p>
        </w:tc>
        <w:tc>
          <w:tcPr>
            <w:tcW w:w="3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34" w:name="page135"/>
    <w:bookmarkEnd w:id="1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340" w:hanging="332"/>
        <w:spacing w:after="0"/>
        <w:tabs>
          <w:tab w:leader="none" w:pos="3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Performance goals disclosed in detail in the section “Fiscal 2016 Long-Term Incentive Awards.”</w:t>
      </w:r>
    </w:p>
    <w:p>
      <w:pPr>
        <w:spacing w:after="0" w:line="15" w:lineRule="exact"/>
        <w:rPr>
          <w:rFonts w:ascii="Arial" w:cs="Arial" w:eastAsia="Arial" w:hAnsi="Arial"/>
          <w:sz w:val="18"/>
          <w:szCs w:val="18"/>
          <w:color w:val="auto"/>
        </w:rPr>
      </w:pPr>
    </w:p>
    <w:p>
      <w:pPr>
        <w:ind w:left="340" w:right="120" w:hanging="332"/>
        <w:spacing w:after="0" w:line="281" w:lineRule="auto"/>
        <w:tabs>
          <w:tab w:leader="none" w:pos="340" w:val="left"/>
        </w:tabs>
        <w:numPr>
          <w:ilvl w:val="0"/>
          <w:numId w:val="51"/>
        </w:numPr>
        <w:rPr>
          <w:rFonts w:ascii="Arial" w:cs="Arial" w:eastAsia="Arial" w:hAnsi="Arial"/>
          <w:sz w:val="16"/>
          <w:szCs w:val="16"/>
          <w:color w:val="auto"/>
        </w:rPr>
      </w:pPr>
      <w:r>
        <w:rPr>
          <w:rFonts w:ascii="Arial" w:cs="Arial" w:eastAsia="Arial" w:hAnsi="Arial"/>
          <w:sz w:val="16"/>
          <w:szCs w:val="16"/>
          <w:color w:val="auto"/>
        </w:rPr>
        <w:t>Performance goals for fiscal 2015 awards were disclosed in detail in the Compensation Discussion and Analysis in the 2015 Proxy Statement, in the section “Fiscal 2015 Long-Term Incentive Awards,” and are summarized below in the section “Actual Performance Achievement and Awards Vested.”</w:t>
      </w:r>
    </w:p>
    <w:p>
      <w:pPr>
        <w:spacing w:after="0" w:line="1" w:lineRule="exact"/>
        <w:rPr>
          <w:rFonts w:ascii="Arial" w:cs="Arial" w:eastAsia="Arial" w:hAnsi="Arial"/>
          <w:sz w:val="16"/>
          <w:szCs w:val="16"/>
          <w:color w:val="auto"/>
        </w:rPr>
      </w:pPr>
    </w:p>
    <w:p>
      <w:pPr>
        <w:ind w:left="340" w:right="160" w:hanging="332"/>
        <w:spacing w:after="0" w:line="290" w:lineRule="auto"/>
        <w:tabs>
          <w:tab w:leader="none" w:pos="340" w:val="left"/>
        </w:tabs>
        <w:numPr>
          <w:ilvl w:val="0"/>
          <w:numId w:val="51"/>
        </w:numPr>
        <w:rPr>
          <w:rFonts w:ascii="Arial" w:cs="Arial" w:eastAsia="Arial" w:hAnsi="Arial"/>
          <w:sz w:val="16"/>
          <w:szCs w:val="16"/>
          <w:color w:val="auto"/>
        </w:rPr>
      </w:pPr>
      <w:r>
        <w:rPr>
          <w:rFonts w:ascii="Arial" w:cs="Arial" w:eastAsia="Arial" w:hAnsi="Arial"/>
          <w:sz w:val="16"/>
          <w:szCs w:val="16"/>
          <w:color w:val="auto"/>
        </w:rPr>
        <w:t>Performance-based stock options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5th anniversary of the date of grant (the “Trigger Event”), then 100% of the shares subject to the stock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 As of April 29, 2016, the Trigger Event had not occurred and all performance-based options expired in accordance with their terms.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Actual Performance Achievement and Awards Vested</w:t>
      </w:r>
    </w:p>
    <w:p>
      <w:pPr>
        <w:spacing w:after="0" w:line="90" w:lineRule="exact"/>
        <w:rPr>
          <w:sz w:val="20"/>
          <w:szCs w:val="20"/>
          <w:color w:val="auto"/>
        </w:rPr>
      </w:pPr>
    </w:p>
    <w:p>
      <w:pPr>
        <w:jc w:val="both"/>
        <w:ind w:right="40" w:firstLine="456"/>
        <w:spacing w:after="0" w:line="357" w:lineRule="auto"/>
        <w:rPr>
          <w:sz w:val="20"/>
          <w:szCs w:val="20"/>
          <w:color w:val="auto"/>
        </w:rPr>
      </w:pPr>
      <w:r>
        <w:rPr>
          <w:rFonts w:ascii="Arial" w:cs="Arial" w:eastAsia="Arial" w:hAnsi="Arial"/>
          <w:sz w:val="15"/>
          <w:szCs w:val="15"/>
          <w:color w:val="auto"/>
        </w:rPr>
        <w:t>Following the end of fiscal 2016, the ECC measured the performance criteria associated with each named executive officer’s respective performance-based equity grants, determined the number of awards that would vest during the fiscal 2016 performance period for each grant and made the following determinations:</w:t>
      </w: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share price Trigger Event for the performance-based stock options granted in fiscal 2012 was not met.</w:t>
      </w:r>
    </w:p>
    <w:p>
      <w:pPr>
        <w:spacing w:after="0" w:line="90" w:lineRule="exact"/>
        <w:rPr>
          <w:rFonts w:ascii="Arial" w:cs="Arial" w:eastAsia="Arial" w:hAnsi="Arial"/>
          <w:sz w:val="18"/>
          <w:szCs w:val="18"/>
          <w:color w:val="auto"/>
        </w:rPr>
      </w:pPr>
    </w:p>
    <w:p>
      <w:pPr>
        <w:jc w:val="both"/>
        <w:ind w:left="900" w:right="60" w:hanging="325"/>
        <w:spacing w:after="0" w:line="306" w:lineRule="auto"/>
        <w:tabs>
          <w:tab w:leader="none" w:pos="900" w:val="left"/>
        </w:tabs>
        <w:numPr>
          <w:ilvl w:val="0"/>
          <w:numId w:val="52"/>
        </w:numPr>
        <w:rPr>
          <w:rFonts w:ascii="Arial" w:cs="Arial" w:eastAsia="Arial" w:hAnsi="Arial"/>
          <w:sz w:val="16"/>
          <w:szCs w:val="16"/>
          <w:color w:val="auto"/>
        </w:rPr>
      </w:pPr>
      <w:r>
        <w:rPr>
          <w:rFonts w:ascii="Arial" w:cs="Arial" w:eastAsia="Arial" w:hAnsi="Arial"/>
          <w:sz w:val="16"/>
          <w:szCs w:val="16"/>
          <w:color w:val="auto"/>
        </w:rPr>
        <w:t>Both the Company’s fiscal 2016 revenue and modified non-GAAP operating income performance were below the threshold goals established by the ECC for both the 2015 and 2016 equity grants. Therefore, the ECC determined that none of the shares underlying fiscal 2015 and fiscal 2016 awards subject to fiscal 2016 Company financial performance would vest (as reflected in the following table):</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30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660" w:type="dxa"/>
            <w:vAlign w:val="bottom"/>
            <w:gridSpan w:val="2"/>
            <w:vMerge w:val="restart"/>
          </w:tcPr>
          <w:p>
            <w:pPr>
              <w:jc w:val="center"/>
              <w:ind w:right="760"/>
              <w:spacing w:after="0"/>
              <w:rPr>
                <w:sz w:val="20"/>
                <w:szCs w:val="20"/>
                <w:color w:val="auto"/>
              </w:rPr>
            </w:pPr>
            <w:r>
              <w:rPr>
                <w:rFonts w:ascii="Arial" w:cs="Arial" w:eastAsia="Arial" w:hAnsi="Arial"/>
                <w:sz w:val="14"/>
                <w:szCs w:val="14"/>
                <w:b w:val="1"/>
                <w:bCs w:val="1"/>
                <w:color w:val="auto"/>
                <w:w w:val="93"/>
              </w:rPr>
              <w:t>Actual FY2016</w:t>
            </w:r>
          </w:p>
        </w:tc>
        <w:tc>
          <w:tcPr>
            <w:tcW w:w="760" w:type="dxa"/>
            <w:vAlign w:val="bottom"/>
          </w:tcPr>
          <w:p>
            <w:pPr>
              <w:spacing w:after="0"/>
              <w:rPr>
                <w:sz w:val="14"/>
                <w:szCs w:val="14"/>
                <w:color w:val="auto"/>
              </w:rPr>
            </w:pPr>
          </w:p>
        </w:tc>
        <w:tc>
          <w:tcPr>
            <w:tcW w:w="2280" w:type="dxa"/>
            <w:vAlign w:val="bottom"/>
            <w:gridSpan w:val="3"/>
          </w:tcPr>
          <w:p>
            <w:pPr>
              <w:spacing w:after="0"/>
              <w:rPr>
                <w:sz w:val="20"/>
                <w:szCs w:val="20"/>
                <w:color w:val="auto"/>
              </w:rPr>
            </w:pPr>
            <w:r>
              <w:rPr>
                <w:rFonts w:ascii="Arial" w:cs="Arial" w:eastAsia="Arial" w:hAnsi="Arial"/>
                <w:sz w:val="14"/>
                <w:szCs w:val="14"/>
                <w:b w:val="1"/>
                <w:bCs w:val="1"/>
                <w:color w:val="auto"/>
              </w:rPr>
              <w:t>FY2016 Grant</w:t>
            </w:r>
          </w:p>
        </w:tc>
        <w:tc>
          <w:tcPr>
            <w:tcW w:w="760" w:type="dxa"/>
            <w:vAlign w:val="bottom"/>
          </w:tcPr>
          <w:p>
            <w:pPr>
              <w:spacing w:after="0"/>
              <w:rPr>
                <w:sz w:val="14"/>
                <w:szCs w:val="14"/>
                <w:color w:val="auto"/>
              </w:rPr>
            </w:pPr>
          </w:p>
        </w:tc>
        <w:tc>
          <w:tcPr>
            <w:tcW w:w="1600" w:type="dxa"/>
            <w:vAlign w:val="bottom"/>
            <w:gridSpan w:val="2"/>
          </w:tcPr>
          <w:p>
            <w:pPr>
              <w:spacing w:after="0"/>
              <w:rPr>
                <w:sz w:val="20"/>
                <w:szCs w:val="20"/>
                <w:color w:val="auto"/>
              </w:rPr>
            </w:pPr>
            <w:r>
              <w:rPr>
                <w:rFonts w:ascii="Arial" w:cs="Arial" w:eastAsia="Arial" w:hAnsi="Arial"/>
                <w:sz w:val="14"/>
                <w:szCs w:val="14"/>
                <w:b w:val="1"/>
                <w:bCs w:val="1"/>
                <w:color w:val="auto"/>
              </w:rPr>
              <w:t>FY2015 Grant</w:t>
            </w:r>
          </w:p>
        </w:tc>
        <w:tc>
          <w:tcPr>
            <w:tcW w:w="0" w:type="dxa"/>
            <w:vAlign w:val="bottom"/>
          </w:tcPr>
          <w:p>
            <w:pPr>
              <w:spacing w:after="0"/>
              <w:rPr>
                <w:sz w:val="1"/>
                <w:szCs w:val="1"/>
                <w:color w:val="auto"/>
              </w:rPr>
            </w:pPr>
          </w:p>
        </w:tc>
      </w:tr>
      <w:tr>
        <w:trPr>
          <w:trHeight w:val="129"/>
        </w:trPr>
        <w:tc>
          <w:tcPr>
            <w:tcW w:w="34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Performance Metrics</w:t>
            </w:r>
          </w:p>
        </w:tc>
        <w:tc>
          <w:tcPr>
            <w:tcW w:w="1660" w:type="dxa"/>
            <w:vAlign w:val="bottom"/>
            <w:gridSpan w:val="2"/>
            <w:vMerge w:val="continue"/>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Goal</w:t>
            </w:r>
          </w:p>
        </w:tc>
        <w:tc>
          <w:tcPr>
            <w:tcW w:w="76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2"/>
              </w:rPr>
              <w:t>Vested Shares</w:t>
            </w:r>
          </w:p>
        </w:tc>
        <w:tc>
          <w:tcPr>
            <w:tcW w:w="68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Goal</w:t>
            </w:r>
          </w:p>
        </w:tc>
        <w:tc>
          <w:tcPr>
            <w:tcW w:w="74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2"/>
              </w:rPr>
              <w:t>Vested Shares</w:t>
            </w:r>
          </w:p>
        </w:tc>
        <w:tc>
          <w:tcPr>
            <w:tcW w:w="0" w:type="dxa"/>
            <w:vAlign w:val="bottom"/>
          </w:tcPr>
          <w:p>
            <w:pPr>
              <w:spacing w:after="0"/>
              <w:rPr>
                <w:sz w:val="1"/>
                <w:szCs w:val="1"/>
                <w:color w:val="auto"/>
              </w:rPr>
            </w:pPr>
          </w:p>
        </w:tc>
      </w:tr>
      <w:tr>
        <w:trPr>
          <w:trHeight w:val="155"/>
        </w:trPr>
        <w:tc>
          <w:tcPr>
            <w:tcW w:w="3440" w:type="dxa"/>
            <w:vAlign w:val="bottom"/>
            <w:gridSpan w:val="2"/>
            <w:vMerge w:val="continue"/>
          </w:tcPr>
          <w:p>
            <w:pPr>
              <w:spacing w:after="0"/>
              <w:rPr>
                <w:sz w:val="13"/>
                <w:szCs w:val="13"/>
                <w:color w:val="auto"/>
              </w:rPr>
            </w:pPr>
          </w:p>
        </w:tc>
        <w:tc>
          <w:tcPr>
            <w:tcW w:w="1660" w:type="dxa"/>
            <w:vAlign w:val="bottom"/>
            <w:gridSpan w:val="2"/>
          </w:tcPr>
          <w:p>
            <w:pPr>
              <w:jc w:val="center"/>
              <w:ind w:right="76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7"/>
              </w:rPr>
              <w:t>Achievement</w:t>
            </w:r>
          </w:p>
        </w:tc>
        <w:tc>
          <w:tcPr>
            <w:tcW w:w="760" w:type="dxa"/>
            <w:vAlign w:val="bottom"/>
          </w:tcPr>
          <w:p>
            <w:pPr>
              <w:spacing w:after="0"/>
              <w:rPr>
                <w:sz w:val="13"/>
                <w:szCs w:val="13"/>
                <w:color w:val="auto"/>
              </w:rPr>
            </w:pPr>
          </w:p>
        </w:tc>
        <w:tc>
          <w:tcPr>
            <w:tcW w:w="1520" w:type="dxa"/>
            <w:vAlign w:val="bottom"/>
            <w:gridSpan w:val="2"/>
          </w:tcPr>
          <w:p>
            <w:pPr>
              <w:jc w:val="center"/>
              <w:ind w:right="680"/>
              <w:spacing w:after="0" w:line="148" w:lineRule="exact"/>
              <w:rPr>
                <w:sz w:val="20"/>
                <w:szCs w:val="20"/>
                <w:color w:val="auto"/>
              </w:rPr>
            </w:pPr>
            <w:r>
              <w:rPr>
                <w:rFonts w:ascii="Arial" w:cs="Arial" w:eastAsia="Arial" w:hAnsi="Arial"/>
                <w:sz w:val="14"/>
                <w:szCs w:val="14"/>
                <w:b w:val="1"/>
                <w:bCs w:val="1"/>
                <w:color w:val="auto"/>
                <w:w w:val="87"/>
              </w:rPr>
              <w:t>as % of Target</w:t>
            </w: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7"/>
              </w:rPr>
              <w:t>Achievement</w:t>
            </w:r>
          </w:p>
        </w:tc>
        <w:tc>
          <w:tcPr>
            <w:tcW w:w="740" w:type="dxa"/>
            <w:vAlign w:val="bottom"/>
          </w:tcPr>
          <w:p>
            <w:pPr>
              <w:spacing w:after="0"/>
              <w:rPr>
                <w:sz w:val="13"/>
                <w:szCs w:val="13"/>
                <w:color w:val="auto"/>
              </w:rPr>
            </w:pPr>
          </w:p>
        </w:tc>
        <w:tc>
          <w:tcPr>
            <w:tcW w:w="8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7"/>
              </w:rPr>
              <w:t>as % of Target</w:t>
            </w:r>
          </w:p>
        </w:tc>
        <w:tc>
          <w:tcPr>
            <w:tcW w:w="0" w:type="dxa"/>
            <w:vAlign w:val="bottom"/>
          </w:tcPr>
          <w:p>
            <w:pPr>
              <w:spacing w:after="0"/>
              <w:rPr>
                <w:sz w:val="1"/>
                <w:szCs w:val="1"/>
                <w:color w:val="auto"/>
              </w:rPr>
            </w:pPr>
          </w:p>
        </w:tc>
      </w:tr>
      <w:tr>
        <w:trPr>
          <w:trHeight w:val="208"/>
        </w:trPr>
        <w:tc>
          <w:tcPr>
            <w:tcW w:w="1300" w:type="dxa"/>
            <w:vAlign w:val="bottom"/>
            <w:tcBorders>
              <w:top w:val="single" w:sz="8" w:color="auto"/>
            </w:tcBorders>
            <w:shd w:val="clear" w:color="auto" w:fill="CCEEFF"/>
          </w:tcPr>
          <w:p>
            <w:pPr>
              <w:spacing w:after="0"/>
              <w:rPr>
                <w:sz w:val="18"/>
                <w:szCs w:val="18"/>
                <w:color w:val="auto"/>
              </w:rPr>
            </w:pPr>
          </w:p>
        </w:tc>
        <w:tc>
          <w:tcPr>
            <w:tcW w:w="214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3"/>
              </w:rPr>
              <w:t>Below</w:t>
            </w:r>
          </w:p>
        </w:tc>
        <w:tc>
          <w:tcPr>
            <w:tcW w:w="76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3"/>
              </w:rPr>
              <w:t>Below</w:t>
            </w:r>
          </w:p>
        </w:tc>
        <w:tc>
          <w:tcPr>
            <w:tcW w:w="74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Revenue</w:t>
            </w:r>
          </w:p>
        </w:tc>
        <w:tc>
          <w:tcPr>
            <w:tcW w:w="1660" w:type="dxa"/>
            <w:vAlign w:val="bottom"/>
            <w:gridSpan w:val="2"/>
            <w:shd w:val="clear" w:color="auto" w:fill="CCEEFF"/>
          </w:tcPr>
          <w:p>
            <w:pPr>
              <w:jc w:val="center"/>
              <w:ind w:right="760"/>
              <w:spacing w:after="0"/>
              <w:rPr>
                <w:sz w:val="20"/>
                <w:szCs w:val="20"/>
                <w:color w:val="auto"/>
              </w:rPr>
            </w:pPr>
            <w:r>
              <w:rPr>
                <w:rFonts w:ascii="Arial" w:cs="Arial" w:eastAsia="Arial" w:hAnsi="Arial"/>
                <w:sz w:val="18"/>
                <w:szCs w:val="18"/>
                <w:color w:val="auto"/>
                <w:w w:val="88"/>
              </w:rPr>
              <w:t>$2,726M</w:t>
            </w: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Threshold</w:t>
            </w:r>
          </w:p>
        </w:tc>
        <w:tc>
          <w:tcPr>
            <w:tcW w:w="1600" w:type="dxa"/>
            <w:vAlign w:val="bottom"/>
            <w:gridSpan w:val="2"/>
            <w:shd w:val="clear" w:color="auto" w:fill="CCEEFF"/>
          </w:tcPr>
          <w:p>
            <w:pPr>
              <w:jc w:val="center"/>
              <w:ind w:left="679"/>
              <w:spacing w:after="0"/>
              <w:rPr>
                <w:sz w:val="20"/>
                <w:szCs w:val="20"/>
                <w:color w:val="auto"/>
              </w:rPr>
            </w:pPr>
            <w:r>
              <w:rPr>
                <w:rFonts w:ascii="Arial" w:cs="Arial" w:eastAsia="Arial" w:hAnsi="Arial"/>
                <w:sz w:val="18"/>
                <w:szCs w:val="18"/>
                <w:color w:val="auto"/>
                <w:w w:val="92"/>
              </w:rPr>
              <w:t>0%</w:t>
            </w:r>
          </w:p>
        </w:tc>
        <w:tc>
          <w:tcPr>
            <w:tcW w:w="68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Threshold</w:t>
            </w:r>
          </w:p>
        </w:tc>
        <w:tc>
          <w:tcPr>
            <w:tcW w:w="1600" w:type="dxa"/>
            <w:vAlign w:val="bottom"/>
            <w:gridSpan w:val="2"/>
            <w:shd w:val="clear" w:color="auto" w:fill="CCEEFF"/>
          </w:tcPr>
          <w:p>
            <w:pPr>
              <w:jc w:val="center"/>
              <w:ind w:left="679"/>
              <w:spacing w:after="0"/>
              <w:rPr>
                <w:sz w:val="20"/>
                <w:szCs w:val="20"/>
                <w:color w:val="auto"/>
              </w:rPr>
            </w:pPr>
            <w:r>
              <w:rPr>
                <w:rFonts w:ascii="Arial" w:cs="Arial" w:eastAsia="Arial" w:hAnsi="Arial"/>
                <w:sz w:val="18"/>
                <w:szCs w:val="18"/>
                <w:color w:val="auto"/>
                <w:w w:val="92"/>
              </w:rPr>
              <w:t>0%</w:t>
            </w:r>
          </w:p>
        </w:tc>
        <w:tc>
          <w:tcPr>
            <w:tcW w:w="0" w:type="dxa"/>
            <w:vAlign w:val="bottom"/>
          </w:tcPr>
          <w:p>
            <w:pPr>
              <w:spacing w:after="0"/>
              <w:rPr>
                <w:sz w:val="1"/>
                <w:szCs w:val="1"/>
                <w:color w:val="auto"/>
              </w:rPr>
            </w:pPr>
          </w:p>
        </w:tc>
      </w:tr>
      <w:tr>
        <w:trPr>
          <w:trHeight w:val="208"/>
        </w:trPr>
        <w:tc>
          <w:tcPr>
            <w:tcW w:w="3440" w:type="dxa"/>
            <w:vAlign w:val="bottom"/>
            <w:gridSpan w:val="2"/>
          </w:tcPr>
          <w:p>
            <w:pPr>
              <w:spacing w:after="0"/>
              <w:rPr>
                <w:sz w:val="20"/>
                <w:szCs w:val="20"/>
                <w:color w:val="auto"/>
              </w:rPr>
            </w:pPr>
            <w:r>
              <w:rPr>
                <w:rFonts w:ascii="Arial" w:cs="Arial" w:eastAsia="Arial" w:hAnsi="Arial"/>
                <w:sz w:val="18"/>
                <w:szCs w:val="18"/>
                <w:color w:val="auto"/>
              </w:rPr>
              <w:t>Modified Non-GAAP Operating</w:t>
            </w:r>
          </w:p>
        </w:tc>
        <w:tc>
          <w:tcPr>
            <w:tcW w:w="9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Below</w:t>
            </w:r>
          </w:p>
        </w:tc>
        <w:tc>
          <w:tcPr>
            <w:tcW w:w="7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Below</w:t>
            </w:r>
          </w:p>
        </w:tc>
        <w:tc>
          <w:tcPr>
            <w:tcW w:w="7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440" w:type="dxa"/>
            <w:vAlign w:val="bottom"/>
            <w:gridSpan w:val="2"/>
          </w:tcPr>
          <w:p>
            <w:pPr>
              <w:ind w:left="220"/>
              <w:spacing w:after="0"/>
              <w:rPr>
                <w:sz w:val="20"/>
                <w:szCs w:val="20"/>
                <w:color w:val="auto"/>
              </w:rPr>
            </w:pPr>
            <w:r>
              <w:rPr>
                <w:rFonts w:ascii="Arial" w:cs="Arial" w:eastAsia="Arial" w:hAnsi="Arial"/>
                <w:sz w:val="18"/>
                <w:szCs w:val="18"/>
                <w:color w:val="auto"/>
              </w:rPr>
              <w:t>Income</w:t>
            </w:r>
          </w:p>
        </w:tc>
        <w:tc>
          <w:tcPr>
            <w:tcW w:w="1660" w:type="dxa"/>
            <w:vAlign w:val="bottom"/>
            <w:gridSpan w:val="2"/>
          </w:tcPr>
          <w:p>
            <w:pPr>
              <w:jc w:val="center"/>
              <w:ind w:right="760"/>
              <w:spacing w:after="0"/>
              <w:rPr>
                <w:sz w:val="20"/>
                <w:szCs w:val="20"/>
                <w:color w:val="auto"/>
              </w:rPr>
            </w:pPr>
            <w:r>
              <w:rPr>
                <w:rFonts w:ascii="Arial" w:cs="Arial" w:eastAsia="Arial" w:hAnsi="Arial"/>
                <w:sz w:val="18"/>
                <w:szCs w:val="18"/>
                <w:color w:val="auto"/>
                <w:w w:val="90"/>
              </w:rPr>
              <w:t>$194M</w:t>
            </w:r>
          </w:p>
        </w:tc>
        <w:tc>
          <w:tcPr>
            <w:tcW w:w="760" w:type="dxa"/>
            <w:vAlign w:val="bottom"/>
          </w:tcPr>
          <w:p>
            <w:pPr>
              <w:jc w:val="center"/>
              <w:spacing w:after="0"/>
              <w:rPr>
                <w:sz w:val="20"/>
                <w:szCs w:val="20"/>
                <w:color w:val="auto"/>
              </w:rPr>
            </w:pPr>
            <w:r>
              <w:rPr>
                <w:rFonts w:ascii="Arial" w:cs="Arial" w:eastAsia="Arial" w:hAnsi="Arial"/>
                <w:sz w:val="18"/>
                <w:szCs w:val="18"/>
                <w:color w:val="auto"/>
                <w:w w:val="89"/>
              </w:rPr>
              <w:t>Threshold</w:t>
            </w:r>
          </w:p>
        </w:tc>
        <w:tc>
          <w:tcPr>
            <w:tcW w:w="1600" w:type="dxa"/>
            <w:vAlign w:val="bottom"/>
            <w:gridSpan w:val="2"/>
          </w:tcPr>
          <w:p>
            <w:pPr>
              <w:jc w:val="center"/>
              <w:ind w:left="679"/>
              <w:spacing w:after="0"/>
              <w:rPr>
                <w:sz w:val="20"/>
                <w:szCs w:val="20"/>
                <w:color w:val="auto"/>
              </w:rPr>
            </w:pPr>
            <w:r>
              <w:rPr>
                <w:rFonts w:ascii="Arial" w:cs="Arial" w:eastAsia="Arial" w:hAnsi="Arial"/>
                <w:sz w:val="18"/>
                <w:szCs w:val="18"/>
                <w:color w:val="auto"/>
                <w:w w:val="92"/>
              </w:rPr>
              <w:t>0%</w:t>
            </w:r>
          </w:p>
        </w:tc>
        <w:tc>
          <w:tcPr>
            <w:tcW w:w="680" w:type="dxa"/>
            <w:vAlign w:val="bottom"/>
          </w:tcPr>
          <w:p>
            <w:pPr>
              <w:spacing w:after="0"/>
              <w:rPr>
                <w:sz w:val="19"/>
                <w:szCs w:val="19"/>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9"/>
              </w:rPr>
              <w:t>Threshold</w:t>
            </w:r>
          </w:p>
        </w:tc>
        <w:tc>
          <w:tcPr>
            <w:tcW w:w="1600" w:type="dxa"/>
            <w:vAlign w:val="bottom"/>
            <w:gridSpan w:val="2"/>
          </w:tcPr>
          <w:p>
            <w:pPr>
              <w:jc w:val="center"/>
              <w:ind w:left="679"/>
              <w:spacing w:after="0"/>
              <w:rPr>
                <w:sz w:val="20"/>
                <w:szCs w:val="20"/>
                <w:color w:val="auto"/>
              </w:rPr>
            </w:pPr>
            <w:r>
              <w:rPr>
                <w:rFonts w:ascii="Arial" w:cs="Arial" w:eastAsia="Arial" w:hAnsi="Arial"/>
                <w:sz w:val="18"/>
                <w:szCs w:val="18"/>
                <w:color w:val="auto"/>
                <w:w w:val="92"/>
              </w:rPr>
              <w:t>0%</w:t>
            </w:r>
          </w:p>
        </w:tc>
        <w:tc>
          <w:tcPr>
            <w:tcW w:w="0" w:type="dxa"/>
            <w:vAlign w:val="bottom"/>
          </w:tcPr>
          <w:p>
            <w:pPr>
              <w:spacing w:after="0"/>
              <w:rPr>
                <w:sz w:val="1"/>
                <w:szCs w:val="1"/>
                <w:color w:val="auto"/>
              </w:rPr>
            </w:pPr>
          </w:p>
        </w:tc>
      </w:tr>
    </w:tbl>
    <w:p>
      <w:pPr>
        <w:spacing w:after="0" w:line="75" w:lineRule="exact"/>
        <w:rPr>
          <w:sz w:val="20"/>
          <w:szCs w:val="20"/>
          <w:color w:val="auto"/>
        </w:rPr>
      </w:pPr>
    </w:p>
    <w:p>
      <w:pPr>
        <w:jc w:val="both"/>
        <w:ind w:left="900" w:hanging="325"/>
        <w:spacing w:after="0" w:line="259"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For the Executive Officers’ individual strategic goals, the Committee evaluated the achievement of the strategic performance objectives, achievement of financial performance gates (where applicable), the Company’s overall condition and performance in fiscal 2016, and each individuals’ role within the organization.</w:t>
      </w:r>
    </w:p>
    <w:p>
      <w:pPr>
        <w:spacing w:after="0" w:line="59" w:lineRule="exact"/>
        <w:rPr>
          <w:rFonts w:ascii="Arial" w:cs="Arial" w:eastAsia="Arial" w:hAnsi="Arial"/>
          <w:sz w:val="18"/>
          <w:szCs w:val="18"/>
          <w:color w:val="auto"/>
        </w:rPr>
      </w:pPr>
    </w:p>
    <w:p>
      <w:pPr>
        <w:ind w:left="1480" w:right="380" w:hanging="446"/>
        <w:spacing w:after="0" w:line="306" w:lineRule="auto"/>
        <w:tabs>
          <w:tab w:leader="none" w:pos="1480" w:val="left"/>
        </w:tabs>
        <w:numPr>
          <w:ilvl w:val="1"/>
          <w:numId w:val="53"/>
        </w:numPr>
        <w:rPr>
          <w:rFonts w:ascii="Arial" w:cs="Arial" w:eastAsia="Arial" w:hAnsi="Arial"/>
          <w:sz w:val="16"/>
          <w:szCs w:val="16"/>
          <w:color w:val="auto"/>
        </w:rPr>
      </w:pPr>
      <w:r>
        <w:rPr>
          <w:rFonts w:ascii="Arial" w:cs="Arial" w:eastAsia="Arial" w:hAnsi="Arial"/>
          <w:sz w:val="16"/>
          <w:szCs w:val="16"/>
          <w:color w:val="auto"/>
        </w:rPr>
        <w:t>For Dr. Sutardja and Ms. Dai, the Committee determined that none of the shares underlying performance awards subject to individual strategic goals would vest. For Dr. Wu, the Committee determined that 33,616 shares would vest for achievement of individual strategic goals linked to technology product rollout, technology development, and process improvement objectives.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Benefits</w:t>
      </w:r>
    </w:p>
    <w:p>
      <w:pPr>
        <w:spacing w:after="0" w:line="90" w:lineRule="exact"/>
        <w:rPr>
          <w:sz w:val="20"/>
          <w:szCs w:val="20"/>
          <w:color w:val="auto"/>
        </w:rPr>
      </w:pPr>
    </w:p>
    <w:p>
      <w:pPr>
        <w:jc w:val="both"/>
        <w:ind w:right="220" w:firstLine="456"/>
        <w:spacing w:after="0" w:line="256"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plan on the same terms and conditions as our other salaried employees. Beginning in January 2011, employees’ contributions to the Section 401(k) plan are matched dollar for dollar up to a maximum of $500 for each quarter of the calendar year. Also during the entirety of fiscal 2016, Dr. Sutardja had access to a car leased by the Company for his personal use.</w:t>
      </w:r>
    </w:p>
    <w:p>
      <w:pPr>
        <w:spacing w:after="0" w:line="143"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We offer all employees, including our named executive officers, the ability to purchase our common shares at a discount under our 2000 Employee Stock Purchase Plan, as amended and restated (the “ESPP”). Employees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133</w:t>
      </w:r>
    </w:p>
    <w:p>
      <w:pPr>
        <w:sectPr>
          <w:pgSz w:w="11900" w:h="16838" w:orient="portrait"/>
          <w:cols w:equalWidth="0" w:num="1">
            <w:col w:w="11420"/>
          </w:cols>
          <w:pgMar w:left="240" w:top="459" w:right="239" w:bottom="1440" w:gutter="0" w:footer="0" w:header="0"/>
        </w:sectPr>
      </w:pPr>
    </w:p>
    <w:bookmarkStart w:id="135" w:name="page136"/>
    <w:bookmarkEnd w:id="1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who own more than 5% of our stock may not participate in the ESPP. As a result, Dr. Sutardja and Ms. Dai are not eligible to participate in the ESPP. Mr. Eichler is not eligible to participate in the ESPP because he is not an employee of the Company.</w:t>
      </w:r>
    </w:p>
    <w:p>
      <w:pPr>
        <w:spacing w:after="0" w:line="132"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Named executive officers did not receive any material employee benefits or perquisites in fiscal 2016 other than the employee benefits and perquisites provided to all employees and the one described in the paragraph below.</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Fiscal 2016 Compensation Arrangements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December 2006, in connection with a review by a special committee of our board of directors relating to our historical stock option practices and related accounting matters, we reformed certain outstanding option agreements for option grants previously awarded to our executive officers at the time by the former members of the ECC. These outstanding option agreements were for option grants (i) determined to have measurement dates for accounting purposes different from the recorded grant dates, and (ii) where the fair market values of our common shares on the determined measurement dates were higher than those on the corresponding recorded grant dates. Pursuant to the reformed option agreements, the parties corrected the exercise price for each affected grant still outstanding to that which would have been applicable had the grant been made using the applicable determined measurement date. To the extent that such an option already had been exercised, each applicable executive remitted to us the full amount of the difference between the exercise prices of the options as granted and the fair market values of the underlying common shares on the determined measurement dates.</w:t>
      </w:r>
    </w:p>
    <w:p>
      <w:pPr>
        <w:spacing w:after="0" w:line="118"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However, in connection with the exercise in January 2006 of one such option grant to our Chief Executive Officer, Dr. Sutardja, the Internal Revenue Service and the California Franchise Tax Board determined that penalty taxes applied pursuant to Section 409A of the Code (“Federal Tax Code”) and California Revenue and Taxation Code Section 17501 (“California Tax Code” and, together with the Federal Tax Code, the “Tax Codes”). This determination was made despite the fact that (a) the relevant option agreement had been subsequently reformed to correct the exercise price for the affected grant to that which would have been applicable had the grant been made using the determined measurement date, and (b) to the extent that option had been exercised, Dr. Sutardja had remitted to us the full amount of the difference between the exercise price of the option as granted and the fair market values of the underlying common shares on the determined measurement date. On March 2, 2011, our board of directors authorized, based on the recommendation of its Nominating and Governance Committee, the indemnification of Dr. Sutardja for reasonable fees and expenses that he may incur in a legal challenge of the determination that penalty taxes applied, based on the board’s finding that Dr. Sutardja was not involved in setting the terms of the relevant options and that, in 2007, we had taken responsibility for and paid the penalty taxes under the Tax Codes that were incurred by other similarly situated Marvell employees who had exercised options in 2006.</w:t>
      </w:r>
    </w:p>
    <w:p>
      <w:pPr>
        <w:spacing w:after="0" w:line="123"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On February 27, 2013, the U.S. Court of Federal Claims ruled against Dr. Sutardja and determined that the Tax Codes applied to the exercise of the relevant option grant. After discussing and evaluating at several meetings the alternatives to a continuing legal challenge of the court’s determination, the likelihood of success of further appeal by Dr. Sutardja and the potential negative impact on the Company of a continuation of the case regardless of the outcome, on February 25, 2015, the ECC (comprised solely of board members who were not part of the ECC that approved the relevant option grant to Dr. Sutardja) determined to provide Dr. Sutardja with relief from the financial effects of the penalty taxes, consistent with the relief provided to other similarly-situated Marvell employees in 2007. Accordingly, the ECC approved a one-time cash payment to Dr. Sutardja equal to the amount of his penalty taxes owed under the Tax Codes, plus accrued interest owed with respect to such liabilities, all grossed-up for income taxes that will be owed by Dr. Sutardja on receipt of such cash payment. The total amount of this one-time payment and gross-up was estimated at the time to be approximately $15.4 million. A payment of $8.4 million was made in April 2015 to reimburse (with gross-up) Dr. Sutardja for the federal portion of taxes he had previously paid in connection with this liability. This amount is included in the Summary</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134</w:t>
      </w:r>
    </w:p>
    <w:p>
      <w:pPr>
        <w:sectPr>
          <w:pgSz w:w="11900" w:h="16838" w:orient="portrait"/>
          <w:cols w:equalWidth="0" w:num="1">
            <w:col w:w="11420"/>
          </w:cols>
          <w:pgMar w:left="240" w:top="459" w:right="239" w:bottom="1440" w:gutter="0" w:footer="0" w:header="0"/>
        </w:sectPr>
      </w:pPr>
    </w:p>
    <w:bookmarkStart w:id="136" w:name="page137"/>
    <w:bookmarkEnd w:id="1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340"/>
        <w:spacing w:after="0" w:line="306" w:lineRule="auto"/>
        <w:rPr>
          <w:sz w:val="20"/>
          <w:szCs w:val="20"/>
          <w:color w:val="auto"/>
        </w:rPr>
      </w:pPr>
      <w:r>
        <w:rPr>
          <w:rFonts w:ascii="Arial" w:cs="Arial" w:eastAsia="Arial" w:hAnsi="Arial"/>
          <w:sz w:val="16"/>
          <w:szCs w:val="16"/>
          <w:color w:val="auto"/>
        </w:rPr>
        <w:t>Compensation Table under “Other Compensation.” The amount of state taxes to be owed by Dr. Sutardja in connection with this liability is still pending final determination by the California Franchise Tax Board and has not yet been paid. The Company anticipates reimbursing Dr. Sutardja for the state taxes he pays (with gross-up), provided that the aggregate amount of all payments pursuant to this reimbursement arrangement shall not exceed $15.4 million.</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2016 Chief Financial Officer Compensation</w:t>
      </w:r>
    </w:p>
    <w:p>
      <w:pPr>
        <w:spacing w:after="0" w:line="90"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fiscal 2016 compensation arrangements approved by the Committee for each of the individuals that served a portion of the year in the role of Chief Financial Officer are as follows:</w:t>
      </w:r>
    </w:p>
    <w:p>
      <w:pPr>
        <w:sectPr>
          <w:pgSz w:w="11900" w:h="16838" w:orient="portrait"/>
          <w:cols w:equalWidth="0" w:num="1">
            <w:col w:w="11400"/>
          </w:cols>
          <w:pgMar w:left="240" w:top="459" w:right="259" w:bottom="1440" w:gutter="0" w:footer="0" w:header="0"/>
        </w:sectPr>
      </w:pPr>
    </w:p>
    <w:p>
      <w:pPr>
        <w:spacing w:after="0" w:line="200" w:lineRule="exact"/>
        <w:rPr>
          <w:sz w:val="20"/>
          <w:szCs w:val="20"/>
          <w:color w:val="auto"/>
        </w:rPr>
      </w:pPr>
    </w:p>
    <w:p>
      <w:pPr>
        <w:spacing w:after="0" w:line="265"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Name</w:t>
      </w:r>
    </w:p>
    <w:p>
      <w:pPr>
        <w:spacing w:after="0" w:line="200" w:lineRule="exact"/>
        <w:rPr>
          <w:sz w:val="20"/>
          <w:szCs w:val="20"/>
          <w:color w:val="auto"/>
        </w:rPr>
      </w:pPr>
    </w:p>
    <w:p>
      <w:pPr>
        <w:spacing w:after="0" w:line="200" w:lineRule="exact"/>
        <w:rPr>
          <w:sz w:val="20"/>
          <w:szCs w:val="20"/>
          <w:color w:val="auto"/>
        </w:rPr>
      </w:pPr>
    </w:p>
    <w:p>
      <w:pPr>
        <w:spacing w:after="0" w:line="281" w:lineRule="exact"/>
        <w:rPr>
          <w:sz w:val="20"/>
          <w:szCs w:val="20"/>
          <w:color w:val="auto"/>
        </w:rPr>
      </w:pPr>
    </w:p>
    <w:p>
      <w:pPr>
        <w:spacing w:after="0"/>
        <w:rPr>
          <w:sz w:val="20"/>
          <w:szCs w:val="20"/>
          <w:color w:val="auto"/>
        </w:rPr>
      </w:pPr>
      <w:r>
        <w:rPr>
          <w:rFonts w:ascii="Arial" w:cs="Arial" w:eastAsia="Arial" w:hAnsi="Arial"/>
          <w:sz w:val="16"/>
          <w:szCs w:val="16"/>
          <w:color w:val="auto"/>
        </w:rPr>
        <w:t>Mr. David P. Eichler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color w:val="auto"/>
        </w:rPr>
        <w:t>Mr. Sukhi Nagesh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spacing w:after="0"/>
        <w:rPr>
          <w:sz w:val="20"/>
          <w:szCs w:val="20"/>
          <w:color w:val="auto"/>
        </w:rPr>
      </w:pPr>
      <w:r>
        <w:rPr>
          <w:rFonts w:ascii="Arial" w:cs="Arial" w:eastAsia="Arial" w:hAnsi="Arial"/>
          <w:sz w:val="16"/>
          <w:szCs w:val="16"/>
          <w:color w:val="auto"/>
        </w:rPr>
        <w:t>Mr. Michael Rashkin</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jc w:val="center"/>
        <w:ind w:left="-99"/>
        <w:spacing w:after="0"/>
        <w:rPr>
          <w:sz w:val="20"/>
          <w:szCs w:val="20"/>
          <w:color w:val="auto"/>
        </w:rPr>
      </w:pPr>
      <w:r>
        <w:rPr>
          <w:rFonts w:ascii="Arial" w:cs="Arial" w:eastAsia="Arial" w:hAnsi="Arial"/>
          <w:sz w:val="14"/>
          <w:szCs w:val="14"/>
          <w:b w:val="1"/>
          <w:bCs w:val="1"/>
          <w:color w:val="auto"/>
        </w:rPr>
        <w:t>Period Served as</w:t>
      </w:r>
    </w:p>
    <w:p>
      <w:pPr>
        <w:jc w:val="center"/>
        <w:ind w:left="-99"/>
        <w:spacing w:after="0" w:line="223" w:lineRule="auto"/>
        <w:rPr>
          <w:sz w:val="20"/>
          <w:szCs w:val="20"/>
          <w:color w:val="auto"/>
        </w:rPr>
      </w:pPr>
      <w:r>
        <w:rPr>
          <w:rFonts w:ascii="Arial" w:cs="Arial" w:eastAsia="Arial" w:hAnsi="Arial"/>
          <w:sz w:val="14"/>
          <w:szCs w:val="14"/>
          <w:b w:val="1"/>
          <w:bCs w:val="1"/>
          <w:color w:val="auto"/>
        </w:rPr>
        <w:t>Chief Financial</w:t>
      </w:r>
    </w:p>
    <w:p>
      <w:pPr>
        <w:jc w:val="center"/>
        <w:ind w:left="-99"/>
        <w:spacing w:after="0"/>
        <w:rPr>
          <w:sz w:val="20"/>
          <w:szCs w:val="20"/>
          <w:color w:val="auto"/>
        </w:rPr>
      </w:pPr>
      <w:r>
        <w:rPr>
          <w:rFonts w:ascii="Arial" w:cs="Arial" w:eastAsia="Arial" w:hAnsi="Arial"/>
          <w:sz w:val="14"/>
          <w:szCs w:val="14"/>
          <w:b w:val="1"/>
          <w:bCs w:val="1"/>
          <w:color w:val="auto"/>
        </w:rPr>
        <w:t>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0</wp:posOffset>
            </wp:positionV>
            <wp:extent cx="1166495" cy="88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1166495" cy="8890"/>
                    </a:xfrm>
                    <a:prstGeom prst="rect">
                      <a:avLst/>
                    </a:prstGeom>
                    <a:noFill/>
                  </pic:spPr>
                </pic:pic>
              </a:graphicData>
            </a:graphic>
          </wp:anchor>
        </w:drawing>
      </w:r>
    </w:p>
    <w:p>
      <w:pPr>
        <w:spacing w:after="0" w:line="200" w:lineRule="exact"/>
        <w:rPr>
          <w:sz w:val="20"/>
          <w:szCs w:val="20"/>
          <w:color w:val="auto"/>
        </w:rPr>
      </w:pPr>
    </w:p>
    <w:p>
      <w:pPr>
        <w:spacing w:after="0" w:line="353" w:lineRule="exact"/>
        <w:rPr>
          <w:sz w:val="20"/>
          <w:szCs w:val="20"/>
          <w:color w:val="auto"/>
        </w:rPr>
      </w:pPr>
    </w:p>
    <w:p>
      <w:pPr>
        <w:spacing w:after="0"/>
        <w:rPr>
          <w:sz w:val="20"/>
          <w:szCs w:val="20"/>
          <w:color w:val="auto"/>
        </w:rPr>
      </w:pPr>
      <w:r>
        <w:rPr>
          <w:rFonts w:ascii="Arial" w:cs="Arial" w:eastAsia="Arial" w:hAnsi="Arial"/>
          <w:sz w:val="18"/>
          <w:szCs w:val="18"/>
          <w:color w:val="auto"/>
        </w:rPr>
        <w:t>Interim CFO from</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October 16, 2015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both"/>
        <w:ind w:right="80"/>
        <w:spacing w:after="0" w:line="259" w:lineRule="auto"/>
        <w:rPr>
          <w:sz w:val="20"/>
          <w:szCs w:val="20"/>
          <w:color w:val="auto"/>
        </w:rPr>
      </w:pPr>
      <w:r>
        <w:rPr>
          <w:rFonts w:ascii="Arial" w:cs="Arial" w:eastAsia="Arial" w:hAnsi="Arial"/>
          <w:sz w:val="18"/>
          <w:szCs w:val="18"/>
          <w:color w:val="auto"/>
        </w:rPr>
        <w:t>Interim CFO from May 22, 2015 to October 7, 2015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spacing w:after="0"/>
        <w:rPr>
          <w:sz w:val="20"/>
          <w:szCs w:val="20"/>
          <w:color w:val="auto"/>
        </w:rPr>
      </w:pPr>
      <w:r>
        <w:rPr>
          <w:rFonts w:ascii="Arial" w:cs="Arial" w:eastAsia="Arial" w:hAnsi="Arial"/>
          <w:sz w:val="16"/>
          <w:szCs w:val="16"/>
          <w:color w:val="auto"/>
        </w:rPr>
        <w:t>CFO until May 22, 2015</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5" w:lineRule="exact"/>
        <w:rPr>
          <w:sz w:val="20"/>
          <w:szCs w:val="20"/>
          <w:color w:val="auto"/>
        </w:rPr>
      </w:pPr>
    </w:p>
    <w:p>
      <w:pPr>
        <w:ind w:left="1640"/>
        <w:spacing w:after="0"/>
        <w:rPr>
          <w:sz w:val="20"/>
          <w:szCs w:val="20"/>
          <w:color w:val="auto"/>
        </w:rPr>
      </w:pPr>
      <w:r>
        <w:rPr>
          <w:rFonts w:ascii="Arial" w:cs="Arial" w:eastAsia="Arial" w:hAnsi="Arial"/>
          <w:sz w:val="14"/>
          <w:szCs w:val="14"/>
          <w:b w:val="1"/>
          <w:bCs w:val="1"/>
          <w:color w:val="auto"/>
        </w:rPr>
        <w:t>Description of Fiscal 2016 Compensation Approved by the ECC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wp:posOffset>
            </wp:positionV>
            <wp:extent cx="4416425"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4416425" cy="8890"/>
                    </a:xfrm>
                    <a:prstGeom prst="rect">
                      <a:avLst/>
                    </a:prstGeom>
                    <a:noFill/>
                  </pic:spPr>
                </pic:pic>
              </a:graphicData>
            </a:graphic>
          </wp:anchor>
        </w:drawing>
      </w:r>
    </w:p>
    <w:p>
      <w:pPr>
        <w:spacing w:after="0" w:line="291" w:lineRule="auto"/>
        <w:rPr>
          <w:sz w:val="20"/>
          <w:szCs w:val="20"/>
          <w:color w:val="auto"/>
        </w:rPr>
      </w:pPr>
      <w:r>
        <w:rPr>
          <w:rFonts w:ascii="Arial" w:cs="Arial" w:eastAsia="Arial" w:hAnsi="Arial"/>
          <w:sz w:val="16"/>
          <w:szCs w:val="16"/>
          <w:color w:val="auto"/>
        </w:rPr>
        <w:t>For Mr. Eichler’s services, Marvell will pay Tatum $15,000 per week for up to 60 hours of professional services. For Mr. Eichler’s time in excess of 60 hours a week, Marvell will pay Tatum at a rate of $325 an hour. The Services Agreement has a minimum term of three months, and thereafter may be terminated by either party for any reason upon 15 days’ advance written notice. See the “Employment Agreements” section of this Annual Report on Form 10-K for additional information regarding our agreement with Tatum.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132715</wp:posOffset>
            </wp:positionV>
            <wp:extent cx="4416425"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4416425" cy="8890"/>
                    </a:xfrm>
                    <a:prstGeom prst="rect">
                      <a:avLst/>
                    </a:prstGeom>
                    <a:noFill/>
                  </pic:spPr>
                </pic:pic>
              </a:graphicData>
            </a:graphic>
          </wp:anchor>
        </w:drawing>
      </w:r>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color w:val="auto"/>
        </w:rPr>
        <w:t>Prior to being appointed interim CFO, Mr. Nagesh’s annual salary was $285,200.00 and his PRP target was 40%.</w:t>
      </w:r>
    </w:p>
    <w:p>
      <w:pPr>
        <w:spacing w:after="0" w:line="37" w:lineRule="exact"/>
        <w:rPr>
          <w:sz w:val="20"/>
          <w:szCs w:val="20"/>
          <w:color w:val="auto"/>
        </w:rPr>
      </w:pPr>
    </w:p>
    <w:p>
      <w:pPr>
        <w:jc w:val="both"/>
        <w:ind w:right="480"/>
        <w:spacing w:after="0" w:line="259" w:lineRule="auto"/>
        <w:rPr>
          <w:sz w:val="20"/>
          <w:szCs w:val="20"/>
          <w:color w:val="auto"/>
        </w:rPr>
      </w:pPr>
      <w:r>
        <w:rPr>
          <w:rFonts w:ascii="Arial" w:cs="Arial" w:eastAsia="Arial" w:hAnsi="Arial"/>
          <w:sz w:val="18"/>
          <w:szCs w:val="18"/>
          <w:color w:val="auto"/>
        </w:rPr>
        <w:t>At the June 24, 2015 ECC meeting, Mr. Nagesh was granted a focal stock option for 50,000 shares. This service-based stock option has a ten-year term and vests equally over two years beginning on the third anniversary of April 1, 2015.</w:t>
      </w:r>
    </w:p>
    <w:p>
      <w:pPr>
        <w:spacing w:after="0" w:line="46"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Also at the June 24, 2015 ECC meeting, it was determined not to change Mr. Nagesh’s base salary or target bonus at this time, but to provide him with an immediate, one-time bonus of $100,000 in consideration for his service in assuming the responsibilities of Interim Chief Financial Officer and managing the related transition.</w:t>
      </w:r>
    </w:p>
    <w:p>
      <w:pPr>
        <w:spacing w:after="0" w:line="18"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On October 7, 2015, Mr. Nagesh resigned as Interim Chief Financial Officer and was promoted to Senior Vice President Corporate Development and Strategy, Financial Planning and Analysis and Investor Relations with a new annualized salary of $360,000. Mr. Nagesh resigned from that position in January 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147955</wp:posOffset>
            </wp:positionV>
            <wp:extent cx="4416425"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4416425" cy="8890"/>
                    </a:xfrm>
                    <a:prstGeom prst="rect">
                      <a:avLst/>
                    </a:prstGeom>
                    <a:noFill/>
                  </pic:spPr>
                </pic:pic>
              </a:graphicData>
            </a:graphic>
          </wp:anchor>
        </w:drawing>
      </w:r>
    </w:p>
    <w:p>
      <w:pPr>
        <w:spacing w:after="0" w:line="339" w:lineRule="exact"/>
        <w:rPr>
          <w:sz w:val="20"/>
          <w:szCs w:val="20"/>
          <w:color w:val="auto"/>
        </w:rPr>
      </w:pPr>
    </w:p>
    <w:p>
      <w:pPr>
        <w:spacing w:after="0"/>
        <w:rPr>
          <w:sz w:val="20"/>
          <w:szCs w:val="20"/>
          <w:color w:val="auto"/>
        </w:rPr>
      </w:pPr>
      <w:r>
        <w:rPr>
          <w:rFonts w:ascii="Arial" w:cs="Arial" w:eastAsia="Arial" w:hAnsi="Arial"/>
          <w:sz w:val="18"/>
          <w:szCs w:val="18"/>
          <w:color w:val="auto"/>
        </w:rPr>
        <w:t>Fiscal 2016 salary of $410,000 (2.5% increase from fiscal 2015).</w:t>
      </w:r>
    </w:p>
    <w:p>
      <w:pPr>
        <w:spacing w:after="0" w:line="15" w:lineRule="exact"/>
        <w:rPr>
          <w:sz w:val="20"/>
          <w:szCs w:val="20"/>
          <w:color w:val="auto"/>
        </w:rPr>
      </w:pPr>
    </w:p>
    <w:p>
      <w:pPr>
        <w:ind w:right="180"/>
        <w:spacing w:after="0" w:line="250" w:lineRule="auto"/>
        <w:rPr>
          <w:sz w:val="20"/>
          <w:szCs w:val="20"/>
          <w:color w:val="auto"/>
        </w:rPr>
      </w:pPr>
      <w:r>
        <w:rPr>
          <w:rFonts w:ascii="Arial" w:cs="Arial" w:eastAsia="Arial" w:hAnsi="Arial"/>
          <w:sz w:val="18"/>
          <w:szCs w:val="18"/>
          <w:color w:val="auto"/>
        </w:rPr>
        <w:t>Fiscal 2016 Annual Incentive Plan target opportunity of 37.5% of salary. No payout under fiscal 2016 Annual Incentive Plan due to retirement.</w:t>
      </w:r>
    </w:p>
    <w:p>
      <w:pPr>
        <w:spacing w:after="0" w:line="1" w:lineRule="exact"/>
        <w:rPr>
          <w:sz w:val="20"/>
          <w:szCs w:val="20"/>
          <w:color w:val="auto"/>
        </w:rPr>
      </w:pPr>
    </w:p>
    <w:p>
      <w:pPr>
        <w:jc w:val="both"/>
        <w:ind w:right="60"/>
        <w:spacing w:after="0" w:line="302" w:lineRule="auto"/>
        <w:rPr>
          <w:sz w:val="20"/>
          <w:szCs w:val="20"/>
          <w:color w:val="auto"/>
        </w:rPr>
      </w:pPr>
      <w:r>
        <w:rPr>
          <w:rFonts w:ascii="Arial" w:cs="Arial" w:eastAsia="Arial" w:hAnsi="Arial"/>
          <w:sz w:val="16"/>
          <w:szCs w:val="16"/>
          <w:color w:val="auto"/>
        </w:rPr>
        <w:t>Fiscal 2016 equity grants of 67,195 performance-based RSUs and performance awards (assuming target performance levels), subject to the same vesting conditions as fiscal 2016 equity awards to other named executive officers, and were all forfeited upon retirement.</w:t>
      </w:r>
    </w:p>
    <w:p>
      <w:pPr>
        <w:spacing w:after="0" w:line="96"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135</w:t>
      </w:r>
    </w:p>
    <w:p>
      <w:pPr>
        <w:sectPr>
          <w:pgSz w:w="11900" w:h="16838" w:orient="portrait"/>
          <w:cols w:equalWidth="0" w:num="3">
            <w:col w:w="1700" w:space="720"/>
            <w:col w:w="1720" w:space="320"/>
            <w:col w:w="6940"/>
          </w:cols>
          <w:pgMar w:left="240" w:top="459" w:right="259" w:bottom="1440" w:gutter="0" w:footer="0" w:header="0"/>
          <w:type w:val="continuous"/>
        </w:sectPr>
      </w:pPr>
    </w:p>
    <w:bookmarkStart w:id="137" w:name="page138"/>
    <w:bookmarkEnd w:id="1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Factors Considered in Determining Executive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Employment Agreements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did not have any employment, change-in-control, or severance agreements or arrangements with any of our named executive officers in fiscal 2016.</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Risk Considerations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During fiscal 2016, the ECC requested of Mercer, the Committee’s compensation consultant, and later discussed with management, an assessment of our compensation programs for (i) the named executive officers, (ii) the broad-based employee population, and (iii) the sales professionals. The purpose of the review was to determine whether such programs might encourage inappropriate risk taking that could result in a material adverse effect on the Company. Mercer, with the help of our management, reviewed these programs considering:</w:t>
      </w:r>
    </w:p>
    <w:p>
      <w:pPr>
        <w:spacing w:after="0" w:line="62" w:lineRule="exact"/>
        <w:rPr>
          <w:sz w:val="20"/>
          <w:szCs w:val="20"/>
          <w:color w:val="auto"/>
        </w:rPr>
      </w:pPr>
    </w:p>
    <w:p>
      <w:pPr>
        <w:ind w:left="900" w:hanging="325"/>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right="380" w:hanging="325"/>
        <w:spacing w:after="0" w:line="268"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Our emphasis on performance-based long-term incentives for named executive officers, as described above, minimizes large windfalls based on short-term performance;</w:t>
      </w:r>
    </w:p>
    <w:p>
      <w:pPr>
        <w:spacing w:after="0" w:line="5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Stock options granted to named executive officers do not begin vesting for two years, rewarding long-term growth in shareholder value, not short-term results;</w:t>
      </w:r>
    </w:p>
    <w:p>
      <w:pPr>
        <w:spacing w:after="0" w:line="5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Annual incentives are paid pursuant to fixed, pre-established financial and strategic goals, consistent with the requirements of Section 162(m) of the Code;</w:t>
      </w:r>
    </w:p>
    <w:p>
      <w:pPr>
        <w:spacing w:after="0" w:line="50" w:lineRule="exact"/>
        <w:rPr>
          <w:rFonts w:ascii="Arial" w:cs="Arial" w:eastAsia="Arial" w:hAnsi="Arial"/>
          <w:sz w:val="18"/>
          <w:szCs w:val="18"/>
          <w:color w:val="auto"/>
        </w:rPr>
      </w:pPr>
    </w:p>
    <w:p>
      <w:pPr>
        <w:ind w:left="900" w:right="200" w:hanging="325"/>
        <w:spacing w:after="0" w:line="268"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Together, the annual and long term performance programs reward a balance of internal (company financial and strategic goals) and external (stock price) performance;</w:t>
      </w:r>
    </w:p>
    <w:p>
      <w:pPr>
        <w:spacing w:after="0" w:line="50" w:lineRule="exact"/>
        <w:rPr>
          <w:rFonts w:ascii="Arial" w:cs="Arial" w:eastAsia="Arial" w:hAnsi="Arial"/>
          <w:sz w:val="18"/>
          <w:szCs w:val="18"/>
          <w:color w:val="auto"/>
        </w:rPr>
      </w:pPr>
    </w:p>
    <w:p>
      <w:pPr>
        <w:ind w:left="900" w:right="300" w:hanging="325"/>
        <w:spacing w:after="0" w:line="256"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Dr. Sutardja and Ms. Dai collectively owned approximately 14% of our outstanding common shares as of May 1, 2016. This strongly aligned the financial interests of the two former executives with that of shareholders. We have executive stock ownership guidelines that apply to all named executive officers and, in general, strong corporate governance features that provide protection against possible windfall payouts to the named executive officers;</w:t>
      </w:r>
    </w:p>
    <w:p>
      <w:pPr>
        <w:spacing w:after="0" w:line="62" w:lineRule="exact"/>
        <w:rPr>
          <w:rFonts w:ascii="Arial" w:cs="Arial" w:eastAsia="Arial" w:hAnsi="Arial"/>
          <w:sz w:val="18"/>
          <w:szCs w:val="18"/>
          <w:color w:val="auto"/>
        </w:rPr>
      </w:pPr>
    </w:p>
    <w:p>
      <w:pPr>
        <w:ind w:left="900" w:right="440" w:hanging="325"/>
        <w:spacing w:after="0" w:line="298" w:lineRule="auto"/>
        <w:tabs>
          <w:tab w:leader="none" w:pos="900" w:val="left"/>
        </w:tabs>
        <w:numPr>
          <w:ilvl w:val="0"/>
          <w:numId w:val="55"/>
        </w:numPr>
        <w:rPr>
          <w:rFonts w:ascii="Arial" w:cs="Arial" w:eastAsia="Arial" w:hAnsi="Arial"/>
          <w:sz w:val="16"/>
          <w:szCs w:val="16"/>
          <w:color w:val="auto"/>
        </w:rPr>
      </w:pPr>
      <w:r>
        <w:rPr>
          <w:rFonts w:ascii="Arial" w:cs="Arial" w:eastAsia="Arial" w:hAnsi="Arial"/>
          <w:sz w:val="16"/>
          <w:szCs w:val="16"/>
          <w:color w:val="auto"/>
        </w:rPr>
        <w:t>No material changes were made for fiscal 2016 to the broad-based annual incentive plan. The plan continues to provide safeguards designed to prevent inappropriate risk-taking. The broad-based incentive plan contains both an overall plan funding cap and individual award caps thus mitigating the opportunity for windfall payouts. Multiple metrics impacting plan funding and an allocation process requiring multiple levels of approval mitigate the ability to impact short-term results by excessive risk-taking;</w:t>
      </w:r>
    </w:p>
    <w:p>
      <w:pPr>
        <w:spacing w:after="0" w:line="31" w:lineRule="exact"/>
        <w:rPr>
          <w:rFonts w:ascii="Arial" w:cs="Arial" w:eastAsia="Arial" w:hAnsi="Arial"/>
          <w:sz w:val="16"/>
          <w:szCs w:val="16"/>
          <w:color w:val="auto"/>
        </w:rPr>
      </w:pPr>
    </w:p>
    <w:p>
      <w:pPr>
        <w:ind w:left="900" w:right="80" w:hanging="325"/>
        <w:spacing w:after="0" w:line="332" w:lineRule="auto"/>
        <w:tabs>
          <w:tab w:leader="none" w:pos="90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The sales incentive plans include risk mitigating features such as a mix of performance metrics and reasonable pay opportunities were retained from the prior plan, and individual award caps were introduced which further helps avoid any concerns of incentivizing excessive risk-taking; and</w:t>
      </w:r>
    </w:p>
    <w:p>
      <w:pPr>
        <w:spacing w:after="0" w:line="4" w:lineRule="exact"/>
        <w:rPr>
          <w:rFonts w:ascii="Arial" w:cs="Arial" w:eastAsia="Arial" w:hAnsi="Arial"/>
          <w:sz w:val="16"/>
          <w:szCs w:val="16"/>
          <w:color w:val="auto"/>
        </w:rPr>
      </w:pPr>
    </w:p>
    <w:p>
      <w:pPr>
        <w:ind w:left="900" w:right="180" w:hanging="325"/>
        <w:spacing w:after="0" w:line="256"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Broad-based employee equity awards for fiscal 2016 consisted of a fixed mix of stock options and RSUs that varied by level (no equity choice). Below the named executive officers, all equity awards are subject to service-based vesting. Equity awards are broadly used to align employees to long-term company value creation and to provide retention through vesting of equity over time. The broad-based equity award levels, vehicles and vesting conditions do not encourage inappropriate risk-taking.</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136</w:t>
      </w:r>
    </w:p>
    <w:p>
      <w:pPr>
        <w:sectPr>
          <w:pgSz w:w="11900" w:h="16838" w:orient="portrait"/>
          <w:cols w:equalWidth="0" w:num="1">
            <w:col w:w="11380"/>
          </w:cols>
          <w:pgMar w:left="240" w:top="459" w:right="279" w:bottom="1440" w:gutter="0" w:footer="0" w:header="0"/>
        </w:sectPr>
      </w:pPr>
    </w:p>
    <w:bookmarkStart w:id="138" w:name="page139"/>
    <w:bookmarkEnd w:id="1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Based on such assessment, the ECC concluded that our compensation policies and practices for our employees are not reasonably likely to have a material adverse effect on 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Governance and Other Considerations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equity grant practices. Our current policy covers, among other things, the following:</w:t>
      </w:r>
    </w:p>
    <w:p>
      <w:pPr>
        <w:spacing w:after="0" w:line="113" w:lineRule="exact"/>
        <w:rPr>
          <w:sz w:val="20"/>
          <w:szCs w:val="20"/>
          <w:color w:val="auto"/>
        </w:rPr>
      </w:pPr>
    </w:p>
    <w:p>
      <w:pPr>
        <w:ind w:left="900" w:right="140" w:hanging="325"/>
        <w:spacing w:after="0" w:line="332" w:lineRule="auto"/>
        <w:tabs>
          <w:tab w:leader="none" w:pos="900" w:val="left"/>
        </w:tabs>
        <w:numPr>
          <w:ilvl w:val="0"/>
          <w:numId w:val="56"/>
        </w:numPr>
        <w:rPr>
          <w:rFonts w:ascii="Arial" w:cs="Arial" w:eastAsia="Arial" w:hAnsi="Arial"/>
          <w:sz w:val="16"/>
          <w:szCs w:val="16"/>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4" w:lineRule="exact"/>
        <w:rPr>
          <w:rFonts w:ascii="Arial" w:cs="Arial" w:eastAsia="Arial" w:hAnsi="Arial"/>
          <w:sz w:val="16"/>
          <w:szCs w:val="16"/>
          <w:color w:val="auto"/>
        </w:rPr>
      </w:pPr>
    </w:p>
    <w:p>
      <w:pPr>
        <w:ind w:left="900" w:right="200" w:hanging="325"/>
        <w:spacing w:after="0" w:line="268" w:lineRule="auto"/>
        <w:tabs>
          <w:tab w:leader="none" w:pos="90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ECC or a subcommittee thereof has the authority to approve equity grants to employees, provided that only the ECC (and not a subcommittee) may approve equity grants to our executive officers.</w:t>
      </w:r>
    </w:p>
    <w:p>
      <w:pPr>
        <w:spacing w:after="0" w:line="50" w:lineRule="exact"/>
        <w:rPr>
          <w:rFonts w:ascii="Arial" w:cs="Arial" w:eastAsia="Arial" w:hAnsi="Arial"/>
          <w:sz w:val="18"/>
          <w:szCs w:val="18"/>
          <w:color w:val="auto"/>
        </w:rPr>
      </w:pPr>
    </w:p>
    <w:p>
      <w:pPr>
        <w:ind w:left="900" w:right="140" w:hanging="325"/>
        <w:spacing w:after="0" w:line="298" w:lineRule="auto"/>
        <w:tabs>
          <w:tab w:leader="none" w:pos="900" w:val="left"/>
        </w:tabs>
        <w:numPr>
          <w:ilvl w:val="0"/>
          <w:numId w:val="56"/>
        </w:numPr>
        <w:rPr>
          <w:rFonts w:ascii="Arial" w:cs="Arial" w:eastAsia="Arial" w:hAnsi="Arial"/>
          <w:sz w:val="16"/>
          <w:szCs w:val="16"/>
          <w:color w:val="auto"/>
        </w:rPr>
      </w:pPr>
      <w:r>
        <w:rPr>
          <w:rFonts w:ascii="Arial" w:cs="Arial" w:eastAsia="Arial" w:hAnsi="Arial"/>
          <w:sz w:val="16"/>
          <w:szCs w:val="16"/>
          <w:color w:val="auto"/>
        </w:rPr>
        <w:t>Equity grants to newly hired employees are made monthly during regularly scheduled ECC or subcommittee meetings. An equity award proposal is generally prepared for consideration by the second month following the month of the new employee’s date of hire. These awards may only be made by the ECC or a subcommittee of the ECC, and are typically based upon the recommendation of the CEO or a set of guidelines approved by the CEO. It is our policy for equity grants to newly hired employees to vest over four years.</w:t>
      </w:r>
    </w:p>
    <w:p>
      <w:pPr>
        <w:spacing w:after="0" w:line="31" w:lineRule="exact"/>
        <w:rPr>
          <w:rFonts w:ascii="Arial" w:cs="Arial" w:eastAsia="Arial" w:hAnsi="Arial"/>
          <w:sz w:val="16"/>
          <w:szCs w:val="16"/>
          <w:color w:val="auto"/>
        </w:rPr>
      </w:pPr>
    </w:p>
    <w:p>
      <w:pPr>
        <w:ind w:left="900" w:right="80" w:hanging="325"/>
        <w:spacing w:after="0" w:line="290" w:lineRule="auto"/>
        <w:tabs>
          <w:tab w:leader="none" w:pos="900" w:val="left"/>
        </w:tabs>
        <w:numPr>
          <w:ilvl w:val="0"/>
          <w:numId w:val="56"/>
        </w:numPr>
        <w:rPr>
          <w:rFonts w:ascii="Arial" w:cs="Arial" w:eastAsia="Arial" w:hAnsi="Arial"/>
          <w:sz w:val="16"/>
          <w:szCs w:val="16"/>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focal stock option grants shall not be made during any period of time commencing with the last day of a fiscal quarter and ending with the first full trading day following our earnings release for such quarter. If focal stock option awards have not been granted by the last Friday of the fiscal month of April, then focal option awards are to be granted during an ‘open window’ as set forth in our insider trading policy. Such restriction does not apply to restricted stock units or other types of equity awards that do not include an exercise price or other term related to the market price of our securities on the date of grant. Other than with respect to annual focal equity grants, grants to named executive officers must be made during an ‘open window.’</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Management regularly reviews with the ECC share usage (run rate), potential dilution and total cost of equity grants, relative to internal and external benchmarks to ensure that share usage is carefully and appropriately managed. The table below shows the company run rate for the three most recent fiscal years (all number of shares granted are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14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87"/>
              </w:rPr>
              <w:t>Stock Option Equivalent</w:t>
            </w:r>
          </w:p>
        </w:tc>
        <w:tc>
          <w:tcPr>
            <w:tcW w:w="0" w:type="dxa"/>
            <w:vAlign w:val="bottom"/>
          </w:tcPr>
          <w:p>
            <w:pPr>
              <w:spacing w:after="0"/>
              <w:rPr>
                <w:sz w:val="1"/>
                <w:szCs w:val="1"/>
                <w:color w:val="auto"/>
              </w:rPr>
            </w:pPr>
          </w:p>
        </w:tc>
      </w:tr>
      <w:tr>
        <w:trPr>
          <w:trHeight w:val="149"/>
        </w:trPr>
        <w:tc>
          <w:tcPr>
            <w:tcW w:w="700" w:type="dxa"/>
            <w:vAlign w:val="bottom"/>
          </w:tcPr>
          <w:p>
            <w:pPr>
              <w:spacing w:after="0"/>
              <w:rPr>
                <w:sz w:val="12"/>
                <w:szCs w:val="12"/>
                <w:color w:val="auto"/>
              </w:rPr>
            </w:pPr>
          </w:p>
        </w:tc>
        <w:tc>
          <w:tcPr>
            <w:tcW w:w="5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540" w:type="dxa"/>
            <w:vAlign w:val="bottom"/>
            <w:gridSpan w:val="2"/>
          </w:tcPr>
          <w:p>
            <w:pPr>
              <w:jc w:val="center"/>
              <w:ind w:left="326"/>
              <w:spacing w:after="0" w:line="149" w:lineRule="exact"/>
              <w:rPr>
                <w:sz w:val="20"/>
                <w:szCs w:val="20"/>
                <w:color w:val="auto"/>
              </w:rPr>
            </w:pPr>
            <w:r>
              <w:rPr>
                <w:rFonts w:ascii="Arial" w:cs="Arial" w:eastAsia="Arial" w:hAnsi="Arial"/>
                <w:sz w:val="14"/>
                <w:szCs w:val="14"/>
                <w:b w:val="1"/>
                <w:bCs w:val="1"/>
                <w:color w:val="auto"/>
                <w:w w:val="87"/>
              </w:rPr>
              <w:t>Based Run Rate</w:t>
            </w: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700" w:type="dxa"/>
            <w:vAlign w:val="bottom"/>
          </w:tcPr>
          <w:p>
            <w:pPr>
              <w:spacing w:after="0"/>
              <w:rPr>
                <w:sz w:val="12"/>
                <w:szCs w:val="12"/>
                <w:color w:val="auto"/>
              </w:rPr>
            </w:pPr>
          </w:p>
        </w:tc>
        <w:tc>
          <w:tcPr>
            <w:tcW w:w="5360" w:type="dxa"/>
            <w:vAlign w:val="bottom"/>
          </w:tcPr>
          <w:p>
            <w:pPr>
              <w:spacing w:after="0"/>
              <w:rPr>
                <w:sz w:val="12"/>
                <w:szCs w:val="12"/>
                <w:color w:val="auto"/>
              </w:rPr>
            </w:pPr>
          </w:p>
        </w:tc>
        <w:tc>
          <w:tcPr>
            <w:tcW w:w="3220" w:type="dxa"/>
            <w:vAlign w:val="bottom"/>
            <w:gridSpan w:val="4"/>
          </w:tcPr>
          <w:p>
            <w:pPr>
              <w:jc w:val="center"/>
              <w:ind w:right="760"/>
              <w:spacing w:after="0" w:line="149" w:lineRule="exact"/>
              <w:rPr>
                <w:sz w:val="20"/>
                <w:szCs w:val="20"/>
                <w:color w:val="auto"/>
              </w:rPr>
            </w:pPr>
            <w:r>
              <w:rPr>
                <w:rFonts w:ascii="Arial" w:cs="Arial" w:eastAsia="Arial" w:hAnsi="Arial"/>
                <w:sz w:val="14"/>
                <w:szCs w:val="14"/>
                <w:b w:val="1"/>
                <w:bCs w:val="1"/>
                <w:color w:val="auto"/>
                <w:w w:val="86"/>
              </w:rPr>
              <w:t>Share-Based Run Rate</w:t>
            </w:r>
          </w:p>
        </w:tc>
        <w:tc>
          <w:tcPr>
            <w:tcW w:w="1540" w:type="dxa"/>
            <w:vAlign w:val="bottom"/>
            <w:gridSpan w:val="2"/>
          </w:tcPr>
          <w:p>
            <w:pPr>
              <w:jc w:val="center"/>
              <w:ind w:left="286"/>
              <w:spacing w:after="0" w:line="149" w:lineRule="exact"/>
              <w:rPr>
                <w:sz w:val="20"/>
                <w:szCs w:val="20"/>
                <w:color w:val="auto"/>
              </w:rPr>
            </w:pPr>
            <w:r>
              <w:rPr>
                <w:rFonts w:ascii="Arial" w:cs="Arial" w:eastAsia="Arial" w:hAnsi="Arial"/>
                <w:sz w:val="14"/>
                <w:szCs w:val="14"/>
                <w:b w:val="1"/>
                <w:bCs w:val="1"/>
                <w:color w:val="auto"/>
                <w:w w:val="88"/>
              </w:rPr>
              <w:t>(2:1 Stock Option to</w:t>
            </w: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700" w:type="dxa"/>
            <w:vAlign w:val="bottom"/>
          </w:tcPr>
          <w:p>
            <w:pPr>
              <w:spacing w:after="0"/>
              <w:rPr>
                <w:sz w:val="12"/>
                <w:szCs w:val="12"/>
                <w:color w:val="auto"/>
              </w:rPr>
            </w:pPr>
          </w:p>
        </w:tc>
        <w:tc>
          <w:tcPr>
            <w:tcW w:w="5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20" w:type="dxa"/>
            <w:vAlign w:val="bottom"/>
            <w:gridSpan w:val="3"/>
          </w:tcPr>
          <w:p>
            <w:pPr>
              <w:jc w:val="center"/>
              <w:ind w:right="1360"/>
              <w:spacing w:after="0" w:line="149" w:lineRule="exact"/>
              <w:rPr>
                <w:sz w:val="20"/>
                <w:szCs w:val="20"/>
                <w:color w:val="auto"/>
              </w:rPr>
            </w:pPr>
            <w:r>
              <w:rPr>
                <w:rFonts w:ascii="Arial" w:cs="Arial" w:eastAsia="Arial" w:hAnsi="Arial"/>
                <w:sz w:val="14"/>
                <w:szCs w:val="14"/>
                <w:b w:val="1"/>
                <w:bCs w:val="1"/>
                <w:color w:val="auto"/>
                <w:w w:val="87"/>
              </w:rPr>
              <w:t>(All Stock Options</w:t>
            </w:r>
          </w:p>
        </w:tc>
        <w:tc>
          <w:tcPr>
            <w:tcW w:w="1540" w:type="dxa"/>
            <w:vAlign w:val="bottom"/>
            <w:gridSpan w:val="2"/>
          </w:tcPr>
          <w:p>
            <w:pPr>
              <w:jc w:val="center"/>
              <w:ind w:left="326"/>
              <w:spacing w:after="0" w:line="149" w:lineRule="exact"/>
              <w:rPr>
                <w:sz w:val="20"/>
                <w:szCs w:val="20"/>
                <w:color w:val="auto"/>
              </w:rPr>
            </w:pPr>
            <w:r>
              <w:rPr>
                <w:rFonts w:ascii="Arial" w:cs="Arial" w:eastAsia="Arial" w:hAnsi="Arial"/>
                <w:sz w:val="14"/>
                <w:szCs w:val="14"/>
                <w:b w:val="1"/>
                <w:bCs w:val="1"/>
                <w:color w:val="auto"/>
                <w:w w:val="87"/>
              </w:rPr>
              <w:t>Full Value</w:t>
            </w: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70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20" w:type="dxa"/>
            <w:vAlign w:val="bottom"/>
            <w:gridSpan w:val="3"/>
          </w:tcPr>
          <w:p>
            <w:pPr>
              <w:jc w:val="center"/>
              <w:ind w:right="1360"/>
              <w:spacing w:after="0"/>
              <w:rPr>
                <w:sz w:val="20"/>
                <w:szCs w:val="20"/>
                <w:color w:val="auto"/>
              </w:rPr>
            </w:pPr>
            <w:r>
              <w:rPr>
                <w:rFonts w:ascii="Arial" w:cs="Arial" w:eastAsia="Arial" w:hAnsi="Arial"/>
                <w:sz w:val="14"/>
                <w:szCs w:val="14"/>
                <w:b w:val="1"/>
                <w:bCs w:val="1"/>
                <w:color w:val="auto"/>
                <w:w w:val="88"/>
              </w:rPr>
              <w:t>and RSUs Granted)</w:t>
            </w:r>
          </w:p>
        </w:tc>
        <w:tc>
          <w:tcPr>
            <w:tcW w:w="1540" w:type="dxa"/>
            <w:vAlign w:val="bottom"/>
            <w:gridSpan w:val="2"/>
          </w:tcPr>
          <w:p>
            <w:pPr>
              <w:jc w:val="center"/>
              <w:ind w:left="326"/>
              <w:spacing w:after="0"/>
              <w:rPr>
                <w:sz w:val="20"/>
                <w:szCs w:val="20"/>
                <w:color w:val="auto"/>
              </w:rPr>
            </w:pPr>
            <w:r>
              <w:rPr>
                <w:rFonts w:ascii="Arial" w:cs="Arial" w:eastAsia="Arial" w:hAnsi="Arial"/>
                <w:sz w:val="14"/>
                <w:szCs w:val="14"/>
                <w:b w:val="1"/>
                <w:bCs w:val="1"/>
                <w:color w:val="auto"/>
                <w:w w:val="85"/>
              </w:rPr>
              <w:t>Share Conversion)</w:t>
            </w: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00" w:type="dxa"/>
            <w:vAlign w:val="bottom"/>
            <w:vMerge w:val="restart"/>
          </w:tcPr>
          <w:p>
            <w:pPr>
              <w:spacing w:after="0"/>
              <w:rPr>
                <w:sz w:val="20"/>
                <w:szCs w:val="20"/>
                <w:color w:val="auto"/>
              </w:rPr>
            </w:pPr>
            <w:r>
              <w:rPr>
                <w:rFonts w:ascii="Arial" w:cs="Arial" w:eastAsia="Arial" w:hAnsi="Arial"/>
                <w:sz w:val="14"/>
                <w:szCs w:val="14"/>
                <w:b w:val="1"/>
                <w:bCs w:val="1"/>
                <w:color w:val="auto"/>
                <w:w w:val="91"/>
              </w:rPr>
              <w:t>Fiscal Year</w:t>
            </w:r>
          </w:p>
        </w:tc>
        <w:tc>
          <w:tcPr>
            <w:tcW w:w="5360" w:type="dxa"/>
            <w:vAlign w:val="bottom"/>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6"/>
              </w:rPr>
              <w:t>% Average Common</w:t>
            </w:r>
          </w:p>
        </w:tc>
        <w:tc>
          <w:tcPr>
            <w:tcW w:w="760" w:type="dxa"/>
            <w:vAlign w:val="bottom"/>
          </w:tcPr>
          <w:p>
            <w:pPr>
              <w:spacing w:after="0"/>
              <w:rPr>
                <w:sz w:val="11"/>
                <w:szCs w:val="11"/>
                <w:color w:val="auto"/>
              </w:rPr>
            </w:pPr>
          </w:p>
        </w:tc>
        <w:tc>
          <w:tcPr>
            <w:tcW w:w="1540" w:type="dxa"/>
            <w:vAlign w:val="bottom"/>
            <w:tcBorders>
              <w:top w:val="single" w:sz="8" w:color="auto"/>
            </w:tcBorders>
            <w:gridSpan w:val="2"/>
          </w:tcPr>
          <w:p>
            <w:pPr>
              <w:jc w:val="right"/>
              <w:ind w:right="660"/>
              <w:spacing w:after="0" w:line="129" w:lineRule="exact"/>
              <w:rPr>
                <w:sz w:val="20"/>
                <w:szCs w:val="20"/>
                <w:color w:val="auto"/>
              </w:rPr>
            </w:pPr>
            <w:r>
              <w:rPr>
                <w:rFonts w:ascii="Arial" w:cs="Arial" w:eastAsia="Arial" w:hAnsi="Arial"/>
                <w:sz w:val="14"/>
                <w:szCs w:val="14"/>
                <w:b w:val="1"/>
                <w:bCs w:val="1"/>
                <w:color w:val="auto"/>
                <w:w w:val="86"/>
              </w:rPr>
              <w:t># Stock Option</w:t>
            </w:r>
          </w:p>
        </w:tc>
        <w:tc>
          <w:tcPr>
            <w:tcW w:w="400" w:type="dxa"/>
            <w:vAlign w:val="bottom"/>
            <w:tcBorders>
              <w:top w:val="single" w:sz="8" w:color="auto"/>
            </w:tcBorders>
          </w:tcPr>
          <w:p>
            <w:pPr>
              <w:ind w:left="100"/>
              <w:spacing w:after="0" w:line="129" w:lineRule="exact"/>
              <w:rPr>
                <w:sz w:val="20"/>
                <w:szCs w:val="20"/>
                <w:color w:val="auto"/>
              </w:rPr>
            </w:pPr>
            <w:r>
              <w:rPr>
                <w:rFonts w:ascii="Arial" w:cs="Arial" w:eastAsia="Arial" w:hAnsi="Arial"/>
                <w:sz w:val="14"/>
                <w:szCs w:val="14"/>
                <w:b w:val="1"/>
                <w:bCs w:val="1"/>
                <w:color w:val="auto"/>
              </w:rPr>
              <w:t>YE</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700" w:type="dxa"/>
            <w:vAlign w:val="bottom"/>
            <w:tcBorders>
              <w:bottom w:val="single" w:sz="8" w:color="auto"/>
            </w:tcBorders>
            <w:vMerge w:val="continue"/>
          </w:tcPr>
          <w:p>
            <w:pPr>
              <w:spacing w:after="0"/>
              <w:rPr>
                <w:sz w:val="12"/>
                <w:szCs w:val="12"/>
                <w:color w:val="auto"/>
              </w:rPr>
            </w:pPr>
          </w:p>
        </w:tc>
        <w:tc>
          <w:tcPr>
            <w:tcW w:w="5360" w:type="dxa"/>
            <w:vAlign w:val="bottom"/>
          </w:tcPr>
          <w:p>
            <w:pPr>
              <w:spacing w:after="0"/>
              <w:rPr>
                <w:sz w:val="12"/>
                <w:szCs w:val="12"/>
                <w:color w:val="auto"/>
              </w:rPr>
            </w:pPr>
          </w:p>
        </w:tc>
        <w:tc>
          <w:tcPr>
            <w:tcW w:w="60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8"/>
              </w:rPr>
              <w:t># Granted</w:t>
            </w:r>
          </w:p>
        </w:tc>
        <w:tc>
          <w:tcPr>
            <w:tcW w:w="660" w:type="dxa"/>
            <w:vAlign w:val="bottom"/>
          </w:tcPr>
          <w:p>
            <w:pPr>
              <w:spacing w:after="0"/>
              <w:rPr>
                <w:sz w:val="12"/>
                <w:szCs w:val="12"/>
                <w:color w:val="auto"/>
              </w:rPr>
            </w:pPr>
          </w:p>
        </w:tc>
        <w:tc>
          <w:tcPr>
            <w:tcW w:w="1960" w:type="dxa"/>
            <w:vAlign w:val="bottom"/>
            <w:gridSpan w:val="2"/>
          </w:tcPr>
          <w:p>
            <w:pPr>
              <w:jc w:val="right"/>
              <w:ind w:right="800"/>
              <w:spacing w:after="0" w:line="148" w:lineRule="exact"/>
              <w:rPr>
                <w:sz w:val="20"/>
                <w:szCs w:val="20"/>
                <w:color w:val="auto"/>
              </w:rPr>
            </w:pPr>
            <w:r>
              <w:rPr>
                <w:rFonts w:ascii="Arial" w:cs="Arial" w:eastAsia="Arial" w:hAnsi="Arial"/>
                <w:sz w:val="14"/>
                <w:szCs w:val="14"/>
                <w:b w:val="1"/>
                <w:bCs w:val="1"/>
                <w:color w:val="auto"/>
                <w:w w:val="85"/>
              </w:rPr>
              <w:t>Shares Outstanding</w:t>
            </w:r>
          </w:p>
        </w:tc>
        <w:tc>
          <w:tcPr>
            <w:tcW w:w="1540" w:type="dxa"/>
            <w:vAlign w:val="bottom"/>
            <w:gridSpan w:val="2"/>
          </w:tcPr>
          <w:p>
            <w:pPr>
              <w:jc w:val="right"/>
              <w:ind w:right="760"/>
              <w:spacing w:after="0" w:line="148" w:lineRule="exact"/>
              <w:rPr>
                <w:sz w:val="20"/>
                <w:szCs w:val="20"/>
                <w:color w:val="auto"/>
              </w:rPr>
            </w:pPr>
            <w:r>
              <w:rPr>
                <w:rFonts w:ascii="Arial" w:cs="Arial" w:eastAsia="Arial" w:hAnsi="Arial"/>
                <w:sz w:val="14"/>
                <w:szCs w:val="14"/>
                <w:b w:val="1"/>
                <w:bCs w:val="1"/>
                <w:color w:val="auto"/>
                <w:w w:val="96"/>
              </w:rPr>
              <w:t>Equivalents</w:t>
            </w:r>
          </w:p>
        </w:tc>
        <w:tc>
          <w:tcPr>
            <w:tcW w:w="600" w:type="dxa"/>
            <w:vAlign w:val="bottom"/>
            <w:gridSpan w:val="2"/>
          </w:tcPr>
          <w:p>
            <w:pPr>
              <w:ind w:left="100"/>
              <w:spacing w:after="0" w:line="148" w:lineRule="exact"/>
              <w:rPr>
                <w:sz w:val="20"/>
                <w:szCs w:val="20"/>
                <w:color w:val="auto"/>
              </w:rPr>
            </w:pPr>
            <w:r>
              <w:rPr>
                <w:rFonts w:ascii="Arial" w:cs="Arial" w:eastAsia="Arial" w:hAnsi="Arial"/>
                <w:sz w:val="14"/>
                <w:szCs w:val="14"/>
                <w:b w:val="1"/>
                <w:bCs w:val="1"/>
                <w:color w:val="auto"/>
              </w:rPr>
              <w:t>O/S</w:t>
            </w:r>
          </w:p>
        </w:tc>
        <w:tc>
          <w:tcPr>
            <w:tcW w:w="0" w:type="dxa"/>
            <w:vAlign w:val="bottom"/>
          </w:tcPr>
          <w:p>
            <w:pPr>
              <w:spacing w:after="0"/>
              <w:rPr>
                <w:sz w:val="1"/>
                <w:szCs w:val="1"/>
                <w:color w:val="auto"/>
              </w:rPr>
            </w:pPr>
          </w:p>
        </w:tc>
      </w:tr>
      <w:tr>
        <w:trPr>
          <w:trHeight w:val="20"/>
        </w:trPr>
        <w:tc>
          <w:tcPr>
            <w:tcW w:w="7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2016</w:t>
            </w:r>
          </w:p>
        </w:tc>
        <w:tc>
          <w:tcPr>
            <w:tcW w:w="5360" w:type="dxa"/>
            <w:vAlign w:val="bottom"/>
            <w:vMerge w:val="restart"/>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660" w:type="dxa"/>
            <w:vAlign w:val="bottom"/>
            <w:vMerge w:val="restart"/>
            <w:shd w:val="clear" w:color="auto" w:fill="CCEEFF"/>
          </w:tcPr>
          <w:p>
            <w:pPr>
              <w:spacing w:after="0" w:line="20" w:lineRule="exact"/>
              <w:rPr>
                <w:sz w:val="1"/>
                <w:szCs w:val="1"/>
                <w:color w:val="auto"/>
              </w:rPr>
            </w:pPr>
          </w:p>
        </w:tc>
        <w:tc>
          <w:tcPr>
            <w:tcW w:w="1200" w:type="dxa"/>
            <w:vAlign w:val="bottom"/>
            <w:shd w:val="clear" w:color="auto" w:fill="000000"/>
          </w:tcPr>
          <w:p>
            <w:pPr>
              <w:spacing w:after="0" w:line="20" w:lineRule="exact"/>
              <w:rPr>
                <w:sz w:val="1"/>
                <w:szCs w:val="1"/>
                <w:color w:val="auto"/>
              </w:rPr>
            </w:pPr>
          </w:p>
        </w:tc>
        <w:tc>
          <w:tcPr>
            <w:tcW w:w="760" w:type="dxa"/>
            <w:vAlign w:val="bottom"/>
            <w:shd w:val="clear" w:color="auto" w:fill="CCEEFF"/>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660" w:type="dxa"/>
            <w:vAlign w:val="bottom"/>
            <w:vMerge w:val="restart"/>
            <w:shd w:val="clear" w:color="auto" w:fill="CCEEFF"/>
          </w:tcPr>
          <w:p>
            <w:pPr>
              <w:spacing w:after="0" w:line="20" w:lineRule="exact"/>
              <w:rPr>
                <w:sz w:val="1"/>
                <w:szCs w:val="1"/>
                <w:color w:val="auto"/>
              </w:rPr>
            </w:pPr>
          </w:p>
        </w:tc>
        <w:tc>
          <w:tcPr>
            <w:tcW w:w="40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00" w:type="dxa"/>
            <w:vAlign w:val="bottom"/>
            <w:vMerge w:val="continue"/>
            <w:shd w:val="clear" w:color="auto" w:fill="CCEEFF"/>
          </w:tcPr>
          <w:p>
            <w:pPr>
              <w:spacing w:after="0"/>
              <w:rPr>
                <w:sz w:val="17"/>
                <w:szCs w:val="17"/>
                <w:color w:val="auto"/>
              </w:rPr>
            </w:pPr>
          </w:p>
        </w:tc>
        <w:tc>
          <w:tcPr>
            <w:tcW w:w="5360" w:type="dxa"/>
            <w:vAlign w:val="bottom"/>
            <w:vMerge w:val="continue"/>
            <w:shd w:val="clear" w:color="auto" w:fill="CCEEFF"/>
          </w:tcPr>
          <w:p>
            <w:pPr>
              <w:spacing w:after="0"/>
              <w:rPr>
                <w:sz w:val="17"/>
                <w:szCs w:val="17"/>
                <w:color w:val="auto"/>
              </w:rPr>
            </w:pPr>
          </w:p>
        </w:tc>
        <w:tc>
          <w:tcPr>
            <w:tcW w:w="6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12,935</w:t>
            </w:r>
          </w:p>
        </w:tc>
        <w:tc>
          <w:tcPr>
            <w:tcW w:w="660" w:type="dxa"/>
            <w:vAlign w:val="bottom"/>
            <w:vMerge w:val="continue"/>
            <w:shd w:val="clear" w:color="auto" w:fill="CCEEFF"/>
          </w:tcPr>
          <w:p>
            <w:pPr>
              <w:spacing w:after="0"/>
              <w:rPr>
                <w:sz w:val="17"/>
                <w:szCs w:val="17"/>
                <w:color w:val="auto"/>
              </w:rPr>
            </w:pPr>
          </w:p>
        </w:tc>
        <w:tc>
          <w:tcPr>
            <w:tcW w:w="1960" w:type="dxa"/>
            <w:vAlign w:val="bottom"/>
            <w:gridSpan w:val="2"/>
            <w:shd w:val="clear" w:color="auto" w:fill="CCEEFF"/>
          </w:tcPr>
          <w:p>
            <w:pPr>
              <w:jc w:val="right"/>
              <w:ind w:right="620"/>
              <w:spacing w:after="0" w:line="203" w:lineRule="exact"/>
              <w:rPr>
                <w:sz w:val="20"/>
                <w:szCs w:val="20"/>
                <w:color w:val="auto"/>
              </w:rPr>
            </w:pPr>
            <w:r>
              <w:rPr>
                <w:rFonts w:ascii="Arial" w:cs="Arial" w:eastAsia="Arial" w:hAnsi="Arial"/>
                <w:sz w:val="18"/>
                <w:szCs w:val="18"/>
                <w:color w:val="auto"/>
              </w:rPr>
              <w:t>2.51%</w:t>
            </w:r>
          </w:p>
        </w:tc>
        <w:tc>
          <w:tcPr>
            <w:tcW w:w="8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19,486</w:t>
            </w:r>
          </w:p>
        </w:tc>
        <w:tc>
          <w:tcPr>
            <w:tcW w:w="660" w:type="dxa"/>
            <w:vAlign w:val="bottom"/>
            <w:vMerge w:val="continue"/>
            <w:shd w:val="clear" w:color="auto" w:fill="CCEEFF"/>
          </w:tcPr>
          <w:p>
            <w:pPr>
              <w:spacing w:after="0"/>
              <w:rPr>
                <w:sz w:val="17"/>
                <w:szCs w:val="17"/>
                <w:color w:val="auto"/>
              </w:rPr>
            </w:pPr>
          </w:p>
        </w:tc>
        <w:tc>
          <w:tcPr>
            <w:tcW w:w="600" w:type="dxa"/>
            <w:vAlign w:val="bottom"/>
            <w:tcBorders>
              <w:left w:val="single" w:sz="8" w:color="CCEEFF"/>
            </w:tcBorders>
            <w:gridSpan w:val="2"/>
            <w:shd w:val="clear" w:color="auto" w:fill="CCEEFF"/>
          </w:tcPr>
          <w:p>
            <w:pPr>
              <w:ind w:left="100"/>
              <w:spacing w:after="0" w:line="203" w:lineRule="exact"/>
              <w:rPr>
                <w:sz w:val="20"/>
                <w:szCs w:val="20"/>
                <w:color w:val="auto"/>
              </w:rPr>
            </w:pPr>
            <w:r>
              <w:rPr>
                <w:rFonts w:ascii="Arial" w:cs="Arial" w:eastAsia="Arial" w:hAnsi="Arial"/>
                <w:sz w:val="18"/>
                <w:szCs w:val="18"/>
                <w:color w:val="auto"/>
                <w:w w:val="93"/>
              </w:rPr>
              <w:t>3.81%</w:t>
            </w:r>
          </w:p>
        </w:tc>
        <w:tc>
          <w:tcPr>
            <w:tcW w:w="0" w:type="dxa"/>
            <w:vAlign w:val="bottom"/>
          </w:tcPr>
          <w:p>
            <w:pPr>
              <w:spacing w:after="0"/>
              <w:rPr>
                <w:sz w:val="1"/>
                <w:szCs w:val="1"/>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2015</w:t>
            </w:r>
          </w:p>
        </w:tc>
        <w:tc>
          <w:tcPr>
            <w:tcW w:w="5960" w:type="dxa"/>
            <w:vAlign w:val="bottom"/>
            <w:gridSpan w:val="2"/>
          </w:tcPr>
          <w:p>
            <w:pPr>
              <w:jc w:val="right"/>
              <w:spacing w:after="0"/>
              <w:rPr>
                <w:sz w:val="20"/>
                <w:szCs w:val="20"/>
                <w:color w:val="auto"/>
              </w:rPr>
            </w:pPr>
            <w:r>
              <w:rPr>
                <w:rFonts w:ascii="Arial" w:cs="Arial" w:eastAsia="Arial" w:hAnsi="Arial"/>
                <w:sz w:val="18"/>
                <w:szCs w:val="18"/>
                <w:color w:val="auto"/>
              </w:rPr>
              <w:t>13,176</w:t>
            </w:r>
          </w:p>
        </w:tc>
        <w:tc>
          <w:tcPr>
            <w:tcW w:w="2620" w:type="dxa"/>
            <w:vAlign w:val="bottom"/>
            <w:gridSpan w:val="3"/>
          </w:tcPr>
          <w:p>
            <w:pPr>
              <w:jc w:val="right"/>
              <w:ind w:right="620"/>
              <w:spacing w:after="0"/>
              <w:rPr>
                <w:sz w:val="20"/>
                <w:szCs w:val="20"/>
                <w:color w:val="auto"/>
              </w:rPr>
            </w:pPr>
            <w:r>
              <w:rPr>
                <w:rFonts w:ascii="Arial" w:cs="Arial" w:eastAsia="Arial" w:hAnsi="Arial"/>
                <w:sz w:val="18"/>
                <w:szCs w:val="18"/>
                <w:color w:val="auto"/>
              </w:rPr>
              <w:t>2.59%</w:t>
            </w:r>
          </w:p>
        </w:tc>
        <w:tc>
          <w:tcPr>
            <w:tcW w:w="1540" w:type="dxa"/>
            <w:vAlign w:val="bottom"/>
            <w:gridSpan w:val="2"/>
          </w:tcPr>
          <w:p>
            <w:pPr>
              <w:jc w:val="right"/>
              <w:ind w:right="660"/>
              <w:spacing w:after="0"/>
              <w:rPr>
                <w:sz w:val="20"/>
                <w:szCs w:val="20"/>
                <w:color w:val="auto"/>
              </w:rPr>
            </w:pPr>
            <w:r>
              <w:rPr>
                <w:rFonts w:ascii="Arial" w:cs="Arial" w:eastAsia="Arial" w:hAnsi="Arial"/>
                <w:sz w:val="18"/>
                <w:szCs w:val="18"/>
                <w:color w:val="auto"/>
              </w:rPr>
              <w:t>19,986</w:t>
            </w:r>
          </w:p>
        </w:tc>
        <w:tc>
          <w:tcPr>
            <w:tcW w:w="600" w:type="dxa"/>
            <w:vAlign w:val="bottom"/>
            <w:gridSpan w:val="2"/>
          </w:tcPr>
          <w:p>
            <w:pPr>
              <w:ind w:left="100"/>
              <w:spacing w:after="0"/>
              <w:rPr>
                <w:sz w:val="20"/>
                <w:szCs w:val="20"/>
                <w:color w:val="auto"/>
              </w:rPr>
            </w:pPr>
            <w:r>
              <w:rPr>
                <w:rFonts w:ascii="Arial" w:cs="Arial" w:eastAsia="Arial" w:hAnsi="Arial"/>
                <w:sz w:val="18"/>
                <w:szCs w:val="18"/>
                <w:color w:val="auto"/>
                <w:w w:val="93"/>
              </w:rPr>
              <w:t>3.93%</w:t>
            </w:r>
          </w:p>
        </w:tc>
        <w:tc>
          <w:tcPr>
            <w:tcW w:w="0" w:type="dxa"/>
            <w:vAlign w:val="bottom"/>
          </w:tcPr>
          <w:p>
            <w:pPr>
              <w:spacing w:after="0"/>
              <w:rPr>
                <w:sz w:val="1"/>
                <w:szCs w:val="1"/>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5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22,750</w:t>
            </w:r>
          </w:p>
        </w:tc>
        <w:tc>
          <w:tcPr>
            <w:tcW w:w="2620" w:type="dxa"/>
            <w:vAlign w:val="bottom"/>
            <w:gridSpan w:val="3"/>
            <w:shd w:val="clear" w:color="auto" w:fill="CCEEFF"/>
          </w:tcPr>
          <w:p>
            <w:pPr>
              <w:jc w:val="right"/>
              <w:ind w:right="620"/>
              <w:spacing w:after="0"/>
              <w:rPr>
                <w:sz w:val="20"/>
                <w:szCs w:val="20"/>
                <w:color w:val="auto"/>
              </w:rPr>
            </w:pPr>
            <w:r>
              <w:rPr>
                <w:rFonts w:ascii="Arial" w:cs="Arial" w:eastAsia="Arial" w:hAnsi="Arial"/>
                <w:sz w:val="18"/>
                <w:szCs w:val="18"/>
                <w:color w:val="auto"/>
              </w:rPr>
              <w:t>4.50%</w:t>
            </w:r>
          </w:p>
        </w:tc>
        <w:tc>
          <w:tcPr>
            <w:tcW w:w="15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26,578</w:t>
            </w:r>
          </w:p>
        </w:tc>
        <w:tc>
          <w:tcPr>
            <w:tcW w:w="600" w:type="dxa"/>
            <w:vAlign w:val="bottom"/>
            <w:tcBorders>
              <w:left w:val="single" w:sz="8" w:color="CCEEFF"/>
            </w:tcBorders>
            <w:gridSpan w:val="2"/>
            <w:shd w:val="clear" w:color="auto" w:fill="CCEEFF"/>
          </w:tcPr>
          <w:p>
            <w:pPr>
              <w:ind w:left="100"/>
              <w:spacing w:after="0"/>
              <w:rPr>
                <w:sz w:val="20"/>
                <w:szCs w:val="20"/>
                <w:color w:val="auto"/>
              </w:rPr>
            </w:pPr>
            <w:r>
              <w:rPr>
                <w:rFonts w:ascii="Arial" w:cs="Arial" w:eastAsia="Arial" w:hAnsi="Arial"/>
                <w:sz w:val="18"/>
                <w:szCs w:val="18"/>
                <w:color w:val="auto"/>
                <w:w w:val="93"/>
              </w:rPr>
              <w:t>5.26%</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Policy Concerning Recoupment of CEO and CFO Bonuses Following Restatements</w:t>
      </w:r>
    </w:p>
    <w:p>
      <w:pPr>
        <w:spacing w:after="0" w:line="90" w:lineRule="exact"/>
        <w:rPr>
          <w:sz w:val="20"/>
          <w:szCs w:val="20"/>
          <w:color w:val="auto"/>
        </w:rPr>
      </w:pPr>
    </w:p>
    <w:p>
      <w:pPr>
        <w:jc w:val="both"/>
        <w:ind w:right="40" w:firstLine="456"/>
        <w:spacing w:after="0" w:line="370" w:lineRule="auto"/>
        <w:rPr>
          <w:sz w:val="20"/>
          <w:szCs w:val="20"/>
          <w:color w:val="auto"/>
        </w:rPr>
      </w:pPr>
      <w:r>
        <w:rPr>
          <w:rFonts w:ascii="Arial" w:cs="Arial" w:eastAsia="Arial" w:hAnsi="Arial"/>
          <w:sz w:val="15"/>
          <w:szCs w:val="15"/>
          <w:color w:val="auto"/>
        </w:rPr>
        <w:t>In the event of a restatement of our financial results, where a bonus was paid to the CEO and/or the CFO based on financial results that were subject to the restatement and there is finding by a majority of the disinterested members of our board of directors at the time of the restatement that the restatement was due, in</w:t>
      </w:r>
    </w:p>
    <w:p>
      <w:pPr>
        <w:spacing w:after="0" w:line="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137</w:t>
      </w:r>
    </w:p>
    <w:p>
      <w:pPr>
        <w:sectPr>
          <w:pgSz w:w="11900" w:h="16838" w:orient="portrait"/>
          <w:cols w:equalWidth="0" w:num="1">
            <w:col w:w="11420"/>
          </w:cols>
          <w:pgMar w:left="240" w:top="459" w:right="239" w:bottom="1440" w:gutter="0" w:footer="0" w:header="0"/>
        </w:sectPr>
      </w:pPr>
    </w:p>
    <w:bookmarkStart w:id="139" w:name="page140"/>
    <w:bookmarkEnd w:id="1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color w:val="auto"/>
        </w:rPr>
        <w:t>whole or in part, to the gross recklessness or intentional misconduct of either the CEO or CFO,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CEO and/or CFO, as applicable. This policy shall apply in addition to any right of recoupment against the CEO and the CFO under Section 304 of the Sarbanes-Oxley Act of 2002.</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Ownership Guidelines for Executive Officers</w:t>
      </w:r>
    </w:p>
    <w:p>
      <w:pPr>
        <w:spacing w:after="0" w:line="90"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Our board of directors has established equity ownership guidelines for our executive officers designed to encourage long-term stock ownership and more closely link their interests with those of our other shareholders. These guidelines were amended in March 2012 to provide that, within a five-year period, executive officers should have actual ownership of common shares equal in value to (i) six times the annual base salary for the CEO and (ii) two times their respective annual base salary for the other named executive officers. Our board of directors reviews progress against these guidelines annually and updates them as appropriate. Each of our currently employed named executive officers has either satisfied these ownership guidelines or has time remaining to do so as of April 30, 2016.</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Role of Consultants and Conflicts of Interest with Respect Thereto</w:t>
      </w:r>
    </w:p>
    <w:p>
      <w:pPr>
        <w:spacing w:after="0" w:line="90"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In fiscal 2015, the ECC engaged Mercer. Mercer serves at the discretion of the ECC to provide analysis, advice and guidance with respect to compensation.</w:t>
      </w:r>
    </w:p>
    <w:p>
      <w:pPr>
        <w:spacing w:after="0" w:line="140"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The ECC charter provides that the ECC shall be directly responsible for the appointment, compensation and oversight of the work of any committee adviser retained by it, and the Company shall provide for appropriate funding, as determined by the ECC, for payment of (a) reasonable compensation to any committee advisor, and (b) ordinary administrative expenses of the ECC that are necessary or appropriate in carrying out its duties. The ECC may select a committee adviser and receive advice from a committee advisor, only after taking into consideration all factors relevant to that person’s independence from the Company’s management, specifically including the following:</w:t>
      </w:r>
    </w:p>
    <w:p>
      <w:pPr>
        <w:spacing w:after="0" w:line="62" w:lineRule="exact"/>
        <w:rPr>
          <w:sz w:val="20"/>
          <w:szCs w:val="20"/>
          <w:color w:val="auto"/>
        </w:rPr>
      </w:pPr>
    </w:p>
    <w:p>
      <w:pPr>
        <w:ind w:left="900" w:hanging="446"/>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provision of other services to the Company by the committee adviser’s employer;</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amount of fees received from the Company by the committee adviser’s employer, as a percentage of the total revenue of the committee adviser’s employer;</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policies and procedures of the committee adviser’s employer that are designed to prevent conflicts of interest;</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with a member of the ECC;</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Any stock of the Company owned by the committee adviser;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7"/>
        </w:numPr>
        <w:rPr>
          <w:rFonts w:ascii="Arial" w:cs="Arial" w:eastAsia="Arial" w:hAnsi="Arial"/>
          <w:sz w:val="16"/>
          <w:szCs w:val="16"/>
          <w:color w:val="auto"/>
        </w:rPr>
      </w:pPr>
      <w:r>
        <w:rPr>
          <w:rFonts w:ascii="Arial" w:cs="Arial" w:eastAsia="Arial" w:hAnsi="Arial"/>
          <w:sz w:val="16"/>
          <w:szCs w:val="16"/>
          <w:color w:val="auto"/>
        </w:rPr>
        <w:t>Any business or personal relationship of the committee adviser or the committee adviser’s employer with an executive officer of the Company.</w:t>
      </w:r>
    </w:p>
    <w:p>
      <w:pPr>
        <w:spacing w:after="0" w:line="194" w:lineRule="exact"/>
        <w:rPr>
          <w:sz w:val="20"/>
          <w:szCs w:val="20"/>
          <w:color w:val="auto"/>
        </w:rPr>
      </w:pPr>
    </w:p>
    <w:p>
      <w:pPr>
        <w:ind w:right="480" w:firstLine="456"/>
        <w:spacing w:after="0" w:line="259" w:lineRule="auto"/>
        <w:rPr>
          <w:sz w:val="20"/>
          <w:szCs w:val="20"/>
          <w:color w:val="auto"/>
        </w:rPr>
      </w:pPr>
      <w:r>
        <w:rPr>
          <w:rFonts w:ascii="Arial" w:cs="Arial" w:eastAsia="Arial" w:hAnsi="Arial"/>
          <w:sz w:val="18"/>
          <w:szCs w:val="18"/>
          <w:color w:val="auto"/>
        </w:rPr>
        <w:t>Under rules promulgated by the SEC, the ECC must determine, after taking into account these six independence-related factors, whether any work completed by a compensation consultant raised any conflict of interest. For fiscal 2016, the ECC reviewed these six factors in their totality as they apply to Mercer and did not identify any conflict of interest.</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138</w:t>
      </w:r>
    </w:p>
    <w:p>
      <w:pPr>
        <w:sectPr>
          <w:pgSz w:w="11900" w:h="16838" w:orient="portrait"/>
          <w:cols w:equalWidth="0" w:num="1">
            <w:col w:w="11380"/>
          </w:cols>
          <w:pgMar w:left="240" w:top="459" w:right="279" w:bottom="1440" w:gutter="0" w:footer="0" w:header="0"/>
        </w:sectPr>
      </w:pPr>
    </w:p>
    <w:bookmarkStart w:id="140" w:name="page141"/>
    <w:bookmarkEnd w:id="1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Tax Considerations</w:t>
      </w:r>
    </w:p>
    <w:p>
      <w:pPr>
        <w:spacing w:after="0" w:line="9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Generally, Section 162(m) of the Code (“Section 162(m)”) disallows a tax deduction to publicly-held corporations for compensation paid to certain of their executive officers to the extent such compensation exceeds $1.0 million per covered officer in any year. This limitation does not apply to compensation that is considered “qualified performance-based compensation” for purposes of Section 162(m), which definition allows for certain types of performance-based compensation to be excluded from the $1.0 million deduction limit if specific requirements are met.</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ECC considers the impact of Section 162(m) when designing our short-term and long-term incentive compensation programs so that awards may be granted under these programs in a manner that qualifies them as “performance-based compensation” for purposes of Section 162(m). We believe that in establishing these programs for our executive officers, however, the potential tax deductibility of the compensation payable under those programs should be only one of a number of relevant factors taken into consideration, and not the sole governing factor. We believe it is important to maintain cash and equity incentive compensation at the levels and with the design features needed to attract and retain the executive officers essential to our success, even if all or part of that compensation may not be deductible by reason of the Section 162(m) limitation. Accordingly, the ECC may grant awards under which payments may not be deductible under Section 162(m) when the ECC determines that such non-deductible arrangements are otherwise in the best interests of the Company and in furtherance of the stated objectives for our executive compensation program.</w:t>
      </w:r>
    </w:p>
    <w:p>
      <w:pPr>
        <w:spacing w:after="0" w:line="118"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Considerations</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Insider Trading/Anti-Hedging Policies</w:t>
      </w:r>
    </w:p>
    <w:p>
      <w:pPr>
        <w:spacing w:after="0" w:line="90" w:lineRule="exact"/>
        <w:rPr>
          <w:sz w:val="20"/>
          <w:szCs w:val="20"/>
          <w:color w:val="auto"/>
        </w:rPr>
      </w:pPr>
    </w:p>
    <w:p>
      <w:pPr>
        <w:jc w:val="both"/>
        <w:ind w:right="400" w:firstLine="456"/>
        <w:spacing w:after="0" w:line="259" w:lineRule="auto"/>
        <w:rPr>
          <w:sz w:val="20"/>
          <w:szCs w:val="20"/>
          <w:color w:val="auto"/>
        </w:rPr>
      </w:pPr>
      <w:r>
        <w:rPr>
          <w:rFonts w:ascii="Arial" w:cs="Arial" w:eastAsia="Arial" w:hAnsi="Arial"/>
          <w:sz w:val="18"/>
          <w:szCs w:val="18"/>
          <w:color w:val="auto"/>
        </w:rPr>
        <w:t>All employees, officers and directors of, and consultants and contractors to, us or any of our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40"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1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None of our named executive officers had a Rule 10b5-1 plan in effect at June 30, 2016.</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139</w:t>
      </w:r>
    </w:p>
    <w:p>
      <w:pPr>
        <w:sectPr>
          <w:pgSz w:w="11900" w:h="16838" w:orient="portrait"/>
          <w:cols w:equalWidth="0" w:num="1">
            <w:col w:w="11420"/>
          </w:cols>
          <w:pgMar w:left="240" w:top="459" w:right="239" w:bottom="1440" w:gutter="0" w:footer="0" w:header="0"/>
        </w:sectPr>
      </w:pPr>
    </w:p>
    <w:bookmarkStart w:id="141" w:name="page142"/>
    <w:bookmarkEnd w:id="1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the ECC in Fiscal 2017</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ECC for fiscal 2016 consisted of the following members: Dr. Gromer (Chairman), Dr. Kassakian, Mr. Krueger and Dr. Thakur. On May 1, 2016,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ECC was reconstituted to consist of the following members: Mr. Khaykin (Chairman), Mr. Feld, Dr. Gromer and Dr. Kassakian.</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Executive Management in Fiscal 2017</w:t>
      </w:r>
    </w:p>
    <w:p>
      <w:pPr>
        <w:spacing w:after="0" w:line="9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April 2016, the board of directors terminated the employment of our Chairman and Chief Executive Officer, Dr. Sehat Sutardja, and our President, Ms. Weili Dai. In June 2016, the board of directors appointed Matthew J. Murphy as our new President and Chief Executive Officer, effective July 11, 2016. Mr. Murphy was also appointed to serve on the board of directors effective as of the date he commenced employment with the Company. The board also appointed Richard S. Hill, our Chairman of the Board, to serve as Interim Principal Executive Officer until such time as the Company has filed its Quarterly Report on Form 10-Q for the second quarter of fiscal 2017 ending July 30, 2016. Mr. Murphy will assume the role of principal executive officer immediately following such filing.</w:t>
      </w:r>
    </w:p>
    <w:p>
      <w:pPr>
        <w:spacing w:after="0" w:line="144"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In May 2016, the board of directors appointed Mitchell Gaynor, Executive Vice President, Chief Legal Officer and Secretary as an executive officer of the Company. In June 2016, the board of directors appointed the following additional individuals as executive officers of the Company: Christopher Koopmans, Executive Vice President, Marketing and Sales; and Andrew Micallef, Chief Operations Officer.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2017 Compensation Program Decisions</w:t>
      </w:r>
    </w:p>
    <w:p>
      <w:pPr>
        <w:spacing w:after="0" w:line="96" w:lineRule="exact"/>
        <w:rPr>
          <w:sz w:val="20"/>
          <w:szCs w:val="20"/>
          <w:color w:val="auto"/>
        </w:rPr>
      </w:pPr>
    </w:p>
    <w:p>
      <w:pPr>
        <w:jc w:val="both"/>
        <w:ind w:right="300" w:firstLine="456"/>
        <w:spacing w:after="0" w:line="256" w:lineRule="auto"/>
        <w:rPr>
          <w:sz w:val="20"/>
          <w:szCs w:val="20"/>
          <w:color w:val="auto"/>
        </w:rPr>
      </w:pPr>
      <w:r>
        <w:rPr>
          <w:rFonts w:ascii="Arial" w:cs="Arial" w:eastAsia="Arial" w:hAnsi="Arial"/>
          <w:sz w:val="18"/>
          <w:szCs w:val="18"/>
          <w:color w:val="auto"/>
        </w:rPr>
        <w:t>For fiscal 2017, the ECC determined to retain many elements of the fiscal 2016 named executive officer compensation program that already promotes strong pay for performance alignment, such as the overall compensation philosophy, the use of Company financial targets in setting performance goals, and a strong weighting on equity awards with performance-based vesting. However, the ECC decided to make some program changes for fiscal 2017 to continue its efforts to improve the named executive officer compensation program.</w:t>
      </w:r>
    </w:p>
    <w:p>
      <w:pPr>
        <w:spacing w:after="0" w:line="143" w:lineRule="exact"/>
        <w:rPr>
          <w:sz w:val="20"/>
          <w:szCs w:val="20"/>
          <w:color w:val="auto"/>
        </w:rPr>
      </w:pPr>
    </w:p>
    <w:p>
      <w:pPr>
        <w:ind w:right="240" w:firstLine="456"/>
        <w:spacing w:after="0" w:line="298" w:lineRule="auto"/>
        <w:rPr>
          <w:sz w:val="20"/>
          <w:szCs w:val="20"/>
          <w:color w:val="auto"/>
        </w:rPr>
      </w:pPr>
      <w:r>
        <w:rPr>
          <w:rFonts w:ascii="Arial" w:cs="Arial" w:eastAsia="Arial" w:hAnsi="Arial"/>
          <w:sz w:val="16"/>
          <w:szCs w:val="16"/>
          <w:color w:val="auto"/>
        </w:rPr>
        <w:t>Ongoing compensation packages for executives, including annual salaries and annual incentive plan target percentages, were made in consideration of FY2017 peer group data and an overall median compensation philosophy, the experience of the individuals being hired/promoted or incumbent in the roles, Marvell’s performance, the revised executive team structure and internal equity of compensation levels between roles within that structure. In addition, hire-on awards also took into account equity and other compensation forfeited to join Marvell.</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Specifically, the ECC made the following decisions with respect to the executive compensation program for fiscal 2017:</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2017 Peer Group Revisions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fiscal 2017, the Marvell ECC undertook a detailed peer group review incorporating the following considerations:</w:t>
      </w:r>
    </w:p>
    <w:p>
      <w:pPr>
        <w:spacing w:after="0" w:line="90" w:lineRule="exact"/>
        <w:rPr>
          <w:sz w:val="20"/>
          <w:szCs w:val="20"/>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impact of M&amp;A activity on prior peer companies and availability of peer data;</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Marvell’s current revenue size and industry classification;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Continued feedback from shareholders and advisory groups regarding appropriateness of peer companies;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Input from new Directors, including the ECC Chair and Board Chair, regarding potential peers.</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As a result of that review the ECC approved a new peer group of 16 semiconductor and related equipment companies, with median peer company revenue size closely aligned with Marvell. The approved peer group includes 14 companies from the PHLX Semiconductor Sector Index and overlaps with both the Marvell FY2016 peer group and comparator companies used by shareholder advisory groups.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140</w:t>
      </w:r>
    </w:p>
    <w:p>
      <w:pPr>
        <w:sectPr>
          <w:pgSz w:w="11900" w:h="16838" w:orient="portrait"/>
          <w:cols w:equalWidth="0" w:num="1">
            <w:col w:w="11400"/>
          </w:cols>
          <w:pgMar w:left="240" w:top="459" w:right="259" w:bottom="1440" w:gutter="0" w:footer="0" w:header="0"/>
        </w:sectPr>
      </w:pPr>
    </w:p>
    <w:bookmarkStart w:id="142" w:name="page143"/>
    <w:bookmarkEnd w:id="1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2017</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90"/>
              </w:rPr>
              <w:t>Company</w:t>
            </w:r>
          </w:p>
        </w:tc>
        <w:tc>
          <w:tcPr>
            <w:tcW w:w="4300" w:type="dxa"/>
            <w:vAlign w:val="bottom"/>
            <w:vMerge w:val="restart"/>
          </w:tcPr>
          <w:p>
            <w:pPr>
              <w:spacing w:after="0"/>
              <w:rPr>
                <w:sz w:val="14"/>
                <w:szCs w:val="14"/>
                <w:color w:val="auto"/>
              </w:rPr>
            </w:pPr>
          </w:p>
        </w:tc>
        <w:tc>
          <w:tcPr>
            <w:tcW w:w="268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Revenue</w:t>
            </w:r>
          </w:p>
        </w:tc>
        <w:tc>
          <w:tcPr>
            <w:tcW w:w="600" w:type="dxa"/>
            <w:vAlign w:val="bottom"/>
            <w:gridSpan w:val="2"/>
          </w:tcPr>
          <w:p>
            <w:pPr>
              <w:spacing w:after="0"/>
              <w:rPr>
                <w:sz w:val="20"/>
                <w:szCs w:val="20"/>
                <w:color w:val="auto"/>
              </w:rPr>
            </w:pPr>
            <w:r>
              <w:rPr>
                <w:rFonts w:ascii="Arial" w:cs="Arial" w:eastAsia="Arial" w:hAnsi="Arial"/>
                <w:sz w:val="14"/>
                <w:szCs w:val="14"/>
                <w:b w:val="1"/>
                <w:bCs w:val="1"/>
                <w:color w:val="auto"/>
                <w:w w:val="93"/>
              </w:rPr>
              <w:t>Mkt. Cap.</w:t>
            </w: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4"/>
                <w:szCs w:val="14"/>
                <w:b w:val="1"/>
                <w:bCs w:val="1"/>
                <w:color w:val="auto"/>
              </w:rPr>
              <w:t>FY 2016</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4300" w:type="dxa"/>
            <w:vAlign w:val="bottom"/>
            <w:vMerge w:val="continue"/>
          </w:tcPr>
          <w:p>
            <w:pPr>
              <w:spacing w:after="0"/>
              <w:rPr>
                <w:sz w:val="14"/>
                <w:szCs w:val="14"/>
                <w:color w:val="auto"/>
              </w:rPr>
            </w:pPr>
          </w:p>
        </w:tc>
        <w:tc>
          <w:tcPr>
            <w:tcW w:w="2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700"/>
              <w:spacing w:after="0" w:line="148" w:lineRule="exact"/>
              <w:rPr>
                <w:sz w:val="20"/>
                <w:szCs w:val="20"/>
                <w:color w:val="auto"/>
              </w:rPr>
            </w:pPr>
            <w:r>
              <w:rPr>
                <w:rFonts w:ascii="Arial" w:cs="Arial" w:eastAsia="Arial" w:hAnsi="Arial"/>
                <w:sz w:val="14"/>
                <w:szCs w:val="14"/>
                <w:b w:val="1"/>
                <w:bCs w:val="1"/>
                <w:color w:val="auto"/>
                <w:w w:val="79"/>
              </w:rPr>
              <w:t>($Bs)</w:t>
            </w:r>
          </w:p>
        </w:tc>
        <w:tc>
          <w:tcPr>
            <w:tcW w:w="120" w:type="dxa"/>
            <w:vAlign w:val="bottom"/>
          </w:tcPr>
          <w:p>
            <w:pPr>
              <w:spacing w:after="0"/>
              <w:rPr>
                <w:sz w:val="14"/>
                <w:szCs w:val="14"/>
                <w:color w:val="auto"/>
              </w:rPr>
            </w:pPr>
          </w:p>
        </w:tc>
        <w:tc>
          <w:tcPr>
            <w:tcW w:w="480" w:type="dxa"/>
            <w:vAlign w:val="bottom"/>
          </w:tcPr>
          <w:p>
            <w:pPr>
              <w:jc w:val="right"/>
              <w:ind w:right="73"/>
              <w:spacing w:after="0" w:line="148" w:lineRule="exact"/>
              <w:rPr>
                <w:sz w:val="20"/>
                <w:szCs w:val="20"/>
                <w:color w:val="auto"/>
              </w:rPr>
            </w:pPr>
            <w:r>
              <w:rPr>
                <w:rFonts w:ascii="Arial" w:cs="Arial" w:eastAsia="Arial" w:hAnsi="Arial"/>
                <w:sz w:val="14"/>
                <w:szCs w:val="14"/>
                <w:b w:val="1"/>
                <w:bCs w:val="1"/>
                <w:color w:val="auto"/>
                <w:w w:val="85"/>
              </w:rPr>
              <w:t>($Bs)</w:t>
            </w:r>
          </w:p>
        </w:tc>
        <w:tc>
          <w:tcPr>
            <w:tcW w:w="580" w:type="dxa"/>
            <w:vAlign w:val="bottom"/>
          </w:tcPr>
          <w:p>
            <w:pPr>
              <w:spacing w:after="0"/>
              <w:rPr>
                <w:sz w:val="14"/>
                <w:szCs w:val="14"/>
                <w:color w:val="auto"/>
              </w:rPr>
            </w:pPr>
          </w:p>
        </w:tc>
        <w:tc>
          <w:tcPr>
            <w:tcW w:w="380" w:type="dxa"/>
            <w:vAlign w:val="bottom"/>
          </w:tcPr>
          <w:p>
            <w:pPr>
              <w:spacing w:after="0" w:line="148" w:lineRule="exact"/>
              <w:rPr>
                <w:sz w:val="20"/>
                <w:szCs w:val="20"/>
                <w:color w:val="auto"/>
              </w:rPr>
            </w:pPr>
            <w:r>
              <w:rPr>
                <w:rFonts w:ascii="Arial" w:cs="Arial" w:eastAsia="Arial" w:hAnsi="Arial"/>
                <w:sz w:val="14"/>
                <w:szCs w:val="14"/>
                <w:b w:val="1"/>
                <w:bCs w:val="1"/>
                <w:color w:val="auto"/>
                <w:w w:val="96"/>
              </w:rPr>
              <w:t>PHLX</w:t>
            </w:r>
          </w:p>
        </w:tc>
        <w:tc>
          <w:tcPr>
            <w:tcW w:w="600" w:type="dxa"/>
            <w:vAlign w:val="bottom"/>
          </w:tcPr>
          <w:p>
            <w:pPr>
              <w:spacing w:after="0"/>
              <w:rPr>
                <w:sz w:val="14"/>
                <w:szCs w:val="14"/>
                <w:color w:val="auto"/>
              </w:rPr>
            </w:pPr>
          </w:p>
        </w:tc>
        <w:tc>
          <w:tcPr>
            <w:tcW w:w="58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Peer</w:t>
            </w:r>
          </w:p>
        </w:tc>
        <w:tc>
          <w:tcPr>
            <w:tcW w:w="0" w:type="dxa"/>
            <w:vAlign w:val="bottom"/>
          </w:tcPr>
          <w:p>
            <w:pPr>
              <w:spacing w:after="0"/>
              <w:rPr>
                <w:sz w:val="1"/>
                <w:szCs w:val="1"/>
                <w:color w:val="auto"/>
              </w:rPr>
            </w:pPr>
          </w:p>
        </w:tc>
      </w:tr>
      <w:tr>
        <w:trPr>
          <w:trHeight w:val="203"/>
        </w:trPr>
        <w:tc>
          <w:tcPr>
            <w:tcW w:w="49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Lam Research Corporation</w:t>
            </w:r>
          </w:p>
        </w:tc>
        <w:tc>
          <w:tcPr>
            <w:tcW w:w="26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5.26</w:t>
            </w:r>
          </w:p>
        </w:tc>
        <w:tc>
          <w:tcPr>
            <w:tcW w:w="6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4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12.90</w:t>
            </w:r>
          </w:p>
        </w:tc>
        <w:tc>
          <w:tcPr>
            <w:tcW w:w="5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ü</w:t>
            </w:r>
          </w:p>
        </w:tc>
        <w:tc>
          <w:tcPr>
            <w:tcW w:w="60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2780" w:type="dxa"/>
            <w:vAlign w:val="bottom"/>
            <w:gridSpan w:val="2"/>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600"/>
              <w:spacing w:after="0"/>
              <w:rPr>
                <w:sz w:val="20"/>
                <w:szCs w:val="20"/>
                <w:color w:val="auto"/>
              </w:rPr>
            </w:pPr>
            <w:r>
              <w:rPr>
                <w:rFonts w:ascii="Arial" w:cs="Arial" w:eastAsia="Arial" w:hAnsi="Arial"/>
                <w:sz w:val="18"/>
                <w:szCs w:val="18"/>
                <w:color w:val="auto"/>
              </w:rPr>
              <w:t>5.01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15.79</w:t>
            </w:r>
          </w:p>
        </w:tc>
        <w:tc>
          <w:tcPr>
            <w:tcW w:w="960" w:type="dxa"/>
            <w:vAlign w:val="bottom"/>
            <w:gridSpan w:val="2"/>
          </w:tcPr>
          <w:p>
            <w:pPr>
              <w:ind w:left="580"/>
              <w:spacing w:after="0"/>
              <w:rPr>
                <w:sz w:val="20"/>
                <w:szCs w:val="20"/>
                <w:color w:val="auto"/>
              </w:rPr>
            </w:pPr>
            <w:r>
              <w:rPr>
                <w:rFonts w:ascii="Arial" w:cs="Arial" w:eastAsia="Arial" w:hAnsi="Arial"/>
                <w:sz w:val="18"/>
                <w:szCs w:val="18"/>
                <w:color w:val="auto"/>
              </w:rPr>
              <w:t>ü</w:t>
            </w:r>
          </w:p>
        </w:tc>
        <w:tc>
          <w:tcPr>
            <w:tcW w:w="1180" w:type="dxa"/>
            <w:vAlign w:val="bottom"/>
            <w:gridSpan w:val="3"/>
          </w:tcPr>
          <w:p>
            <w:pPr>
              <w:ind w:left="60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Juniper Networks, Inc.</w:t>
            </w:r>
          </w:p>
        </w:tc>
        <w:tc>
          <w:tcPr>
            <w:tcW w:w="2780" w:type="dxa"/>
            <w:vAlign w:val="bottom"/>
            <w:gridSpan w:val="2"/>
            <w:shd w:val="clear" w:color="auto" w:fill="CCEEFF"/>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4.86</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10.60</w:t>
            </w: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ind w:left="60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4900" w:type="dxa"/>
            <w:vAlign w:val="bottom"/>
            <w:gridSpan w:val="2"/>
          </w:tcPr>
          <w:p>
            <w:pPr>
              <w:spacing w:after="0"/>
              <w:rPr>
                <w:sz w:val="20"/>
                <w:szCs w:val="20"/>
                <w:color w:val="auto"/>
              </w:rPr>
            </w:pPr>
            <w:r>
              <w:rPr>
                <w:rFonts w:ascii="Arial" w:cs="Arial" w:eastAsia="Arial" w:hAnsi="Arial"/>
                <w:sz w:val="18"/>
                <w:szCs w:val="18"/>
                <w:color w:val="auto"/>
              </w:rPr>
              <w:t>Advanced Micro Devices</w:t>
            </w:r>
          </w:p>
        </w:tc>
        <w:tc>
          <w:tcPr>
            <w:tcW w:w="2780" w:type="dxa"/>
            <w:vAlign w:val="bottom"/>
            <w:gridSpan w:val="2"/>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600"/>
              <w:spacing w:after="0"/>
              <w:rPr>
                <w:sz w:val="20"/>
                <w:szCs w:val="20"/>
                <w:color w:val="auto"/>
              </w:rPr>
            </w:pPr>
            <w:r>
              <w:rPr>
                <w:rFonts w:ascii="Arial" w:cs="Arial" w:eastAsia="Arial" w:hAnsi="Arial"/>
                <w:sz w:val="18"/>
                <w:szCs w:val="18"/>
                <w:color w:val="auto"/>
              </w:rPr>
              <w:t>3.99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2.27</w:t>
            </w: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80" w:type="dxa"/>
            <w:vAlign w:val="bottom"/>
            <w:gridSpan w:val="3"/>
          </w:tcPr>
          <w:p>
            <w:pPr>
              <w:ind w:left="60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On Semiconductor Corporation</w:t>
            </w:r>
          </w:p>
        </w:tc>
        <w:tc>
          <w:tcPr>
            <w:tcW w:w="2780" w:type="dxa"/>
            <w:vAlign w:val="bottom"/>
            <w:gridSpan w:val="2"/>
            <w:shd w:val="clear" w:color="auto" w:fill="CCEEFF"/>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3.50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w:t>
            </w:r>
          </w:p>
        </w:tc>
        <w:tc>
          <w:tcPr>
            <w:tcW w:w="96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ü</w:t>
            </w:r>
          </w:p>
        </w:tc>
        <w:tc>
          <w:tcPr>
            <w:tcW w:w="6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2780" w:type="dxa"/>
            <w:vAlign w:val="bottom"/>
            <w:gridSpan w:val="2"/>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600"/>
              <w:spacing w:after="0"/>
              <w:rPr>
                <w:sz w:val="20"/>
                <w:szCs w:val="20"/>
                <w:color w:val="auto"/>
              </w:rPr>
            </w:pPr>
            <w:r>
              <w:rPr>
                <w:rFonts w:ascii="Arial" w:cs="Arial" w:eastAsia="Arial" w:hAnsi="Arial"/>
                <w:sz w:val="18"/>
                <w:szCs w:val="18"/>
                <w:color w:val="auto"/>
              </w:rPr>
              <w:t>3.44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18.76</w:t>
            </w:r>
          </w:p>
        </w:tc>
        <w:tc>
          <w:tcPr>
            <w:tcW w:w="960" w:type="dxa"/>
            <w:vAlign w:val="bottom"/>
            <w:gridSpan w:val="2"/>
          </w:tcPr>
          <w:p>
            <w:pPr>
              <w:ind w:left="580"/>
              <w:spacing w:after="0"/>
              <w:rPr>
                <w:sz w:val="20"/>
                <w:szCs w:val="20"/>
                <w:color w:val="auto"/>
              </w:rPr>
            </w:pPr>
            <w:r>
              <w:rPr>
                <w:rFonts w:ascii="Arial" w:cs="Arial" w:eastAsia="Arial" w:hAnsi="Arial"/>
                <w:sz w:val="18"/>
                <w:szCs w:val="18"/>
                <w:color w:val="auto"/>
              </w:rPr>
              <w:t>ü</w:t>
            </w:r>
          </w:p>
        </w:tc>
        <w:tc>
          <w:tcPr>
            <w:tcW w:w="1180" w:type="dxa"/>
            <w:vAlign w:val="bottom"/>
            <w:gridSpan w:val="3"/>
          </w:tcPr>
          <w:p>
            <w:pPr>
              <w:ind w:left="60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Skyworks Solutions, Inc.</w:t>
            </w:r>
          </w:p>
        </w:tc>
        <w:tc>
          <w:tcPr>
            <w:tcW w:w="2780" w:type="dxa"/>
            <w:vAlign w:val="bottom"/>
            <w:gridSpan w:val="2"/>
            <w:shd w:val="clear" w:color="auto" w:fill="CCEEFF"/>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3.26</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w:t>
            </w:r>
          </w:p>
        </w:tc>
        <w:tc>
          <w:tcPr>
            <w:tcW w:w="96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ü</w:t>
            </w:r>
          </w:p>
        </w:tc>
        <w:tc>
          <w:tcPr>
            <w:tcW w:w="6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spacing w:after="0"/>
              <w:rPr>
                <w:sz w:val="20"/>
                <w:szCs w:val="20"/>
                <w:color w:val="auto"/>
              </w:rPr>
            </w:pPr>
            <w:r>
              <w:rPr>
                <w:rFonts w:ascii="Arial" w:cs="Arial" w:eastAsia="Arial" w:hAnsi="Arial"/>
                <w:sz w:val="18"/>
                <w:szCs w:val="18"/>
                <w:color w:val="auto"/>
              </w:rPr>
              <w:t>Qorvo, Inc.</w:t>
            </w:r>
          </w:p>
        </w:tc>
        <w:tc>
          <w:tcPr>
            <w:tcW w:w="2780" w:type="dxa"/>
            <w:vAlign w:val="bottom"/>
            <w:gridSpan w:val="2"/>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600"/>
              <w:spacing w:after="0"/>
              <w:rPr>
                <w:sz w:val="20"/>
                <w:szCs w:val="20"/>
                <w:color w:val="auto"/>
              </w:rPr>
            </w:pPr>
            <w:r>
              <w:rPr>
                <w:rFonts w:ascii="Arial" w:cs="Arial" w:eastAsia="Arial" w:hAnsi="Arial"/>
                <w:sz w:val="18"/>
                <w:szCs w:val="18"/>
                <w:color w:val="auto"/>
              </w:rPr>
              <w:t>2.61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6.42</w:t>
            </w:r>
          </w:p>
        </w:tc>
        <w:tc>
          <w:tcPr>
            <w:tcW w:w="960" w:type="dxa"/>
            <w:vAlign w:val="bottom"/>
            <w:gridSpan w:val="2"/>
          </w:tcPr>
          <w:p>
            <w:pPr>
              <w:ind w:left="580"/>
              <w:spacing w:after="0"/>
              <w:rPr>
                <w:sz w:val="20"/>
                <w:szCs w:val="20"/>
                <w:color w:val="auto"/>
              </w:rPr>
            </w:pPr>
            <w:r>
              <w:rPr>
                <w:rFonts w:ascii="Arial" w:cs="Arial" w:eastAsia="Arial" w:hAnsi="Arial"/>
                <w:sz w:val="18"/>
                <w:szCs w:val="18"/>
                <w:color w:val="auto"/>
              </w:rPr>
              <w:t>ü</w:t>
            </w:r>
          </w:p>
        </w:tc>
        <w:tc>
          <w:tcPr>
            <w:tcW w:w="6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Maxim Integrated Products</w:t>
            </w:r>
          </w:p>
        </w:tc>
        <w:tc>
          <w:tcPr>
            <w:tcW w:w="2780" w:type="dxa"/>
            <w:vAlign w:val="bottom"/>
            <w:gridSpan w:val="2"/>
            <w:shd w:val="clear" w:color="auto" w:fill="CCEEFF"/>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2.31</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96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ü</w:t>
            </w:r>
          </w:p>
        </w:tc>
        <w:tc>
          <w:tcPr>
            <w:tcW w:w="6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2780" w:type="dxa"/>
            <w:vAlign w:val="bottom"/>
            <w:gridSpan w:val="2"/>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600"/>
              <w:spacing w:after="0"/>
              <w:rPr>
                <w:sz w:val="20"/>
                <w:szCs w:val="20"/>
                <w:color w:val="auto"/>
              </w:rPr>
            </w:pPr>
            <w:r>
              <w:rPr>
                <w:rFonts w:ascii="Arial" w:cs="Arial" w:eastAsia="Arial" w:hAnsi="Arial"/>
                <w:sz w:val="18"/>
                <w:szCs w:val="18"/>
                <w:color w:val="auto"/>
              </w:rPr>
              <w:t>2.21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12.03</w:t>
            </w:r>
          </w:p>
        </w:tc>
        <w:tc>
          <w:tcPr>
            <w:tcW w:w="960" w:type="dxa"/>
            <w:vAlign w:val="bottom"/>
            <w:gridSpan w:val="2"/>
          </w:tcPr>
          <w:p>
            <w:pPr>
              <w:ind w:left="580"/>
              <w:spacing w:after="0"/>
              <w:rPr>
                <w:sz w:val="20"/>
                <w:szCs w:val="20"/>
                <w:color w:val="auto"/>
              </w:rPr>
            </w:pPr>
            <w:r>
              <w:rPr>
                <w:rFonts w:ascii="Arial" w:cs="Arial" w:eastAsia="Arial" w:hAnsi="Arial"/>
                <w:sz w:val="18"/>
                <w:szCs w:val="18"/>
                <w:color w:val="auto"/>
              </w:rPr>
              <w:t>ü</w:t>
            </w:r>
          </w:p>
        </w:tc>
        <w:tc>
          <w:tcPr>
            <w:tcW w:w="1180" w:type="dxa"/>
            <w:vAlign w:val="bottom"/>
            <w:gridSpan w:val="3"/>
          </w:tcPr>
          <w:p>
            <w:pPr>
              <w:ind w:left="60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Microchip Technology, Inc.</w:t>
            </w:r>
          </w:p>
        </w:tc>
        <w:tc>
          <w:tcPr>
            <w:tcW w:w="2780" w:type="dxa"/>
            <w:vAlign w:val="bottom"/>
            <w:gridSpan w:val="2"/>
            <w:shd w:val="clear" w:color="auto" w:fill="CCEEFF"/>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2.17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9.84</w:t>
            </w:r>
          </w:p>
        </w:tc>
        <w:tc>
          <w:tcPr>
            <w:tcW w:w="96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ü</w:t>
            </w:r>
          </w:p>
        </w:tc>
        <w:tc>
          <w:tcPr>
            <w:tcW w:w="6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spacing w:after="0"/>
              <w:rPr>
                <w:sz w:val="20"/>
                <w:szCs w:val="20"/>
                <w:color w:val="auto"/>
              </w:rPr>
            </w:pPr>
            <w:r>
              <w:rPr>
                <w:rFonts w:ascii="Arial" w:cs="Arial" w:eastAsia="Arial" w:hAnsi="Arial"/>
                <w:sz w:val="18"/>
                <w:szCs w:val="18"/>
                <w:color w:val="auto"/>
              </w:rPr>
              <w:t>Teradyne, Inc.</w:t>
            </w:r>
          </w:p>
        </w:tc>
        <w:tc>
          <w:tcPr>
            <w:tcW w:w="2780" w:type="dxa"/>
            <w:vAlign w:val="bottom"/>
            <w:gridSpan w:val="2"/>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600"/>
              <w:spacing w:after="0"/>
              <w:rPr>
                <w:sz w:val="20"/>
                <w:szCs w:val="20"/>
                <w:color w:val="auto"/>
              </w:rPr>
            </w:pPr>
            <w:r>
              <w:rPr>
                <w:rFonts w:ascii="Arial" w:cs="Arial" w:eastAsia="Arial" w:hAnsi="Arial"/>
                <w:sz w:val="18"/>
                <w:szCs w:val="18"/>
                <w:color w:val="auto"/>
              </w:rPr>
              <w:t>1.64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4.21</w:t>
            </w:r>
          </w:p>
        </w:tc>
        <w:tc>
          <w:tcPr>
            <w:tcW w:w="960" w:type="dxa"/>
            <w:vAlign w:val="bottom"/>
            <w:gridSpan w:val="2"/>
          </w:tcPr>
          <w:p>
            <w:pPr>
              <w:ind w:left="580"/>
              <w:spacing w:after="0"/>
              <w:rPr>
                <w:sz w:val="20"/>
                <w:szCs w:val="20"/>
                <w:color w:val="auto"/>
              </w:rPr>
            </w:pPr>
            <w:r>
              <w:rPr>
                <w:rFonts w:ascii="Arial" w:cs="Arial" w:eastAsia="Arial" w:hAnsi="Arial"/>
                <w:sz w:val="18"/>
                <w:szCs w:val="18"/>
                <w:color w:val="auto"/>
              </w:rPr>
              <w:t>ü</w:t>
            </w:r>
          </w:p>
        </w:tc>
        <w:tc>
          <w:tcPr>
            <w:tcW w:w="6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Cypress Semiconductor Corp.</w:t>
            </w:r>
          </w:p>
        </w:tc>
        <w:tc>
          <w:tcPr>
            <w:tcW w:w="2780" w:type="dxa"/>
            <w:vAlign w:val="bottom"/>
            <w:gridSpan w:val="2"/>
            <w:shd w:val="clear" w:color="auto" w:fill="CCEEFF"/>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1.61</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3.26</w:t>
            </w:r>
          </w:p>
        </w:tc>
        <w:tc>
          <w:tcPr>
            <w:tcW w:w="96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ü</w:t>
            </w:r>
          </w:p>
        </w:tc>
        <w:tc>
          <w:tcPr>
            <w:tcW w:w="6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spacing w:after="0"/>
              <w:rPr>
                <w:sz w:val="20"/>
                <w:szCs w:val="20"/>
                <w:color w:val="auto"/>
              </w:rPr>
            </w:pPr>
            <w:r>
              <w:rPr>
                <w:rFonts w:ascii="Arial" w:cs="Arial" w:eastAsia="Arial" w:hAnsi="Arial"/>
                <w:sz w:val="18"/>
                <w:szCs w:val="18"/>
                <w:color w:val="auto"/>
              </w:rPr>
              <w:t>Linear Technology Corporation</w:t>
            </w:r>
          </w:p>
        </w:tc>
        <w:tc>
          <w:tcPr>
            <w:tcW w:w="2780" w:type="dxa"/>
            <w:vAlign w:val="bottom"/>
            <w:gridSpan w:val="2"/>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600"/>
              <w:spacing w:after="0"/>
              <w:rPr>
                <w:sz w:val="20"/>
                <w:szCs w:val="20"/>
                <w:color w:val="auto"/>
              </w:rPr>
            </w:pPr>
            <w:r>
              <w:rPr>
                <w:rFonts w:ascii="Arial" w:cs="Arial" w:eastAsia="Arial" w:hAnsi="Arial"/>
                <w:sz w:val="18"/>
                <w:szCs w:val="18"/>
                <w:color w:val="auto"/>
              </w:rPr>
              <w:t>1.48</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10.60</w:t>
            </w:r>
          </w:p>
        </w:tc>
        <w:tc>
          <w:tcPr>
            <w:tcW w:w="960" w:type="dxa"/>
            <w:vAlign w:val="bottom"/>
            <w:gridSpan w:val="2"/>
          </w:tcPr>
          <w:p>
            <w:pPr>
              <w:ind w:left="580"/>
              <w:spacing w:after="0"/>
              <w:rPr>
                <w:sz w:val="20"/>
                <w:szCs w:val="20"/>
                <w:color w:val="auto"/>
              </w:rPr>
            </w:pPr>
            <w:r>
              <w:rPr>
                <w:rFonts w:ascii="Arial" w:cs="Arial" w:eastAsia="Arial" w:hAnsi="Arial"/>
                <w:sz w:val="18"/>
                <w:szCs w:val="18"/>
                <w:color w:val="auto"/>
              </w:rPr>
              <w:t>ü</w:t>
            </w:r>
          </w:p>
        </w:tc>
        <w:tc>
          <w:tcPr>
            <w:tcW w:w="6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Microsemi Corporation</w:t>
            </w:r>
          </w:p>
        </w:tc>
        <w:tc>
          <w:tcPr>
            <w:tcW w:w="2780" w:type="dxa"/>
            <w:vAlign w:val="bottom"/>
            <w:gridSpan w:val="2"/>
            <w:shd w:val="clear" w:color="auto" w:fill="CCEEFF"/>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1.25</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w:t>
            </w:r>
          </w:p>
        </w:tc>
        <w:tc>
          <w:tcPr>
            <w:tcW w:w="96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ü</w:t>
            </w:r>
          </w:p>
        </w:tc>
        <w:tc>
          <w:tcPr>
            <w:tcW w:w="6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spacing w:after="0"/>
              <w:rPr>
                <w:sz w:val="20"/>
                <w:szCs w:val="20"/>
                <w:color w:val="auto"/>
              </w:rPr>
            </w:pPr>
            <w:r>
              <w:rPr>
                <w:rFonts w:ascii="Arial" w:cs="Arial" w:eastAsia="Arial" w:hAnsi="Arial"/>
                <w:sz w:val="18"/>
                <w:szCs w:val="18"/>
                <w:color w:val="auto"/>
              </w:rPr>
              <w:t>Atmel Corporation</w:t>
            </w:r>
          </w:p>
        </w:tc>
        <w:tc>
          <w:tcPr>
            <w:tcW w:w="2780" w:type="dxa"/>
            <w:vAlign w:val="bottom"/>
            <w:gridSpan w:val="2"/>
          </w:tcPr>
          <w:p>
            <w:pPr>
              <w:ind w:left="268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600"/>
              <w:spacing w:after="0"/>
              <w:rPr>
                <w:sz w:val="20"/>
                <w:szCs w:val="20"/>
                <w:color w:val="auto"/>
              </w:rPr>
            </w:pPr>
            <w:r>
              <w:rPr>
                <w:rFonts w:ascii="Arial" w:cs="Arial" w:eastAsia="Arial" w:hAnsi="Arial"/>
                <w:sz w:val="18"/>
                <w:szCs w:val="18"/>
                <w:color w:val="auto"/>
              </w:rPr>
              <w:t>1.17</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3.63</w:t>
            </w: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Average</w:t>
            </w:r>
          </w:p>
        </w:tc>
        <w:tc>
          <w:tcPr>
            <w:tcW w:w="2780" w:type="dxa"/>
            <w:vAlign w:val="bottom"/>
            <w:gridSpan w:val="2"/>
            <w:shd w:val="clear" w:color="auto" w:fill="CCEEFF"/>
          </w:tcPr>
          <w:p>
            <w:pPr>
              <w:ind w:left="2680"/>
              <w:spacing w:after="0"/>
              <w:rPr>
                <w:sz w:val="20"/>
                <w:szCs w:val="20"/>
                <w:color w:val="auto"/>
              </w:rPr>
            </w:pPr>
            <w:r>
              <w:rPr>
                <w:rFonts w:ascii="Arial" w:cs="Arial" w:eastAsia="Arial" w:hAnsi="Arial"/>
                <w:sz w:val="18"/>
                <w:szCs w:val="18"/>
                <w:b w:val="1"/>
                <w:bCs w:val="1"/>
                <w:color w:val="auto"/>
                <w:w w:val="79"/>
              </w:rPr>
              <w:t>$</w:t>
            </w:r>
          </w:p>
        </w:tc>
        <w:tc>
          <w:tcPr>
            <w:tcW w:w="10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b w:val="1"/>
                <w:bCs w:val="1"/>
                <w:color w:val="auto"/>
              </w:rPr>
              <w:t>2.86</w:t>
            </w:r>
          </w:p>
        </w:tc>
        <w:tc>
          <w:tcPr>
            <w:tcW w:w="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8.96</w:t>
            </w: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2017 Salaries and Target Bonus as Percentage of Salary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ECC approved an annual base salary for Mr. Murphy in the amount of $750,000 and a target bonus as a percentage of his salary of 150%.</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Fiscal 2017 Long-Term Incentive Awards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connection with the commencement of Mr. Murphy’s employment, ECC is scheduled to approve long-term incentive awards as follows, once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Company is current with its SEC filings:</w:t>
      </w:r>
    </w:p>
    <w:p>
      <w:pPr>
        <w:spacing w:after="0" w:line="8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He will receive grants of RSUs for the number of shares of Marvell common stock equal to $4.0 million divided by the Share Price (as defined below), as follows:</w:t>
      </w:r>
    </w:p>
    <w:p>
      <w:pPr>
        <w:spacing w:after="0" w:line="51" w:lineRule="exact"/>
        <w:rPr>
          <w:sz w:val="20"/>
          <w:szCs w:val="20"/>
          <w:color w:val="auto"/>
        </w:rPr>
      </w:pPr>
    </w:p>
    <w:p>
      <w:pPr>
        <w:ind w:left="900" w:right="380" w:hanging="446"/>
        <w:spacing w:after="0" w:line="268" w:lineRule="auto"/>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RSUs for the number of shares of common stock equal to $1.6 million divided by the Share Price (as defined below) that will vest over three (3) years.</w:t>
      </w:r>
    </w:p>
    <w:p>
      <w:pPr>
        <w:spacing w:after="0" w:line="50" w:lineRule="exact"/>
        <w:rPr>
          <w:rFonts w:ascii="Arial" w:cs="Arial" w:eastAsia="Arial" w:hAnsi="Arial"/>
          <w:sz w:val="18"/>
          <w:szCs w:val="18"/>
          <w:color w:val="auto"/>
        </w:rPr>
      </w:pPr>
    </w:p>
    <w:p>
      <w:pPr>
        <w:ind w:left="900" w:right="40" w:hanging="446"/>
        <w:spacing w:after="0" w:line="298" w:lineRule="auto"/>
        <w:tabs>
          <w:tab w:leader="none" w:pos="900" w:val="left"/>
        </w:tabs>
        <w:numPr>
          <w:ilvl w:val="0"/>
          <w:numId w:val="59"/>
        </w:numPr>
        <w:rPr>
          <w:rFonts w:ascii="Arial" w:cs="Arial" w:eastAsia="Arial" w:hAnsi="Arial"/>
          <w:sz w:val="16"/>
          <w:szCs w:val="16"/>
          <w:color w:val="auto"/>
        </w:rPr>
      </w:pPr>
      <w:r>
        <w:rPr>
          <w:rFonts w:ascii="Arial" w:cs="Arial" w:eastAsia="Arial" w:hAnsi="Arial"/>
          <w:sz w:val="16"/>
          <w:szCs w:val="16"/>
          <w:color w:val="auto"/>
        </w:rPr>
        <w:t>RSUs for the number of shares of common stock (at the target achievement level) equal to $1.2 million divided by the Share Price (as defined below) that will vest based on the Company’s relative total shareholder return measured against total shareholder return of comparable companies of the Philadelphia Semiconductor Sector Index over the performance period measured from the First Current Date (as defined below) through the end of fiscal year 2019. The number of shares that could vest under this award can range from zero to 150% of the target number.</w:t>
      </w:r>
    </w:p>
    <w:p>
      <w:pPr>
        <w:spacing w:after="0" w:line="31" w:lineRule="exact"/>
        <w:rPr>
          <w:rFonts w:ascii="Arial" w:cs="Arial" w:eastAsia="Arial" w:hAnsi="Arial"/>
          <w:sz w:val="16"/>
          <w:szCs w:val="16"/>
          <w:color w:val="auto"/>
        </w:rPr>
      </w:pPr>
    </w:p>
    <w:p>
      <w:pPr>
        <w:ind w:left="900" w:right="220" w:hanging="446"/>
        <w:spacing w:after="0" w:line="294" w:lineRule="auto"/>
        <w:tabs>
          <w:tab w:leader="none" w:pos="900" w:val="left"/>
        </w:tabs>
        <w:numPr>
          <w:ilvl w:val="0"/>
          <w:numId w:val="59"/>
        </w:numPr>
        <w:rPr>
          <w:rFonts w:ascii="Arial" w:cs="Arial" w:eastAsia="Arial" w:hAnsi="Arial"/>
          <w:sz w:val="16"/>
          <w:szCs w:val="16"/>
          <w:color w:val="auto"/>
        </w:rPr>
      </w:pPr>
      <w:r>
        <w:rPr>
          <w:rFonts w:ascii="Arial" w:cs="Arial" w:eastAsia="Arial" w:hAnsi="Arial"/>
          <w:sz w:val="16"/>
          <w:szCs w:val="16"/>
          <w:color w:val="auto"/>
        </w:rPr>
        <w:t>RSUs for the number of shares of common stock equal to $1.2 million divided by the Share Price (as defined below) that will vest based on the achievement of operating performance metrics for fiscal years 2017 and 2018. The performance period, metrics and relative weightings (as well as the maximum number of shares that could vest if performance exceeds the target achievement level) will be established by the ECC at the time of grant and will be measured as of the end of fiscal year 2018. Any shares deemed to have been earned upon the successful achievement of such metrics will vest 100% on the third anniversary of the vesting start date.</w:t>
      </w:r>
    </w:p>
    <w:p>
      <w:pPr>
        <w:spacing w:after="0" w:line="1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For purposes of the equity awards described above, “Share Price” shall mean the closing price of the common shares of Marvell (NASDAQ: MRVL) on the NASDAQ Stock Market on (x) the date that is one (1) full</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141</w:t>
      </w:r>
    </w:p>
    <w:p>
      <w:pPr>
        <w:sectPr>
          <w:pgSz w:w="11900" w:h="16838" w:orient="portrait"/>
          <w:cols w:equalWidth="0" w:num="1">
            <w:col w:w="11420"/>
          </w:cols>
          <w:pgMar w:left="240" w:top="459" w:right="239" w:bottom="1440" w:gutter="0" w:footer="0" w:header="0"/>
        </w:sectPr>
      </w:pPr>
    </w:p>
    <w:bookmarkStart w:id="143" w:name="page144"/>
    <w:bookmarkEnd w:id="1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color w:val="auto"/>
        </w:rPr>
        <w:t>trading day after the first date on which Marvell has filed all required periodic reports with the Securities and Exchange Commission, such that Marvell is “current” with its financial reporting, or (y) the date that the awards are approved by the ECC (but no later than 30 days after the “First Current Date” as defined below), whichever is later. The date that Marvell becomes “current” with its financial reporting is referred to as the “First Current Date.”</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Buy-Out Cash Bonus and Sign-on Equity Awards</w:t>
      </w:r>
    </w:p>
    <w:p>
      <w:pPr>
        <w:spacing w:after="0" w:line="90"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In connection with Mr. Murphy’s departure from his prior employer to join the Company, he forfeited existing equity awards, including RSUs and “in the money” options and may not receive his cash incentive bonus earned for 2016. In consideration therefor, the ECC recommended and the Board approved a one-time cash bonus and one-time buy-out equity awards (to be granted by the ECC when the Company is current in its financial reporting), as follows:</w:t>
      </w:r>
    </w:p>
    <w:p>
      <w:pPr>
        <w:spacing w:after="0" w:line="26" w:lineRule="exact"/>
        <w:rPr>
          <w:sz w:val="20"/>
          <w:szCs w:val="20"/>
          <w:color w:val="auto"/>
        </w:rPr>
      </w:pPr>
    </w:p>
    <w:p>
      <w:pPr>
        <w:ind w:left="900" w:right="20" w:hanging="446"/>
        <w:spacing w:after="0" w:line="256"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u w:val="single" w:color="auto"/>
          <w:color w:val="auto"/>
        </w:rPr>
        <w:t>Cash Bonus</w:t>
      </w:r>
      <w:r>
        <w:rPr>
          <w:rFonts w:ascii="Arial" w:cs="Arial" w:eastAsia="Arial" w:hAnsi="Arial"/>
          <w:sz w:val="18"/>
          <w:szCs w:val="18"/>
          <w:color w:val="auto"/>
        </w:rPr>
        <w:t xml:space="preserve"> — a one-time, buy-out sign-on bonus in an amount equal to $2.1 million minus the amount of any bonus paid to him by his prior employer for its fiscal year 2016. In the event that within twelve (12) months of the start date of his employment he is terminated for “Cause” or if he resigns his employment other than for “Good Reason” (both as defined below), Mr. Murphy will be obligated to repay a pro rata portion of the sign-on bonus.</w:t>
      </w:r>
    </w:p>
    <w:p>
      <w:pPr>
        <w:spacing w:after="0" w:line="62" w:lineRule="exact"/>
        <w:rPr>
          <w:rFonts w:ascii="Arial" w:cs="Arial" w:eastAsia="Arial" w:hAnsi="Arial"/>
          <w:sz w:val="18"/>
          <w:szCs w:val="18"/>
          <w:color w:val="auto"/>
        </w:rPr>
      </w:pPr>
    </w:p>
    <w:p>
      <w:pPr>
        <w:ind w:left="900" w:right="80" w:hanging="446"/>
        <w:spacing w:after="0" w:line="255"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u w:val="single" w:color="auto"/>
          <w:color w:val="auto"/>
        </w:rPr>
        <w:t>Hire-On RSU Award</w:t>
      </w:r>
      <w:r>
        <w:rPr>
          <w:rFonts w:ascii="Arial" w:cs="Arial" w:eastAsia="Arial" w:hAnsi="Arial"/>
          <w:sz w:val="18"/>
          <w:szCs w:val="18"/>
          <w:color w:val="auto"/>
        </w:rPr>
        <w:t xml:space="preserve"> — a restricted stock unit award for 435,000 common shares of Marvell which shall vest over three (3) years at the rate of 174,000 shares on the first anniversary of his start date, and the balance shall vest in eight quarterly installments of 32,625 shares. If his employment is terminated without Cause or if he resigns for Good Reason (both as defined below), the unvested portion of the award will vest in full on the date his employment with the Company terminates, provided that he executes and does not revoke a separation agreement and complete release of claims in a form provided by the Company.</w:t>
      </w:r>
    </w:p>
    <w:p>
      <w:pPr>
        <w:spacing w:after="0" w:line="61" w:lineRule="exact"/>
        <w:rPr>
          <w:rFonts w:ascii="Arial" w:cs="Arial" w:eastAsia="Arial" w:hAnsi="Arial"/>
          <w:sz w:val="18"/>
          <w:szCs w:val="18"/>
          <w:color w:val="auto"/>
        </w:rPr>
      </w:pPr>
    </w:p>
    <w:p>
      <w:pPr>
        <w:ind w:left="900" w:hanging="446"/>
        <w:spacing w:after="0" w:line="287" w:lineRule="auto"/>
        <w:tabs>
          <w:tab w:leader="none" w:pos="900" w:val="left"/>
        </w:tabs>
        <w:numPr>
          <w:ilvl w:val="0"/>
          <w:numId w:val="60"/>
        </w:numPr>
        <w:rPr>
          <w:rFonts w:ascii="Arial" w:cs="Arial" w:eastAsia="Arial" w:hAnsi="Arial"/>
          <w:sz w:val="16"/>
          <w:szCs w:val="16"/>
          <w:color w:val="auto"/>
        </w:rPr>
      </w:pPr>
      <w:r>
        <w:rPr>
          <w:rFonts w:ascii="Arial" w:cs="Arial" w:eastAsia="Arial" w:hAnsi="Arial"/>
          <w:sz w:val="16"/>
          <w:szCs w:val="16"/>
          <w:u w:val="single" w:color="auto"/>
          <w:color w:val="auto"/>
        </w:rPr>
        <w:t>Hire-On Performance-Based RSU Award</w:t>
      </w:r>
      <w:r>
        <w:rPr>
          <w:rFonts w:ascii="Arial" w:cs="Arial" w:eastAsia="Arial" w:hAnsi="Arial"/>
          <w:sz w:val="16"/>
          <w:szCs w:val="16"/>
          <w:color w:val="auto"/>
        </w:rPr>
        <w:t xml:space="preserve"> — a performance-based restricted stock unit award for up to 210,000 common shares of Marvell (at the target achievement level) which shall vest based on achievement of performance objectives relating to the relative total shareholder return of Marvell’s stock as compared to the total shareholder return of comparable companies of the Philadelphia Semiconductor Sector Index over the performance period measured from his start date through the third anniversary of his start date. The number of shares that could vest under this award can range from zero to 150% of the 210,000 target number. If the Company terminates his employment without Cause or he resigns for Good Reason (both as defined below), (i) the performance measurement period will be deemed to end on the date five (5) business days before the employment termination date, (ii) the achievement of the performance metrics will be calculated by the ECC with respect to such shortened measurement period, and (iii) the number of shares that would vest based on such calculations will vest effective upon his termination date, provided that he executes and does not revoke a separation agreement and complete release of claims in a form provided by the Company. Any remaining unvested portion of the award will be forfeited and terminate.</w:t>
      </w:r>
    </w:p>
    <w:p>
      <w:pPr>
        <w:spacing w:after="0" w:line="123"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For purposes of the above, “Cause” is defined as: (A) an act of material dishonesty in connection with Mr. Murphy’s job responsibilities; (B) conviction of, or plea of nolo contendere to, a felony or any crime involving fraud, embezzlement or moral turpitude; (C) gross misconduct; (D) willful unauthorized use or disclosure of any proprietary information or trade secrets of the Company or Marvell Technology Group Ltd. (“Marvell”); (E) willful breach of any obligations under any written agreement with the Company or Marvell that is not cured within 10 days after your receipt of written notice from the Company specifying the breach; (F) willful refusal to cooperate in good faith with a governmental or internal investigation of the Company, Marvell or their directors, officers or employees, if the Company or Marvell has requested his cooperation; or (G) willful failure to substantially perform his duties with Company or Marvell (other than as a result of incapacity due to physical or mental illness); provided that the action or conduct described in this clause (G) will constitute “Cause” only if such failure continues after the Company’s Board of Directors or Chairman of the Board has provided him with a</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142</w:t>
      </w:r>
    </w:p>
    <w:p>
      <w:pPr>
        <w:sectPr>
          <w:pgSz w:w="11900" w:h="16838" w:orient="portrait"/>
          <w:cols w:equalWidth="0" w:num="1">
            <w:col w:w="11420"/>
          </w:cols>
          <w:pgMar w:left="240" w:top="460" w:right="239" w:bottom="1440" w:gutter="0" w:footer="0" w:header="0"/>
        </w:sectPr>
      </w:pPr>
    </w:p>
    <w:bookmarkStart w:id="144" w:name="page145"/>
    <w:bookmarkEnd w:id="1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written demand for substantial performance setting forth in detail the specific respects in which the Company believes he has willfully failed to substantially perform his duties thereof and he has been provided a reasonable opportunity (to be not less than 20 days) to cure the same. “Good Reason” is defined as the occurrence of any of the following conditions without Mr. Murphy’s consent: (X) a change in his position within the Company (or a parent or subsidiary employing him) that materially reduces his level of duties, authority or responsibilities; provided, however, that if there is a change in his role after which he does not have the role as chief executive officer with respect to a parent entity whose stock is publicly-traded, then such a change shall affirmatively constitute Good Reason; (Y) a reduction of 10% or greater in his level of annual base salary or incentive compensation eligibility; or (Z) the Company requires (i) Mr. Murphy to relocate the principal place of performance of his duties to a location more than 30 miles from the his principal place of performance and (ii) the relocation results in a greater commute him.</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Severance Agreement</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Concurrently with the commencement of his employment, Mr. Murphy and the Company entered into a severance agreement pursuant to which, if Mr. Murphy’s employment is terminated by the Company for other than “Cause” or if he resigns for “Good Reason” (both as defined therein), he will be paid a lump sum separation payment equal to the sum of his then annual base salary plus target incentive bonus plus reimbursement for 12 months of medical insurance premiums, provided he executes and does not revoke a release of claims in a form provided by the Company. If the provisions of Marvell’s Change in Control and Severance Plan (described below) are triggered in connection with termination of his employment and he receives the severance benefits provided therein, he will not be eligible for the severance payments under the severance agreement.</w:t>
      </w:r>
    </w:p>
    <w:p>
      <w:pPr>
        <w:spacing w:after="0" w:line="12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ECC provided these severance benefits to Mr. Murphy given recent board and management changes at the Company. The amounts of these benefits were intended to be reasonable relative to market practice and market trends.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Adoption of Change in Control and Severance Plan</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In June 2016, the ECC recommended, and the Company’s board of directors adopted, a Change in Control and Severance Plan (the “CIC Plan”), the purpose of which is to provide assurances of specified benefits to certain employees of the Company whose employment is subject to being involuntarily terminated other than for death, Disability, or Cause or voluntarily terminated for Good Reason under the circumstances described in the CIC Plan. All capitalized terms are as defined in the CIC Plan. A copy of the CIC Plan is filed as Exhibit 10.2 to our Current Report on Form 8-K as filed with the SEC on June 20, 2016.</w:t>
      </w:r>
    </w:p>
    <w:p>
      <w:pPr>
        <w:spacing w:after="0" w:line="113"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The ECC designed the CIC Plan to protect key senior employees involved in a transaction in order to facilitate a clear focus on what is best for shareholders by making the executives neutral to a potential transaction. The protections offered by tier were developed in consideration of market practice and trends, and Marvell executives were slotted into tiers based on the ongoing executive team structure/roles.</w:t>
      </w:r>
    </w:p>
    <w:p>
      <w:pPr>
        <w:spacing w:after="0" w:line="10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An individual is only eligible to participate in the CIC Plan if he or she is designated a participant by the ECC or board. A designated participant is eligible for Severance Benefits under the CIC Plan if he or she experiences an Involuntary Termination during the period beginning upon a Change in Control and ending on the date that is 18 months following the Change in Control. The amount and type of Severance Benefits differ based on the participation level as determined by the ECC for the designated individuals as follows:</w:t>
      </w:r>
    </w:p>
    <w:p>
      <w:pPr>
        <w:spacing w:after="0" w:line="62" w:lineRule="exact"/>
        <w:rPr>
          <w:sz w:val="20"/>
          <w:szCs w:val="20"/>
          <w:color w:val="auto"/>
        </w:rPr>
      </w:pPr>
    </w:p>
    <w:p>
      <w:pPr>
        <w:ind w:left="900" w:right="120" w:hanging="325"/>
        <w:spacing w:after="0" w:line="298" w:lineRule="auto"/>
        <w:tabs>
          <w:tab w:leader="none" w:pos="900" w:val="left"/>
        </w:tabs>
        <w:numPr>
          <w:ilvl w:val="0"/>
          <w:numId w:val="61"/>
        </w:numPr>
        <w:rPr>
          <w:rFonts w:ascii="Arial" w:cs="Arial" w:eastAsia="Arial" w:hAnsi="Arial"/>
          <w:sz w:val="16"/>
          <w:szCs w:val="16"/>
          <w:color w:val="auto"/>
        </w:rPr>
      </w:pPr>
      <w:r>
        <w:rPr>
          <w:rFonts w:ascii="Arial" w:cs="Arial" w:eastAsia="Arial" w:hAnsi="Arial"/>
          <w:sz w:val="16"/>
          <w:szCs w:val="16"/>
          <w:color w:val="auto"/>
        </w:rPr>
        <w:t>Tier 1: Lump sum payment equal to 24 months of annual base salary, 200%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24 months of continued health coverage.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143</w:t>
      </w:r>
    </w:p>
    <w:p>
      <w:pPr>
        <w:sectPr>
          <w:pgSz w:w="11900" w:h="16838" w:orient="portrait"/>
          <w:cols w:equalWidth="0" w:num="1">
            <w:col w:w="11420"/>
          </w:cols>
          <w:pgMar w:left="240" w:top="459" w:right="239" w:bottom="1440" w:gutter="0" w:footer="0" w:header="0"/>
        </w:sectPr>
      </w:pPr>
    </w:p>
    <w:bookmarkStart w:id="145" w:name="page146"/>
    <w:bookmarkEnd w:id="1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20" w:hanging="325"/>
        <w:spacing w:after="0" w:line="298" w:lineRule="auto"/>
        <w:tabs>
          <w:tab w:leader="none" w:pos="900" w:val="left"/>
        </w:tabs>
        <w:numPr>
          <w:ilvl w:val="0"/>
          <w:numId w:val="62"/>
        </w:numPr>
        <w:rPr>
          <w:rFonts w:ascii="Arial" w:cs="Arial" w:eastAsia="Arial" w:hAnsi="Arial"/>
          <w:sz w:val="16"/>
          <w:szCs w:val="16"/>
          <w:color w:val="auto"/>
        </w:rPr>
      </w:pPr>
      <w:r>
        <w:rPr>
          <w:rFonts w:ascii="Arial" w:cs="Arial" w:eastAsia="Arial" w:hAnsi="Arial"/>
          <w:sz w:val="16"/>
          <w:szCs w:val="16"/>
          <w:color w:val="auto"/>
        </w:rPr>
        <w:t>Tier 2: Lump sum payment equal to 18 months of annual base salary, 150%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18 months of continued health coverage.</w:t>
      </w:r>
    </w:p>
    <w:p>
      <w:pPr>
        <w:spacing w:after="0" w:line="31" w:lineRule="exact"/>
        <w:rPr>
          <w:rFonts w:ascii="Arial" w:cs="Arial" w:eastAsia="Arial" w:hAnsi="Arial"/>
          <w:sz w:val="16"/>
          <w:szCs w:val="16"/>
          <w:color w:val="auto"/>
        </w:rPr>
      </w:pPr>
    </w:p>
    <w:p>
      <w:pPr>
        <w:ind w:left="900" w:right="120" w:hanging="325"/>
        <w:spacing w:after="0" w:line="298" w:lineRule="auto"/>
        <w:tabs>
          <w:tab w:leader="none" w:pos="900" w:val="left"/>
        </w:tabs>
        <w:numPr>
          <w:ilvl w:val="0"/>
          <w:numId w:val="62"/>
        </w:numPr>
        <w:rPr>
          <w:rFonts w:ascii="Arial" w:cs="Arial" w:eastAsia="Arial" w:hAnsi="Arial"/>
          <w:sz w:val="16"/>
          <w:szCs w:val="16"/>
          <w:color w:val="auto"/>
        </w:rPr>
      </w:pPr>
      <w:r>
        <w:rPr>
          <w:rFonts w:ascii="Arial" w:cs="Arial" w:eastAsia="Arial" w:hAnsi="Arial"/>
          <w:sz w:val="16"/>
          <w:szCs w:val="16"/>
          <w:color w:val="auto"/>
        </w:rPr>
        <w:t>Tier 3: Lump sum payment equal to 12 months of annual base salary, 100%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12 months of continued health coverage.</w:t>
      </w:r>
    </w:p>
    <w:p>
      <w:pPr>
        <w:spacing w:after="0" w:line="31" w:lineRule="exact"/>
        <w:rPr>
          <w:rFonts w:ascii="Arial" w:cs="Arial" w:eastAsia="Arial" w:hAnsi="Arial"/>
          <w:sz w:val="16"/>
          <w:szCs w:val="16"/>
          <w:color w:val="auto"/>
        </w:rPr>
      </w:pPr>
    </w:p>
    <w:p>
      <w:pPr>
        <w:ind w:left="900" w:right="60" w:hanging="325"/>
        <w:spacing w:after="0" w:line="298" w:lineRule="auto"/>
        <w:tabs>
          <w:tab w:leader="none" w:pos="900" w:val="left"/>
        </w:tabs>
        <w:numPr>
          <w:ilvl w:val="0"/>
          <w:numId w:val="62"/>
        </w:numPr>
        <w:rPr>
          <w:rFonts w:ascii="Arial" w:cs="Arial" w:eastAsia="Arial" w:hAnsi="Arial"/>
          <w:sz w:val="16"/>
          <w:szCs w:val="16"/>
          <w:color w:val="auto"/>
        </w:rPr>
      </w:pPr>
      <w:r>
        <w:rPr>
          <w:rFonts w:ascii="Arial" w:cs="Arial" w:eastAsia="Arial" w:hAnsi="Arial"/>
          <w:sz w:val="16"/>
          <w:szCs w:val="16"/>
          <w:color w:val="auto"/>
        </w:rPr>
        <w:t>Tier 4: Lump sum payment equal to 6 months of annual base salary, 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6 months of continued health coverage.</w:t>
      </w:r>
    </w:p>
    <w:p>
      <w:pPr>
        <w:spacing w:after="0" w:line="11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payment of Severance Benefits is subject to the limitations set forth in the CIC Plan regarding compliance with Sections 280G and 409A of the Internal Revenue Code, as amended. In order to receive the Severance Benefits set forth above, an individual must sign and not revoke a separation and release of claims in a form satisfactory to the Company.</w:t>
      </w:r>
    </w:p>
    <w:p>
      <w:pPr>
        <w:spacing w:after="0" w:line="140"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ECC designated the following executive officers as participants in the CIC Plan at the levels set forth following their names: Matthew J. Murphy, President and CEO (Tier 1); Mitchell Gaynor, Executive Vice President, Chief Legal Officer and Secretary (Tier 2); Andrew Micallef, Chief Operations Officer (Tier 2); and Christopher Koopmans, Executive Vice President, Marketing and Sales (Tier 3).</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ECC for fiscal 2016 consisted of the following members: Dr. Gromer (Chairman), Dr. Kassakian, Mr. Krueger and Dr. Thakur. On May 1, 2016,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ECC was reconstituted to consist of the following members: Mr. Khaykin (Chairman), Mr. Feld, Dr. Gromer and Dr. Kassakian.</w:t>
      </w:r>
    </w:p>
    <w:p>
      <w:pPr>
        <w:spacing w:after="0" w:line="165"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has reviewed and discussed the Compensation Discussion and Analysis required by Item 402(b) of Regulation S-K with management. Based on such review and discussions, the ECC has recommended to our board of directors that the Compensation Discussion and Analysis be included in our Annual Report on Form 10-K for the fiscal year ended January 30, 2016.</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Respectfully submitted by the members of the ECC of our board of directors:</w:t>
      </w:r>
    </w:p>
    <w:p>
      <w:pPr>
        <w:spacing w:after="0" w:line="9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Oleg Khaykin, Chairman</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Peter Feld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144</w:t>
      </w:r>
    </w:p>
    <w:p>
      <w:pPr>
        <w:sectPr>
          <w:pgSz w:w="11900" w:h="16838" w:orient="portrait"/>
          <w:cols w:equalWidth="0" w:num="1">
            <w:col w:w="11420"/>
          </w:cols>
          <w:pgMar w:left="240" w:top="459" w:right="239" w:bottom="1440" w:gutter="0" w:footer="0" w:header="0"/>
        </w:sectPr>
      </w:pPr>
    </w:p>
    <w:bookmarkStart w:id="146" w:name="page147"/>
    <w:bookmarkEnd w:id="1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2016, 2015 and 2014</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Non-Equity</w:t>
            </w: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Stock</w:t>
            </w:r>
          </w:p>
        </w:tc>
        <w:tc>
          <w:tcPr>
            <w:tcW w:w="9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Option</w:t>
            </w: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Incentive Plan</w:t>
            </w: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All Other</w:t>
            </w:r>
          </w:p>
        </w:tc>
        <w:tc>
          <w:tcPr>
            <w:tcW w:w="5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7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80" w:type="dxa"/>
            <w:vAlign w:val="bottom"/>
          </w:tcPr>
          <w:p>
            <w:pPr>
              <w:spacing w:after="0"/>
              <w:rPr>
                <w:sz w:val="12"/>
                <w:szCs w:val="12"/>
                <w:color w:val="auto"/>
              </w:rPr>
            </w:pP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Fiscal</w:t>
            </w: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Awards</w:t>
            </w:r>
          </w:p>
        </w:tc>
        <w:tc>
          <w:tcPr>
            <w:tcW w:w="9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Awards</w:t>
            </w: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5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3700" w:type="dxa"/>
            <w:vAlign w:val="bottom"/>
            <w:gridSpan w:val="3"/>
            <w:vMerge w:val="continue"/>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gridSpan w:val="2"/>
          </w:tcPr>
          <w:p>
            <w:pPr>
              <w:ind w:left="80"/>
              <w:spacing w:after="0" w:line="148" w:lineRule="exact"/>
              <w:rPr>
                <w:sz w:val="20"/>
                <w:szCs w:val="20"/>
                <w:color w:val="auto"/>
              </w:rPr>
            </w:pPr>
            <w:r>
              <w:rPr>
                <w:rFonts w:ascii="Arial" w:cs="Arial" w:eastAsia="Arial" w:hAnsi="Arial"/>
                <w:sz w:val="14"/>
                <w:szCs w:val="14"/>
                <w:b w:val="1"/>
                <w:bCs w:val="1"/>
                <w:color w:val="auto"/>
              </w:rPr>
              <w:t>Year</w:t>
            </w:r>
          </w:p>
        </w:tc>
        <w:tc>
          <w:tcPr>
            <w:tcW w:w="820" w:type="dxa"/>
            <w:vAlign w:val="bottom"/>
            <w:gridSpan w:val="2"/>
          </w:tcPr>
          <w:p>
            <w:pPr>
              <w:ind w:left="40"/>
              <w:spacing w:after="0" w:line="148" w:lineRule="exact"/>
              <w:rPr>
                <w:sz w:val="20"/>
                <w:szCs w:val="20"/>
                <w:color w:val="auto"/>
              </w:rPr>
            </w:pPr>
            <w:r>
              <w:rPr>
                <w:rFonts w:ascii="Arial" w:cs="Arial" w:eastAsia="Arial" w:hAnsi="Arial"/>
                <w:sz w:val="14"/>
                <w:szCs w:val="14"/>
                <w:b w:val="1"/>
                <w:bCs w:val="1"/>
                <w:color w:val="auto"/>
              </w:rPr>
              <w:t xml:space="preserve">Salary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1040" w:type="dxa"/>
            <w:vAlign w:val="bottom"/>
            <w:gridSpan w:val="2"/>
          </w:tcPr>
          <w:p>
            <w:pPr>
              <w:jc w:val="right"/>
              <w:ind w:right="440"/>
              <w:spacing w:after="0" w:line="148" w:lineRule="exact"/>
              <w:rPr>
                <w:sz w:val="20"/>
                <w:szCs w:val="20"/>
                <w:color w:val="auto"/>
              </w:rPr>
            </w:pPr>
            <w:r>
              <w:rPr>
                <w:rFonts w:ascii="Arial" w:cs="Arial" w:eastAsia="Arial" w:hAnsi="Arial"/>
                <w:sz w:val="14"/>
                <w:szCs w:val="14"/>
                <w:b w:val="1"/>
                <w:bCs w:val="1"/>
                <w:color w:val="auto"/>
                <w:w w:val="89"/>
              </w:rPr>
              <w:t xml:space="preserve">Bonus </w:t>
            </w:r>
            <w:r>
              <w:rPr>
                <w:rFonts w:ascii="Arial" w:cs="Arial" w:eastAsia="Arial" w:hAnsi="Arial"/>
                <w:sz w:val="14"/>
                <w:szCs w:val="14"/>
                <w:b w:val="1"/>
                <w:bCs w:val="1"/>
                <w:u w:val="single" w:color="auto"/>
                <w:color w:val="auto"/>
                <w:w w:val="89"/>
              </w:rPr>
              <w:t>($</w:t>
            </w:r>
            <w:r>
              <w:rPr>
                <w:rFonts w:ascii="Arial" w:cs="Arial" w:eastAsia="Arial" w:hAnsi="Arial"/>
                <w:sz w:val="14"/>
                <w:szCs w:val="14"/>
                <w:b w:val="1"/>
                <w:bCs w:val="1"/>
                <w:color w:val="auto"/>
                <w:w w:val="89"/>
              </w:rPr>
              <w:t>)</w:t>
            </w: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9"/>
              </w:rPr>
              <w:t>($) (1)</w:t>
            </w:r>
          </w:p>
        </w:tc>
        <w:tc>
          <w:tcPr>
            <w:tcW w:w="180" w:type="dxa"/>
            <w:vAlign w:val="bottom"/>
          </w:tcPr>
          <w:p>
            <w:pPr>
              <w:spacing w:after="0"/>
              <w:rPr>
                <w:sz w:val="14"/>
                <w:szCs w:val="14"/>
                <w:color w:val="auto"/>
              </w:rPr>
            </w:pP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4"/>
              </w:rPr>
              <w:t>($) (2)(3)</w:t>
            </w:r>
          </w:p>
        </w:tc>
        <w:tc>
          <w:tcPr>
            <w:tcW w:w="180" w:type="dxa"/>
            <w:vAlign w:val="bottom"/>
          </w:tcPr>
          <w:p>
            <w:pPr>
              <w:spacing w:after="0"/>
              <w:rPr>
                <w:sz w:val="14"/>
                <w:szCs w:val="14"/>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4"/>
              </w:rPr>
              <w:t>($) (4)</w:t>
            </w:r>
          </w:p>
        </w:tc>
        <w:tc>
          <w:tcPr>
            <w:tcW w:w="200" w:type="dxa"/>
            <w:vAlign w:val="bottom"/>
          </w:tcPr>
          <w:p>
            <w:pPr>
              <w:spacing w:after="0"/>
              <w:rPr>
                <w:sz w:val="14"/>
                <w:szCs w:val="14"/>
                <w:color w:val="auto"/>
              </w:rPr>
            </w:pPr>
          </w:p>
        </w:tc>
        <w:tc>
          <w:tcPr>
            <w:tcW w:w="8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1"/>
              </w:rPr>
              <w:t>($)</w:t>
            </w:r>
          </w:p>
        </w:tc>
        <w:tc>
          <w:tcPr>
            <w:tcW w:w="500" w:type="dxa"/>
            <w:vAlign w:val="bottom"/>
          </w:tcPr>
          <w:p>
            <w:pPr>
              <w:spacing w:after="0"/>
              <w:rPr>
                <w:sz w:val="14"/>
                <w:szCs w:val="14"/>
                <w:color w:val="auto"/>
              </w:rPr>
            </w:pPr>
          </w:p>
        </w:tc>
        <w:tc>
          <w:tcPr>
            <w:tcW w:w="940" w:type="dxa"/>
            <w:vAlign w:val="bottom"/>
            <w:gridSpan w:val="2"/>
          </w:tcPr>
          <w:p>
            <w:pPr>
              <w:ind w:left="180"/>
              <w:spacing w:after="0" w:line="148" w:lineRule="exact"/>
              <w:rPr>
                <w:sz w:val="20"/>
                <w:szCs w:val="20"/>
                <w:color w:val="auto"/>
              </w:rPr>
            </w:pPr>
            <w:r>
              <w:rPr>
                <w:rFonts w:ascii="Arial" w:cs="Arial" w:eastAsia="Arial" w:hAnsi="Arial"/>
                <w:sz w:val="14"/>
                <w:szCs w:val="14"/>
                <w:b w:val="1"/>
                <w:bCs w:val="1"/>
                <w:color w:val="auto"/>
              </w:rPr>
              <w:t>Total ($)</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17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1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ind w:left="60"/>
              <w:spacing w:after="0" w:line="203" w:lineRule="exact"/>
              <w:rPr>
                <w:sz w:val="20"/>
                <w:szCs w:val="20"/>
                <w:color w:val="auto"/>
              </w:rPr>
            </w:pPr>
            <w:r>
              <w:rPr>
                <w:rFonts w:ascii="Arial" w:cs="Arial" w:eastAsia="Arial" w:hAnsi="Arial"/>
                <w:sz w:val="18"/>
                <w:szCs w:val="18"/>
                <w:color w:val="auto"/>
                <w:w w:val="84"/>
              </w:rPr>
              <w:t>2016</w:t>
            </w:r>
          </w:p>
        </w:tc>
        <w:tc>
          <w:tcPr>
            <w:tcW w:w="18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5"/>
              </w:rPr>
              <w:t>956,500</w:t>
            </w:r>
          </w:p>
        </w:tc>
        <w:tc>
          <w:tcPr>
            <w:tcW w:w="18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40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5,831,950</w:t>
            </w:r>
          </w:p>
        </w:tc>
        <w:tc>
          <w:tcPr>
            <w:tcW w:w="18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1,823,677</w:t>
            </w:r>
          </w:p>
        </w:tc>
        <w:tc>
          <w:tcPr>
            <w:tcW w:w="1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20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9"/>
              </w:rPr>
              <w:t>8,379,444</w:t>
            </w:r>
          </w:p>
        </w:tc>
        <w:tc>
          <w:tcPr>
            <w:tcW w:w="500" w:type="dxa"/>
            <w:vAlign w:val="bottom"/>
            <w:tcBorders>
              <w:top w:val="single" w:sz="8" w:color="CCEEFF"/>
            </w:tcBorders>
            <w:shd w:val="clear" w:color="auto" w:fill="CCEEFF"/>
          </w:tcPr>
          <w:p>
            <w:pPr>
              <w:ind w:left="60"/>
              <w:spacing w:after="0" w:line="202" w:lineRule="exact"/>
              <w:rPr>
                <w:sz w:val="20"/>
                <w:szCs w:val="20"/>
                <w:color w:val="auto"/>
              </w:rPr>
            </w:pPr>
            <w:r>
              <w:rPr>
                <w:rFonts w:ascii="Arial" w:cs="Arial" w:eastAsia="Arial" w:hAnsi="Arial"/>
                <w:sz w:val="18"/>
                <w:szCs w:val="18"/>
                <w:color w:val="auto"/>
              </w:rPr>
              <w:t>(5)</w:t>
            </w: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0"/>
              </w:rPr>
              <w:t>16,991,571</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Former Chief Executive Officer</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ind w:left="60"/>
              <w:spacing w:after="0"/>
              <w:rPr>
                <w:sz w:val="20"/>
                <w:szCs w:val="20"/>
                <w:color w:val="auto"/>
              </w:rPr>
            </w:pPr>
            <w:r>
              <w:rPr>
                <w:rFonts w:ascii="Arial" w:cs="Arial" w:eastAsia="Arial" w:hAnsi="Arial"/>
                <w:sz w:val="18"/>
                <w:szCs w:val="18"/>
                <w:color w:val="auto"/>
                <w:w w:val="84"/>
              </w:rPr>
              <w:t>2015</w:t>
            </w: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850,000</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5,537,784</w:t>
            </w: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1,480,374</w:t>
            </w: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1,818,402</w:t>
            </w:r>
          </w:p>
        </w:tc>
        <w:tc>
          <w:tcPr>
            <w:tcW w:w="2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1,890</w:t>
            </w:r>
          </w:p>
        </w:tc>
        <w:tc>
          <w:tcPr>
            <w:tcW w:w="500" w:type="dxa"/>
            <w:vAlign w:val="bottom"/>
            <w:shd w:val="clear" w:color="auto" w:fill="CCEEFF"/>
          </w:tcPr>
          <w:p>
            <w:pPr>
              <w:ind w:left="60"/>
              <w:spacing w:after="0"/>
              <w:rPr>
                <w:sz w:val="20"/>
                <w:szCs w:val="20"/>
                <w:color w:val="auto"/>
              </w:rPr>
            </w:pPr>
            <w:r>
              <w:rPr>
                <w:rFonts w:ascii="Arial" w:cs="Arial" w:eastAsia="Arial" w:hAnsi="Arial"/>
                <w:sz w:val="18"/>
                <w:szCs w:val="18"/>
                <w:color w:val="auto"/>
              </w:rPr>
              <w:t>(6)</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9,688,450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ind w:left="60"/>
              <w:spacing w:after="0"/>
              <w:rPr>
                <w:sz w:val="20"/>
                <w:szCs w:val="20"/>
                <w:color w:val="auto"/>
              </w:rPr>
            </w:pPr>
            <w:r>
              <w:rPr>
                <w:rFonts w:ascii="Arial" w:cs="Arial" w:eastAsia="Arial" w:hAnsi="Arial"/>
                <w:sz w:val="18"/>
                <w:szCs w:val="18"/>
                <w:color w:val="auto"/>
                <w:w w:val="84"/>
              </w:rPr>
              <w:t>2014</w:t>
            </w: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850,000</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2,104,000</w:t>
            </w: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5,112,450</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w:t>
            </w:r>
          </w:p>
        </w:tc>
        <w:tc>
          <w:tcPr>
            <w:tcW w:w="5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8,068,053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3700" w:type="dxa"/>
            <w:vAlign w:val="bottom"/>
            <w:gridSpan w:val="3"/>
          </w:tcPr>
          <w:p>
            <w:pPr>
              <w:spacing w:after="0"/>
              <w:rPr>
                <w:sz w:val="20"/>
                <w:szCs w:val="20"/>
                <w:color w:val="auto"/>
              </w:rPr>
            </w:pPr>
            <w:r>
              <w:rPr>
                <w:rFonts w:ascii="Arial" w:cs="Arial" w:eastAsia="Arial" w:hAnsi="Arial"/>
                <w:sz w:val="18"/>
                <w:szCs w:val="18"/>
                <w:color w:val="auto"/>
              </w:rPr>
              <w:t>Weili Dai</w:t>
            </w:r>
          </w:p>
        </w:tc>
        <w:tc>
          <w:tcPr>
            <w:tcW w:w="500" w:type="dxa"/>
            <w:vAlign w:val="bottom"/>
            <w:gridSpan w:val="2"/>
          </w:tcPr>
          <w:p>
            <w:pPr>
              <w:ind w:left="140"/>
              <w:spacing w:after="0"/>
              <w:rPr>
                <w:sz w:val="20"/>
                <w:szCs w:val="20"/>
                <w:color w:val="auto"/>
              </w:rPr>
            </w:pPr>
            <w:r>
              <w:rPr>
                <w:rFonts w:ascii="Arial" w:cs="Arial" w:eastAsia="Arial" w:hAnsi="Arial"/>
                <w:sz w:val="18"/>
                <w:szCs w:val="18"/>
                <w:color w:val="auto"/>
                <w:w w:val="84"/>
              </w:rPr>
              <w:t>2016</w:t>
            </w:r>
          </w:p>
        </w:tc>
        <w:tc>
          <w:tcPr>
            <w:tcW w:w="1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571,231</w:t>
            </w:r>
          </w:p>
        </w:tc>
        <w:tc>
          <w:tcPr>
            <w:tcW w:w="180" w:type="dxa"/>
            <w:vAlign w:val="bottom"/>
          </w:tcPr>
          <w:p>
            <w:pPr>
              <w:spacing w:after="0"/>
              <w:rPr>
                <w:sz w:val="24"/>
                <w:szCs w:val="24"/>
                <w:color w:val="auto"/>
              </w:rPr>
            </w:pPr>
          </w:p>
        </w:tc>
        <w:tc>
          <w:tcPr>
            <w:tcW w:w="10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3,243,796</w:t>
            </w:r>
          </w:p>
        </w:tc>
        <w:tc>
          <w:tcPr>
            <w:tcW w:w="180" w:type="dxa"/>
            <w:vAlign w:val="bottom"/>
          </w:tcPr>
          <w:p>
            <w:pPr>
              <w:spacing w:after="0"/>
              <w:rPr>
                <w:sz w:val="24"/>
                <w:szCs w:val="24"/>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1,013,154</w:t>
            </w:r>
          </w:p>
        </w:tc>
        <w:tc>
          <w:tcPr>
            <w:tcW w:w="180" w:type="dxa"/>
            <w:vAlign w:val="bottom"/>
          </w:tcPr>
          <w:p>
            <w:pPr>
              <w:spacing w:after="0"/>
              <w:rPr>
                <w:sz w:val="24"/>
                <w:szCs w:val="24"/>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1,656</w:t>
            </w:r>
          </w:p>
        </w:tc>
        <w:tc>
          <w:tcPr>
            <w:tcW w:w="500" w:type="dxa"/>
            <w:vAlign w:val="bottom"/>
          </w:tcPr>
          <w:p>
            <w:pPr>
              <w:spacing w:after="0"/>
              <w:rPr>
                <w:sz w:val="24"/>
                <w:szCs w:val="24"/>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4,829,837</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700" w:type="dxa"/>
            <w:vAlign w:val="bottom"/>
            <w:gridSpan w:val="3"/>
          </w:tcPr>
          <w:p>
            <w:pPr>
              <w:spacing w:after="0"/>
              <w:rPr>
                <w:sz w:val="20"/>
                <w:szCs w:val="20"/>
                <w:color w:val="auto"/>
              </w:rPr>
            </w:pPr>
            <w:r>
              <w:rPr>
                <w:rFonts w:ascii="Arial" w:cs="Arial" w:eastAsia="Arial" w:hAnsi="Arial"/>
                <w:sz w:val="18"/>
                <w:szCs w:val="18"/>
                <w:color w:val="auto"/>
              </w:rPr>
              <w:t>Former President</w:t>
            </w:r>
          </w:p>
        </w:tc>
        <w:tc>
          <w:tcPr>
            <w:tcW w:w="500" w:type="dxa"/>
            <w:vAlign w:val="bottom"/>
            <w:gridSpan w:val="2"/>
          </w:tcPr>
          <w:p>
            <w:pPr>
              <w:ind w:left="140"/>
              <w:spacing w:after="0"/>
              <w:rPr>
                <w:sz w:val="20"/>
                <w:szCs w:val="20"/>
                <w:color w:val="auto"/>
              </w:rPr>
            </w:pPr>
            <w:r>
              <w:rPr>
                <w:rFonts w:ascii="Arial" w:cs="Arial" w:eastAsia="Arial" w:hAnsi="Arial"/>
                <w:sz w:val="18"/>
                <w:szCs w:val="18"/>
                <w:color w:val="auto"/>
                <w:w w:val="84"/>
              </w:rPr>
              <w:t>2015</w:t>
            </w:r>
          </w:p>
        </w:tc>
        <w:tc>
          <w:tcPr>
            <w:tcW w:w="1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551,154</w:t>
            </w:r>
          </w:p>
        </w:tc>
        <w:tc>
          <w:tcPr>
            <w:tcW w:w="180" w:type="dxa"/>
            <w:vAlign w:val="bottom"/>
          </w:tcPr>
          <w:p>
            <w:pPr>
              <w:spacing w:after="0"/>
              <w:rPr>
                <w:sz w:val="18"/>
                <w:szCs w:val="18"/>
                <w:color w:val="auto"/>
              </w:rPr>
            </w:pPr>
          </w:p>
        </w:tc>
        <w:tc>
          <w:tcPr>
            <w:tcW w:w="10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3,102,400</w:t>
            </w:r>
          </w:p>
        </w:tc>
        <w:tc>
          <w:tcPr>
            <w:tcW w:w="1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795,900</w:t>
            </w: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638,936</w:t>
            </w:r>
          </w:p>
        </w:tc>
        <w:tc>
          <w:tcPr>
            <w:tcW w:w="2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1,890</w:t>
            </w:r>
          </w:p>
        </w:tc>
        <w:tc>
          <w:tcPr>
            <w:tcW w:w="500" w:type="dxa"/>
            <w:vAlign w:val="bottom"/>
          </w:tcPr>
          <w:p>
            <w:pPr>
              <w:ind w:left="60"/>
              <w:spacing w:after="0"/>
              <w:rPr>
                <w:sz w:val="20"/>
                <w:szCs w:val="20"/>
                <w:color w:val="auto"/>
              </w:rPr>
            </w:pPr>
            <w:r>
              <w:rPr>
                <w:rFonts w:ascii="Arial" w:cs="Arial" w:eastAsia="Arial" w:hAnsi="Arial"/>
                <w:sz w:val="18"/>
                <w:szCs w:val="18"/>
                <w:color w:val="auto"/>
              </w:rPr>
              <w:t>(6)</w:t>
            </w:r>
          </w:p>
        </w:tc>
        <w:tc>
          <w:tcPr>
            <w:tcW w:w="840" w:type="dxa"/>
            <w:vAlign w:val="bottom"/>
          </w:tcPr>
          <w:p>
            <w:pPr>
              <w:jc w:val="right"/>
              <w:spacing w:after="0"/>
              <w:rPr>
                <w:sz w:val="20"/>
                <w:szCs w:val="20"/>
                <w:color w:val="auto"/>
              </w:rPr>
            </w:pPr>
            <w:r>
              <w:rPr>
                <w:rFonts w:ascii="Arial" w:cs="Arial" w:eastAsia="Arial" w:hAnsi="Arial"/>
                <w:sz w:val="18"/>
                <w:szCs w:val="18"/>
                <w:color w:val="auto"/>
              </w:rPr>
              <w:t>5,090,280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940" w:type="dxa"/>
            <w:vAlign w:val="bottom"/>
          </w:tcPr>
          <w:p>
            <w:pPr>
              <w:spacing w:after="0"/>
              <w:rPr>
                <w:sz w:val="19"/>
                <w:szCs w:val="19"/>
                <w:color w:val="auto"/>
              </w:rPr>
            </w:pPr>
          </w:p>
        </w:tc>
        <w:tc>
          <w:tcPr>
            <w:tcW w:w="500" w:type="dxa"/>
            <w:vAlign w:val="bottom"/>
            <w:gridSpan w:val="2"/>
          </w:tcPr>
          <w:p>
            <w:pPr>
              <w:ind w:left="140"/>
              <w:spacing w:after="0"/>
              <w:rPr>
                <w:sz w:val="20"/>
                <w:szCs w:val="20"/>
                <w:color w:val="auto"/>
              </w:rPr>
            </w:pPr>
            <w:r>
              <w:rPr>
                <w:rFonts w:ascii="Arial" w:cs="Arial" w:eastAsia="Arial" w:hAnsi="Arial"/>
                <w:sz w:val="18"/>
                <w:szCs w:val="18"/>
                <w:color w:val="auto"/>
                <w:w w:val="84"/>
              </w:rPr>
              <w:t>2014</w:t>
            </w:r>
          </w:p>
        </w:tc>
        <w:tc>
          <w:tcPr>
            <w:tcW w:w="1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510,000</w:t>
            </w:r>
          </w:p>
        </w:tc>
        <w:tc>
          <w:tcPr>
            <w:tcW w:w="180" w:type="dxa"/>
            <w:vAlign w:val="bottom"/>
          </w:tcPr>
          <w:p>
            <w:pPr>
              <w:spacing w:after="0"/>
              <w:rPr>
                <w:sz w:val="19"/>
                <w:szCs w:val="19"/>
                <w:color w:val="auto"/>
              </w:rPr>
            </w:pPr>
          </w:p>
        </w:tc>
        <w:tc>
          <w:tcPr>
            <w:tcW w:w="10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1,683,200</w:t>
            </w:r>
          </w:p>
        </w:tc>
        <w:tc>
          <w:tcPr>
            <w:tcW w:w="18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1,533,735</w:t>
            </w:r>
          </w:p>
        </w:tc>
        <w:tc>
          <w:tcPr>
            <w:tcW w:w="1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1,603</w:t>
            </w:r>
          </w:p>
        </w:tc>
        <w:tc>
          <w:tcPr>
            <w:tcW w:w="50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3,728,538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1740" w:type="dxa"/>
            <w:vAlign w:val="bottom"/>
          </w:tcPr>
          <w:p>
            <w:pPr>
              <w:spacing w:after="0"/>
              <w:rPr>
                <w:sz w:val="9"/>
                <w:szCs w:val="9"/>
                <w:color w:val="auto"/>
              </w:rPr>
            </w:pPr>
          </w:p>
        </w:tc>
        <w:tc>
          <w:tcPr>
            <w:tcW w:w="1940" w:type="dxa"/>
            <w:vAlign w:val="bottom"/>
          </w:tcPr>
          <w:p>
            <w:pPr>
              <w:spacing w:after="0"/>
              <w:rPr>
                <w:sz w:val="9"/>
                <w:szCs w:val="9"/>
                <w:color w:val="auto"/>
              </w:rPr>
            </w:pPr>
          </w:p>
        </w:tc>
        <w:tc>
          <w:tcPr>
            <w:tcW w:w="500" w:type="dxa"/>
            <w:vAlign w:val="bottom"/>
            <w:gridSpan w:val="2"/>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20" w:type="dxa"/>
            <w:vAlign w:val="bottom"/>
          </w:tcPr>
          <w:p>
            <w:pPr>
              <w:spacing w:after="0"/>
              <w:rPr>
                <w:sz w:val="9"/>
                <w:szCs w:val="9"/>
                <w:color w:val="auto"/>
              </w:rPr>
            </w:pPr>
          </w:p>
        </w:tc>
        <w:tc>
          <w:tcPr>
            <w:tcW w:w="500" w:type="dxa"/>
            <w:vAlign w:val="bottom"/>
          </w:tcPr>
          <w:p>
            <w:pPr>
              <w:spacing w:after="0"/>
              <w:rPr>
                <w:sz w:val="9"/>
                <w:szCs w:val="9"/>
                <w:color w:val="auto"/>
              </w:rPr>
            </w:pPr>
          </w:p>
        </w:tc>
        <w:tc>
          <w:tcPr>
            <w:tcW w:w="8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Michael Rashkin (7)</w:t>
            </w:r>
          </w:p>
        </w:tc>
        <w:tc>
          <w:tcPr>
            <w:tcW w:w="50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84"/>
              </w:rPr>
              <w:t>2016</w:t>
            </w: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132,231</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1,667,793</w:t>
            </w:r>
          </w:p>
        </w:tc>
        <w:tc>
          <w:tcPr>
            <w:tcW w:w="1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62,369</w:t>
            </w:r>
          </w:p>
        </w:tc>
        <w:tc>
          <w:tcPr>
            <w:tcW w:w="500" w:type="dxa"/>
            <w:vAlign w:val="bottom"/>
            <w:shd w:val="clear" w:color="auto" w:fill="CCEEFF"/>
          </w:tcPr>
          <w:p>
            <w:pPr>
              <w:ind w:left="60"/>
              <w:spacing w:after="0"/>
              <w:rPr>
                <w:sz w:val="20"/>
                <w:szCs w:val="20"/>
                <w:color w:val="auto"/>
              </w:rPr>
            </w:pPr>
            <w:r>
              <w:rPr>
                <w:rFonts w:ascii="Arial" w:cs="Arial" w:eastAsia="Arial" w:hAnsi="Arial"/>
                <w:sz w:val="18"/>
                <w:szCs w:val="18"/>
                <w:color w:val="auto"/>
              </w:rPr>
              <w:t>(8)</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1,862,393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Former Chief Financial Officer</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ind w:left="60"/>
              <w:spacing w:after="0"/>
              <w:rPr>
                <w:sz w:val="20"/>
                <w:szCs w:val="20"/>
                <w:color w:val="auto"/>
              </w:rPr>
            </w:pPr>
            <w:r>
              <w:rPr>
                <w:rFonts w:ascii="Arial" w:cs="Arial" w:eastAsia="Arial" w:hAnsi="Arial"/>
                <w:sz w:val="18"/>
                <w:szCs w:val="18"/>
                <w:color w:val="auto"/>
                <w:w w:val="84"/>
              </w:rPr>
              <w:t>2015</w:t>
            </w: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394,618</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30,000 (9)</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1,551,200</w:t>
            </w: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397,950</w:t>
            </w: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285,239</w:t>
            </w:r>
          </w:p>
        </w:tc>
        <w:tc>
          <w:tcPr>
            <w:tcW w:w="2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w:t>
            </w:r>
          </w:p>
        </w:tc>
        <w:tc>
          <w:tcPr>
            <w:tcW w:w="500" w:type="dxa"/>
            <w:vAlign w:val="bottom"/>
            <w:shd w:val="clear" w:color="auto" w:fill="CCEEFF"/>
          </w:tcPr>
          <w:p>
            <w:pPr>
              <w:ind w:left="60"/>
              <w:spacing w:after="0"/>
              <w:rPr>
                <w:sz w:val="20"/>
                <w:szCs w:val="20"/>
                <w:color w:val="auto"/>
              </w:rPr>
            </w:pPr>
            <w:r>
              <w:rPr>
                <w:rFonts w:ascii="Arial" w:cs="Arial" w:eastAsia="Arial" w:hAnsi="Arial"/>
                <w:sz w:val="18"/>
                <w:szCs w:val="18"/>
                <w:color w:val="auto"/>
              </w:rPr>
              <w:t>(10)</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2,661,007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ind w:left="60"/>
              <w:spacing w:after="0"/>
              <w:rPr>
                <w:sz w:val="20"/>
                <w:szCs w:val="20"/>
                <w:color w:val="auto"/>
              </w:rPr>
            </w:pPr>
            <w:r>
              <w:rPr>
                <w:rFonts w:ascii="Arial" w:cs="Arial" w:eastAsia="Arial" w:hAnsi="Arial"/>
                <w:sz w:val="18"/>
                <w:szCs w:val="18"/>
                <w:color w:val="auto"/>
                <w:w w:val="84"/>
              </w:rPr>
              <w:t>2014</w:t>
            </w: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120,000</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w:t>
            </w:r>
          </w:p>
        </w:tc>
        <w:tc>
          <w:tcPr>
            <w:tcW w:w="5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3700" w:type="dxa"/>
            <w:vAlign w:val="bottom"/>
            <w:gridSpan w:val="3"/>
          </w:tcPr>
          <w:p>
            <w:pPr>
              <w:spacing w:after="0"/>
              <w:rPr>
                <w:sz w:val="20"/>
                <w:szCs w:val="20"/>
                <w:color w:val="auto"/>
              </w:rPr>
            </w:pPr>
            <w:r>
              <w:rPr>
                <w:rFonts w:ascii="Arial" w:cs="Arial" w:eastAsia="Arial" w:hAnsi="Arial"/>
                <w:sz w:val="18"/>
                <w:szCs w:val="18"/>
                <w:color w:val="auto"/>
              </w:rPr>
              <w:t>Mr. Sukhi Nagesh (11)</w:t>
            </w:r>
          </w:p>
        </w:tc>
        <w:tc>
          <w:tcPr>
            <w:tcW w:w="500" w:type="dxa"/>
            <w:vAlign w:val="bottom"/>
            <w:gridSpan w:val="2"/>
          </w:tcPr>
          <w:p>
            <w:pPr>
              <w:ind w:left="140"/>
              <w:spacing w:after="0"/>
              <w:rPr>
                <w:sz w:val="20"/>
                <w:szCs w:val="20"/>
                <w:color w:val="auto"/>
              </w:rPr>
            </w:pPr>
            <w:r>
              <w:rPr>
                <w:rFonts w:ascii="Arial" w:cs="Arial" w:eastAsia="Arial" w:hAnsi="Arial"/>
                <w:sz w:val="18"/>
                <w:szCs w:val="18"/>
                <w:color w:val="auto"/>
                <w:w w:val="84"/>
              </w:rPr>
              <w:t>2016</w:t>
            </w:r>
          </w:p>
        </w:tc>
        <w:tc>
          <w:tcPr>
            <w:tcW w:w="1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299,461</w:t>
            </w:r>
          </w:p>
        </w:tc>
        <w:tc>
          <w:tcPr>
            <w:tcW w:w="1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100,000</w:t>
            </w:r>
          </w:p>
        </w:tc>
        <w:tc>
          <w:tcPr>
            <w:tcW w:w="400" w:type="dxa"/>
            <w:vAlign w:val="bottom"/>
          </w:tcPr>
          <w:p>
            <w:pPr>
              <w:spacing w:after="0"/>
              <w:rPr>
                <w:sz w:val="24"/>
                <w:szCs w:val="24"/>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198,720</w:t>
            </w:r>
          </w:p>
        </w:tc>
        <w:tc>
          <w:tcPr>
            <w:tcW w:w="180" w:type="dxa"/>
            <w:vAlign w:val="bottom"/>
          </w:tcPr>
          <w:p>
            <w:pPr>
              <w:spacing w:after="0"/>
              <w:rPr>
                <w:sz w:val="24"/>
                <w:szCs w:val="24"/>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155,820</w:t>
            </w:r>
          </w:p>
        </w:tc>
        <w:tc>
          <w:tcPr>
            <w:tcW w:w="200" w:type="dxa"/>
            <w:vAlign w:val="bottom"/>
          </w:tcPr>
          <w:p>
            <w:pPr>
              <w:spacing w:after="0"/>
              <w:rPr>
                <w:sz w:val="24"/>
                <w:szCs w:val="24"/>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45,692</w:t>
            </w:r>
          </w:p>
        </w:tc>
        <w:tc>
          <w:tcPr>
            <w:tcW w:w="500" w:type="dxa"/>
            <w:vAlign w:val="bottom"/>
          </w:tcPr>
          <w:p>
            <w:pPr>
              <w:ind w:left="60"/>
              <w:spacing w:after="0"/>
              <w:rPr>
                <w:sz w:val="20"/>
                <w:szCs w:val="20"/>
                <w:color w:val="auto"/>
              </w:rPr>
            </w:pPr>
            <w:r>
              <w:rPr>
                <w:rFonts w:ascii="Arial" w:cs="Arial" w:eastAsia="Arial" w:hAnsi="Arial"/>
                <w:sz w:val="18"/>
                <w:szCs w:val="18"/>
                <w:color w:val="auto"/>
              </w:rPr>
              <w:t>(12)</w:t>
            </w:r>
          </w:p>
        </w:tc>
        <w:tc>
          <w:tcPr>
            <w:tcW w:w="840" w:type="dxa"/>
            <w:vAlign w:val="bottom"/>
          </w:tcPr>
          <w:p>
            <w:pPr>
              <w:jc w:val="right"/>
              <w:spacing w:after="0"/>
              <w:rPr>
                <w:sz w:val="20"/>
                <w:szCs w:val="20"/>
                <w:color w:val="auto"/>
              </w:rPr>
            </w:pPr>
            <w:r>
              <w:rPr>
                <w:rFonts w:ascii="Arial" w:cs="Arial" w:eastAsia="Arial" w:hAnsi="Arial"/>
                <w:sz w:val="18"/>
                <w:szCs w:val="18"/>
                <w:color w:val="auto"/>
              </w:rPr>
              <w:t>799,694</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3700" w:type="dxa"/>
            <w:vAlign w:val="bottom"/>
            <w:gridSpan w:val="3"/>
          </w:tcPr>
          <w:p>
            <w:pPr>
              <w:spacing w:after="0"/>
              <w:rPr>
                <w:sz w:val="20"/>
                <w:szCs w:val="20"/>
                <w:color w:val="auto"/>
              </w:rPr>
            </w:pPr>
            <w:r>
              <w:rPr>
                <w:rFonts w:ascii="Arial" w:cs="Arial" w:eastAsia="Arial" w:hAnsi="Arial"/>
                <w:sz w:val="18"/>
                <w:szCs w:val="18"/>
                <w:color w:val="auto"/>
              </w:rPr>
              <w:t>Former Interim Chief Financial Officer</w:t>
            </w: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1740" w:type="dxa"/>
            <w:vAlign w:val="bottom"/>
          </w:tcPr>
          <w:p>
            <w:pPr>
              <w:spacing w:after="0"/>
              <w:rPr>
                <w:sz w:val="9"/>
                <w:szCs w:val="9"/>
                <w:color w:val="auto"/>
              </w:rPr>
            </w:pPr>
          </w:p>
        </w:tc>
        <w:tc>
          <w:tcPr>
            <w:tcW w:w="1940" w:type="dxa"/>
            <w:vAlign w:val="bottom"/>
          </w:tcPr>
          <w:p>
            <w:pPr>
              <w:spacing w:after="0"/>
              <w:rPr>
                <w:sz w:val="9"/>
                <w:szCs w:val="9"/>
                <w:color w:val="auto"/>
              </w:rPr>
            </w:pPr>
          </w:p>
        </w:tc>
        <w:tc>
          <w:tcPr>
            <w:tcW w:w="500" w:type="dxa"/>
            <w:vAlign w:val="bottom"/>
            <w:gridSpan w:val="2"/>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20" w:type="dxa"/>
            <w:vAlign w:val="bottom"/>
          </w:tcPr>
          <w:p>
            <w:pPr>
              <w:spacing w:after="0"/>
              <w:rPr>
                <w:sz w:val="9"/>
                <w:szCs w:val="9"/>
                <w:color w:val="auto"/>
              </w:rPr>
            </w:pPr>
          </w:p>
        </w:tc>
        <w:tc>
          <w:tcPr>
            <w:tcW w:w="500" w:type="dxa"/>
            <w:vAlign w:val="bottom"/>
          </w:tcPr>
          <w:p>
            <w:pPr>
              <w:spacing w:after="0"/>
              <w:rPr>
                <w:sz w:val="9"/>
                <w:szCs w:val="9"/>
                <w:color w:val="auto"/>
              </w:rPr>
            </w:pPr>
          </w:p>
        </w:tc>
        <w:tc>
          <w:tcPr>
            <w:tcW w:w="8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50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84"/>
              </w:rPr>
              <w:t>2016</w:t>
            </w: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428,873</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1,865,572</w:t>
            </w: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506,577</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36,585</w:t>
            </w:r>
          </w:p>
        </w:tc>
        <w:tc>
          <w:tcPr>
            <w:tcW w:w="500" w:type="dxa"/>
            <w:vAlign w:val="bottom"/>
            <w:shd w:val="clear" w:color="auto" w:fill="CCEEFF"/>
          </w:tcPr>
          <w:p>
            <w:pPr>
              <w:ind w:left="60"/>
              <w:spacing w:after="0"/>
              <w:rPr>
                <w:sz w:val="20"/>
                <w:szCs w:val="20"/>
                <w:color w:val="auto"/>
              </w:rPr>
            </w:pPr>
            <w:r>
              <w:rPr>
                <w:rFonts w:ascii="Arial" w:cs="Arial" w:eastAsia="Arial" w:hAnsi="Arial"/>
                <w:sz w:val="18"/>
                <w:szCs w:val="18"/>
                <w:color w:val="auto"/>
              </w:rPr>
              <w:t>(13)</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2,837,607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Chief Technology Officer</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ind w:left="60"/>
              <w:spacing w:after="0"/>
              <w:rPr>
                <w:sz w:val="20"/>
                <w:szCs w:val="20"/>
                <w:color w:val="auto"/>
              </w:rPr>
            </w:pPr>
            <w:r>
              <w:rPr>
                <w:rFonts w:ascii="Arial" w:cs="Arial" w:eastAsia="Arial" w:hAnsi="Arial"/>
                <w:sz w:val="18"/>
                <w:szCs w:val="18"/>
                <w:color w:val="auto"/>
                <w:w w:val="84"/>
              </w:rPr>
              <w:t>2015</w:t>
            </w: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384,578</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5"/>
              </w:rPr>
              <w:t>110,000 (9)</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1,551,200</w:t>
            </w: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397,950</w:t>
            </w: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285,239</w:t>
            </w:r>
          </w:p>
        </w:tc>
        <w:tc>
          <w:tcPr>
            <w:tcW w:w="2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102,233</w:t>
            </w:r>
          </w:p>
        </w:tc>
        <w:tc>
          <w:tcPr>
            <w:tcW w:w="500" w:type="dxa"/>
            <w:vAlign w:val="bottom"/>
            <w:shd w:val="clear" w:color="auto" w:fill="CCEEFF"/>
          </w:tcPr>
          <w:p>
            <w:pPr>
              <w:ind w:left="60"/>
              <w:spacing w:after="0"/>
              <w:rPr>
                <w:sz w:val="20"/>
                <w:szCs w:val="20"/>
                <w:color w:val="auto"/>
              </w:rPr>
            </w:pPr>
            <w:r>
              <w:rPr>
                <w:rFonts w:ascii="Arial" w:cs="Arial" w:eastAsia="Arial" w:hAnsi="Arial"/>
                <w:sz w:val="18"/>
                <w:szCs w:val="18"/>
                <w:color w:val="auto"/>
              </w:rPr>
              <w:t>(14)</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2,831,200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ind w:left="60"/>
              <w:spacing w:after="0"/>
              <w:rPr>
                <w:sz w:val="20"/>
                <w:szCs w:val="20"/>
                <w:color w:val="auto"/>
              </w:rPr>
            </w:pPr>
            <w:r>
              <w:rPr>
                <w:rFonts w:ascii="Arial" w:cs="Arial" w:eastAsia="Arial" w:hAnsi="Arial"/>
                <w:sz w:val="18"/>
                <w:szCs w:val="18"/>
                <w:color w:val="auto"/>
                <w:w w:val="84"/>
              </w:rPr>
              <w:t>2014</w:t>
            </w:r>
          </w:p>
        </w:tc>
        <w:tc>
          <w:tcPr>
            <w:tcW w:w="1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5"/>
              </w:rPr>
              <w:t>307,911</w:t>
            </w: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168,320</w:t>
            </w: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408,996</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47,135</w:t>
            </w:r>
          </w:p>
        </w:tc>
        <w:tc>
          <w:tcPr>
            <w:tcW w:w="5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932,632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3700" w:type="dxa"/>
            <w:vAlign w:val="bottom"/>
            <w:gridSpan w:val="3"/>
          </w:tcPr>
          <w:p>
            <w:pPr>
              <w:spacing w:after="0"/>
              <w:rPr>
                <w:sz w:val="20"/>
                <w:szCs w:val="20"/>
                <w:color w:val="auto"/>
              </w:rPr>
            </w:pPr>
            <w:r>
              <w:rPr>
                <w:rFonts w:ascii="Arial" w:cs="Arial" w:eastAsia="Arial" w:hAnsi="Arial"/>
                <w:sz w:val="18"/>
                <w:szCs w:val="18"/>
                <w:color w:val="auto"/>
              </w:rPr>
              <w:t>Mr. David P. Eichler</w:t>
            </w:r>
          </w:p>
        </w:tc>
        <w:tc>
          <w:tcPr>
            <w:tcW w:w="500" w:type="dxa"/>
            <w:vAlign w:val="bottom"/>
            <w:gridSpan w:val="2"/>
          </w:tcPr>
          <w:p>
            <w:pPr>
              <w:ind w:left="140"/>
              <w:spacing w:after="0"/>
              <w:rPr>
                <w:sz w:val="20"/>
                <w:szCs w:val="20"/>
                <w:color w:val="auto"/>
              </w:rPr>
            </w:pPr>
            <w:r>
              <w:rPr>
                <w:rFonts w:ascii="Arial" w:cs="Arial" w:eastAsia="Arial" w:hAnsi="Arial"/>
                <w:sz w:val="18"/>
                <w:szCs w:val="18"/>
                <w:color w:val="auto"/>
                <w:w w:val="84"/>
              </w:rPr>
              <w:t>2016</w:t>
            </w:r>
          </w:p>
        </w:tc>
        <w:tc>
          <w:tcPr>
            <w:tcW w:w="1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214,381</w:t>
            </w:r>
          </w:p>
        </w:tc>
        <w:tc>
          <w:tcPr>
            <w:tcW w:w="180" w:type="dxa"/>
            <w:vAlign w:val="bottom"/>
          </w:tcPr>
          <w:p>
            <w:pPr>
              <w:spacing w:after="0"/>
              <w:rPr>
                <w:sz w:val="24"/>
                <w:szCs w:val="24"/>
                <w:color w:val="auto"/>
              </w:rPr>
            </w:pPr>
          </w:p>
        </w:tc>
        <w:tc>
          <w:tcPr>
            <w:tcW w:w="10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24"/>
                <w:szCs w:val="24"/>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214,381</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3700" w:type="dxa"/>
            <w:vAlign w:val="bottom"/>
            <w:gridSpan w:val="3"/>
          </w:tcPr>
          <w:p>
            <w:pPr>
              <w:spacing w:after="0"/>
              <w:rPr>
                <w:sz w:val="20"/>
                <w:szCs w:val="20"/>
                <w:color w:val="auto"/>
              </w:rPr>
            </w:pPr>
            <w:r>
              <w:rPr>
                <w:rFonts w:ascii="Arial" w:cs="Arial" w:eastAsia="Arial" w:hAnsi="Arial"/>
                <w:sz w:val="18"/>
                <w:szCs w:val="18"/>
                <w:color w:val="auto"/>
              </w:rPr>
              <w:t>Interim Chief Financial Officer (15)</w:t>
            </w: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right="80" w:hanging="452"/>
        <w:spacing w:after="0" w:line="283" w:lineRule="auto"/>
        <w:tabs>
          <w:tab w:leader="none" w:pos="460" w:val="left"/>
        </w:tabs>
        <w:numPr>
          <w:ilvl w:val="0"/>
          <w:numId w:val="63"/>
        </w:numPr>
        <w:rPr>
          <w:rFonts w:ascii="Arial" w:cs="Arial" w:eastAsia="Arial" w:hAnsi="Arial"/>
          <w:sz w:val="16"/>
          <w:szCs w:val="16"/>
          <w:color w:val="auto"/>
        </w:rPr>
      </w:pPr>
      <w:r>
        <w:rPr>
          <w:rFonts w:ascii="Arial" w:cs="Arial" w:eastAsia="Arial" w:hAnsi="Arial"/>
          <w:sz w:val="16"/>
          <w:szCs w:val="16"/>
          <w:color w:val="auto"/>
        </w:rPr>
        <w:t>The dollar value of RSUs and performance awards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and performance award will depend on the price per share of our common shares at the time shares underlying the RSUs and performance awards are sold. There can be no assurance that the actual value realized by an executive will be at or near the grant date fair value of the RSUs or performance awards awarded.</w:t>
      </w:r>
    </w:p>
    <w:p>
      <w:pPr>
        <w:spacing w:after="0" w:line="2" w:lineRule="exact"/>
        <w:rPr>
          <w:rFonts w:ascii="Arial" w:cs="Arial" w:eastAsia="Arial" w:hAnsi="Arial"/>
          <w:sz w:val="16"/>
          <w:szCs w:val="16"/>
          <w:color w:val="auto"/>
        </w:rPr>
      </w:pPr>
    </w:p>
    <w:p>
      <w:pPr>
        <w:ind w:left="460" w:right="40" w:hanging="452"/>
        <w:spacing w:after="0" w:line="300" w:lineRule="auto"/>
        <w:tabs>
          <w:tab w:leader="none" w:pos="460" w:val="left"/>
        </w:tabs>
        <w:numPr>
          <w:ilvl w:val="0"/>
          <w:numId w:val="63"/>
        </w:numPr>
        <w:rPr>
          <w:rFonts w:ascii="Arial" w:cs="Arial" w:eastAsia="Arial" w:hAnsi="Arial"/>
          <w:sz w:val="15"/>
          <w:szCs w:val="15"/>
          <w:color w:val="auto"/>
        </w:rPr>
      </w:pPr>
      <w:r>
        <w:rPr>
          <w:rFonts w:ascii="Arial" w:cs="Arial" w:eastAsia="Arial" w:hAnsi="Arial"/>
          <w:sz w:val="15"/>
          <w:szCs w:val="15"/>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this Annual Report Form 10-K.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2" w:lineRule="exact"/>
        <w:rPr>
          <w:rFonts w:ascii="Arial" w:cs="Arial" w:eastAsia="Arial" w:hAnsi="Arial"/>
          <w:sz w:val="15"/>
          <w:szCs w:val="15"/>
          <w:color w:val="auto"/>
        </w:rPr>
      </w:pPr>
    </w:p>
    <w:p>
      <w:pPr>
        <w:ind w:left="460" w:right="20" w:hanging="452"/>
        <w:spacing w:after="0" w:line="286" w:lineRule="auto"/>
        <w:tabs>
          <w:tab w:leader="none" w:pos="460" w:val="left"/>
        </w:tabs>
        <w:numPr>
          <w:ilvl w:val="0"/>
          <w:numId w:val="63"/>
        </w:numPr>
        <w:rPr>
          <w:rFonts w:ascii="Arial" w:cs="Arial" w:eastAsia="Arial" w:hAnsi="Arial"/>
          <w:sz w:val="16"/>
          <w:szCs w:val="16"/>
          <w:color w:val="auto"/>
        </w:rPr>
      </w:pPr>
      <w:r>
        <w:rPr>
          <w:rFonts w:ascii="Arial" w:cs="Arial" w:eastAsia="Arial" w:hAnsi="Arial"/>
          <w:sz w:val="16"/>
          <w:szCs w:val="16"/>
          <w:color w:val="auto"/>
        </w:rPr>
        <w:t>Companies make different assumptions regarding the volatility input when determining the estimated grant date fair value of stock option awards in accordance with FASB ASC Topic 718. We use a blended volatility that is an equally weighted combination of historical stock price volatility and implied volatility in our financial statements. The implied volatility is derived from traded options on our stock in the marketplace and the historical volatility is based on the actual historical changes in our stock price over an extended period of time prior to the grant. Because many companies use only an implied volatility, which is based on the level of volatility assumed in the market prices of freely traded options as of the date of grant, we believe it is useful to provide investors with what the value of stock option awards would be had we used only implied volatility as an input for comparative purposes. The following table presents the grant date fair value of our stock option awards in fiscal 2016 assuming an implied volatility of 33% (compared to a blended implied and historical volatility of 34%), the grant date fair value of our stock option awards in fiscal 2015 assuming an implied volatility of 31% (compared to a blended implied and historical volatility of 34%) and the grant date fair value of our stock option awards in fiscal 2014 assuming an implied volatility of 41% (compared to a blended implied and historical volatility of 45%).</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145</w:t>
      </w:r>
    </w:p>
    <w:p>
      <w:pPr>
        <w:sectPr>
          <w:pgSz w:w="11900" w:h="16838" w:orient="portrait"/>
          <w:cols w:equalWidth="0" w:num="1">
            <w:col w:w="11420"/>
          </w:cols>
          <w:pgMar w:left="240" w:top="459" w:right="239" w:bottom="1440" w:gutter="0" w:footer="0" w:header="0"/>
        </w:sectPr>
      </w:pPr>
    </w:p>
    <w:bookmarkStart w:id="147" w:name="page148"/>
    <w:bookmarkEnd w:id="1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36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8"/>
              </w:rPr>
              <w:t>Option</w:t>
            </w:r>
          </w:p>
        </w:tc>
        <w:tc>
          <w:tcPr>
            <w:tcW w:w="8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4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3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6"/>
              </w:rPr>
              <w:t>Awards</w:t>
            </w:r>
          </w:p>
        </w:tc>
        <w:tc>
          <w:tcPr>
            <w:tcW w:w="15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9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(Decrease) to</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4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36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7"/>
              </w:rPr>
              <w:t>Calculation</w:t>
            </w:r>
          </w:p>
        </w:tc>
        <w:tc>
          <w:tcPr>
            <w:tcW w:w="15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7"/>
              </w:rPr>
              <w:t>Calculation</w:t>
            </w:r>
          </w:p>
        </w:tc>
        <w:tc>
          <w:tcPr>
            <w:tcW w:w="9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4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3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2"/>
              </w:rPr>
              <w:t>Using</w:t>
            </w:r>
          </w:p>
        </w:tc>
        <w:tc>
          <w:tcPr>
            <w:tcW w:w="15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7"/>
              </w:rPr>
              <w:t>Using</w:t>
            </w:r>
          </w:p>
        </w:tc>
        <w:tc>
          <w:tcPr>
            <w:tcW w:w="9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4140" w:type="dxa"/>
            <w:vAlign w:val="bottom"/>
          </w:tcPr>
          <w:p>
            <w:pPr>
              <w:spacing w:after="0"/>
              <w:rPr>
                <w:sz w:val="12"/>
                <w:szCs w:val="12"/>
                <w:color w:val="auto"/>
              </w:rPr>
            </w:pPr>
          </w:p>
        </w:tc>
        <w:tc>
          <w:tcPr>
            <w:tcW w:w="10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Fiscal</w:t>
            </w:r>
          </w:p>
        </w:tc>
        <w:tc>
          <w:tcPr>
            <w:tcW w:w="13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6"/>
              </w:rPr>
              <w:t>Blended</w:t>
            </w:r>
          </w:p>
        </w:tc>
        <w:tc>
          <w:tcPr>
            <w:tcW w:w="15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3"/>
              </w:rPr>
              <w:t>Implied</w:t>
            </w:r>
          </w:p>
        </w:tc>
        <w:tc>
          <w:tcPr>
            <w:tcW w:w="9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9"/>
              </w:rPr>
              <w:t>Using Implied</w:t>
            </w:r>
          </w:p>
        </w:tc>
        <w:tc>
          <w:tcPr>
            <w:tcW w:w="0" w:type="dxa"/>
            <w:vAlign w:val="bottom"/>
          </w:tcPr>
          <w:p>
            <w:pPr>
              <w:spacing w:after="0"/>
              <w:rPr>
                <w:sz w:val="1"/>
                <w:szCs w:val="1"/>
                <w:color w:val="auto"/>
              </w:rPr>
            </w:pPr>
          </w:p>
        </w:tc>
      </w:tr>
      <w:tr>
        <w:trPr>
          <w:trHeight w:val="168"/>
        </w:trPr>
        <w:tc>
          <w:tcPr>
            <w:tcW w:w="1560" w:type="dxa"/>
            <w:vAlign w:val="bottom"/>
            <w:tcBorders>
              <w:bottom w:val="single" w:sz="8" w:color="auto"/>
            </w:tcBorders>
            <w:vMerge w:val="continue"/>
          </w:tcPr>
          <w:p>
            <w:pPr>
              <w:spacing w:after="0"/>
              <w:rPr>
                <w:sz w:val="14"/>
                <w:szCs w:val="14"/>
                <w:color w:val="auto"/>
              </w:rPr>
            </w:pPr>
          </w:p>
        </w:tc>
        <w:tc>
          <w:tcPr>
            <w:tcW w:w="4140" w:type="dxa"/>
            <w:vAlign w:val="bottom"/>
          </w:tcPr>
          <w:p>
            <w:pPr>
              <w:spacing w:after="0"/>
              <w:rPr>
                <w:sz w:val="14"/>
                <w:szCs w:val="14"/>
                <w:color w:val="auto"/>
              </w:rPr>
            </w:pPr>
          </w:p>
        </w:tc>
        <w:tc>
          <w:tcPr>
            <w:tcW w:w="1000" w:type="dxa"/>
            <w:vAlign w:val="bottom"/>
            <w:gridSpan w:val="2"/>
          </w:tcPr>
          <w:p>
            <w:pPr>
              <w:ind w:left="60"/>
              <w:spacing w:after="0" w:line="148" w:lineRule="exact"/>
              <w:rPr>
                <w:sz w:val="20"/>
                <w:szCs w:val="20"/>
                <w:color w:val="auto"/>
              </w:rPr>
            </w:pPr>
            <w:r>
              <w:rPr>
                <w:rFonts w:ascii="Arial" w:cs="Arial" w:eastAsia="Arial" w:hAnsi="Arial"/>
                <w:sz w:val="14"/>
                <w:szCs w:val="14"/>
                <w:b w:val="1"/>
                <w:bCs w:val="1"/>
                <w:color w:val="auto"/>
              </w:rPr>
              <w:t>Year</w:t>
            </w:r>
          </w:p>
        </w:tc>
        <w:tc>
          <w:tcPr>
            <w:tcW w:w="1360" w:type="dxa"/>
            <w:vAlign w:val="bottom"/>
            <w:gridSpan w:val="2"/>
          </w:tcPr>
          <w:p>
            <w:pPr>
              <w:jc w:val="center"/>
              <w:ind w:right="600"/>
              <w:spacing w:after="0" w:line="148" w:lineRule="exact"/>
              <w:rPr>
                <w:sz w:val="20"/>
                <w:szCs w:val="20"/>
                <w:color w:val="auto"/>
              </w:rPr>
            </w:pPr>
            <w:r>
              <w:rPr>
                <w:rFonts w:ascii="Arial" w:cs="Arial" w:eastAsia="Arial" w:hAnsi="Arial"/>
                <w:sz w:val="14"/>
                <w:szCs w:val="14"/>
                <w:b w:val="1"/>
                <w:bCs w:val="1"/>
                <w:color w:val="auto"/>
                <w:w w:val="90"/>
              </w:rPr>
              <w:t xml:space="preserve">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1500" w:type="dxa"/>
            <w:vAlign w:val="bottom"/>
            <w:gridSpan w:val="2"/>
          </w:tcPr>
          <w:p>
            <w:pPr>
              <w:jc w:val="center"/>
              <w:ind w:right="62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940" w:type="dxa"/>
            <w:vAlign w:val="bottom"/>
            <w:gridSpan w:val="2"/>
          </w:tcPr>
          <w:p>
            <w:pPr>
              <w:jc w:val="center"/>
              <w:ind w:right="10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0" w:type="dxa"/>
            <w:vAlign w:val="bottom"/>
          </w:tcPr>
          <w:p>
            <w:pPr>
              <w:spacing w:after="0"/>
              <w:rPr>
                <w:sz w:val="1"/>
                <w:szCs w:val="1"/>
                <w:color w:val="auto"/>
              </w:rPr>
            </w:pPr>
          </w:p>
        </w:tc>
      </w:tr>
      <w:tr>
        <w:trPr>
          <w:trHeight w:val="203"/>
        </w:trPr>
        <w:tc>
          <w:tcPr>
            <w:tcW w:w="15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4140" w:type="dxa"/>
            <w:vAlign w:val="bottom"/>
            <w:tcBorders>
              <w:top w:val="single" w:sz="8" w:color="CCEEFF"/>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ind w:left="40"/>
              <w:spacing w:after="0" w:line="203" w:lineRule="exact"/>
              <w:rPr>
                <w:sz w:val="20"/>
                <w:szCs w:val="20"/>
                <w:color w:val="auto"/>
              </w:rPr>
            </w:pPr>
            <w:r>
              <w:rPr>
                <w:rFonts w:ascii="Arial" w:cs="Arial" w:eastAsia="Arial" w:hAnsi="Arial"/>
                <w:sz w:val="18"/>
                <w:szCs w:val="18"/>
                <w:color w:val="auto"/>
                <w:w w:val="84"/>
              </w:rPr>
              <w:t>2016</w:t>
            </w:r>
          </w:p>
        </w:tc>
        <w:tc>
          <w:tcPr>
            <w:tcW w:w="60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1,823,677</w:t>
            </w:r>
          </w:p>
        </w:tc>
        <w:tc>
          <w:tcPr>
            <w:tcW w:w="60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1,784,812</w:t>
            </w:r>
          </w:p>
        </w:tc>
        <w:tc>
          <w:tcPr>
            <w:tcW w:w="62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(38,865)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Dr. Sehat Sutardja</w:t>
            </w:r>
          </w:p>
        </w:tc>
        <w:tc>
          <w:tcPr>
            <w:tcW w:w="4540" w:type="dxa"/>
            <w:vAlign w:val="bottom"/>
            <w:gridSpan w:val="2"/>
          </w:tcPr>
          <w:p>
            <w:pPr>
              <w:ind w:left="4180"/>
              <w:spacing w:after="0"/>
              <w:rPr>
                <w:sz w:val="20"/>
                <w:szCs w:val="20"/>
                <w:color w:val="auto"/>
              </w:rPr>
            </w:pPr>
            <w:r>
              <w:rPr>
                <w:rFonts w:ascii="Arial" w:cs="Arial" w:eastAsia="Arial" w:hAnsi="Arial"/>
                <w:sz w:val="18"/>
                <w:szCs w:val="18"/>
                <w:color w:val="auto"/>
                <w:w w:val="84"/>
              </w:rPr>
              <w:t>2015</w:t>
            </w:r>
          </w:p>
        </w:tc>
        <w:tc>
          <w:tcPr>
            <w:tcW w:w="600" w:type="dxa"/>
            <w:vAlign w:val="bottom"/>
          </w:tcPr>
          <w:p>
            <w:pPr>
              <w:spacing w:after="0"/>
              <w:rPr>
                <w:sz w:val="18"/>
                <w:szCs w:val="18"/>
                <w:color w:val="auto"/>
              </w:rPr>
            </w:pPr>
          </w:p>
        </w:tc>
        <w:tc>
          <w:tcPr>
            <w:tcW w:w="1360" w:type="dxa"/>
            <w:vAlign w:val="bottom"/>
            <w:gridSpan w:val="2"/>
          </w:tcPr>
          <w:p>
            <w:pPr>
              <w:jc w:val="right"/>
              <w:ind w:right="600"/>
              <w:spacing w:after="0"/>
              <w:rPr>
                <w:sz w:val="20"/>
                <w:szCs w:val="20"/>
                <w:color w:val="auto"/>
              </w:rPr>
            </w:pPr>
            <w:r>
              <w:rPr>
                <w:rFonts w:ascii="Arial" w:cs="Arial" w:eastAsia="Arial" w:hAnsi="Arial"/>
                <w:sz w:val="18"/>
                <w:szCs w:val="18"/>
                <w:color w:val="auto"/>
                <w:w w:val="92"/>
              </w:rPr>
              <w:t>1,480,374</w:t>
            </w:r>
          </w:p>
        </w:tc>
        <w:tc>
          <w:tcPr>
            <w:tcW w:w="880" w:type="dxa"/>
            <w:vAlign w:val="bottom"/>
          </w:tcPr>
          <w:p>
            <w:pPr>
              <w:jc w:val="right"/>
              <w:spacing w:after="0"/>
              <w:rPr>
                <w:sz w:val="20"/>
                <w:szCs w:val="20"/>
                <w:color w:val="auto"/>
              </w:rPr>
            </w:pPr>
            <w:r>
              <w:rPr>
                <w:rFonts w:ascii="Arial" w:cs="Arial" w:eastAsia="Arial" w:hAnsi="Arial"/>
                <w:sz w:val="18"/>
                <w:szCs w:val="18"/>
                <w:color w:val="auto"/>
              </w:rPr>
              <w:t>1,354,936</w:t>
            </w:r>
          </w:p>
        </w:tc>
        <w:tc>
          <w:tcPr>
            <w:tcW w:w="620" w:type="dxa"/>
            <w:vAlign w:val="bottom"/>
          </w:tcPr>
          <w:p>
            <w:pPr>
              <w:spacing w:after="0"/>
              <w:rPr>
                <w:sz w:val="18"/>
                <w:szCs w:val="18"/>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(125,438)</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4540" w:type="dxa"/>
            <w:vAlign w:val="bottom"/>
            <w:gridSpan w:val="2"/>
            <w:shd w:val="clear" w:color="auto" w:fill="CCEEFF"/>
          </w:tcPr>
          <w:p>
            <w:pPr>
              <w:ind w:left="4180"/>
              <w:spacing w:after="0"/>
              <w:rPr>
                <w:sz w:val="20"/>
                <w:szCs w:val="20"/>
                <w:color w:val="auto"/>
              </w:rPr>
            </w:pPr>
            <w:r>
              <w:rPr>
                <w:rFonts w:ascii="Arial" w:cs="Arial" w:eastAsia="Arial" w:hAnsi="Arial"/>
                <w:sz w:val="18"/>
                <w:szCs w:val="18"/>
                <w:color w:val="auto"/>
                <w:w w:val="84"/>
              </w:rPr>
              <w:t>2014</w:t>
            </w:r>
          </w:p>
        </w:tc>
        <w:tc>
          <w:tcPr>
            <w:tcW w:w="6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92"/>
              </w:rPr>
              <w:t>5,112,450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4,627,350</w:t>
            </w:r>
          </w:p>
        </w:tc>
        <w:tc>
          <w:tcPr>
            <w:tcW w:w="6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(485,100)</w:t>
            </w: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Weili Dai</w:t>
            </w:r>
          </w:p>
        </w:tc>
        <w:tc>
          <w:tcPr>
            <w:tcW w:w="4540" w:type="dxa"/>
            <w:vAlign w:val="bottom"/>
            <w:gridSpan w:val="2"/>
          </w:tcPr>
          <w:p>
            <w:pPr>
              <w:ind w:left="4180"/>
              <w:spacing w:after="0"/>
              <w:rPr>
                <w:sz w:val="20"/>
                <w:szCs w:val="20"/>
                <w:color w:val="auto"/>
              </w:rPr>
            </w:pPr>
            <w:r>
              <w:rPr>
                <w:rFonts w:ascii="Arial" w:cs="Arial" w:eastAsia="Arial" w:hAnsi="Arial"/>
                <w:sz w:val="18"/>
                <w:szCs w:val="18"/>
                <w:color w:val="auto"/>
                <w:w w:val="84"/>
              </w:rPr>
              <w:t>2016</w:t>
            </w:r>
          </w:p>
        </w:tc>
        <w:tc>
          <w:tcPr>
            <w:tcW w:w="600" w:type="dxa"/>
            <w:vAlign w:val="bottom"/>
          </w:tcPr>
          <w:p>
            <w:pPr>
              <w:spacing w:after="0"/>
              <w:rPr>
                <w:sz w:val="18"/>
                <w:szCs w:val="18"/>
                <w:color w:val="auto"/>
              </w:rPr>
            </w:pPr>
          </w:p>
        </w:tc>
        <w:tc>
          <w:tcPr>
            <w:tcW w:w="1360" w:type="dxa"/>
            <w:vAlign w:val="bottom"/>
            <w:gridSpan w:val="2"/>
          </w:tcPr>
          <w:p>
            <w:pPr>
              <w:jc w:val="right"/>
              <w:ind w:right="600"/>
              <w:spacing w:after="0"/>
              <w:rPr>
                <w:sz w:val="20"/>
                <w:szCs w:val="20"/>
                <w:color w:val="auto"/>
              </w:rPr>
            </w:pPr>
            <w:r>
              <w:rPr>
                <w:rFonts w:ascii="Arial" w:cs="Arial" w:eastAsia="Arial" w:hAnsi="Arial"/>
                <w:sz w:val="18"/>
                <w:szCs w:val="18"/>
                <w:color w:val="auto"/>
                <w:w w:val="92"/>
              </w:rPr>
              <w:t>1,013,154</w:t>
            </w:r>
          </w:p>
        </w:tc>
        <w:tc>
          <w:tcPr>
            <w:tcW w:w="880" w:type="dxa"/>
            <w:vAlign w:val="bottom"/>
          </w:tcPr>
          <w:p>
            <w:pPr>
              <w:jc w:val="right"/>
              <w:spacing w:after="0"/>
              <w:rPr>
                <w:sz w:val="20"/>
                <w:szCs w:val="20"/>
                <w:color w:val="auto"/>
              </w:rPr>
            </w:pPr>
            <w:r>
              <w:rPr>
                <w:rFonts w:ascii="Arial" w:cs="Arial" w:eastAsia="Arial" w:hAnsi="Arial"/>
                <w:sz w:val="18"/>
                <w:szCs w:val="18"/>
                <w:color w:val="auto"/>
              </w:rPr>
              <w:t>991,562</w:t>
            </w:r>
          </w:p>
        </w:tc>
        <w:tc>
          <w:tcPr>
            <w:tcW w:w="620" w:type="dxa"/>
            <w:vAlign w:val="bottom"/>
          </w:tcPr>
          <w:p>
            <w:pPr>
              <w:spacing w:after="0"/>
              <w:rPr>
                <w:sz w:val="18"/>
                <w:szCs w:val="18"/>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(21,592)</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Weili Dai</w:t>
            </w:r>
          </w:p>
        </w:tc>
        <w:tc>
          <w:tcPr>
            <w:tcW w:w="4540" w:type="dxa"/>
            <w:vAlign w:val="bottom"/>
            <w:gridSpan w:val="2"/>
            <w:shd w:val="clear" w:color="auto" w:fill="CCEEFF"/>
          </w:tcPr>
          <w:p>
            <w:pPr>
              <w:ind w:left="4180"/>
              <w:spacing w:after="0"/>
              <w:rPr>
                <w:sz w:val="20"/>
                <w:szCs w:val="20"/>
                <w:color w:val="auto"/>
              </w:rPr>
            </w:pPr>
            <w:r>
              <w:rPr>
                <w:rFonts w:ascii="Arial" w:cs="Arial" w:eastAsia="Arial" w:hAnsi="Arial"/>
                <w:sz w:val="18"/>
                <w:szCs w:val="18"/>
                <w:color w:val="auto"/>
                <w:w w:val="84"/>
              </w:rPr>
              <w:t>2015</w:t>
            </w:r>
          </w:p>
        </w:tc>
        <w:tc>
          <w:tcPr>
            <w:tcW w:w="6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795,900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728,460</w:t>
            </w:r>
          </w:p>
        </w:tc>
        <w:tc>
          <w:tcPr>
            <w:tcW w:w="6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(67,440)</w:t>
            </w: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Weili Dai</w:t>
            </w:r>
          </w:p>
        </w:tc>
        <w:tc>
          <w:tcPr>
            <w:tcW w:w="4540" w:type="dxa"/>
            <w:vAlign w:val="bottom"/>
            <w:gridSpan w:val="2"/>
          </w:tcPr>
          <w:p>
            <w:pPr>
              <w:ind w:left="4180"/>
              <w:spacing w:after="0"/>
              <w:rPr>
                <w:sz w:val="20"/>
                <w:szCs w:val="20"/>
                <w:color w:val="auto"/>
              </w:rPr>
            </w:pPr>
            <w:r>
              <w:rPr>
                <w:rFonts w:ascii="Arial" w:cs="Arial" w:eastAsia="Arial" w:hAnsi="Arial"/>
                <w:sz w:val="18"/>
                <w:szCs w:val="18"/>
                <w:color w:val="auto"/>
                <w:w w:val="84"/>
              </w:rPr>
              <w:t>2014</w:t>
            </w:r>
          </w:p>
        </w:tc>
        <w:tc>
          <w:tcPr>
            <w:tcW w:w="600" w:type="dxa"/>
            <w:vAlign w:val="bottom"/>
          </w:tcPr>
          <w:p>
            <w:pPr>
              <w:spacing w:after="0"/>
              <w:rPr>
                <w:sz w:val="18"/>
                <w:szCs w:val="18"/>
                <w:color w:val="auto"/>
              </w:rPr>
            </w:pPr>
          </w:p>
        </w:tc>
        <w:tc>
          <w:tcPr>
            <w:tcW w:w="1360" w:type="dxa"/>
            <w:vAlign w:val="bottom"/>
            <w:gridSpan w:val="2"/>
          </w:tcPr>
          <w:p>
            <w:pPr>
              <w:jc w:val="right"/>
              <w:ind w:right="600"/>
              <w:spacing w:after="0"/>
              <w:rPr>
                <w:sz w:val="20"/>
                <w:szCs w:val="20"/>
                <w:color w:val="auto"/>
              </w:rPr>
            </w:pPr>
            <w:r>
              <w:rPr>
                <w:rFonts w:ascii="Arial" w:cs="Arial" w:eastAsia="Arial" w:hAnsi="Arial"/>
                <w:sz w:val="18"/>
                <w:szCs w:val="18"/>
                <w:color w:val="auto"/>
                <w:w w:val="92"/>
              </w:rPr>
              <w:t>1,533,735</w:t>
            </w:r>
          </w:p>
        </w:tc>
        <w:tc>
          <w:tcPr>
            <w:tcW w:w="880" w:type="dxa"/>
            <w:vAlign w:val="bottom"/>
          </w:tcPr>
          <w:p>
            <w:pPr>
              <w:jc w:val="right"/>
              <w:spacing w:after="0"/>
              <w:rPr>
                <w:sz w:val="20"/>
                <w:szCs w:val="20"/>
                <w:color w:val="auto"/>
              </w:rPr>
            </w:pPr>
            <w:r>
              <w:rPr>
                <w:rFonts w:ascii="Arial" w:cs="Arial" w:eastAsia="Arial" w:hAnsi="Arial"/>
                <w:sz w:val="18"/>
                <w:szCs w:val="18"/>
                <w:color w:val="auto"/>
              </w:rPr>
              <w:t>1,388,205</w:t>
            </w:r>
          </w:p>
        </w:tc>
        <w:tc>
          <w:tcPr>
            <w:tcW w:w="620" w:type="dxa"/>
            <w:vAlign w:val="bottom"/>
          </w:tcPr>
          <w:p>
            <w:pPr>
              <w:spacing w:after="0"/>
              <w:rPr>
                <w:sz w:val="18"/>
                <w:szCs w:val="18"/>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(145,530)</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4540" w:type="dxa"/>
            <w:vAlign w:val="bottom"/>
            <w:gridSpan w:val="2"/>
            <w:shd w:val="clear" w:color="auto" w:fill="CCEEFF"/>
          </w:tcPr>
          <w:p>
            <w:pPr>
              <w:ind w:left="4180"/>
              <w:spacing w:after="0"/>
              <w:rPr>
                <w:sz w:val="20"/>
                <w:szCs w:val="20"/>
                <w:color w:val="auto"/>
              </w:rPr>
            </w:pPr>
            <w:r>
              <w:rPr>
                <w:rFonts w:ascii="Arial" w:cs="Arial" w:eastAsia="Arial" w:hAnsi="Arial"/>
                <w:sz w:val="18"/>
                <w:szCs w:val="18"/>
                <w:color w:val="auto"/>
                <w:w w:val="84"/>
              </w:rPr>
              <w:t>2016</w:t>
            </w:r>
          </w:p>
        </w:tc>
        <w:tc>
          <w:tcPr>
            <w:tcW w:w="6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Michael Rashkin</w:t>
            </w:r>
          </w:p>
        </w:tc>
        <w:tc>
          <w:tcPr>
            <w:tcW w:w="4540" w:type="dxa"/>
            <w:vAlign w:val="bottom"/>
            <w:gridSpan w:val="2"/>
          </w:tcPr>
          <w:p>
            <w:pPr>
              <w:ind w:left="4180"/>
              <w:spacing w:after="0"/>
              <w:rPr>
                <w:sz w:val="20"/>
                <w:szCs w:val="20"/>
                <w:color w:val="auto"/>
              </w:rPr>
            </w:pPr>
            <w:r>
              <w:rPr>
                <w:rFonts w:ascii="Arial" w:cs="Arial" w:eastAsia="Arial" w:hAnsi="Arial"/>
                <w:sz w:val="18"/>
                <w:szCs w:val="18"/>
                <w:color w:val="auto"/>
                <w:w w:val="84"/>
              </w:rPr>
              <w:t>2015</w:t>
            </w:r>
          </w:p>
        </w:tc>
        <w:tc>
          <w:tcPr>
            <w:tcW w:w="600" w:type="dxa"/>
            <w:vAlign w:val="bottom"/>
          </w:tcPr>
          <w:p>
            <w:pPr>
              <w:spacing w:after="0"/>
              <w:rPr>
                <w:sz w:val="18"/>
                <w:szCs w:val="18"/>
                <w:color w:val="auto"/>
              </w:rPr>
            </w:pPr>
          </w:p>
        </w:tc>
        <w:tc>
          <w:tcPr>
            <w:tcW w:w="1360" w:type="dxa"/>
            <w:vAlign w:val="bottom"/>
            <w:gridSpan w:val="2"/>
          </w:tcPr>
          <w:p>
            <w:pPr>
              <w:jc w:val="right"/>
              <w:ind w:right="600"/>
              <w:spacing w:after="0"/>
              <w:rPr>
                <w:sz w:val="20"/>
                <w:szCs w:val="20"/>
                <w:color w:val="auto"/>
              </w:rPr>
            </w:pPr>
            <w:r>
              <w:rPr>
                <w:rFonts w:ascii="Arial" w:cs="Arial" w:eastAsia="Arial" w:hAnsi="Arial"/>
                <w:sz w:val="18"/>
                <w:szCs w:val="18"/>
                <w:color w:val="auto"/>
              </w:rPr>
              <w:t>397,950</w:t>
            </w:r>
          </w:p>
        </w:tc>
        <w:tc>
          <w:tcPr>
            <w:tcW w:w="880" w:type="dxa"/>
            <w:vAlign w:val="bottom"/>
          </w:tcPr>
          <w:p>
            <w:pPr>
              <w:jc w:val="right"/>
              <w:spacing w:after="0"/>
              <w:rPr>
                <w:sz w:val="20"/>
                <w:szCs w:val="20"/>
                <w:color w:val="auto"/>
              </w:rPr>
            </w:pPr>
            <w:r>
              <w:rPr>
                <w:rFonts w:ascii="Arial" w:cs="Arial" w:eastAsia="Arial" w:hAnsi="Arial"/>
                <w:sz w:val="18"/>
                <w:szCs w:val="18"/>
                <w:color w:val="auto"/>
              </w:rPr>
              <w:t>364,230</w:t>
            </w:r>
          </w:p>
        </w:tc>
        <w:tc>
          <w:tcPr>
            <w:tcW w:w="620" w:type="dxa"/>
            <w:vAlign w:val="bottom"/>
          </w:tcPr>
          <w:p>
            <w:pPr>
              <w:spacing w:after="0"/>
              <w:rPr>
                <w:sz w:val="18"/>
                <w:szCs w:val="18"/>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(33,720)</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Sukhi Nagesh</w:t>
            </w:r>
          </w:p>
        </w:tc>
        <w:tc>
          <w:tcPr>
            <w:tcW w:w="4540" w:type="dxa"/>
            <w:vAlign w:val="bottom"/>
            <w:gridSpan w:val="2"/>
            <w:shd w:val="clear" w:color="auto" w:fill="CCEEFF"/>
          </w:tcPr>
          <w:p>
            <w:pPr>
              <w:ind w:left="4180"/>
              <w:spacing w:after="0"/>
              <w:rPr>
                <w:sz w:val="20"/>
                <w:szCs w:val="20"/>
                <w:color w:val="auto"/>
              </w:rPr>
            </w:pPr>
            <w:r>
              <w:rPr>
                <w:rFonts w:ascii="Arial" w:cs="Arial" w:eastAsia="Arial" w:hAnsi="Arial"/>
                <w:sz w:val="18"/>
                <w:szCs w:val="18"/>
                <w:color w:val="auto"/>
                <w:w w:val="84"/>
              </w:rPr>
              <w:t>2016</w:t>
            </w:r>
          </w:p>
        </w:tc>
        <w:tc>
          <w:tcPr>
            <w:tcW w:w="6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198,720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194,485</w:t>
            </w:r>
          </w:p>
        </w:tc>
        <w:tc>
          <w:tcPr>
            <w:tcW w:w="6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(4,235)</w:t>
            </w: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Dr. Zining Wu</w:t>
            </w:r>
          </w:p>
        </w:tc>
        <w:tc>
          <w:tcPr>
            <w:tcW w:w="4540" w:type="dxa"/>
            <w:vAlign w:val="bottom"/>
            <w:gridSpan w:val="2"/>
          </w:tcPr>
          <w:p>
            <w:pPr>
              <w:ind w:left="4180"/>
              <w:spacing w:after="0"/>
              <w:rPr>
                <w:sz w:val="20"/>
                <w:szCs w:val="20"/>
                <w:color w:val="auto"/>
              </w:rPr>
            </w:pPr>
            <w:r>
              <w:rPr>
                <w:rFonts w:ascii="Arial" w:cs="Arial" w:eastAsia="Arial" w:hAnsi="Arial"/>
                <w:sz w:val="18"/>
                <w:szCs w:val="18"/>
                <w:color w:val="auto"/>
                <w:w w:val="84"/>
              </w:rPr>
              <w:t>2016</w:t>
            </w:r>
          </w:p>
        </w:tc>
        <w:tc>
          <w:tcPr>
            <w:tcW w:w="600" w:type="dxa"/>
            <w:vAlign w:val="bottom"/>
          </w:tcPr>
          <w:p>
            <w:pPr>
              <w:spacing w:after="0"/>
              <w:rPr>
                <w:sz w:val="18"/>
                <w:szCs w:val="18"/>
                <w:color w:val="auto"/>
              </w:rPr>
            </w:pPr>
          </w:p>
        </w:tc>
        <w:tc>
          <w:tcPr>
            <w:tcW w:w="1360" w:type="dxa"/>
            <w:vAlign w:val="bottom"/>
            <w:gridSpan w:val="2"/>
          </w:tcPr>
          <w:p>
            <w:pPr>
              <w:jc w:val="right"/>
              <w:ind w:right="600"/>
              <w:spacing w:after="0"/>
              <w:rPr>
                <w:sz w:val="20"/>
                <w:szCs w:val="20"/>
                <w:color w:val="auto"/>
              </w:rPr>
            </w:pPr>
            <w:r>
              <w:rPr>
                <w:rFonts w:ascii="Arial" w:cs="Arial" w:eastAsia="Arial" w:hAnsi="Arial"/>
                <w:sz w:val="18"/>
                <w:szCs w:val="18"/>
                <w:color w:val="auto"/>
              </w:rPr>
              <w:t>506,577</w:t>
            </w:r>
          </w:p>
        </w:tc>
        <w:tc>
          <w:tcPr>
            <w:tcW w:w="880" w:type="dxa"/>
            <w:vAlign w:val="bottom"/>
          </w:tcPr>
          <w:p>
            <w:pPr>
              <w:jc w:val="right"/>
              <w:spacing w:after="0"/>
              <w:rPr>
                <w:sz w:val="20"/>
                <w:szCs w:val="20"/>
                <w:color w:val="auto"/>
              </w:rPr>
            </w:pPr>
            <w:r>
              <w:rPr>
                <w:rFonts w:ascii="Arial" w:cs="Arial" w:eastAsia="Arial" w:hAnsi="Arial"/>
                <w:sz w:val="18"/>
                <w:szCs w:val="18"/>
                <w:color w:val="auto"/>
              </w:rPr>
              <w:t>495,781</w:t>
            </w:r>
          </w:p>
        </w:tc>
        <w:tc>
          <w:tcPr>
            <w:tcW w:w="620" w:type="dxa"/>
            <w:vAlign w:val="bottom"/>
          </w:tcPr>
          <w:p>
            <w:pPr>
              <w:spacing w:after="0"/>
              <w:rPr>
                <w:sz w:val="18"/>
                <w:szCs w:val="18"/>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(10,796)</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Dr. Zining Wu</w:t>
            </w:r>
          </w:p>
        </w:tc>
        <w:tc>
          <w:tcPr>
            <w:tcW w:w="4540" w:type="dxa"/>
            <w:vAlign w:val="bottom"/>
            <w:gridSpan w:val="2"/>
            <w:shd w:val="clear" w:color="auto" w:fill="CCEEFF"/>
          </w:tcPr>
          <w:p>
            <w:pPr>
              <w:ind w:left="4180"/>
              <w:spacing w:after="0"/>
              <w:rPr>
                <w:sz w:val="20"/>
                <w:szCs w:val="20"/>
                <w:color w:val="auto"/>
              </w:rPr>
            </w:pPr>
            <w:r>
              <w:rPr>
                <w:rFonts w:ascii="Arial" w:cs="Arial" w:eastAsia="Arial" w:hAnsi="Arial"/>
                <w:sz w:val="18"/>
                <w:szCs w:val="18"/>
                <w:color w:val="auto"/>
                <w:w w:val="84"/>
              </w:rPr>
              <w:t>2015</w:t>
            </w:r>
          </w:p>
        </w:tc>
        <w:tc>
          <w:tcPr>
            <w:tcW w:w="6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397,950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364,230</w:t>
            </w:r>
          </w:p>
        </w:tc>
        <w:tc>
          <w:tcPr>
            <w:tcW w:w="6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(33,720)</w:t>
            </w: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Dr. Zining Wu</w:t>
            </w:r>
          </w:p>
        </w:tc>
        <w:tc>
          <w:tcPr>
            <w:tcW w:w="4540" w:type="dxa"/>
            <w:vAlign w:val="bottom"/>
            <w:gridSpan w:val="2"/>
          </w:tcPr>
          <w:p>
            <w:pPr>
              <w:ind w:left="4180"/>
              <w:spacing w:after="0"/>
              <w:rPr>
                <w:sz w:val="20"/>
                <w:szCs w:val="20"/>
                <w:color w:val="auto"/>
              </w:rPr>
            </w:pPr>
            <w:r>
              <w:rPr>
                <w:rFonts w:ascii="Arial" w:cs="Arial" w:eastAsia="Arial" w:hAnsi="Arial"/>
                <w:sz w:val="18"/>
                <w:szCs w:val="18"/>
                <w:color w:val="auto"/>
                <w:w w:val="84"/>
              </w:rPr>
              <w:t>2014</w:t>
            </w:r>
          </w:p>
        </w:tc>
        <w:tc>
          <w:tcPr>
            <w:tcW w:w="600" w:type="dxa"/>
            <w:vAlign w:val="bottom"/>
          </w:tcPr>
          <w:p>
            <w:pPr>
              <w:spacing w:after="0"/>
              <w:rPr>
                <w:sz w:val="18"/>
                <w:szCs w:val="18"/>
                <w:color w:val="auto"/>
              </w:rPr>
            </w:pPr>
          </w:p>
        </w:tc>
        <w:tc>
          <w:tcPr>
            <w:tcW w:w="1360" w:type="dxa"/>
            <w:vAlign w:val="bottom"/>
            <w:gridSpan w:val="2"/>
          </w:tcPr>
          <w:p>
            <w:pPr>
              <w:jc w:val="right"/>
              <w:ind w:right="600"/>
              <w:spacing w:after="0"/>
              <w:rPr>
                <w:sz w:val="20"/>
                <w:szCs w:val="20"/>
                <w:color w:val="auto"/>
              </w:rPr>
            </w:pPr>
            <w:r>
              <w:rPr>
                <w:rFonts w:ascii="Arial" w:cs="Arial" w:eastAsia="Arial" w:hAnsi="Arial"/>
                <w:sz w:val="18"/>
                <w:szCs w:val="18"/>
                <w:color w:val="auto"/>
              </w:rPr>
              <w:t>408,996</w:t>
            </w:r>
          </w:p>
        </w:tc>
        <w:tc>
          <w:tcPr>
            <w:tcW w:w="880" w:type="dxa"/>
            <w:vAlign w:val="bottom"/>
          </w:tcPr>
          <w:p>
            <w:pPr>
              <w:jc w:val="right"/>
              <w:spacing w:after="0"/>
              <w:rPr>
                <w:sz w:val="20"/>
                <w:szCs w:val="20"/>
                <w:color w:val="auto"/>
              </w:rPr>
            </w:pPr>
            <w:r>
              <w:rPr>
                <w:rFonts w:ascii="Arial" w:cs="Arial" w:eastAsia="Arial" w:hAnsi="Arial"/>
                <w:sz w:val="18"/>
                <w:szCs w:val="18"/>
                <w:color w:val="auto"/>
              </w:rPr>
              <w:t>370,188</w:t>
            </w:r>
          </w:p>
        </w:tc>
        <w:tc>
          <w:tcPr>
            <w:tcW w:w="620" w:type="dxa"/>
            <w:vAlign w:val="bottom"/>
          </w:tcPr>
          <w:p>
            <w:pPr>
              <w:spacing w:after="0"/>
              <w:rPr>
                <w:sz w:val="18"/>
                <w:szCs w:val="18"/>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(38,808)</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David P. Eichler</w:t>
            </w:r>
          </w:p>
        </w:tc>
        <w:tc>
          <w:tcPr>
            <w:tcW w:w="4540" w:type="dxa"/>
            <w:vAlign w:val="bottom"/>
            <w:gridSpan w:val="2"/>
            <w:shd w:val="clear" w:color="auto" w:fill="CCEEFF"/>
          </w:tcPr>
          <w:p>
            <w:pPr>
              <w:ind w:left="4180"/>
              <w:spacing w:after="0"/>
              <w:rPr>
                <w:sz w:val="20"/>
                <w:szCs w:val="20"/>
                <w:color w:val="auto"/>
              </w:rPr>
            </w:pPr>
            <w:r>
              <w:rPr>
                <w:rFonts w:ascii="Arial" w:cs="Arial" w:eastAsia="Arial" w:hAnsi="Arial"/>
                <w:sz w:val="18"/>
                <w:szCs w:val="18"/>
                <w:color w:val="auto"/>
                <w:w w:val="84"/>
              </w:rPr>
              <w:t>2016</w:t>
            </w:r>
          </w:p>
        </w:tc>
        <w:tc>
          <w:tcPr>
            <w:tcW w:w="6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73" w:lineRule="exact"/>
        <w:rPr>
          <w:sz w:val="20"/>
          <w:szCs w:val="20"/>
          <w:color w:val="auto"/>
        </w:rPr>
      </w:pPr>
    </w:p>
    <w:p>
      <w:pPr>
        <w:ind w:left="460" w:right="160" w:hanging="452"/>
        <w:spacing w:after="0" w:line="252" w:lineRule="auto"/>
        <w:tabs>
          <w:tab w:leader="none" w:pos="4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amounts shown in this column represent annual cash incentive awards earned by the named executive officers under our fiscal 2015 annual incentive plan, which is intended to qualify as performance-based compensation under Section 162(m). Further information regarding the fiscal 2015 awards is included in the section entitled “Elements of Executive Compensation for Fiscal 2015-Fiscal 2015 Annual Incentive Plan Cash” in the Compensation Discussion and Analysis above.</w:t>
      </w:r>
    </w:p>
    <w:p>
      <w:pPr>
        <w:spacing w:after="0" w:line="1" w:lineRule="exact"/>
        <w:rPr>
          <w:rFonts w:ascii="Arial" w:cs="Arial" w:eastAsia="Arial" w:hAnsi="Arial"/>
          <w:sz w:val="18"/>
          <w:szCs w:val="18"/>
          <w:color w:val="auto"/>
        </w:rPr>
      </w:pPr>
    </w:p>
    <w:p>
      <w:pPr>
        <w:jc w:val="both"/>
        <w:ind w:left="460" w:right="60" w:hanging="452"/>
        <w:spacing w:after="0" w:line="250" w:lineRule="auto"/>
        <w:tabs>
          <w:tab w:leader="none" w:pos="4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This amount includes reimbursement of taxes and penalty owed under IRS Tax Code 409(A) plus accrued interest in an amount of $8,374,575, use of a car leased by the Company in the amount of $2,748, premium for basic life insurance of 2.5 times annual salary up to $1,000,000 in the amount of $1,889 and $231 in consideration for an election not to enroll in our healthcare plan.</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This amount includes premium for basic life insurance of 2.5 times annual salary up to $1,000,000 in the amount of $1,890.</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Mr. Rashkin retired as the Company’s Chief Financial Officer effective May 22, 2015.</w:t>
      </w:r>
    </w:p>
    <w:p>
      <w:pPr>
        <w:spacing w:after="0" w:line="9" w:lineRule="exact"/>
        <w:rPr>
          <w:rFonts w:ascii="Arial" w:cs="Arial" w:eastAsia="Arial" w:hAnsi="Arial"/>
          <w:sz w:val="18"/>
          <w:szCs w:val="18"/>
          <w:color w:val="auto"/>
        </w:rPr>
      </w:pPr>
    </w:p>
    <w:p>
      <w:pPr>
        <w:ind w:left="460" w:right="540" w:hanging="452"/>
        <w:spacing w:after="0" w:line="250" w:lineRule="auto"/>
        <w:tabs>
          <w:tab w:leader="none" w:pos="4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This amount includes payout of flexible time off in the amount of $61,369 and Company matching contributions to Mr. Rashkin’s 401(k) retirement account in the amount of $1,000.</w:t>
      </w:r>
    </w:p>
    <w:p>
      <w:pPr>
        <w:ind w:left="460" w:hanging="452"/>
        <w:spacing w:after="0" w:line="281" w:lineRule="auto"/>
        <w:tabs>
          <w:tab w:leader="none" w:pos="460" w:val="left"/>
        </w:tabs>
        <w:numPr>
          <w:ilvl w:val="0"/>
          <w:numId w:val="64"/>
        </w:numPr>
        <w:rPr>
          <w:rFonts w:ascii="Arial" w:cs="Arial" w:eastAsia="Arial" w:hAnsi="Arial"/>
          <w:sz w:val="16"/>
          <w:szCs w:val="16"/>
          <w:color w:val="auto"/>
        </w:rPr>
      </w:pPr>
      <w:r>
        <w:rPr>
          <w:rFonts w:ascii="Arial" w:cs="Arial" w:eastAsia="Arial" w:hAnsi="Arial"/>
          <w:sz w:val="16"/>
          <w:szCs w:val="16"/>
          <w:color w:val="auto"/>
        </w:rPr>
        <w:t>Represents payment in connection with a bonus program developed in the second quarter of fiscal year 2015 for certain of the Company’s vice presidents who had received no bonus for service in fiscal year 2014. When the Company completed its fiscal year 2014 employee performance and compensation review in March and April 2014, the Company determined to allocate no funds for distribution to the Company’s vice presidents for service in fiscal year 2014 in order to maximize funds available for distribution to employees below the vice president level, and all such funds were distributed in April 2014. Subsequently, based on the Company’s review of its financial results for the first quarter of fiscal year 2015, including cost savings achieved in that quarter, in May 2014 the Company created a budget for bonuses for employees at the vice president level who had been excluded from the fiscal year 2014 bonus program. The Company allocated bonuses to nonexecutive vice presidents in June 2014. In connection with this process, the Company recognized that Mr. Rashkin and Dr. Wu would have been eligible for a bonus pursuant to this program but for the fact that they had been appointed as executive officers very late in fiscal year 2014 (December 2013 and January 2014, respectively). Subsequently, the Executive Compensation Committee approved payments to Dr. Wu and Mr. Rashkin consistent with the bonuses allocated to nonexecutive vice presidents under this program.</w:t>
      </w:r>
    </w:p>
    <w:p>
      <w:pPr>
        <w:spacing w:after="0" w:line="6" w:lineRule="exact"/>
        <w:rPr>
          <w:rFonts w:ascii="Arial" w:cs="Arial" w:eastAsia="Arial" w:hAnsi="Arial"/>
          <w:sz w:val="16"/>
          <w:szCs w:val="16"/>
          <w:color w:val="auto"/>
        </w:rPr>
      </w:pPr>
    </w:p>
    <w:p>
      <w:pPr>
        <w:ind w:left="460" w:hanging="452"/>
        <w:spacing w:after="0"/>
        <w:tabs>
          <w:tab w:leader="none" w:pos="4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This amount represents the Company’s matching contributions to Mr. Rashkin’s 401(k) retirement account of $2,000.</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146</w:t>
      </w:r>
    </w:p>
    <w:p>
      <w:pPr>
        <w:sectPr>
          <w:pgSz w:w="11900" w:h="16838" w:orient="portrait"/>
          <w:cols w:equalWidth="0" w:num="1">
            <w:col w:w="11400"/>
          </w:cols>
          <w:pgMar w:left="240" w:top="459" w:right="259" w:bottom="1440" w:gutter="0" w:footer="0" w:header="0"/>
        </w:sectPr>
      </w:pPr>
    </w:p>
    <w:bookmarkStart w:id="148" w:name="page149"/>
    <w:bookmarkEnd w:id="1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120" w:hanging="452"/>
        <w:spacing w:after="0" w:line="253" w:lineRule="auto"/>
        <w:tabs>
          <w:tab w:leader="none" w:pos="4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Mr. Nagesh was appointed Interim Chief Financial Officer on May 22, 2015. On October 7, 2015, Mr. Nagesh resigned as Interim Chief Financial Officer and was appointed Senior Vice President, Corporate Development and Strategy, Financial Planning and Analysis and Investor Relations. Mr. Nagesh resigned from such position on January 15, 2016.</w:t>
      </w:r>
    </w:p>
    <w:p>
      <w:pPr>
        <w:ind w:left="460" w:right="60" w:hanging="452"/>
        <w:spacing w:after="0" w:line="281" w:lineRule="auto"/>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This amount includes payout of flexible time off in the amount of $42,569, Company matching contributions to Mr. Nagesh’s 401(k) retirement account in the amount of $2,000 and premium for basic life insurance of 2.5 times annual salary up to $1,000,000 in the amount of $1,123.</w:t>
      </w:r>
    </w:p>
    <w:p>
      <w:pPr>
        <w:spacing w:after="0" w:line="1" w:lineRule="exact"/>
        <w:rPr>
          <w:rFonts w:ascii="Arial" w:cs="Arial" w:eastAsia="Arial" w:hAnsi="Arial"/>
          <w:sz w:val="16"/>
          <w:szCs w:val="16"/>
          <w:color w:val="auto"/>
        </w:rPr>
      </w:pPr>
    </w:p>
    <w:p>
      <w:pPr>
        <w:ind w:left="460" w:hanging="452"/>
        <w:spacing w:after="0" w:line="281" w:lineRule="auto"/>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This amount includes cash out of flexible time off in the amount of $33,462, Company matching contributions to Dr. Wu’s 401(k) retirement account in the amount of $2,000 and premium for basic life insurance of 2.5 times annual salary up to $1,000,000 in the amount of $1,123.</w:t>
      </w:r>
    </w:p>
    <w:p>
      <w:pPr>
        <w:spacing w:after="0" w:line="1" w:lineRule="exact"/>
        <w:rPr>
          <w:rFonts w:ascii="Arial" w:cs="Arial" w:eastAsia="Arial" w:hAnsi="Arial"/>
          <w:sz w:val="16"/>
          <w:szCs w:val="16"/>
          <w:color w:val="auto"/>
        </w:rPr>
      </w:pPr>
    </w:p>
    <w:p>
      <w:pPr>
        <w:ind w:left="460" w:hanging="452"/>
        <w:spacing w:after="0" w:line="250" w:lineRule="auto"/>
        <w:tabs>
          <w:tab w:leader="none" w:pos="4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This amount includes premium for basic life insurance of 2.5 times annual salary up to $1,000,000 in the amount of $791, the Company’s matching contributions to Dr. Wu’s 401(k) retirement account of $2,000, cash out of accrued vacation of $7,692, and payments under our non-executive patent award program to Dr. Wu prior to his appointment as an executive officer of $91,750.</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Represents amounts paid by us to Ranstad Professional Services d/b/a Tatum for Mr. Eichler’s services.</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147</w:t>
      </w:r>
    </w:p>
    <w:p>
      <w:pPr>
        <w:sectPr>
          <w:pgSz w:w="11900" w:h="16838" w:orient="portrait"/>
          <w:cols w:equalWidth="0" w:num="1">
            <w:col w:w="11380"/>
          </w:cols>
          <w:pgMar w:left="240" w:top="459" w:right="279" w:bottom="1440" w:gutter="0" w:footer="0" w:header="0"/>
        </w:sectPr>
      </w:pPr>
    </w:p>
    <w:bookmarkStart w:id="149" w:name="page150"/>
    <w:bookmarkEnd w:id="1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2016</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rPr>
              <w:t>All</w:t>
            </w:r>
          </w:p>
        </w:tc>
        <w:tc>
          <w:tcPr>
            <w:tcW w:w="8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All</w:t>
            </w: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Other</w:t>
            </w:r>
          </w:p>
        </w:tc>
        <w:tc>
          <w:tcPr>
            <w:tcW w:w="8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6"/>
              </w:rPr>
              <w:t>Other</w:t>
            </w: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0"/>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Stock</w:t>
            </w:r>
          </w:p>
        </w:tc>
        <w:tc>
          <w:tcPr>
            <w:tcW w:w="8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8"/>
              </w:rPr>
              <w:t>Option</w:t>
            </w: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5"/>
              </w:rPr>
              <w:t>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Awards:</w:t>
            </w:r>
          </w:p>
        </w:tc>
        <w:tc>
          <w:tcPr>
            <w:tcW w:w="84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rPr>
              <w:t>Awards:</w:t>
            </w: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780" w:type="dxa"/>
            <w:vAlign w:val="bottom"/>
            <w:gridSpan w:val="6"/>
          </w:tcPr>
          <w:p>
            <w:pPr>
              <w:jc w:val="center"/>
              <w:ind w:right="160"/>
              <w:spacing w:after="0"/>
              <w:rPr>
                <w:sz w:val="20"/>
                <w:szCs w:val="20"/>
                <w:color w:val="auto"/>
              </w:rPr>
            </w:pPr>
            <w:r>
              <w:rPr>
                <w:rFonts w:ascii="Arial" w:cs="Arial" w:eastAsia="Arial" w:hAnsi="Arial"/>
                <w:sz w:val="14"/>
                <w:szCs w:val="14"/>
                <w:b w:val="1"/>
                <w:bCs w:val="1"/>
                <w:color w:val="auto"/>
                <w:w w:val="86"/>
              </w:rPr>
              <w:t>Estimated Future Payouts</w:t>
            </w:r>
          </w:p>
        </w:tc>
        <w:tc>
          <w:tcPr>
            <w:tcW w:w="2640" w:type="dxa"/>
            <w:vAlign w:val="bottom"/>
            <w:gridSpan w:val="6"/>
          </w:tcPr>
          <w:p>
            <w:pPr>
              <w:ind w:left="480"/>
              <w:spacing w:after="0"/>
              <w:rPr>
                <w:sz w:val="20"/>
                <w:szCs w:val="20"/>
                <w:color w:val="auto"/>
              </w:rPr>
            </w:pPr>
            <w:r>
              <w:rPr>
                <w:rFonts w:ascii="Arial" w:cs="Arial" w:eastAsia="Arial" w:hAnsi="Arial"/>
                <w:sz w:val="14"/>
                <w:szCs w:val="14"/>
                <w:b w:val="1"/>
                <w:bCs w:val="1"/>
                <w:color w:val="auto"/>
              </w:rPr>
              <w:t>Estimated Future Payouts</w:t>
            </w:r>
          </w:p>
        </w:tc>
        <w:tc>
          <w:tcPr>
            <w:tcW w:w="6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0"/>
              </w:rPr>
              <w:t>Number</w:t>
            </w:r>
          </w:p>
        </w:tc>
        <w:tc>
          <w:tcPr>
            <w:tcW w:w="84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rPr>
              <w:t>Number</w:t>
            </w:r>
          </w:p>
        </w:tc>
        <w:tc>
          <w:tcPr>
            <w:tcW w:w="7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6"/>
              </w:rPr>
              <w:t>Exercise</w:t>
            </w:r>
          </w:p>
        </w:tc>
        <w:tc>
          <w:tcPr>
            <w:tcW w:w="8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780" w:type="dxa"/>
            <w:vAlign w:val="bottom"/>
            <w:gridSpan w:val="6"/>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Under Non-Equity Incentive</w:t>
            </w:r>
          </w:p>
        </w:tc>
        <w:tc>
          <w:tcPr>
            <w:tcW w:w="2640" w:type="dxa"/>
            <w:vAlign w:val="bottom"/>
            <w:gridSpan w:val="6"/>
          </w:tcPr>
          <w:p>
            <w:pPr>
              <w:jc w:val="center"/>
              <w:ind w:right="160"/>
              <w:spacing w:after="0" w:line="149" w:lineRule="exact"/>
              <w:rPr>
                <w:sz w:val="20"/>
                <w:szCs w:val="20"/>
                <w:color w:val="auto"/>
              </w:rPr>
            </w:pPr>
            <w:r>
              <w:rPr>
                <w:rFonts w:ascii="Arial" w:cs="Arial" w:eastAsia="Arial" w:hAnsi="Arial"/>
                <w:sz w:val="14"/>
                <w:szCs w:val="14"/>
                <w:b w:val="1"/>
                <w:bCs w:val="1"/>
                <w:color w:val="auto"/>
                <w:w w:val="89"/>
              </w:rPr>
              <w:t>Under Equity Incentive</w:t>
            </w:r>
          </w:p>
        </w:tc>
        <w:tc>
          <w:tcPr>
            <w:tcW w:w="60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of</w:t>
            </w:r>
          </w:p>
        </w:tc>
        <w:tc>
          <w:tcPr>
            <w:tcW w:w="8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of</w:t>
            </w:r>
          </w:p>
        </w:tc>
        <w:tc>
          <w:tcPr>
            <w:tcW w:w="70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1"/>
              </w:rPr>
              <w:t>or Base</w:t>
            </w:r>
          </w:p>
        </w:tc>
        <w:tc>
          <w:tcPr>
            <w:tcW w:w="8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9"/>
              </w:rPr>
              <w:t>Plan Awards (1)</w:t>
            </w: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8"/>
              </w:rPr>
              <w:t>Plan Awards</w:t>
            </w: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1"/>
              </w:rPr>
              <w:t>Shares</w:t>
            </w:r>
          </w:p>
        </w:tc>
        <w:tc>
          <w:tcPr>
            <w:tcW w:w="84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9"/>
              </w:rPr>
              <w:t>Securities</w:t>
            </w:r>
          </w:p>
        </w:tc>
        <w:tc>
          <w:tcPr>
            <w:tcW w:w="70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7"/>
              </w:rPr>
              <w:t>Price</w:t>
            </w:r>
          </w:p>
        </w:tc>
        <w:tc>
          <w:tcPr>
            <w:tcW w:w="8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60" w:type="dxa"/>
            <w:vAlign w:val="bottom"/>
          </w:tcPr>
          <w:p>
            <w:pPr>
              <w:spacing w:after="0"/>
              <w:rPr>
                <w:sz w:val="2"/>
                <w:szCs w:val="2"/>
                <w:color w:val="auto"/>
              </w:rPr>
            </w:pPr>
          </w:p>
        </w:tc>
        <w:tc>
          <w:tcPr>
            <w:tcW w:w="860" w:type="dxa"/>
            <w:vAlign w:val="bottom"/>
          </w:tcPr>
          <w:p>
            <w:pPr>
              <w:spacing w:after="0"/>
              <w:rPr>
                <w:sz w:val="2"/>
                <w:szCs w:val="2"/>
                <w:color w:val="auto"/>
              </w:rPr>
            </w:pPr>
          </w:p>
        </w:tc>
        <w:tc>
          <w:tcPr>
            <w:tcW w:w="160" w:type="dxa"/>
            <w:vAlign w:val="bottom"/>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600" w:type="dxa"/>
            <w:vAlign w:val="bottom"/>
            <w:gridSpan w:val="2"/>
            <w:vMerge w:val="restart"/>
          </w:tcPr>
          <w:p>
            <w:pPr>
              <w:jc w:val="center"/>
              <w:ind w:right="100"/>
              <w:spacing w:after="0" w:line="123" w:lineRule="exact"/>
              <w:rPr>
                <w:sz w:val="20"/>
                <w:szCs w:val="20"/>
                <w:color w:val="auto"/>
              </w:rPr>
            </w:pPr>
            <w:r>
              <w:rPr>
                <w:rFonts w:ascii="Arial" w:cs="Arial" w:eastAsia="Arial" w:hAnsi="Arial"/>
                <w:sz w:val="14"/>
                <w:szCs w:val="14"/>
                <w:b w:val="1"/>
                <w:bCs w:val="1"/>
                <w:color w:val="auto"/>
                <w:w w:val="83"/>
              </w:rPr>
              <w:t>of Stock</w:t>
            </w:r>
          </w:p>
        </w:tc>
        <w:tc>
          <w:tcPr>
            <w:tcW w:w="840" w:type="dxa"/>
            <w:vAlign w:val="bottom"/>
            <w:gridSpan w:val="2"/>
            <w:vMerge w:val="restart"/>
          </w:tcPr>
          <w:p>
            <w:pPr>
              <w:jc w:val="center"/>
              <w:ind w:right="160"/>
              <w:spacing w:after="0" w:line="123" w:lineRule="exact"/>
              <w:rPr>
                <w:sz w:val="20"/>
                <w:szCs w:val="20"/>
                <w:color w:val="auto"/>
              </w:rPr>
            </w:pPr>
            <w:r>
              <w:rPr>
                <w:rFonts w:ascii="Arial" w:cs="Arial" w:eastAsia="Arial" w:hAnsi="Arial"/>
                <w:sz w:val="14"/>
                <w:szCs w:val="14"/>
                <w:b w:val="1"/>
                <w:bCs w:val="1"/>
                <w:color w:val="auto"/>
                <w:w w:val="87"/>
              </w:rPr>
              <w:t>Underlying</w:t>
            </w:r>
          </w:p>
        </w:tc>
        <w:tc>
          <w:tcPr>
            <w:tcW w:w="700" w:type="dxa"/>
            <w:vAlign w:val="bottom"/>
            <w:gridSpan w:val="2"/>
            <w:vMerge w:val="restart"/>
          </w:tcPr>
          <w:p>
            <w:pPr>
              <w:jc w:val="center"/>
              <w:ind w:right="160"/>
              <w:spacing w:after="0" w:line="123" w:lineRule="exact"/>
              <w:rPr>
                <w:sz w:val="20"/>
                <w:szCs w:val="20"/>
                <w:color w:val="auto"/>
              </w:rPr>
            </w:pPr>
            <w:r>
              <w:rPr>
                <w:rFonts w:ascii="Arial" w:cs="Arial" w:eastAsia="Arial" w:hAnsi="Arial"/>
                <w:sz w:val="14"/>
                <w:szCs w:val="14"/>
                <w:b w:val="1"/>
                <w:bCs w:val="1"/>
                <w:color w:val="auto"/>
                <w:w w:val="86"/>
              </w:rPr>
              <w:t>of Option</w:t>
            </w:r>
          </w:p>
        </w:tc>
        <w:tc>
          <w:tcPr>
            <w:tcW w:w="860" w:type="dxa"/>
            <w:vAlign w:val="bottom"/>
            <w:gridSpan w:val="2"/>
            <w:vMerge w:val="restart"/>
          </w:tcPr>
          <w:p>
            <w:pPr>
              <w:jc w:val="center"/>
              <w:ind w:right="80"/>
              <w:spacing w:after="0" w:line="123" w:lineRule="exact"/>
              <w:rPr>
                <w:sz w:val="20"/>
                <w:szCs w:val="20"/>
                <w:color w:val="auto"/>
              </w:rPr>
            </w:pPr>
            <w:r>
              <w:rPr>
                <w:rFonts w:ascii="Arial" w:cs="Arial" w:eastAsia="Arial" w:hAnsi="Arial"/>
                <w:sz w:val="14"/>
                <w:szCs w:val="14"/>
                <w:b w:val="1"/>
                <w:bCs w:val="1"/>
                <w:color w:val="auto"/>
                <w:w w:val="93"/>
              </w:rPr>
              <w:t>Option</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360" w:type="dxa"/>
            <w:vAlign w:val="bottom"/>
          </w:tcPr>
          <w:p>
            <w:pPr>
              <w:spacing w:after="0"/>
              <w:rPr>
                <w:sz w:val="6"/>
                <w:szCs w:val="6"/>
                <w:color w:val="auto"/>
              </w:rPr>
            </w:pPr>
          </w:p>
        </w:tc>
        <w:tc>
          <w:tcPr>
            <w:tcW w:w="1540" w:type="dxa"/>
            <w:vAlign w:val="bottom"/>
          </w:tcPr>
          <w:p>
            <w:pPr>
              <w:spacing w:after="0"/>
              <w:rPr>
                <w:sz w:val="6"/>
                <w:szCs w:val="6"/>
                <w:color w:val="auto"/>
              </w:rPr>
            </w:pPr>
          </w:p>
        </w:tc>
        <w:tc>
          <w:tcPr>
            <w:tcW w:w="60" w:type="dxa"/>
            <w:vAlign w:val="bottom"/>
          </w:tcPr>
          <w:p>
            <w:pPr>
              <w:spacing w:after="0"/>
              <w:rPr>
                <w:sz w:val="6"/>
                <w:szCs w:val="6"/>
                <w:color w:val="auto"/>
              </w:rPr>
            </w:pPr>
          </w:p>
        </w:tc>
        <w:tc>
          <w:tcPr>
            <w:tcW w:w="860" w:type="dxa"/>
            <w:vAlign w:val="bottom"/>
          </w:tcPr>
          <w:p>
            <w:pPr>
              <w:spacing w:after="0"/>
              <w:rPr>
                <w:sz w:val="6"/>
                <w:szCs w:val="6"/>
                <w:color w:val="auto"/>
              </w:rPr>
            </w:pPr>
          </w:p>
        </w:tc>
        <w:tc>
          <w:tcPr>
            <w:tcW w:w="160" w:type="dxa"/>
            <w:vAlign w:val="bottom"/>
          </w:tcPr>
          <w:p>
            <w:pPr>
              <w:spacing w:after="0"/>
              <w:rPr>
                <w:sz w:val="6"/>
                <w:szCs w:val="6"/>
                <w:color w:val="auto"/>
              </w:rPr>
            </w:pPr>
          </w:p>
        </w:tc>
        <w:tc>
          <w:tcPr>
            <w:tcW w:w="760" w:type="dxa"/>
            <w:vAlign w:val="bottom"/>
          </w:tcPr>
          <w:p>
            <w:pPr>
              <w:spacing w:after="0"/>
              <w:rPr>
                <w:sz w:val="6"/>
                <w:szCs w:val="6"/>
                <w:color w:val="auto"/>
              </w:rPr>
            </w:pPr>
          </w:p>
        </w:tc>
        <w:tc>
          <w:tcPr>
            <w:tcW w:w="160" w:type="dxa"/>
            <w:vAlign w:val="bottom"/>
          </w:tcPr>
          <w:p>
            <w:pPr>
              <w:spacing w:after="0"/>
              <w:rPr>
                <w:sz w:val="6"/>
                <w:szCs w:val="6"/>
                <w:color w:val="auto"/>
              </w:rPr>
            </w:pPr>
          </w:p>
        </w:tc>
        <w:tc>
          <w:tcPr>
            <w:tcW w:w="760" w:type="dxa"/>
            <w:vAlign w:val="bottom"/>
          </w:tcPr>
          <w:p>
            <w:pPr>
              <w:spacing w:after="0"/>
              <w:rPr>
                <w:sz w:val="6"/>
                <w:szCs w:val="6"/>
                <w:color w:val="auto"/>
              </w:rPr>
            </w:pPr>
          </w:p>
        </w:tc>
        <w:tc>
          <w:tcPr>
            <w:tcW w:w="160" w:type="dxa"/>
            <w:vAlign w:val="bottom"/>
          </w:tcPr>
          <w:p>
            <w:pPr>
              <w:spacing w:after="0"/>
              <w:rPr>
                <w:sz w:val="6"/>
                <w:szCs w:val="6"/>
                <w:color w:val="auto"/>
              </w:rPr>
            </w:pPr>
          </w:p>
        </w:tc>
        <w:tc>
          <w:tcPr>
            <w:tcW w:w="780" w:type="dxa"/>
            <w:vAlign w:val="bottom"/>
          </w:tcPr>
          <w:p>
            <w:pPr>
              <w:spacing w:after="0"/>
              <w:rPr>
                <w:sz w:val="6"/>
                <w:szCs w:val="6"/>
                <w:color w:val="auto"/>
              </w:rPr>
            </w:pPr>
          </w:p>
        </w:tc>
        <w:tc>
          <w:tcPr>
            <w:tcW w:w="160" w:type="dxa"/>
            <w:vAlign w:val="bottom"/>
          </w:tcPr>
          <w:p>
            <w:pPr>
              <w:spacing w:after="0"/>
              <w:rPr>
                <w:sz w:val="6"/>
                <w:szCs w:val="6"/>
                <w:color w:val="auto"/>
              </w:rPr>
            </w:pPr>
          </w:p>
        </w:tc>
        <w:tc>
          <w:tcPr>
            <w:tcW w:w="760" w:type="dxa"/>
            <w:vAlign w:val="bottom"/>
          </w:tcPr>
          <w:p>
            <w:pPr>
              <w:spacing w:after="0"/>
              <w:rPr>
                <w:sz w:val="6"/>
                <w:szCs w:val="6"/>
                <w:color w:val="auto"/>
              </w:rPr>
            </w:pPr>
          </w:p>
        </w:tc>
        <w:tc>
          <w:tcPr>
            <w:tcW w:w="1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60" w:type="dxa"/>
            <w:vAlign w:val="bottom"/>
          </w:tcPr>
          <w:p>
            <w:pPr>
              <w:spacing w:after="0"/>
              <w:rPr>
                <w:sz w:val="6"/>
                <w:szCs w:val="6"/>
                <w:color w:val="auto"/>
              </w:rPr>
            </w:pPr>
          </w:p>
        </w:tc>
        <w:tc>
          <w:tcPr>
            <w:tcW w:w="780" w:type="dxa"/>
            <w:vAlign w:val="bottom"/>
          </w:tcPr>
          <w:p>
            <w:pPr>
              <w:spacing w:after="0"/>
              <w:rPr>
                <w:sz w:val="6"/>
                <w:szCs w:val="6"/>
                <w:color w:val="auto"/>
              </w:rPr>
            </w:pPr>
          </w:p>
        </w:tc>
        <w:tc>
          <w:tcPr>
            <w:tcW w:w="160" w:type="dxa"/>
            <w:vAlign w:val="bottom"/>
          </w:tcPr>
          <w:p>
            <w:pPr>
              <w:spacing w:after="0"/>
              <w:rPr>
                <w:sz w:val="6"/>
                <w:szCs w:val="6"/>
                <w:color w:val="auto"/>
              </w:rPr>
            </w:pPr>
          </w:p>
        </w:tc>
        <w:tc>
          <w:tcPr>
            <w:tcW w:w="600" w:type="dxa"/>
            <w:vAlign w:val="bottom"/>
            <w:gridSpan w:val="2"/>
            <w:vMerge w:val="continue"/>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49"/>
        </w:trPr>
        <w:tc>
          <w:tcPr>
            <w:tcW w:w="19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60" w:type="dxa"/>
            <w:vAlign w:val="bottom"/>
          </w:tcPr>
          <w:p>
            <w:pPr>
              <w:spacing w:after="0"/>
              <w:rPr>
                <w:sz w:val="12"/>
                <w:szCs w:val="12"/>
                <w:color w:val="auto"/>
              </w:rPr>
            </w:pPr>
          </w:p>
        </w:tc>
        <w:tc>
          <w:tcPr>
            <w:tcW w:w="102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rPr>
              <w:t>Grant</w:t>
            </w: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or Units</w:t>
            </w:r>
          </w:p>
        </w:tc>
        <w:tc>
          <w:tcPr>
            <w:tcW w:w="84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Options</w:t>
            </w:r>
          </w:p>
        </w:tc>
        <w:tc>
          <w:tcPr>
            <w:tcW w:w="70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6"/>
              </w:rPr>
              <w:t>Awards</w:t>
            </w:r>
          </w:p>
        </w:tc>
        <w:tc>
          <w:tcPr>
            <w:tcW w:w="8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8"/>
        </w:trPr>
        <w:tc>
          <w:tcPr>
            <w:tcW w:w="192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020" w:type="dxa"/>
            <w:vAlign w:val="bottom"/>
            <w:gridSpan w:val="2"/>
          </w:tcPr>
          <w:p>
            <w:pPr>
              <w:jc w:val="right"/>
              <w:ind w:right="460"/>
              <w:spacing w:after="0" w:line="148" w:lineRule="exact"/>
              <w:rPr>
                <w:sz w:val="20"/>
                <w:szCs w:val="20"/>
                <w:color w:val="auto"/>
              </w:rPr>
            </w:pPr>
            <w:r>
              <w:rPr>
                <w:rFonts w:ascii="Arial" w:cs="Arial" w:eastAsia="Arial" w:hAnsi="Arial"/>
                <w:sz w:val="14"/>
                <w:szCs w:val="14"/>
                <w:b w:val="1"/>
                <w:bCs w:val="1"/>
                <w:color w:val="auto"/>
              </w:rPr>
              <w:t>Date</w:t>
            </w:r>
          </w:p>
        </w:tc>
        <w:tc>
          <w:tcPr>
            <w:tcW w:w="760" w:type="dxa"/>
            <w:vAlign w:val="bottom"/>
          </w:tcPr>
          <w:p>
            <w:pPr>
              <w:jc w:val="right"/>
              <w:spacing w:after="0" w:line="148" w:lineRule="exact"/>
              <w:rPr>
                <w:sz w:val="20"/>
                <w:szCs w:val="20"/>
                <w:color w:val="auto"/>
              </w:rPr>
            </w:pPr>
            <w:r>
              <w:rPr>
                <w:rFonts w:ascii="Arial" w:cs="Arial" w:eastAsia="Arial" w:hAnsi="Arial"/>
                <w:sz w:val="14"/>
                <w:szCs w:val="14"/>
                <w:b w:val="1"/>
                <w:bCs w:val="1"/>
                <w:u w:val="single" w:color="auto"/>
                <w:color w:val="auto"/>
                <w:w w:val="87"/>
              </w:rPr>
              <w:t>Threshold($</w:t>
            </w:r>
            <w:r>
              <w:rPr>
                <w:rFonts w:ascii="Arial" w:cs="Arial" w:eastAsia="Arial" w:hAnsi="Arial"/>
                <w:sz w:val="14"/>
                <w:szCs w:val="14"/>
                <w:b w:val="1"/>
                <w:bCs w:val="1"/>
                <w:color w:val="auto"/>
                <w:w w:val="87"/>
              </w:rPr>
              <w:t>)</w:t>
            </w:r>
          </w:p>
        </w:tc>
        <w:tc>
          <w:tcPr>
            <w:tcW w:w="160" w:type="dxa"/>
            <w:vAlign w:val="bottom"/>
          </w:tcPr>
          <w:p>
            <w:pPr>
              <w:spacing w:after="0"/>
              <w:rPr>
                <w:sz w:val="12"/>
                <w:szCs w:val="12"/>
                <w:color w:val="auto"/>
              </w:rPr>
            </w:pPr>
          </w:p>
        </w:tc>
        <w:tc>
          <w:tcPr>
            <w:tcW w:w="920" w:type="dxa"/>
            <w:vAlign w:val="bottom"/>
            <w:gridSpan w:val="2"/>
          </w:tcPr>
          <w:p>
            <w:pPr>
              <w:jc w:val="center"/>
              <w:ind w:right="140"/>
              <w:spacing w:after="0" w:line="148" w:lineRule="exact"/>
              <w:rPr>
                <w:sz w:val="20"/>
                <w:szCs w:val="20"/>
                <w:color w:val="auto"/>
              </w:rPr>
            </w:pPr>
            <w:r>
              <w:rPr>
                <w:rFonts w:ascii="Arial" w:cs="Arial" w:eastAsia="Arial" w:hAnsi="Arial"/>
                <w:sz w:val="14"/>
                <w:szCs w:val="14"/>
                <w:b w:val="1"/>
                <w:bCs w:val="1"/>
                <w:color w:val="auto"/>
                <w:w w:val="90"/>
              </w:rPr>
              <w:t>Target($)</w:t>
            </w:r>
          </w:p>
        </w:tc>
        <w:tc>
          <w:tcPr>
            <w:tcW w:w="94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rPr>
              <w:t>Maximum($</w:t>
            </w:r>
            <w:r>
              <w:rPr>
                <w:rFonts w:ascii="Arial" w:cs="Arial" w:eastAsia="Arial" w:hAnsi="Arial"/>
                <w:sz w:val="14"/>
                <w:szCs w:val="14"/>
                <w:b w:val="1"/>
                <w:bCs w:val="1"/>
                <w:color w:val="auto"/>
              </w:rPr>
              <w:t>)</w:t>
            </w:r>
          </w:p>
        </w:tc>
        <w:tc>
          <w:tcPr>
            <w:tcW w:w="76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4"/>
              </w:rPr>
              <w:t>Threshold(#)</w:t>
            </w:r>
          </w:p>
        </w:tc>
        <w:tc>
          <w:tcPr>
            <w:tcW w:w="160" w:type="dxa"/>
            <w:vAlign w:val="bottom"/>
          </w:tcPr>
          <w:p>
            <w:pPr>
              <w:spacing w:after="0"/>
              <w:rPr>
                <w:sz w:val="12"/>
                <w:szCs w:val="12"/>
                <w:color w:val="auto"/>
              </w:rPr>
            </w:pPr>
          </w:p>
        </w:tc>
        <w:tc>
          <w:tcPr>
            <w:tcW w:w="780" w:type="dxa"/>
            <w:vAlign w:val="bottom"/>
            <w:gridSpan w:val="2"/>
          </w:tcPr>
          <w:p>
            <w:pPr>
              <w:jc w:val="center"/>
              <w:ind w:right="160"/>
              <w:spacing w:after="0" w:line="148" w:lineRule="exact"/>
              <w:rPr>
                <w:sz w:val="20"/>
                <w:szCs w:val="20"/>
                <w:color w:val="auto"/>
              </w:rPr>
            </w:pPr>
            <w:r>
              <w:rPr>
                <w:rFonts w:ascii="Arial" w:cs="Arial" w:eastAsia="Arial" w:hAnsi="Arial"/>
                <w:sz w:val="14"/>
                <w:szCs w:val="14"/>
                <w:b w:val="1"/>
                <w:bCs w:val="1"/>
                <w:color w:val="auto"/>
                <w:w w:val="90"/>
              </w:rPr>
              <w:t>Target(#)</w:t>
            </w:r>
          </w:p>
        </w:tc>
        <w:tc>
          <w:tcPr>
            <w:tcW w:w="94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Maximum(#)</w:t>
            </w:r>
          </w:p>
        </w:tc>
        <w:tc>
          <w:tcPr>
            <w:tcW w:w="480" w:type="dxa"/>
            <w:vAlign w:val="bottom"/>
          </w:tcPr>
          <w:p>
            <w:pPr>
              <w:ind w:left="160"/>
              <w:spacing w:after="0" w:line="148" w:lineRule="exact"/>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2"/>
                <w:szCs w:val="12"/>
                <w:color w:val="auto"/>
              </w:rPr>
            </w:pPr>
          </w:p>
        </w:tc>
        <w:tc>
          <w:tcPr>
            <w:tcW w:w="6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4"/>
              </w:rPr>
              <w:t>(#) (2)</w:t>
            </w:r>
          </w:p>
        </w:tc>
        <w:tc>
          <w:tcPr>
            <w:tcW w:w="160" w:type="dxa"/>
            <w:vAlign w:val="bottom"/>
          </w:tcPr>
          <w:p>
            <w:pPr>
              <w:spacing w:after="0"/>
              <w:rPr>
                <w:sz w:val="12"/>
                <w:szCs w:val="12"/>
                <w:color w:val="auto"/>
              </w:rPr>
            </w:pPr>
          </w:p>
        </w:tc>
        <w:tc>
          <w:tcPr>
            <w:tcW w:w="700" w:type="dxa"/>
            <w:vAlign w:val="bottom"/>
            <w:gridSpan w:val="2"/>
          </w:tcPr>
          <w:p>
            <w:pPr>
              <w:jc w:val="center"/>
              <w:ind w:right="160"/>
              <w:spacing w:after="0" w:line="148" w:lineRule="exact"/>
              <w:rPr>
                <w:sz w:val="20"/>
                <w:szCs w:val="20"/>
                <w:color w:val="auto"/>
              </w:rPr>
            </w:pPr>
            <w:r>
              <w:rPr>
                <w:rFonts w:ascii="Arial" w:cs="Arial" w:eastAsia="Arial" w:hAnsi="Arial"/>
                <w:sz w:val="14"/>
                <w:szCs w:val="14"/>
                <w:b w:val="1"/>
                <w:bCs w:val="1"/>
                <w:color w:val="auto"/>
                <w:w w:val="88"/>
              </w:rPr>
              <w:t>($/shr)</w:t>
            </w: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0"/>
              </w:rPr>
              <w:t>($) (3)(4)</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154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190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60" w:type="dxa"/>
            <w:vAlign w:val="bottom"/>
            <w:shd w:val="clear" w:color="auto" w:fill="CCEEFF"/>
          </w:tcPr>
          <w:p>
            <w:pPr>
              <w:spacing w:after="0"/>
              <w:rPr>
                <w:sz w:val="17"/>
                <w:szCs w:val="17"/>
                <w:color w:val="auto"/>
              </w:rPr>
            </w:pPr>
          </w:p>
        </w:tc>
        <w:tc>
          <w:tcPr>
            <w:tcW w:w="8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04/30/2015</w:t>
            </w:r>
          </w:p>
        </w:tc>
        <w:tc>
          <w:tcPr>
            <w:tcW w:w="16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7"/>
                <w:szCs w:val="17"/>
                <w:color w:val="auto"/>
              </w:rPr>
            </w:pPr>
          </w:p>
        </w:tc>
        <w:tc>
          <w:tcPr>
            <w:tcW w:w="780" w:type="dxa"/>
            <w:vAlign w:val="bottom"/>
            <w:shd w:val="clear" w:color="auto" w:fill="CCEEFF"/>
          </w:tcPr>
          <w:p>
            <w:pPr>
              <w:jc w:val="right"/>
              <w:ind w:right="13"/>
              <w:spacing w:after="0" w:line="203" w:lineRule="exact"/>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0</w:t>
            </w: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154,176</w:t>
            </w:r>
          </w:p>
        </w:tc>
        <w:tc>
          <w:tcPr>
            <w:tcW w:w="16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308,352</w:t>
            </w:r>
          </w:p>
        </w:tc>
        <w:tc>
          <w:tcPr>
            <w:tcW w:w="160" w:type="dxa"/>
            <w:vAlign w:val="bottom"/>
            <w:shd w:val="clear" w:color="auto" w:fill="CCEEFF"/>
          </w:tcPr>
          <w:p>
            <w:pPr>
              <w:spacing w:after="0"/>
              <w:rPr>
                <w:sz w:val="17"/>
                <w:szCs w:val="17"/>
                <w:color w:val="auto"/>
              </w:rPr>
            </w:pPr>
          </w:p>
        </w:tc>
        <w:tc>
          <w:tcPr>
            <w:tcW w:w="48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jc w:val="right"/>
              <w:ind w:right="19"/>
              <w:spacing w:after="0" w:line="203" w:lineRule="exact"/>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jc w:val="center"/>
              <w:ind w:left="117"/>
              <w:spacing w:after="0" w:line="203" w:lineRule="exact"/>
              <w:rPr>
                <w:sz w:val="20"/>
                <w:szCs w:val="20"/>
                <w:color w:val="auto"/>
              </w:rPr>
            </w:pPr>
            <w:r>
              <w:rPr>
                <w:rFonts w:ascii="Arial" w:cs="Arial" w:eastAsia="Arial" w:hAnsi="Arial"/>
                <w:sz w:val="18"/>
                <w:szCs w:val="18"/>
                <w:color w:val="auto"/>
                <w:w w:val="99"/>
              </w:rPr>
              <w:t>—</w:t>
            </w:r>
          </w:p>
        </w:tc>
        <w:tc>
          <w:tcPr>
            <w:tcW w:w="16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2,123,004</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3"/>
              </w:rPr>
              <w:t>04/30/2015</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98,044</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1,350,066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3"/>
              </w:rPr>
              <w:t>04/30/2015</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192,719</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385,439</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2,358,881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06/24/2015</w:t>
            </w: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458,856</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center"/>
              <w:ind w:left="77"/>
              <w:spacing w:after="0"/>
              <w:rPr>
                <w:sz w:val="20"/>
                <w:szCs w:val="20"/>
                <w:color w:val="auto"/>
              </w:rPr>
            </w:pPr>
            <w:r>
              <w:rPr>
                <w:rFonts w:ascii="Arial" w:cs="Arial" w:eastAsia="Arial" w:hAnsi="Arial"/>
                <w:sz w:val="18"/>
                <w:szCs w:val="18"/>
                <w:color w:val="auto"/>
                <w:w w:val="84"/>
              </w:rPr>
              <w:t>14.35</w:t>
            </w: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1,823,677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661,500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1,102,500</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4"/>
              </w:rPr>
              <w:t>1,984,500</w:t>
            </w:r>
          </w:p>
        </w:tc>
        <w:tc>
          <w:tcPr>
            <w:tcW w:w="760" w:type="dxa"/>
            <w:vAlign w:val="bottom"/>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8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16"/>
        </w:trPr>
        <w:tc>
          <w:tcPr>
            <w:tcW w:w="1920" w:type="dxa"/>
            <w:vAlign w:val="bottom"/>
            <w:gridSpan w:val="3"/>
          </w:tcPr>
          <w:p>
            <w:pPr>
              <w:spacing w:after="0"/>
              <w:rPr>
                <w:sz w:val="20"/>
                <w:szCs w:val="20"/>
                <w:color w:val="auto"/>
              </w:rPr>
            </w:pPr>
            <w:r>
              <w:rPr>
                <w:rFonts w:ascii="Arial" w:cs="Arial" w:eastAsia="Arial" w:hAnsi="Arial"/>
                <w:sz w:val="18"/>
                <w:szCs w:val="18"/>
                <w:color w:val="auto"/>
              </w:rPr>
              <w:t>Weili Dai</w:t>
            </w: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w w:val="99"/>
              </w:rPr>
              <w:t>04/30/2015</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4"/>
                <w:szCs w:val="2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85,654</w:t>
            </w:r>
          </w:p>
        </w:tc>
        <w:tc>
          <w:tcPr>
            <w:tcW w:w="160" w:type="dxa"/>
            <w:vAlign w:val="bottom"/>
          </w:tcPr>
          <w:p>
            <w:pPr>
              <w:spacing w:after="0"/>
              <w:rPr>
                <w:sz w:val="24"/>
                <w:szCs w:val="24"/>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171,306</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1,179,456</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w w:val="99"/>
              </w:rPr>
              <w:t>04/30/2015</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54,746</w:t>
            </w:r>
          </w:p>
        </w:tc>
        <w:tc>
          <w:tcPr>
            <w:tcW w:w="160" w:type="dxa"/>
            <w:vAlign w:val="bottom"/>
          </w:tcPr>
          <w:p>
            <w:pPr>
              <w:spacing w:after="0"/>
              <w:rPr>
                <w:sz w:val="18"/>
                <w:szCs w:val="18"/>
                <w:color w:val="auto"/>
              </w:rPr>
            </w:pPr>
          </w:p>
        </w:tc>
        <w:tc>
          <w:tcPr>
            <w:tcW w:w="9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753,852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w w:val="99"/>
              </w:rPr>
              <w:t>04/30/2015</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107,066</w:t>
            </w:r>
          </w:p>
        </w:tc>
        <w:tc>
          <w:tcPr>
            <w:tcW w:w="16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214,133</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1,310,488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w w:val="99"/>
              </w:rPr>
              <w:t>06/24/2015</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ind w:left="4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254,920</w:t>
            </w:r>
          </w:p>
        </w:tc>
        <w:tc>
          <w:tcPr>
            <w:tcW w:w="160" w:type="dxa"/>
            <w:vAlign w:val="bottom"/>
          </w:tcPr>
          <w:p>
            <w:pPr>
              <w:spacing w:after="0"/>
              <w:rPr>
                <w:sz w:val="18"/>
                <w:szCs w:val="18"/>
                <w:color w:val="auto"/>
              </w:rPr>
            </w:pPr>
          </w:p>
        </w:tc>
        <w:tc>
          <w:tcPr>
            <w:tcW w:w="540" w:type="dxa"/>
            <w:vAlign w:val="bottom"/>
          </w:tcPr>
          <w:p>
            <w:pPr>
              <w:jc w:val="center"/>
              <w:ind w:left="77"/>
              <w:spacing w:after="0"/>
              <w:rPr>
                <w:sz w:val="20"/>
                <w:szCs w:val="20"/>
                <w:color w:val="auto"/>
              </w:rPr>
            </w:pPr>
            <w:r>
              <w:rPr>
                <w:rFonts w:ascii="Arial" w:cs="Arial" w:eastAsia="Arial" w:hAnsi="Arial"/>
                <w:sz w:val="18"/>
                <w:szCs w:val="18"/>
                <w:color w:val="auto"/>
                <w:w w:val="84"/>
              </w:rPr>
              <w:t>14.35</w:t>
            </w:r>
          </w:p>
        </w:tc>
        <w:tc>
          <w:tcPr>
            <w:tcW w:w="1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1,013,154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234,000</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390,000</w:t>
            </w:r>
          </w:p>
        </w:tc>
        <w:tc>
          <w:tcPr>
            <w:tcW w:w="160" w:type="dxa"/>
            <w:vAlign w:val="bottom"/>
          </w:tcPr>
          <w:p>
            <w:pPr>
              <w:spacing w:after="0"/>
              <w:rPr>
                <w:sz w:val="19"/>
                <w:szCs w:val="19"/>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702,000</w:t>
            </w:r>
          </w:p>
        </w:tc>
        <w:tc>
          <w:tcPr>
            <w:tcW w:w="760" w:type="dxa"/>
            <w:vAlign w:val="bottom"/>
          </w:tcPr>
          <w:p>
            <w:pPr>
              <w:ind w:left="4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8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1540" w:type="dxa"/>
            <w:vAlign w:val="bottom"/>
          </w:tcPr>
          <w:p>
            <w:pPr>
              <w:spacing w:after="0"/>
              <w:rPr>
                <w:sz w:val="9"/>
                <w:szCs w:val="9"/>
                <w:color w:val="auto"/>
              </w:rPr>
            </w:pPr>
          </w:p>
        </w:tc>
        <w:tc>
          <w:tcPr>
            <w:tcW w:w="1080" w:type="dxa"/>
            <w:vAlign w:val="bottom"/>
            <w:gridSpan w:val="3"/>
          </w:tcPr>
          <w:p>
            <w:pPr>
              <w:spacing w:after="0"/>
              <w:rPr>
                <w:sz w:val="9"/>
                <w:szCs w:val="9"/>
                <w:color w:val="auto"/>
              </w:rPr>
            </w:pPr>
          </w:p>
        </w:tc>
        <w:tc>
          <w:tcPr>
            <w:tcW w:w="76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60" w:type="dxa"/>
            <w:vAlign w:val="bottom"/>
          </w:tcPr>
          <w:p>
            <w:pPr>
              <w:spacing w:after="0"/>
              <w:rPr>
                <w:sz w:val="9"/>
                <w:szCs w:val="9"/>
                <w:color w:val="auto"/>
              </w:rPr>
            </w:pPr>
          </w:p>
        </w:tc>
        <w:tc>
          <w:tcPr>
            <w:tcW w:w="78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60" w:type="dxa"/>
            <w:vAlign w:val="bottom"/>
          </w:tcPr>
          <w:p>
            <w:pPr>
              <w:spacing w:after="0"/>
              <w:rPr>
                <w:sz w:val="9"/>
                <w:szCs w:val="9"/>
                <w:color w:val="auto"/>
              </w:rPr>
            </w:pPr>
          </w:p>
        </w:tc>
        <w:tc>
          <w:tcPr>
            <w:tcW w:w="78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10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w w:val="99"/>
              </w:rPr>
              <w:t>04/30/2015</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42,826</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85,654</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589,714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4/30/2015</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30,707</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422,835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4/30/2015</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53,533</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107,066</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655,244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5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92,250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153,750</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276,750</w:t>
            </w:r>
          </w:p>
        </w:tc>
        <w:tc>
          <w:tcPr>
            <w:tcW w:w="760" w:type="dxa"/>
            <w:vAlign w:val="bottom"/>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8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16"/>
        </w:trPr>
        <w:tc>
          <w:tcPr>
            <w:tcW w:w="1920" w:type="dxa"/>
            <w:vAlign w:val="bottom"/>
            <w:gridSpan w:val="3"/>
          </w:tcPr>
          <w:p>
            <w:pPr>
              <w:spacing w:after="0"/>
              <w:rPr>
                <w:sz w:val="20"/>
                <w:szCs w:val="20"/>
                <w:color w:val="auto"/>
              </w:rPr>
            </w:pPr>
            <w:r>
              <w:rPr>
                <w:rFonts w:ascii="Arial" w:cs="Arial" w:eastAsia="Arial" w:hAnsi="Arial"/>
                <w:sz w:val="18"/>
                <w:szCs w:val="18"/>
                <w:color w:val="auto"/>
              </w:rPr>
              <w:t>Zining Wu</w:t>
            </w: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w w:val="99"/>
              </w:rPr>
              <w:t>04/30/2015</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4"/>
                <w:szCs w:val="2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42,826</w:t>
            </w:r>
          </w:p>
        </w:tc>
        <w:tc>
          <w:tcPr>
            <w:tcW w:w="160" w:type="dxa"/>
            <w:vAlign w:val="bottom"/>
          </w:tcPr>
          <w:p>
            <w:pPr>
              <w:spacing w:after="0"/>
              <w:rPr>
                <w:sz w:val="24"/>
                <w:szCs w:val="24"/>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85,654</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589,714</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w w:val="99"/>
              </w:rPr>
              <w:t>04/30/2015</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45,707</w:t>
            </w:r>
          </w:p>
        </w:tc>
        <w:tc>
          <w:tcPr>
            <w:tcW w:w="160" w:type="dxa"/>
            <w:vAlign w:val="bottom"/>
          </w:tcPr>
          <w:p>
            <w:pPr>
              <w:spacing w:after="0"/>
              <w:rPr>
                <w:sz w:val="18"/>
                <w:szCs w:val="18"/>
                <w:color w:val="auto"/>
              </w:rPr>
            </w:pPr>
          </w:p>
        </w:tc>
        <w:tc>
          <w:tcPr>
            <w:tcW w:w="9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629,385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w w:val="99"/>
              </w:rPr>
              <w:t>04/30/2015</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53,533</w:t>
            </w:r>
          </w:p>
        </w:tc>
        <w:tc>
          <w:tcPr>
            <w:tcW w:w="16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107,066</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655,244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w w:val="99"/>
              </w:rPr>
              <w:t>06/24/2015</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ind w:left="4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127,460</w:t>
            </w:r>
          </w:p>
        </w:tc>
        <w:tc>
          <w:tcPr>
            <w:tcW w:w="160" w:type="dxa"/>
            <w:vAlign w:val="bottom"/>
          </w:tcPr>
          <w:p>
            <w:pPr>
              <w:spacing w:after="0"/>
              <w:rPr>
                <w:sz w:val="18"/>
                <w:szCs w:val="18"/>
                <w:color w:val="auto"/>
              </w:rPr>
            </w:pPr>
          </w:p>
        </w:tc>
        <w:tc>
          <w:tcPr>
            <w:tcW w:w="540" w:type="dxa"/>
            <w:vAlign w:val="bottom"/>
          </w:tcPr>
          <w:p>
            <w:pPr>
              <w:jc w:val="center"/>
              <w:ind w:left="77"/>
              <w:spacing w:after="0"/>
              <w:rPr>
                <w:sz w:val="20"/>
                <w:szCs w:val="20"/>
                <w:color w:val="auto"/>
              </w:rPr>
            </w:pPr>
            <w:r>
              <w:rPr>
                <w:rFonts w:ascii="Arial" w:cs="Arial" w:eastAsia="Arial" w:hAnsi="Arial"/>
                <w:sz w:val="18"/>
                <w:szCs w:val="18"/>
                <w:color w:val="auto"/>
                <w:w w:val="84"/>
              </w:rPr>
              <w:t>14.35</w:t>
            </w:r>
          </w:p>
        </w:tc>
        <w:tc>
          <w:tcPr>
            <w:tcW w:w="1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506,577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97,875</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163,125</w:t>
            </w:r>
          </w:p>
        </w:tc>
        <w:tc>
          <w:tcPr>
            <w:tcW w:w="160" w:type="dxa"/>
            <w:vAlign w:val="bottom"/>
          </w:tcPr>
          <w:p>
            <w:pPr>
              <w:spacing w:after="0"/>
              <w:rPr>
                <w:sz w:val="19"/>
                <w:szCs w:val="19"/>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293,625</w:t>
            </w:r>
          </w:p>
        </w:tc>
        <w:tc>
          <w:tcPr>
            <w:tcW w:w="760" w:type="dxa"/>
            <w:vAlign w:val="bottom"/>
          </w:tcPr>
          <w:p>
            <w:pPr>
              <w:ind w:left="4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1540" w:type="dxa"/>
            <w:vAlign w:val="bottom"/>
          </w:tcPr>
          <w:p>
            <w:pPr>
              <w:spacing w:after="0"/>
              <w:rPr>
                <w:sz w:val="9"/>
                <w:szCs w:val="9"/>
                <w:color w:val="auto"/>
              </w:rPr>
            </w:pPr>
          </w:p>
        </w:tc>
        <w:tc>
          <w:tcPr>
            <w:tcW w:w="1080" w:type="dxa"/>
            <w:vAlign w:val="bottom"/>
            <w:gridSpan w:val="3"/>
          </w:tcPr>
          <w:p>
            <w:pPr>
              <w:spacing w:after="0"/>
              <w:rPr>
                <w:sz w:val="9"/>
                <w:szCs w:val="9"/>
                <w:color w:val="auto"/>
              </w:rPr>
            </w:pPr>
          </w:p>
        </w:tc>
        <w:tc>
          <w:tcPr>
            <w:tcW w:w="76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60" w:type="dxa"/>
            <w:vAlign w:val="bottom"/>
          </w:tcPr>
          <w:p>
            <w:pPr>
              <w:spacing w:after="0"/>
              <w:rPr>
                <w:sz w:val="9"/>
                <w:szCs w:val="9"/>
                <w:color w:val="auto"/>
              </w:rPr>
            </w:pPr>
          </w:p>
        </w:tc>
        <w:tc>
          <w:tcPr>
            <w:tcW w:w="78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60" w:type="dxa"/>
            <w:vAlign w:val="bottom"/>
          </w:tcPr>
          <w:p>
            <w:pPr>
              <w:spacing w:after="0"/>
              <w:rPr>
                <w:sz w:val="9"/>
                <w:szCs w:val="9"/>
                <w:color w:val="auto"/>
              </w:rPr>
            </w:pPr>
          </w:p>
        </w:tc>
        <w:tc>
          <w:tcPr>
            <w:tcW w:w="78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Sukhi Nagesh</w:t>
            </w:r>
          </w:p>
        </w:tc>
        <w:tc>
          <w:tcPr>
            <w:tcW w:w="10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w w:val="99"/>
              </w:rPr>
              <w:t>06/24/2015</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center"/>
              <w:ind w:left="77"/>
              <w:spacing w:after="0"/>
              <w:rPr>
                <w:sz w:val="20"/>
                <w:szCs w:val="20"/>
                <w:color w:val="auto"/>
              </w:rPr>
            </w:pPr>
            <w:r>
              <w:rPr>
                <w:rFonts w:ascii="Arial" w:cs="Arial" w:eastAsia="Arial" w:hAnsi="Arial"/>
                <w:sz w:val="18"/>
                <w:szCs w:val="18"/>
                <w:color w:val="auto"/>
                <w:w w:val="84"/>
              </w:rPr>
              <w:t>14.35</w:t>
            </w: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198,720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1920" w:type="dxa"/>
            <w:vAlign w:val="bottom"/>
            <w:gridSpan w:val="3"/>
          </w:tcPr>
          <w:p>
            <w:pPr>
              <w:spacing w:after="0"/>
              <w:rPr>
                <w:sz w:val="20"/>
                <w:szCs w:val="20"/>
                <w:color w:val="auto"/>
              </w:rPr>
            </w:pPr>
            <w:r>
              <w:rPr>
                <w:rFonts w:ascii="Arial" w:cs="Arial" w:eastAsia="Arial" w:hAnsi="Arial"/>
                <w:sz w:val="18"/>
                <w:szCs w:val="18"/>
                <w:color w:val="auto"/>
              </w:rPr>
              <w:t>David P. Eichler</w:t>
            </w:r>
          </w:p>
        </w:tc>
        <w:tc>
          <w:tcPr>
            <w:tcW w:w="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4"/>
                <w:szCs w:val="2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60" w:type="dxa"/>
            <w:vAlign w:val="bottom"/>
          </w:tcPr>
          <w:p>
            <w:pPr>
              <w:ind w:left="4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4"/>
                <w:szCs w:val="24"/>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center"/>
              <w:spacing w:after="0"/>
              <w:rPr>
                <w:sz w:val="20"/>
                <w:szCs w:val="20"/>
                <w:color w:val="auto"/>
              </w:rPr>
            </w:pPr>
            <w:r>
              <w:rPr>
                <w:rFonts w:ascii="Arial" w:cs="Arial" w:eastAsia="Arial" w:hAnsi="Arial"/>
                <w:sz w:val="18"/>
                <w:szCs w:val="18"/>
                <w:color w:val="auto"/>
                <w:w w:val="99"/>
              </w:rPr>
              <w:t>—</w:t>
            </w:r>
          </w:p>
        </w:tc>
        <w:tc>
          <w:tcPr>
            <w:tcW w:w="8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right="120" w:hanging="452"/>
        <w:spacing w:after="0" w:line="256" w:lineRule="auto"/>
        <w:tabs>
          <w:tab w:leader="none" w:pos="4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amounts represent the threshold, target and maximum dollar payouts under our Executive Incentive Performance Plan for fiscal 2016. There is no payout below threshold performance. Payments under this plan are intended to qualify as performance-based compensation under Section 162(m). Further information regarding this plan is included in the section entitled “Elements of Executive Compensation-Fiscal 2016 Annual Incentive Plan Cash” in the Compensation Discussion and Analysis above.</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148</w:t>
      </w:r>
    </w:p>
    <w:p>
      <w:pPr>
        <w:sectPr>
          <w:pgSz w:w="11900" w:h="16838" w:orient="portrait"/>
          <w:cols w:equalWidth="0" w:num="1">
            <w:col w:w="11420"/>
          </w:cols>
          <w:pgMar w:left="240" w:top="459" w:right="239" w:bottom="1440" w:gutter="0" w:footer="0" w:header="0"/>
        </w:sectPr>
      </w:pPr>
    </w:p>
    <w:bookmarkStart w:id="150" w:name="page151"/>
    <w:bookmarkEnd w:id="1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line="253" w:lineRule="auto"/>
        <w:tabs>
          <w:tab w:leader="none" w:pos="46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Amounts shown represent options issued under the 1995 Stock Plan that will, in general, vest and become exercisable in two equal annual installments upon the named executive officer’s completion of each year of service on the third and fourth anniversary, measured from April 1, 2015. The options have a term of 10 years from the date of grant.</w:t>
      </w:r>
    </w:p>
    <w:p>
      <w:pPr>
        <w:ind w:left="460" w:right="20" w:hanging="452"/>
        <w:spacing w:after="0" w:line="281" w:lineRule="auto"/>
        <w:tabs>
          <w:tab w:leader="none" w:pos="460" w:val="left"/>
        </w:tabs>
        <w:numPr>
          <w:ilvl w:val="0"/>
          <w:numId w:val="67"/>
        </w:numPr>
        <w:rPr>
          <w:rFonts w:ascii="Arial" w:cs="Arial" w:eastAsia="Arial" w:hAnsi="Arial"/>
          <w:sz w:val="16"/>
          <w:szCs w:val="16"/>
          <w:color w:val="auto"/>
        </w:rPr>
      </w:pPr>
      <w:r>
        <w:rPr>
          <w:rFonts w:ascii="Arial" w:cs="Arial" w:eastAsia="Arial" w:hAnsi="Arial"/>
          <w:sz w:val="16"/>
          <w:szCs w:val="16"/>
          <w:color w:val="auto"/>
        </w:rPr>
        <w:t>The dollar value of stock awards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stock award will depend on the price per share of our common shares at the time shares underlying the stock awards are sold. There can be no assurance that the actual value realized by an executive will be at or near the grant date fair value of the stock awarded.</w:t>
      </w:r>
    </w:p>
    <w:p>
      <w:pPr>
        <w:spacing w:after="0" w:line="2" w:lineRule="exact"/>
        <w:rPr>
          <w:rFonts w:ascii="Arial" w:cs="Arial" w:eastAsia="Arial" w:hAnsi="Arial"/>
          <w:sz w:val="16"/>
          <w:szCs w:val="16"/>
          <w:color w:val="auto"/>
        </w:rPr>
      </w:pPr>
    </w:p>
    <w:p>
      <w:pPr>
        <w:ind w:left="460" w:right="60" w:hanging="452"/>
        <w:spacing w:after="0" w:line="309" w:lineRule="auto"/>
        <w:tabs>
          <w:tab w:leader="none" w:pos="460" w:val="left"/>
        </w:tabs>
        <w:numPr>
          <w:ilvl w:val="0"/>
          <w:numId w:val="67"/>
        </w:numPr>
        <w:rPr>
          <w:rFonts w:ascii="Arial" w:cs="Arial" w:eastAsia="Arial" w:hAnsi="Arial"/>
          <w:sz w:val="15"/>
          <w:szCs w:val="15"/>
          <w:color w:val="auto"/>
        </w:rPr>
      </w:pPr>
      <w:r>
        <w:rPr>
          <w:rFonts w:ascii="Arial" w:cs="Arial" w:eastAsia="Arial" w:hAnsi="Arial"/>
          <w:sz w:val="15"/>
          <w:szCs w:val="15"/>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this Annual Report Form 10-K. Companies make different assumptions regarding the volatility input when determining the estimated grant date fair value in accordance with FASB ASC Topic 718 pursuant to the Black-Scholes option pricing model. For additional details on the difference between the aggregate value of fiscal 2016 stock option awards using a blended volatility and implied volatility, see note (3) to the Summary Compensation Table for Fiscal 2016, 2015 and 2014.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149</w:t>
      </w:r>
    </w:p>
    <w:p>
      <w:pPr>
        <w:sectPr>
          <w:pgSz w:w="11900" w:h="16838" w:orient="portrait"/>
          <w:cols w:equalWidth="0" w:num="1">
            <w:col w:w="11420"/>
          </w:cols>
          <w:pgMar w:left="240" w:top="459" w:right="239" w:bottom="1440" w:gutter="0" w:footer="0" w:header="0"/>
        </w:sectPr>
      </w:pPr>
    </w:p>
    <w:bookmarkStart w:id="151" w:name="page152"/>
    <w:bookmarkEnd w:id="1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2016 Year-End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4"/>
          </w:tcPr>
          <w:p>
            <w:pPr>
              <w:jc w:val="right"/>
              <w:ind w:right="400"/>
              <w:spacing w:after="0"/>
              <w:rPr>
                <w:sz w:val="20"/>
                <w:szCs w:val="20"/>
                <w:color w:val="auto"/>
              </w:rPr>
            </w:pPr>
            <w:r>
              <w:rPr>
                <w:rFonts w:ascii="Arial" w:cs="Arial" w:eastAsia="Arial" w:hAnsi="Arial"/>
                <w:sz w:val="14"/>
                <w:szCs w:val="14"/>
                <w:b w:val="1"/>
                <w:bCs w:val="1"/>
                <w:color w:val="auto"/>
                <w:w w:val="92"/>
              </w:rPr>
              <w:t>Option Awards</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920" w:type="dxa"/>
            <w:vAlign w:val="bottom"/>
            <w:tcBorders>
              <w:bottom w:val="single" w:sz="8" w:color="auto"/>
            </w:tcBorders>
            <w:gridSpan w:val="4"/>
          </w:tcPr>
          <w:p>
            <w:pPr>
              <w:jc w:val="right"/>
              <w:ind w:right="680"/>
              <w:spacing w:after="0"/>
              <w:rPr>
                <w:sz w:val="20"/>
                <w:szCs w:val="20"/>
                <w:color w:val="auto"/>
              </w:rPr>
            </w:pPr>
            <w:r>
              <w:rPr>
                <w:rFonts w:ascii="Arial" w:cs="Arial" w:eastAsia="Arial" w:hAnsi="Arial"/>
                <w:sz w:val="14"/>
                <w:szCs w:val="14"/>
                <w:b w:val="1"/>
                <w:bCs w:val="1"/>
                <w:color w:val="auto"/>
              </w:rPr>
              <w:t>Stock Awards</w:t>
            </w: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23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jc w:val="center"/>
              <w:ind w:right="12"/>
              <w:spacing w:after="0" w:line="129" w:lineRule="exact"/>
              <w:rPr>
                <w:sz w:val="20"/>
                <w:szCs w:val="20"/>
                <w:color w:val="auto"/>
              </w:rPr>
            </w:pPr>
            <w:r>
              <w:rPr>
                <w:rFonts w:ascii="Arial" w:cs="Arial" w:eastAsia="Arial" w:hAnsi="Arial"/>
                <w:sz w:val="14"/>
                <w:szCs w:val="14"/>
                <w:b w:val="1"/>
                <w:bCs w:val="1"/>
                <w:color w:val="auto"/>
                <w:w w:val="88"/>
              </w:rPr>
              <w:t>Equity</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Equity</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2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Incentive</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Equity</w:t>
            </w:r>
          </w:p>
        </w:tc>
        <w:tc>
          <w:tcPr>
            <w:tcW w:w="80" w:type="dxa"/>
            <w:vAlign w:val="bottom"/>
          </w:tcPr>
          <w:p>
            <w:pPr>
              <w:spacing w:after="0"/>
              <w:rPr>
                <w:sz w:val="12"/>
                <w:szCs w:val="12"/>
                <w:color w:val="auto"/>
              </w:rPr>
            </w:pPr>
          </w:p>
        </w:tc>
        <w:tc>
          <w:tcPr>
            <w:tcW w:w="7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Plan</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Number</w:t>
            </w: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Incentive</w:t>
            </w:r>
          </w:p>
        </w:tc>
        <w:tc>
          <w:tcPr>
            <w:tcW w:w="820" w:type="dxa"/>
            <w:vAlign w:val="bottom"/>
            <w:gridSpan w:val="3"/>
          </w:tcPr>
          <w:p>
            <w:pPr>
              <w:jc w:val="right"/>
              <w:ind w:right="260"/>
              <w:spacing w:after="0" w:line="149" w:lineRule="exact"/>
              <w:rPr>
                <w:sz w:val="20"/>
                <w:szCs w:val="20"/>
                <w:color w:val="auto"/>
              </w:rPr>
            </w:pPr>
            <w:r>
              <w:rPr>
                <w:rFonts w:ascii="Arial" w:cs="Arial" w:eastAsia="Arial" w:hAnsi="Arial"/>
                <w:sz w:val="14"/>
                <w:szCs w:val="14"/>
                <w:b w:val="1"/>
                <w:bCs w:val="1"/>
                <w:color w:val="auto"/>
                <w:w w:val="97"/>
              </w:rPr>
              <w:t>Awards:</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Awards:</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of</w:t>
            </w:r>
          </w:p>
        </w:tc>
        <w:tc>
          <w:tcPr>
            <w:tcW w:w="94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rPr>
              <w:t>Market</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Plan</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Number of</w:t>
            </w:r>
          </w:p>
        </w:tc>
        <w:tc>
          <w:tcPr>
            <w:tcW w:w="22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5"/>
              </w:rPr>
              <w:t>Units</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91"/>
              </w:rPr>
              <w:t>Value of</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Awards:</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80"/>
              </w:rPr>
              <w:t>Value of</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Securities</w:t>
            </w:r>
          </w:p>
        </w:tc>
        <w:tc>
          <w:tcPr>
            <w:tcW w:w="22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83"/>
              </w:rPr>
              <w:t>Securities</w:t>
            </w:r>
          </w:p>
        </w:tc>
        <w:tc>
          <w:tcPr>
            <w:tcW w:w="14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4"/>
              </w:rPr>
              <w:t>That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95"/>
              </w:rPr>
              <w:t>Units of</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8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Unearned</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Underlying</w:t>
            </w:r>
          </w:p>
        </w:tc>
        <w:tc>
          <w:tcPr>
            <w:tcW w:w="22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87"/>
              </w:rPr>
              <w:t>Underlying</w:t>
            </w:r>
          </w:p>
        </w:tc>
        <w:tc>
          <w:tcPr>
            <w:tcW w:w="14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60" w:type="dxa"/>
            <w:vAlign w:val="bottom"/>
          </w:tcPr>
          <w:p>
            <w:pPr>
              <w:spacing w:after="0"/>
              <w:rPr>
                <w:sz w:val="12"/>
                <w:szCs w:val="12"/>
                <w:color w:val="auto"/>
              </w:rPr>
            </w:pPr>
          </w:p>
        </w:tc>
        <w:tc>
          <w:tcPr>
            <w:tcW w:w="5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Have</w:t>
            </w:r>
          </w:p>
        </w:tc>
        <w:tc>
          <w:tcPr>
            <w:tcW w:w="94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Stock</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9"/>
              </w:rPr>
              <w:t>Unearned</w:t>
            </w:r>
          </w:p>
        </w:tc>
        <w:tc>
          <w:tcPr>
            <w:tcW w:w="80" w:type="dxa"/>
            <w:vAlign w:val="bottom"/>
          </w:tcPr>
          <w:p>
            <w:pPr>
              <w:spacing w:after="0"/>
              <w:rPr>
                <w:sz w:val="12"/>
                <w:szCs w:val="12"/>
                <w:color w:val="auto"/>
              </w:rPr>
            </w:pPr>
          </w:p>
        </w:tc>
        <w:tc>
          <w:tcPr>
            <w:tcW w:w="7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5"/>
              </w:rPr>
              <w:t>Units</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22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4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60" w:type="dxa"/>
            <w:vAlign w:val="bottom"/>
          </w:tcPr>
          <w:p>
            <w:pPr>
              <w:spacing w:after="0"/>
              <w:rPr>
                <w:sz w:val="12"/>
                <w:szCs w:val="12"/>
                <w:color w:val="auto"/>
              </w:rPr>
            </w:pPr>
          </w:p>
        </w:tc>
        <w:tc>
          <w:tcPr>
            <w:tcW w:w="5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Exercise</w:t>
            </w:r>
          </w:p>
        </w:tc>
        <w:tc>
          <w:tcPr>
            <w:tcW w:w="160" w:type="dxa"/>
            <w:vAlign w:val="bottom"/>
          </w:tcPr>
          <w:p>
            <w:pPr>
              <w:spacing w:after="0"/>
              <w:rPr>
                <w:sz w:val="12"/>
                <w:szCs w:val="12"/>
                <w:color w:val="auto"/>
              </w:rPr>
            </w:pP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Option</w:t>
            </w: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Not</w:t>
            </w:r>
          </w:p>
        </w:tc>
        <w:tc>
          <w:tcPr>
            <w:tcW w:w="94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That</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80" w:type="dxa"/>
            <w:vAlign w:val="bottom"/>
          </w:tcPr>
          <w:p>
            <w:pPr>
              <w:spacing w:after="0"/>
              <w:rPr>
                <w:sz w:val="12"/>
                <w:szCs w:val="12"/>
                <w:color w:val="auto"/>
              </w:rPr>
            </w:pPr>
          </w:p>
        </w:tc>
        <w:tc>
          <w:tcPr>
            <w:tcW w:w="7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4"/>
              </w:rPr>
              <w:t>That</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2320" w:type="dxa"/>
            <w:vAlign w:val="bottom"/>
            <w:vMerge w:val="restart"/>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Options (#)</w:t>
            </w:r>
          </w:p>
        </w:tc>
        <w:tc>
          <w:tcPr>
            <w:tcW w:w="22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86"/>
              </w:rPr>
              <w:t>Options (#)</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9"/>
              </w:rPr>
              <w:t>Unearned</w:t>
            </w:r>
          </w:p>
        </w:tc>
        <w:tc>
          <w:tcPr>
            <w:tcW w:w="160" w:type="dxa"/>
            <w:vAlign w:val="bottom"/>
          </w:tcPr>
          <w:p>
            <w:pPr>
              <w:spacing w:after="0"/>
              <w:rPr>
                <w:sz w:val="12"/>
                <w:szCs w:val="12"/>
                <w:color w:val="auto"/>
              </w:rPr>
            </w:pPr>
          </w:p>
        </w:tc>
        <w:tc>
          <w:tcPr>
            <w:tcW w:w="5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87"/>
              </w:rPr>
              <w:t>Price</w:t>
            </w:r>
          </w:p>
        </w:tc>
        <w:tc>
          <w:tcPr>
            <w:tcW w:w="160" w:type="dxa"/>
            <w:vAlign w:val="bottom"/>
          </w:tcPr>
          <w:p>
            <w:pPr>
              <w:spacing w:after="0"/>
              <w:rPr>
                <w:sz w:val="12"/>
                <w:szCs w:val="12"/>
                <w:color w:val="auto"/>
              </w:rPr>
            </w:pP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Expiration</w:t>
            </w:r>
          </w:p>
        </w:tc>
        <w:tc>
          <w:tcPr>
            <w:tcW w:w="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2"/>
              </w:rPr>
              <w:t>Vested</w:t>
            </w:r>
          </w:p>
        </w:tc>
        <w:tc>
          <w:tcPr>
            <w:tcW w:w="94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Have Not</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Have Not</w:t>
            </w:r>
          </w:p>
        </w:tc>
        <w:tc>
          <w:tcPr>
            <w:tcW w:w="820" w:type="dxa"/>
            <w:vAlign w:val="bottom"/>
            <w:gridSpan w:val="3"/>
          </w:tcPr>
          <w:p>
            <w:pPr>
              <w:jc w:val="right"/>
              <w:ind w:right="240"/>
              <w:spacing w:after="0" w:line="149" w:lineRule="exact"/>
              <w:rPr>
                <w:sz w:val="20"/>
                <w:szCs w:val="20"/>
                <w:color w:val="auto"/>
              </w:rPr>
            </w:pPr>
            <w:r>
              <w:rPr>
                <w:rFonts w:ascii="Arial" w:cs="Arial" w:eastAsia="Arial" w:hAnsi="Arial"/>
                <w:sz w:val="14"/>
                <w:szCs w:val="14"/>
                <w:b w:val="1"/>
                <w:bCs w:val="1"/>
                <w:color w:val="auto"/>
                <w:w w:val="92"/>
              </w:rPr>
              <w:t>Have Not</w:t>
            </w:r>
          </w:p>
        </w:tc>
        <w:tc>
          <w:tcPr>
            <w:tcW w:w="0" w:type="dxa"/>
            <w:vAlign w:val="bottom"/>
          </w:tcPr>
          <w:p>
            <w:pPr>
              <w:spacing w:after="0"/>
              <w:rPr>
                <w:sz w:val="1"/>
                <w:szCs w:val="1"/>
                <w:color w:val="auto"/>
              </w:rPr>
            </w:pPr>
          </w:p>
        </w:tc>
      </w:tr>
      <w:tr>
        <w:trPr>
          <w:trHeight w:val="153"/>
        </w:trPr>
        <w:tc>
          <w:tcPr>
            <w:tcW w:w="380" w:type="dxa"/>
            <w:vAlign w:val="bottom"/>
            <w:tcBorders>
              <w:bottom w:val="single" w:sz="8" w:color="auto"/>
            </w:tcBorders>
            <w:vMerge w:val="continue"/>
          </w:tcPr>
          <w:p>
            <w:pPr>
              <w:spacing w:after="0"/>
              <w:rPr>
                <w:sz w:val="12"/>
                <w:szCs w:val="12"/>
                <w:color w:val="auto"/>
              </w:rPr>
            </w:pPr>
          </w:p>
        </w:tc>
        <w:tc>
          <w:tcPr>
            <w:tcW w:w="2320" w:type="dxa"/>
            <w:vAlign w:val="bottom"/>
            <w:vMerge w:val="continue"/>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84"/>
              </w:rPr>
              <w:t>Exercisable</w:t>
            </w:r>
          </w:p>
        </w:tc>
        <w:tc>
          <w:tcPr>
            <w:tcW w:w="220" w:type="dxa"/>
            <w:vAlign w:val="bottom"/>
          </w:tcPr>
          <w:p>
            <w:pPr>
              <w:spacing w:after="0"/>
              <w:rPr>
                <w:sz w:val="12"/>
                <w:szCs w:val="12"/>
                <w:color w:val="auto"/>
              </w:rPr>
            </w:pPr>
          </w:p>
        </w:tc>
        <w:tc>
          <w:tcPr>
            <w:tcW w:w="1020" w:type="dxa"/>
            <w:vAlign w:val="bottom"/>
            <w:gridSpan w:val="2"/>
          </w:tcPr>
          <w:p>
            <w:pPr>
              <w:jc w:val="center"/>
              <w:ind w:right="212"/>
              <w:spacing w:after="0" w:line="148" w:lineRule="exact"/>
              <w:rPr>
                <w:sz w:val="20"/>
                <w:szCs w:val="20"/>
                <w:color w:val="auto"/>
              </w:rPr>
            </w:pPr>
            <w:r>
              <w:rPr>
                <w:rFonts w:ascii="Arial" w:cs="Arial" w:eastAsia="Arial" w:hAnsi="Arial"/>
                <w:sz w:val="14"/>
                <w:szCs w:val="14"/>
                <w:b w:val="1"/>
                <w:bCs w:val="1"/>
                <w:color w:val="auto"/>
                <w:w w:val="77"/>
              </w:rPr>
              <w:t>Unexercisable</w:t>
            </w:r>
          </w:p>
        </w:tc>
        <w:tc>
          <w:tcPr>
            <w:tcW w:w="140" w:type="dxa"/>
            <w:vAlign w:val="bottom"/>
          </w:tcPr>
          <w:p>
            <w:pPr>
              <w:spacing w:after="0"/>
              <w:rPr>
                <w:sz w:val="12"/>
                <w:szCs w:val="12"/>
                <w:color w:val="auto"/>
              </w:rPr>
            </w:pPr>
          </w:p>
        </w:tc>
        <w:tc>
          <w:tcPr>
            <w:tcW w:w="92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86"/>
              </w:rPr>
              <w:t>Options (#)</w:t>
            </w:r>
          </w:p>
        </w:tc>
        <w:tc>
          <w:tcPr>
            <w:tcW w:w="700" w:type="dxa"/>
            <w:vAlign w:val="bottom"/>
            <w:gridSpan w:val="2"/>
          </w:tcPr>
          <w:p>
            <w:pPr>
              <w:jc w:val="center"/>
              <w:ind w:left="32"/>
              <w:spacing w:after="0" w:line="148" w:lineRule="exact"/>
              <w:rPr>
                <w:sz w:val="20"/>
                <w:szCs w:val="20"/>
                <w:color w:val="auto"/>
              </w:rPr>
            </w:pPr>
            <w:r>
              <w:rPr>
                <w:rFonts w:ascii="Arial" w:cs="Arial" w:eastAsia="Arial" w:hAnsi="Arial"/>
                <w:sz w:val="14"/>
                <w:szCs w:val="14"/>
                <w:b w:val="1"/>
                <w:bCs w:val="1"/>
                <w:color w:val="auto"/>
                <w:w w:val="93"/>
              </w:rPr>
              <w:t>($)</w:t>
            </w:r>
          </w:p>
        </w:tc>
        <w:tc>
          <w:tcPr>
            <w:tcW w:w="160" w:type="dxa"/>
            <w:vAlign w:val="bottom"/>
          </w:tcPr>
          <w:p>
            <w:pPr>
              <w:spacing w:after="0"/>
              <w:rPr>
                <w:sz w:val="12"/>
                <w:szCs w:val="12"/>
                <w:color w:val="auto"/>
              </w:rPr>
            </w:pPr>
          </w:p>
        </w:tc>
        <w:tc>
          <w:tcPr>
            <w:tcW w:w="9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92"/>
              </w:rPr>
              <w:t>Date</w:t>
            </w:r>
          </w:p>
        </w:tc>
        <w:tc>
          <w:tcPr>
            <w:tcW w:w="4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60" w:type="dxa"/>
            <w:vAlign w:val="bottom"/>
          </w:tcPr>
          <w:p>
            <w:pPr>
              <w:spacing w:after="0"/>
              <w:rPr>
                <w:sz w:val="12"/>
                <w:szCs w:val="12"/>
                <w:color w:val="auto"/>
              </w:rPr>
            </w:pPr>
          </w:p>
        </w:tc>
        <w:tc>
          <w:tcPr>
            <w:tcW w:w="9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 xml:space="preserve">Vested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98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6"/>
              </w:rPr>
              <w:t>Vested (#)</w:t>
            </w:r>
          </w:p>
        </w:tc>
        <w:tc>
          <w:tcPr>
            <w:tcW w:w="82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 xml:space="preserve">Vested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700" w:type="dxa"/>
            <w:vAlign w:val="bottom"/>
            <w:gridSpan w:val="2"/>
            <w:vMerge w:val="restart"/>
            <w:shd w:val="clear" w:color="auto" w:fill="CCEEFF"/>
          </w:tcPr>
          <w:p>
            <w:pPr>
              <w:spacing w:after="0" w:line="155" w:lineRule="exact"/>
              <w:rPr>
                <w:sz w:val="20"/>
                <w:szCs w:val="20"/>
                <w:color w:val="auto"/>
              </w:rPr>
            </w:pPr>
            <w:r>
              <w:rPr>
                <w:rFonts w:ascii="Arial" w:cs="Arial" w:eastAsia="Arial" w:hAnsi="Arial"/>
                <w:sz w:val="14"/>
                <w:szCs w:val="14"/>
                <w:color w:val="auto"/>
              </w:rPr>
              <w:t>Dr. Sehat Sutardja</w:t>
            </w:r>
          </w:p>
        </w:tc>
        <w:tc>
          <w:tcPr>
            <w:tcW w:w="180" w:type="dxa"/>
            <w:vAlign w:val="bottom"/>
            <w:vMerge w:val="restart"/>
            <w:shd w:val="clear" w:color="auto" w:fill="CCEEFF"/>
          </w:tcPr>
          <w:p>
            <w:pPr>
              <w:spacing w:after="0" w:line="20" w:lineRule="exact"/>
              <w:rPr>
                <w:sz w:val="1"/>
                <w:szCs w:val="1"/>
                <w:color w:val="auto"/>
              </w:rPr>
            </w:pPr>
          </w:p>
        </w:tc>
        <w:tc>
          <w:tcPr>
            <w:tcW w:w="70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220" w:type="dxa"/>
            <w:vAlign w:val="bottom"/>
            <w:tcBorders>
              <w:right w:val="single" w:sz="8" w:color="auto"/>
            </w:tcBorders>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160" w:type="dxa"/>
            <w:vAlign w:val="bottom"/>
            <w:vMerge w:val="restart"/>
            <w:shd w:val="clear" w:color="auto" w:fill="CCEEFF"/>
          </w:tcPr>
          <w:p>
            <w:pPr>
              <w:spacing w:after="0" w:line="20" w:lineRule="exact"/>
              <w:rPr>
                <w:sz w:val="1"/>
                <w:szCs w:val="1"/>
                <w:color w:val="auto"/>
              </w:rPr>
            </w:pPr>
          </w:p>
        </w:tc>
        <w:tc>
          <w:tcPr>
            <w:tcW w:w="540" w:type="dxa"/>
            <w:vAlign w:val="bottom"/>
            <w:tcBorders>
              <w:right w:val="single" w:sz="8" w:color="CCEEFF"/>
            </w:tcBorders>
            <w:shd w:val="clear" w:color="auto" w:fill="000000"/>
          </w:tcPr>
          <w:p>
            <w:pPr>
              <w:spacing w:after="0" w:line="20" w:lineRule="exact"/>
              <w:rPr>
                <w:sz w:val="1"/>
                <w:szCs w:val="1"/>
                <w:color w:val="auto"/>
              </w:rPr>
            </w:pPr>
          </w:p>
        </w:tc>
        <w:tc>
          <w:tcPr>
            <w:tcW w:w="16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36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60" w:type="dxa"/>
            <w:vAlign w:val="bottom"/>
            <w:vMerge w:val="restart"/>
            <w:shd w:val="clear" w:color="auto" w:fill="CCEEFF"/>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60" w:type="dxa"/>
            <w:vAlign w:val="bottom"/>
            <w:tcBorders>
              <w:right w:val="single" w:sz="8" w:color="CCEEFF"/>
            </w:tcBorders>
            <w:vMerge w:val="restart"/>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700" w:type="dxa"/>
            <w:vAlign w:val="bottom"/>
            <w:gridSpan w:val="2"/>
            <w:vMerge w:val="continue"/>
            <w:shd w:val="clear" w:color="auto" w:fill="CCEEFF"/>
          </w:tcPr>
          <w:p>
            <w:pPr>
              <w:spacing w:after="0"/>
              <w:rPr>
                <w:sz w:val="11"/>
                <w:szCs w:val="11"/>
                <w:color w:val="auto"/>
              </w:rPr>
            </w:pPr>
          </w:p>
        </w:tc>
        <w:tc>
          <w:tcPr>
            <w:tcW w:w="180" w:type="dxa"/>
            <w:vAlign w:val="bottom"/>
            <w:vMerge w:val="continue"/>
            <w:shd w:val="clear" w:color="auto" w:fill="CCEEFF"/>
          </w:tcPr>
          <w:p>
            <w:pPr>
              <w:spacing w:after="0"/>
              <w:rPr>
                <w:sz w:val="11"/>
                <w:szCs w:val="11"/>
                <w:color w:val="auto"/>
              </w:rPr>
            </w:pPr>
          </w:p>
        </w:tc>
        <w:tc>
          <w:tcPr>
            <w:tcW w:w="900" w:type="dxa"/>
            <w:vAlign w:val="bottom"/>
            <w:tcBorders>
              <w:left w:val="single" w:sz="8" w:color="CCEEFF"/>
            </w:tcBorders>
            <w:gridSpan w:val="2"/>
            <w:shd w:val="clear" w:color="auto" w:fill="CCEEFF"/>
          </w:tcPr>
          <w:p>
            <w:pPr>
              <w:jc w:val="right"/>
              <w:ind w:right="40"/>
              <w:spacing w:after="0" w:line="136" w:lineRule="exact"/>
              <w:rPr>
                <w:sz w:val="20"/>
                <w:szCs w:val="20"/>
                <w:color w:val="auto"/>
              </w:rPr>
            </w:pPr>
            <w:r>
              <w:rPr>
                <w:rFonts w:ascii="Arial" w:cs="Arial" w:eastAsia="Arial" w:hAnsi="Arial"/>
                <w:sz w:val="14"/>
                <w:szCs w:val="14"/>
                <w:color w:val="auto"/>
              </w:rPr>
              <w:t>292,000(1)</w:t>
            </w:r>
          </w:p>
        </w:tc>
        <w:tc>
          <w:tcPr>
            <w:tcW w:w="220" w:type="dxa"/>
            <w:vAlign w:val="bottom"/>
            <w:tcBorders>
              <w:right w:val="single" w:sz="8" w:color="CCEEFF"/>
            </w:tcBorders>
            <w:shd w:val="clear" w:color="auto" w:fill="CCEEFF"/>
          </w:tcPr>
          <w:p>
            <w:pPr>
              <w:spacing w:after="0"/>
              <w:rPr>
                <w:sz w:val="11"/>
                <w:szCs w:val="11"/>
                <w:color w:val="auto"/>
              </w:rPr>
            </w:pPr>
          </w:p>
        </w:tc>
        <w:tc>
          <w:tcPr>
            <w:tcW w:w="740" w:type="dxa"/>
            <w:vAlign w:val="bottom"/>
            <w:shd w:val="clear" w:color="auto" w:fill="CCEEFF"/>
          </w:tcPr>
          <w:p>
            <w:pPr>
              <w:ind w:left="540"/>
              <w:spacing w:after="0" w:line="136" w:lineRule="exact"/>
              <w:rPr>
                <w:sz w:val="20"/>
                <w:szCs w:val="20"/>
                <w:color w:val="auto"/>
              </w:rPr>
            </w:pPr>
            <w:r>
              <w:rPr>
                <w:rFonts w:ascii="Arial" w:cs="Arial" w:eastAsia="Arial" w:hAnsi="Arial"/>
                <w:sz w:val="14"/>
                <w:szCs w:val="14"/>
                <w:color w:val="auto"/>
              </w:rPr>
              <w:t>—</w:t>
            </w:r>
          </w:p>
        </w:tc>
        <w:tc>
          <w:tcPr>
            <w:tcW w:w="280" w:type="dxa"/>
            <w:vAlign w:val="bottom"/>
            <w:vMerge w:val="continue"/>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2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00" w:type="dxa"/>
            <w:vAlign w:val="bottom"/>
            <w:vMerge w:val="continue"/>
            <w:shd w:val="clear" w:color="auto" w:fill="CCEEFF"/>
          </w:tcPr>
          <w:p>
            <w:pPr>
              <w:spacing w:after="0"/>
              <w:rPr>
                <w:sz w:val="11"/>
                <w:szCs w:val="11"/>
                <w:color w:val="auto"/>
              </w:rPr>
            </w:pPr>
          </w:p>
        </w:tc>
        <w:tc>
          <w:tcPr>
            <w:tcW w:w="160" w:type="dxa"/>
            <w:vAlign w:val="bottom"/>
            <w:vMerge w:val="continue"/>
            <w:shd w:val="clear" w:color="auto" w:fill="CCEEFF"/>
          </w:tcPr>
          <w:p>
            <w:pPr>
              <w:spacing w:after="0"/>
              <w:rPr>
                <w:sz w:val="11"/>
                <w:szCs w:val="11"/>
                <w:color w:val="auto"/>
              </w:rPr>
            </w:pPr>
          </w:p>
        </w:tc>
        <w:tc>
          <w:tcPr>
            <w:tcW w:w="540" w:type="dxa"/>
            <w:vAlign w:val="bottom"/>
            <w:tcBorders>
              <w:right w:val="single" w:sz="8" w:color="CCEEFF"/>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90"/>
              </w:rPr>
              <w:t>34.3750</w:t>
            </w:r>
          </w:p>
        </w:tc>
        <w:tc>
          <w:tcPr>
            <w:tcW w:w="160" w:type="dxa"/>
            <w:vAlign w:val="bottom"/>
            <w:vMerge w:val="continue"/>
            <w:shd w:val="clear" w:color="auto" w:fill="CCEEFF"/>
          </w:tcPr>
          <w:p>
            <w:pPr>
              <w:spacing w:after="0"/>
              <w:rPr>
                <w:sz w:val="11"/>
                <w:szCs w:val="11"/>
                <w:color w:val="auto"/>
              </w:rPr>
            </w:pPr>
          </w:p>
        </w:tc>
        <w:tc>
          <w:tcPr>
            <w:tcW w:w="6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3/10/2016</w:t>
            </w:r>
          </w:p>
        </w:tc>
        <w:tc>
          <w:tcPr>
            <w:tcW w:w="220" w:type="dxa"/>
            <w:vAlign w:val="bottom"/>
            <w:vMerge w:val="continue"/>
            <w:shd w:val="clear" w:color="auto" w:fill="CCEEFF"/>
          </w:tcPr>
          <w:p>
            <w:pPr>
              <w:spacing w:after="0"/>
              <w:rPr>
                <w:sz w:val="11"/>
                <w:szCs w:val="11"/>
                <w:color w:val="auto"/>
              </w:rPr>
            </w:pPr>
          </w:p>
        </w:tc>
        <w:tc>
          <w:tcPr>
            <w:tcW w:w="480" w:type="dxa"/>
            <w:vAlign w:val="bottom"/>
            <w:shd w:val="clear" w:color="auto" w:fill="CCEEFF"/>
          </w:tcPr>
          <w:p>
            <w:pPr>
              <w:jc w:val="center"/>
              <w:ind w:left="152"/>
              <w:spacing w:after="0" w:line="136" w:lineRule="exact"/>
              <w:rPr>
                <w:sz w:val="20"/>
                <w:szCs w:val="20"/>
                <w:color w:val="auto"/>
              </w:rPr>
            </w:pPr>
            <w:r>
              <w:rPr>
                <w:rFonts w:ascii="Arial" w:cs="Arial" w:eastAsia="Arial" w:hAnsi="Arial"/>
                <w:sz w:val="14"/>
                <w:szCs w:val="14"/>
                <w:color w:val="auto"/>
                <w:w w:val="99"/>
              </w:rPr>
              <w:t>—</w:t>
            </w:r>
          </w:p>
        </w:tc>
        <w:tc>
          <w:tcPr>
            <w:tcW w:w="360" w:type="dxa"/>
            <w:vAlign w:val="bottom"/>
            <w:vMerge w:val="continue"/>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360" w:type="dxa"/>
            <w:vAlign w:val="bottom"/>
            <w:vMerge w:val="continue"/>
            <w:shd w:val="clear" w:color="auto" w:fill="CCEEFF"/>
          </w:tcPr>
          <w:p>
            <w:pPr>
              <w:spacing w:after="0"/>
              <w:rPr>
                <w:sz w:val="11"/>
                <w:szCs w:val="11"/>
                <w:color w:val="auto"/>
              </w:rPr>
            </w:pPr>
          </w:p>
        </w:tc>
        <w:tc>
          <w:tcPr>
            <w:tcW w:w="620" w:type="dxa"/>
            <w:vAlign w:val="bottom"/>
            <w:shd w:val="clear" w:color="auto" w:fill="CCEEFF"/>
          </w:tcPr>
          <w:p>
            <w:pPr>
              <w:jc w:val="center"/>
              <w:ind w:left="292"/>
              <w:spacing w:after="0" w:line="136" w:lineRule="exact"/>
              <w:rPr>
                <w:sz w:val="20"/>
                <w:szCs w:val="20"/>
                <w:color w:val="auto"/>
              </w:rPr>
            </w:pPr>
            <w:r>
              <w:rPr>
                <w:rFonts w:ascii="Arial" w:cs="Arial" w:eastAsia="Arial" w:hAnsi="Arial"/>
                <w:sz w:val="14"/>
                <w:szCs w:val="14"/>
                <w:color w:val="auto"/>
                <w:w w:val="99"/>
              </w:rPr>
              <w:t>—</w:t>
            </w:r>
          </w:p>
        </w:tc>
        <w:tc>
          <w:tcPr>
            <w:tcW w:w="360" w:type="dxa"/>
            <w:vAlign w:val="bottom"/>
            <w:tcBorders>
              <w:right w:val="single" w:sz="8" w:color="CCEEFF"/>
            </w:tcBorders>
            <w:vMerge w:val="continue"/>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4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vMerge w:val="continue"/>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162,000(1)</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24.7950</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5/25/2016</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235,000(1)</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14.01</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12/28/2017</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226,800(1)</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14.01</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12/28/2017</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40"/>
              <w:spacing w:after="0" w:line="149" w:lineRule="exact"/>
              <w:rPr>
                <w:sz w:val="20"/>
                <w:szCs w:val="20"/>
                <w:color w:val="auto"/>
              </w:rPr>
            </w:pPr>
            <w:r>
              <w:rPr>
                <w:rFonts w:ascii="Arial" w:cs="Arial" w:eastAsia="Arial" w:hAnsi="Arial"/>
                <w:sz w:val="14"/>
                <w:szCs w:val="14"/>
                <w:color w:val="auto"/>
              </w:rPr>
              <w:t>97,500(1)</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6.84</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12/18/2018</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40"/>
              <w:spacing w:after="0" w:line="149" w:lineRule="exact"/>
              <w:rPr>
                <w:sz w:val="20"/>
                <w:szCs w:val="20"/>
                <w:color w:val="auto"/>
              </w:rPr>
            </w:pPr>
            <w:r>
              <w:rPr>
                <w:rFonts w:ascii="Arial" w:cs="Arial" w:eastAsia="Arial" w:hAnsi="Arial"/>
                <w:sz w:val="14"/>
                <w:szCs w:val="14"/>
                <w:color w:val="auto"/>
              </w:rPr>
              <w:t>300,000(1)</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6.84</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12/18/2018</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40"/>
              <w:spacing w:after="0" w:line="149" w:lineRule="exact"/>
              <w:rPr>
                <w:sz w:val="20"/>
                <w:szCs w:val="20"/>
                <w:color w:val="auto"/>
              </w:rPr>
            </w:pPr>
            <w:r>
              <w:rPr>
                <w:rFonts w:ascii="Arial" w:cs="Arial" w:eastAsia="Arial" w:hAnsi="Arial"/>
                <w:sz w:val="14"/>
                <w:szCs w:val="14"/>
                <w:color w:val="auto"/>
              </w:rPr>
              <w:t>250,000(1)</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21.14</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4/12/2020</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40"/>
              <w:spacing w:after="0" w:line="149" w:lineRule="exact"/>
              <w:rPr>
                <w:sz w:val="20"/>
                <w:szCs w:val="20"/>
                <w:color w:val="auto"/>
              </w:rPr>
            </w:pPr>
            <w:r>
              <w:rPr>
                <w:rFonts w:ascii="Arial" w:cs="Arial" w:eastAsia="Arial" w:hAnsi="Arial"/>
                <w:sz w:val="14"/>
                <w:szCs w:val="14"/>
                <w:color w:val="auto"/>
              </w:rPr>
              <w:t>700,000(1)</w:t>
            </w:r>
          </w:p>
        </w:tc>
        <w:tc>
          <w:tcPr>
            <w:tcW w:w="220" w:type="dxa"/>
            <w:vAlign w:val="bottom"/>
            <w:tcBorders>
              <w:right w:val="single" w:sz="8" w:color="CCEEFF"/>
            </w:tcBorders>
            <w:shd w:val="clear" w:color="auto" w:fill="CCEEFF"/>
          </w:tcPr>
          <w:p>
            <w:pPr>
              <w:spacing w:after="0"/>
              <w:rPr>
                <w:sz w:val="12"/>
                <w:szCs w:val="12"/>
                <w:color w:val="auto"/>
              </w:rPr>
            </w:pPr>
          </w:p>
        </w:tc>
        <w:tc>
          <w:tcPr>
            <w:tcW w:w="74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740" w:type="dxa"/>
            <w:vAlign w:val="bottom"/>
          </w:tcPr>
          <w:p>
            <w:pPr>
              <w:ind w:left="5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0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1,400,000(2)</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40"/>
              <w:spacing w:after="0" w:line="149" w:lineRule="exact"/>
              <w:rPr>
                <w:sz w:val="20"/>
                <w:szCs w:val="20"/>
                <w:color w:val="auto"/>
              </w:rPr>
            </w:pPr>
            <w:r>
              <w:rPr>
                <w:rFonts w:ascii="Arial" w:cs="Arial" w:eastAsia="Arial" w:hAnsi="Arial"/>
                <w:sz w:val="14"/>
                <w:szCs w:val="14"/>
                <w:color w:val="auto"/>
              </w:rPr>
              <w:t>1,125,000(3)</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ind w:right="52"/>
              <w:spacing w:after="0" w:line="149" w:lineRule="exact"/>
              <w:rPr>
                <w:sz w:val="20"/>
                <w:szCs w:val="20"/>
                <w:color w:val="auto"/>
              </w:rPr>
            </w:pPr>
            <w:r>
              <w:rPr>
                <w:rFonts w:ascii="Arial" w:cs="Arial" w:eastAsia="Arial" w:hAnsi="Arial"/>
                <w:sz w:val="14"/>
                <w:szCs w:val="14"/>
                <w:color w:val="auto"/>
              </w:rPr>
              <w:t>375,000(3)</w:t>
            </w:r>
          </w:p>
        </w:tc>
        <w:tc>
          <w:tcPr>
            <w:tcW w:w="14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15.20</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4/21/2022</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40"/>
              <w:spacing w:after="0" w:line="149" w:lineRule="exact"/>
              <w:rPr>
                <w:sz w:val="20"/>
                <w:szCs w:val="20"/>
                <w:color w:val="auto"/>
              </w:rPr>
            </w:pPr>
            <w:r>
              <w:rPr>
                <w:rFonts w:ascii="Arial" w:cs="Arial" w:eastAsia="Arial" w:hAnsi="Arial"/>
                <w:sz w:val="14"/>
                <w:szCs w:val="14"/>
                <w:color w:val="auto"/>
              </w:rPr>
              <w:t>500,000(4)</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ind w:right="52"/>
              <w:spacing w:after="0" w:line="149" w:lineRule="exact"/>
              <w:rPr>
                <w:sz w:val="20"/>
                <w:szCs w:val="20"/>
                <w:color w:val="auto"/>
              </w:rPr>
            </w:pPr>
            <w:r>
              <w:rPr>
                <w:rFonts w:ascii="Arial" w:cs="Arial" w:eastAsia="Arial" w:hAnsi="Arial"/>
                <w:sz w:val="14"/>
                <w:szCs w:val="14"/>
                <w:color w:val="auto"/>
              </w:rPr>
              <w:t>1,000,000(4)</w:t>
            </w:r>
          </w:p>
        </w:tc>
        <w:tc>
          <w:tcPr>
            <w:tcW w:w="14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10.76</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4/30/2023</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40" w:type="dxa"/>
            <w:vAlign w:val="bottom"/>
            <w:tcBorders>
              <w:right w:val="single" w:sz="8" w:color="CCEEFF"/>
            </w:tcBorders>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center"/>
              <w:ind w:right="80"/>
              <w:spacing w:after="0" w:line="149" w:lineRule="exact"/>
              <w:rPr>
                <w:sz w:val="20"/>
                <w:szCs w:val="20"/>
                <w:color w:val="auto"/>
              </w:rPr>
            </w:pPr>
            <w:r>
              <w:rPr>
                <w:rFonts w:ascii="Arial" w:cs="Arial" w:eastAsia="Arial" w:hAnsi="Arial"/>
                <w:sz w:val="14"/>
                <w:szCs w:val="14"/>
                <w:color w:val="auto"/>
                <w:w w:val="86"/>
              </w:rPr>
              <w:t>50,000(5)</w:t>
            </w:r>
          </w:p>
        </w:tc>
        <w:tc>
          <w:tcPr>
            <w:tcW w:w="94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$ 442,500(6)</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ind w:right="52"/>
              <w:spacing w:after="0" w:line="149" w:lineRule="exact"/>
              <w:rPr>
                <w:sz w:val="20"/>
                <w:szCs w:val="20"/>
                <w:color w:val="auto"/>
              </w:rPr>
            </w:pPr>
            <w:r>
              <w:rPr>
                <w:rFonts w:ascii="Arial" w:cs="Arial" w:eastAsia="Arial" w:hAnsi="Arial"/>
                <w:sz w:val="14"/>
                <w:szCs w:val="14"/>
                <w:color w:val="auto"/>
              </w:rPr>
              <w:t>372,000(7)</w:t>
            </w:r>
          </w:p>
        </w:tc>
        <w:tc>
          <w:tcPr>
            <w:tcW w:w="14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tcBorders>
              <w:right w:val="single" w:sz="8" w:color="CCEEFF"/>
            </w:tcBorders>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14.59</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6/16/2024</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40" w:type="dxa"/>
            <w:vAlign w:val="bottom"/>
            <w:tcBorders>
              <w:right w:val="single" w:sz="8" w:color="CCEEFF"/>
            </w:tcBorders>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119,000(8)</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$1,053,150(6)</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40" w:type="dxa"/>
            <w:vAlign w:val="bottom"/>
            <w:tcBorders>
              <w:right w:val="single" w:sz="8" w:color="CCEEFF"/>
            </w:tcBorders>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59,500(9)</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7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526,575(6)</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458,000(10)</w:t>
            </w:r>
          </w:p>
        </w:tc>
        <w:tc>
          <w:tcPr>
            <w:tcW w:w="14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4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14.35</w:t>
            </w:r>
          </w:p>
        </w:tc>
        <w:tc>
          <w:tcPr>
            <w:tcW w:w="106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6/24/2025</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40" w:type="dxa"/>
            <w:vAlign w:val="bottom"/>
            <w:tcBorders>
              <w:right w:val="single" w:sz="8" w:color="CCEEFF"/>
            </w:tcBorders>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154,176(11)</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$1,364,458(6)</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40" w:type="dxa"/>
            <w:vAlign w:val="bottom"/>
            <w:tcBorders>
              <w:right w:val="single" w:sz="8" w:color="CCEEFF"/>
            </w:tcBorders>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98,044(12)</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7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867,689(6)</w:t>
            </w:r>
          </w:p>
        </w:tc>
        <w:tc>
          <w:tcPr>
            <w:tcW w:w="0" w:type="dxa"/>
            <w:vAlign w:val="bottom"/>
          </w:tcPr>
          <w:p>
            <w:pPr>
              <w:spacing w:after="0"/>
              <w:rPr>
                <w:sz w:val="1"/>
                <w:szCs w:val="1"/>
                <w:color w:val="auto"/>
              </w:rPr>
            </w:pPr>
          </w:p>
        </w:tc>
      </w:tr>
      <w:tr>
        <w:trPr>
          <w:trHeight w:val="149"/>
        </w:trPr>
        <w:tc>
          <w:tcPr>
            <w:tcW w:w="38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tcBorders>
              <w:left w:val="single" w:sz="8" w:color="CCEEFF"/>
            </w:tcBorders>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40" w:type="dxa"/>
            <w:vAlign w:val="bottom"/>
            <w:tcBorders>
              <w:right w:val="single" w:sz="8" w:color="CCEEFF"/>
            </w:tcBorders>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tcBorders>
              <w:right w:val="single" w:sz="8" w:color="CCEEFF"/>
            </w:tcBorders>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192,719(13)</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$1,705,563(6)</w:t>
            </w:r>
          </w:p>
        </w:tc>
        <w:tc>
          <w:tcPr>
            <w:tcW w:w="0" w:type="dxa"/>
            <w:vAlign w:val="bottom"/>
          </w:tcPr>
          <w:p>
            <w:pPr>
              <w:spacing w:after="0"/>
              <w:rPr>
                <w:sz w:val="1"/>
                <w:szCs w:val="1"/>
                <w:color w:val="auto"/>
              </w:rPr>
            </w:pPr>
          </w:p>
        </w:tc>
      </w:tr>
      <w:tr>
        <w:trPr>
          <w:trHeight w:val="246"/>
        </w:trPr>
        <w:tc>
          <w:tcPr>
            <w:tcW w:w="2700" w:type="dxa"/>
            <w:vAlign w:val="bottom"/>
            <w:gridSpan w:val="2"/>
          </w:tcPr>
          <w:p>
            <w:pPr>
              <w:spacing w:after="0"/>
              <w:rPr>
                <w:sz w:val="20"/>
                <w:szCs w:val="20"/>
                <w:color w:val="auto"/>
              </w:rPr>
            </w:pPr>
            <w:r>
              <w:rPr>
                <w:rFonts w:ascii="Arial" w:cs="Arial" w:eastAsia="Arial" w:hAnsi="Arial"/>
                <w:sz w:val="14"/>
                <w:szCs w:val="14"/>
                <w:color w:val="auto"/>
              </w:rPr>
              <w:t>Weili Dai</w:t>
            </w:r>
          </w:p>
        </w:tc>
        <w:tc>
          <w:tcPr>
            <w:tcW w:w="1080" w:type="dxa"/>
            <w:vAlign w:val="bottom"/>
            <w:gridSpan w:val="3"/>
          </w:tcPr>
          <w:p>
            <w:pPr>
              <w:jc w:val="right"/>
              <w:ind w:right="40"/>
              <w:spacing w:after="0"/>
              <w:rPr>
                <w:sz w:val="20"/>
                <w:szCs w:val="20"/>
                <w:color w:val="auto"/>
              </w:rPr>
            </w:pPr>
            <w:r>
              <w:rPr>
                <w:rFonts w:ascii="Arial" w:cs="Arial" w:eastAsia="Arial" w:hAnsi="Arial"/>
                <w:sz w:val="14"/>
                <w:szCs w:val="14"/>
                <w:color w:val="auto"/>
              </w:rPr>
              <w:t>200,000(1)</w:t>
            </w:r>
          </w:p>
        </w:tc>
        <w:tc>
          <w:tcPr>
            <w:tcW w:w="220" w:type="dxa"/>
            <w:vAlign w:val="bottom"/>
          </w:tcPr>
          <w:p>
            <w:pPr>
              <w:spacing w:after="0"/>
              <w:rPr>
                <w:sz w:val="21"/>
                <w:szCs w:val="21"/>
                <w:color w:val="auto"/>
              </w:rPr>
            </w:pPr>
          </w:p>
        </w:tc>
        <w:tc>
          <w:tcPr>
            <w:tcW w:w="102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rPr>
                <w:sz w:val="20"/>
                <w:szCs w:val="20"/>
                <w:color w:val="auto"/>
              </w:rPr>
            </w:pPr>
            <w:r>
              <w:rPr>
                <w:rFonts w:ascii="Arial" w:cs="Arial" w:eastAsia="Arial" w:hAnsi="Arial"/>
                <w:sz w:val="14"/>
                <w:szCs w:val="14"/>
                <w:color w:val="auto"/>
              </w:rPr>
              <w:t>6.84</w:t>
            </w:r>
          </w:p>
        </w:tc>
        <w:tc>
          <w:tcPr>
            <w:tcW w:w="1060" w:type="dxa"/>
            <w:vAlign w:val="bottom"/>
            <w:gridSpan w:val="3"/>
          </w:tcPr>
          <w:p>
            <w:pPr>
              <w:jc w:val="right"/>
              <w:ind w:right="220"/>
              <w:spacing w:after="0"/>
              <w:rPr>
                <w:sz w:val="20"/>
                <w:szCs w:val="20"/>
                <w:color w:val="auto"/>
              </w:rPr>
            </w:pPr>
            <w:r>
              <w:rPr>
                <w:rFonts w:ascii="Arial" w:cs="Arial" w:eastAsia="Arial" w:hAnsi="Arial"/>
                <w:sz w:val="14"/>
                <w:szCs w:val="14"/>
                <w:color w:val="auto"/>
              </w:rPr>
              <w:t>12/18/2018</w:t>
            </w:r>
          </w:p>
        </w:tc>
        <w:tc>
          <w:tcPr>
            <w:tcW w:w="840" w:type="dxa"/>
            <w:vAlign w:val="bottom"/>
            <w:gridSpan w:val="2"/>
          </w:tcPr>
          <w:p>
            <w:pPr>
              <w:jc w:val="center"/>
              <w:ind w:right="140"/>
              <w:spacing w:after="0"/>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21"/>
                <w:szCs w:val="21"/>
                <w:color w:val="auto"/>
              </w:rPr>
            </w:pPr>
          </w:p>
        </w:tc>
        <w:tc>
          <w:tcPr>
            <w:tcW w:w="74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100,000(1)</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12.92</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6/10/2019</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100,000(1)</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21.14</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4/12/2020</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180,000(1)</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15.425</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360,000(2)</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15.425</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600,000(3)</w:t>
            </w:r>
          </w:p>
        </w:tc>
        <w:tc>
          <w:tcPr>
            <w:tcW w:w="1240" w:type="dxa"/>
            <w:vAlign w:val="bottom"/>
            <w:gridSpan w:val="3"/>
          </w:tcPr>
          <w:p>
            <w:pPr>
              <w:jc w:val="right"/>
              <w:ind w:right="52"/>
              <w:spacing w:after="0" w:line="149" w:lineRule="exact"/>
              <w:rPr>
                <w:sz w:val="20"/>
                <w:szCs w:val="20"/>
                <w:color w:val="auto"/>
              </w:rPr>
            </w:pPr>
            <w:r>
              <w:rPr>
                <w:rFonts w:ascii="Arial" w:cs="Arial" w:eastAsia="Arial" w:hAnsi="Arial"/>
                <w:sz w:val="14"/>
                <w:szCs w:val="14"/>
                <w:color w:val="auto"/>
              </w:rPr>
              <w:t>200,000(3)</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15.20</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4/21/2022</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150,000(4)</w:t>
            </w:r>
          </w:p>
        </w:tc>
        <w:tc>
          <w:tcPr>
            <w:tcW w:w="1240" w:type="dxa"/>
            <w:vAlign w:val="bottom"/>
            <w:gridSpan w:val="3"/>
          </w:tcPr>
          <w:p>
            <w:pPr>
              <w:jc w:val="right"/>
              <w:ind w:right="52"/>
              <w:spacing w:after="0" w:line="149" w:lineRule="exact"/>
              <w:rPr>
                <w:sz w:val="20"/>
                <w:szCs w:val="20"/>
                <w:color w:val="auto"/>
              </w:rPr>
            </w:pPr>
            <w:r>
              <w:rPr>
                <w:rFonts w:ascii="Arial" w:cs="Arial" w:eastAsia="Arial" w:hAnsi="Arial"/>
                <w:sz w:val="14"/>
                <w:szCs w:val="14"/>
                <w:color w:val="auto"/>
              </w:rPr>
              <w:t>300,000(4)</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10.76</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4/30/2023</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540" w:type="dxa"/>
            <w:vAlign w:val="bottom"/>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0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color w:val="auto"/>
                <w:w w:val="86"/>
              </w:rPr>
              <w:t>20,000(5)</w:t>
            </w:r>
          </w:p>
        </w:tc>
        <w:tc>
          <w:tcPr>
            <w:tcW w:w="940" w:type="dxa"/>
            <w:vAlign w:val="bottom"/>
            <w:gridSpan w:val="2"/>
          </w:tcPr>
          <w:p>
            <w:pPr>
              <w:spacing w:after="0" w:line="149" w:lineRule="exact"/>
              <w:rPr>
                <w:sz w:val="20"/>
                <w:szCs w:val="20"/>
                <w:color w:val="auto"/>
              </w:rPr>
            </w:pPr>
            <w:r>
              <w:rPr>
                <w:rFonts w:ascii="Arial" w:cs="Arial" w:eastAsia="Arial" w:hAnsi="Arial"/>
                <w:sz w:val="14"/>
                <w:szCs w:val="14"/>
                <w:color w:val="auto"/>
              </w:rPr>
              <w:t>$ 177,000(6)</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3"/>
          </w:tcPr>
          <w:p>
            <w:pPr>
              <w:jc w:val="right"/>
              <w:ind w:right="52"/>
              <w:spacing w:after="0" w:line="149" w:lineRule="exact"/>
              <w:rPr>
                <w:sz w:val="20"/>
                <w:szCs w:val="20"/>
                <w:color w:val="auto"/>
              </w:rPr>
            </w:pPr>
            <w:r>
              <w:rPr>
                <w:rFonts w:ascii="Arial" w:cs="Arial" w:eastAsia="Arial" w:hAnsi="Arial"/>
                <w:sz w:val="14"/>
                <w:szCs w:val="14"/>
                <w:color w:val="auto"/>
              </w:rPr>
              <w:t>200,000(7)</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14.59</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6/16/2024</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540" w:type="dxa"/>
            <w:vAlign w:val="bottom"/>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0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66,666(8)</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7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589,994(6)</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540" w:type="dxa"/>
            <w:vAlign w:val="bottom"/>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0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33,334(9)</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7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295,006(6)</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254,920(10)</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14.35</w:t>
            </w:r>
          </w:p>
        </w:tc>
        <w:tc>
          <w:tcPr>
            <w:tcW w:w="106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6/24/2025</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540" w:type="dxa"/>
            <w:vAlign w:val="bottom"/>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0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85,654(11)</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7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758,038(6)</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540" w:type="dxa"/>
            <w:vAlign w:val="bottom"/>
          </w:tcPr>
          <w:p>
            <w:pPr>
              <w:jc w:val="right"/>
              <w:ind w:right="52"/>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0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54,746(12)</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7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484,502(6)</w:t>
            </w:r>
          </w:p>
        </w:tc>
        <w:tc>
          <w:tcPr>
            <w:tcW w:w="0" w:type="dxa"/>
            <w:vAlign w:val="bottom"/>
          </w:tcPr>
          <w:p>
            <w:pPr>
              <w:spacing w:after="0"/>
              <w:rPr>
                <w:sz w:val="1"/>
                <w:szCs w:val="1"/>
                <w:color w:val="auto"/>
              </w:rPr>
            </w:pPr>
          </w:p>
        </w:tc>
      </w:tr>
      <w:tr>
        <w:trPr>
          <w:trHeight w:val="172"/>
        </w:trPr>
        <w:tc>
          <w:tcPr>
            <w:tcW w:w="38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14"/>
                <w:szCs w:val="14"/>
                <w:color w:val="auto"/>
              </w:rPr>
            </w:pPr>
          </w:p>
        </w:tc>
        <w:tc>
          <w:tcPr>
            <w:tcW w:w="102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540" w:type="dxa"/>
            <w:vAlign w:val="bottom"/>
          </w:tcPr>
          <w:p>
            <w:pPr>
              <w:jc w:val="right"/>
              <w:ind w:right="52"/>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90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center"/>
              <w:ind w:right="140"/>
              <w:spacing w:after="0"/>
              <w:rPr>
                <w:sz w:val="20"/>
                <w:szCs w:val="20"/>
                <w:color w:val="auto"/>
              </w:rPr>
            </w:pPr>
            <w:r>
              <w:rPr>
                <w:rFonts w:ascii="Arial" w:cs="Arial" w:eastAsia="Arial" w:hAnsi="Arial"/>
                <w:sz w:val="14"/>
                <w:szCs w:val="14"/>
                <w:color w:val="auto"/>
                <w:w w:val="99"/>
              </w:rPr>
              <w:t>—</w:t>
            </w:r>
          </w:p>
        </w:tc>
        <w:tc>
          <w:tcPr>
            <w:tcW w:w="94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120"/>
              <w:spacing w:after="0"/>
              <w:rPr>
                <w:sz w:val="20"/>
                <w:szCs w:val="20"/>
                <w:color w:val="auto"/>
              </w:rPr>
            </w:pPr>
            <w:r>
              <w:rPr>
                <w:rFonts w:ascii="Arial" w:cs="Arial" w:eastAsia="Arial" w:hAnsi="Arial"/>
                <w:sz w:val="14"/>
                <w:szCs w:val="14"/>
                <w:color w:val="auto"/>
              </w:rPr>
              <w:t>107,066(13)</w:t>
            </w:r>
          </w:p>
        </w:tc>
        <w:tc>
          <w:tcPr>
            <w:tcW w:w="80" w:type="dxa"/>
            <w:vAlign w:val="bottom"/>
          </w:tcPr>
          <w:p>
            <w:pPr>
              <w:spacing w:after="0"/>
              <w:rPr>
                <w:sz w:val="20"/>
                <w:szCs w:val="20"/>
                <w:color w:val="auto"/>
              </w:rPr>
            </w:pPr>
            <w:r>
              <w:rPr>
                <w:rFonts w:ascii="Arial" w:cs="Arial" w:eastAsia="Arial" w:hAnsi="Arial"/>
                <w:sz w:val="14"/>
                <w:szCs w:val="14"/>
                <w:color w:val="auto"/>
                <w:w w:val="76"/>
              </w:rPr>
              <w:t>$</w:t>
            </w:r>
          </w:p>
        </w:tc>
        <w:tc>
          <w:tcPr>
            <w:tcW w:w="740" w:type="dxa"/>
            <w:vAlign w:val="bottom"/>
            <w:gridSpan w:val="2"/>
          </w:tcPr>
          <w:p>
            <w:pPr>
              <w:jc w:val="right"/>
              <w:ind w:right="40"/>
              <w:spacing w:after="0"/>
              <w:rPr>
                <w:sz w:val="20"/>
                <w:szCs w:val="20"/>
                <w:color w:val="auto"/>
              </w:rPr>
            </w:pPr>
            <w:r>
              <w:rPr>
                <w:rFonts w:ascii="Arial" w:cs="Arial" w:eastAsia="Arial" w:hAnsi="Arial"/>
                <w:sz w:val="14"/>
                <w:szCs w:val="14"/>
                <w:color w:val="auto"/>
              </w:rPr>
              <w:t>947,534(6)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1849120</wp:posOffset>
            </wp:positionH>
            <wp:positionV relativeFrom="paragraph">
              <wp:posOffset>-3000375</wp:posOffset>
            </wp:positionV>
            <wp:extent cx="5402580" cy="150939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5402580" cy="1509395"/>
                    </a:xfrm>
                    <a:prstGeom prst="rect">
                      <a:avLst/>
                    </a:prstGeom>
                    <a:noFill/>
                  </pic:spPr>
                </pic:pic>
              </a:graphicData>
            </a:graphic>
          </wp:anchor>
        </w:drawing>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150</w:t>
      </w:r>
    </w:p>
    <w:p>
      <w:pPr>
        <w:sectPr>
          <w:pgSz w:w="11900" w:h="16838" w:orient="portrait"/>
          <w:cols w:equalWidth="0" w:num="1">
            <w:col w:w="11420"/>
          </w:cols>
          <w:pgMar w:left="240" w:top="459" w:right="239" w:bottom="1440" w:gutter="0" w:footer="0" w:header="0"/>
        </w:sectPr>
      </w:pPr>
    </w:p>
    <w:bookmarkStart w:id="152" w:name="page153"/>
    <w:bookmarkEnd w:id="1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480" w:type="dxa"/>
            <w:vAlign w:val="bottom"/>
            <w:tcBorders>
              <w:bottom w:val="single" w:sz="8" w:color="auto"/>
            </w:tcBorders>
            <w:gridSpan w:val="3"/>
          </w:tcPr>
          <w:p>
            <w:pPr>
              <w:jc w:val="right"/>
              <w:ind w:right="600"/>
              <w:spacing w:after="0"/>
              <w:rPr>
                <w:sz w:val="20"/>
                <w:szCs w:val="20"/>
                <w:color w:val="auto"/>
              </w:rPr>
            </w:pPr>
            <w:r>
              <w:rPr>
                <w:rFonts w:ascii="Arial" w:cs="Arial" w:eastAsia="Arial" w:hAnsi="Arial"/>
                <w:sz w:val="14"/>
                <w:szCs w:val="14"/>
                <w:b w:val="1"/>
                <w:bCs w:val="1"/>
                <w:color w:val="auto"/>
                <w:w w:val="86"/>
              </w:rPr>
              <w:t>Option Awards</w:t>
            </w:r>
          </w:p>
        </w:tc>
        <w:tc>
          <w:tcPr>
            <w:tcW w:w="4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860" w:type="dxa"/>
            <w:vAlign w:val="bottom"/>
            <w:tcBorders>
              <w:bottom w:val="single" w:sz="8" w:color="auto"/>
            </w:tcBorders>
            <w:gridSpan w:val="4"/>
          </w:tcPr>
          <w:p>
            <w:pPr>
              <w:jc w:val="right"/>
              <w:ind w:right="640"/>
              <w:spacing w:after="0"/>
              <w:rPr>
                <w:sz w:val="20"/>
                <w:szCs w:val="20"/>
                <w:color w:val="auto"/>
              </w:rPr>
            </w:pPr>
            <w:r>
              <w:rPr>
                <w:rFonts w:ascii="Arial" w:cs="Arial" w:eastAsia="Arial" w:hAnsi="Arial"/>
                <w:sz w:val="14"/>
                <w:szCs w:val="14"/>
                <w:b w:val="1"/>
                <w:bCs w:val="1"/>
                <w:color w:val="auto"/>
              </w:rPr>
              <w:t>Stock Awards</w:t>
            </w:r>
          </w:p>
        </w:tc>
        <w:tc>
          <w:tcPr>
            <w:tcW w:w="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3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Equity</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Equity</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8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Incentive</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Equity</w:t>
            </w:r>
          </w:p>
        </w:tc>
        <w:tc>
          <w:tcPr>
            <w:tcW w:w="60" w:type="dxa"/>
            <w:vAlign w:val="bottom"/>
          </w:tcPr>
          <w:p>
            <w:pPr>
              <w:spacing w:after="0"/>
              <w:rPr>
                <w:sz w:val="12"/>
                <w:szCs w:val="12"/>
                <w:color w:val="auto"/>
              </w:rPr>
            </w:pPr>
          </w:p>
        </w:tc>
        <w:tc>
          <w:tcPr>
            <w:tcW w:w="7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Plan</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Number</w:t>
            </w: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Incentive</w:t>
            </w:r>
          </w:p>
        </w:tc>
        <w:tc>
          <w:tcPr>
            <w:tcW w:w="60" w:type="dxa"/>
            <w:vAlign w:val="bottom"/>
          </w:tcPr>
          <w:p>
            <w:pPr>
              <w:spacing w:after="0"/>
              <w:rPr>
                <w:sz w:val="12"/>
                <w:szCs w:val="12"/>
                <w:color w:val="auto"/>
              </w:rPr>
            </w:pPr>
          </w:p>
        </w:tc>
        <w:tc>
          <w:tcPr>
            <w:tcW w:w="78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Awards:</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of</w:t>
            </w:r>
          </w:p>
        </w:tc>
        <w:tc>
          <w:tcPr>
            <w:tcW w:w="94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rPr>
              <w:t>Market</w:t>
            </w: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Plan</w:t>
            </w:r>
          </w:p>
        </w:tc>
        <w:tc>
          <w:tcPr>
            <w:tcW w:w="6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40" w:type="dxa"/>
            <w:vAlign w:val="bottom"/>
            <w:gridSpan w:val="2"/>
          </w:tcPr>
          <w:p>
            <w:pPr>
              <w:jc w:val="center"/>
              <w:ind w:right="352"/>
              <w:spacing w:after="0" w:line="149" w:lineRule="exact"/>
              <w:rPr>
                <w:sz w:val="20"/>
                <w:szCs w:val="20"/>
                <w:color w:val="auto"/>
              </w:rPr>
            </w:pPr>
            <w:r>
              <w:rPr>
                <w:rFonts w:ascii="Arial" w:cs="Arial" w:eastAsia="Arial" w:hAnsi="Arial"/>
                <w:sz w:val="14"/>
                <w:szCs w:val="14"/>
                <w:b w:val="1"/>
                <w:bCs w:val="1"/>
                <w:color w:val="auto"/>
                <w:w w:val="88"/>
              </w:rPr>
              <w:t>Number of</w:t>
            </w: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5"/>
              </w:rPr>
              <w:t>Units</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91"/>
              </w:rPr>
              <w:t>Value of</w:t>
            </w: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Awards:</w:t>
            </w:r>
          </w:p>
        </w:tc>
        <w:tc>
          <w:tcPr>
            <w:tcW w:w="60" w:type="dxa"/>
            <w:vAlign w:val="bottom"/>
          </w:tcPr>
          <w:p>
            <w:pPr>
              <w:spacing w:after="0"/>
              <w:rPr>
                <w:sz w:val="12"/>
                <w:szCs w:val="12"/>
                <w:color w:val="auto"/>
              </w:rPr>
            </w:pPr>
          </w:p>
        </w:tc>
        <w:tc>
          <w:tcPr>
            <w:tcW w:w="78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1"/>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6"/>
              </w:rPr>
              <w:t>Securities</w:t>
            </w:r>
          </w:p>
        </w:tc>
        <w:tc>
          <w:tcPr>
            <w:tcW w:w="1240" w:type="dxa"/>
            <w:vAlign w:val="bottom"/>
            <w:gridSpan w:val="2"/>
          </w:tcPr>
          <w:p>
            <w:pPr>
              <w:jc w:val="center"/>
              <w:ind w:right="352"/>
              <w:spacing w:after="0" w:line="149" w:lineRule="exact"/>
              <w:rPr>
                <w:sz w:val="20"/>
                <w:szCs w:val="20"/>
                <w:color w:val="auto"/>
              </w:rPr>
            </w:pPr>
            <w:r>
              <w:rPr>
                <w:rFonts w:ascii="Arial" w:cs="Arial" w:eastAsia="Arial" w:hAnsi="Arial"/>
                <w:sz w:val="14"/>
                <w:szCs w:val="14"/>
                <w:b w:val="1"/>
                <w:bCs w:val="1"/>
                <w:color w:val="auto"/>
                <w:w w:val="86"/>
              </w:rPr>
              <w:t>Securities</w:t>
            </w:r>
          </w:p>
        </w:tc>
        <w:tc>
          <w:tcPr>
            <w:tcW w:w="10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4"/>
              </w:rPr>
              <w:t>That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95"/>
              </w:rPr>
              <w:t>Units of</w:t>
            </w: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Number of</w:t>
            </w:r>
          </w:p>
        </w:tc>
        <w:tc>
          <w:tcPr>
            <w:tcW w:w="60" w:type="dxa"/>
            <w:vAlign w:val="bottom"/>
          </w:tcPr>
          <w:p>
            <w:pPr>
              <w:spacing w:after="0"/>
              <w:rPr>
                <w:sz w:val="12"/>
                <w:szCs w:val="12"/>
                <w:color w:val="auto"/>
              </w:rPr>
            </w:pPr>
          </w:p>
        </w:tc>
        <w:tc>
          <w:tcPr>
            <w:tcW w:w="7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240" w:type="dxa"/>
            <w:vAlign w:val="bottom"/>
            <w:gridSpan w:val="2"/>
          </w:tcPr>
          <w:p>
            <w:pPr>
              <w:jc w:val="center"/>
              <w:ind w:right="352"/>
              <w:spacing w:after="0" w:line="149" w:lineRule="exact"/>
              <w:rPr>
                <w:sz w:val="20"/>
                <w:szCs w:val="20"/>
                <w:color w:val="auto"/>
              </w:rPr>
            </w:pPr>
            <w:r>
              <w:rPr>
                <w:rFonts w:ascii="Arial" w:cs="Arial" w:eastAsia="Arial" w:hAnsi="Arial"/>
                <w:sz w:val="14"/>
                <w:szCs w:val="14"/>
                <w:b w:val="1"/>
                <w:bCs w:val="1"/>
                <w:color w:val="auto"/>
                <w:w w:val="90"/>
              </w:rPr>
              <w:t>Underlying</w:t>
            </w: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Option</w:t>
            </w: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Have</w:t>
            </w:r>
          </w:p>
        </w:tc>
        <w:tc>
          <w:tcPr>
            <w:tcW w:w="9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9"/>
              </w:rPr>
              <w:t>Stock</w:t>
            </w: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Unearned</w:t>
            </w:r>
          </w:p>
        </w:tc>
        <w:tc>
          <w:tcPr>
            <w:tcW w:w="60" w:type="dxa"/>
            <w:vAlign w:val="bottom"/>
          </w:tcPr>
          <w:p>
            <w:pPr>
              <w:spacing w:after="0"/>
              <w:rPr>
                <w:sz w:val="12"/>
                <w:szCs w:val="12"/>
                <w:color w:val="auto"/>
              </w:rPr>
            </w:pPr>
          </w:p>
        </w:tc>
        <w:tc>
          <w:tcPr>
            <w:tcW w:w="7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Units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240" w:type="dxa"/>
            <w:vAlign w:val="bottom"/>
            <w:gridSpan w:val="2"/>
          </w:tcPr>
          <w:p>
            <w:pPr>
              <w:jc w:val="center"/>
              <w:ind w:right="352"/>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Exercise</w:t>
            </w:r>
          </w:p>
        </w:tc>
        <w:tc>
          <w:tcPr>
            <w:tcW w:w="86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Option</w:t>
            </w: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Not</w:t>
            </w:r>
          </w:p>
        </w:tc>
        <w:tc>
          <w:tcPr>
            <w:tcW w:w="9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That</w:t>
            </w: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Units That</w:t>
            </w:r>
          </w:p>
        </w:tc>
        <w:tc>
          <w:tcPr>
            <w:tcW w:w="60" w:type="dxa"/>
            <w:vAlign w:val="bottom"/>
          </w:tcPr>
          <w:p>
            <w:pPr>
              <w:spacing w:after="0"/>
              <w:rPr>
                <w:sz w:val="12"/>
                <w:szCs w:val="12"/>
                <w:color w:val="auto"/>
              </w:rPr>
            </w:pPr>
          </w:p>
        </w:tc>
        <w:tc>
          <w:tcPr>
            <w:tcW w:w="7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4"/>
              </w:rPr>
              <w:t>That</w:t>
            </w:r>
          </w:p>
        </w:tc>
        <w:tc>
          <w:tcPr>
            <w:tcW w:w="0" w:type="dxa"/>
            <w:vAlign w:val="bottom"/>
          </w:tcPr>
          <w:p>
            <w:pPr>
              <w:spacing w:after="0"/>
              <w:rPr>
                <w:sz w:val="1"/>
                <w:szCs w:val="1"/>
                <w:color w:val="auto"/>
              </w:rPr>
            </w:pPr>
          </w:p>
        </w:tc>
      </w:tr>
      <w:tr>
        <w:trPr>
          <w:trHeight w:val="149"/>
        </w:trPr>
        <w:tc>
          <w:tcPr>
            <w:tcW w:w="27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80" w:type="dxa"/>
            <w:vAlign w:val="bottom"/>
          </w:tcPr>
          <w:p>
            <w:pPr>
              <w:spacing w:after="0"/>
              <w:rPr>
                <w:sz w:val="12"/>
                <w:szCs w:val="12"/>
                <w:color w:val="auto"/>
              </w:rPr>
            </w:pPr>
          </w:p>
        </w:tc>
        <w:tc>
          <w:tcPr>
            <w:tcW w:w="11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9"/>
              </w:rPr>
              <w:t>Options (#)</w:t>
            </w:r>
          </w:p>
        </w:tc>
        <w:tc>
          <w:tcPr>
            <w:tcW w:w="1240" w:type="dxa"/>
            <w:vAlign w:val="bottom"/>
            <w:gridSpan w:val="2"/>
          </w:tcPr>
          <w:p>
            <w:pPr>
              <w:jc w:val="center"/>
              <w:ind w:right="352"/>
              <w:spacing w:after="0" w:line="149" w:lineRule="exact"/>
              <w:rPr>
                <w:sz w:val="20"/>
                <w:szCs w:val="20"/>
                <w:color w:val="auto"/>
              </w:rPr>
            </w:pPr>
            <w:r>
              <w:rPr>
                <w:rFonts w:ascii="Arial" w:cs="Arial" w:eastAsia="Arial" w:hAnsi="Arial"/>
                <w:sz w:val="14"/>
                <w:szCs w:val="14"/>
                <w:b w:val="1"/>
                <w:bCs w:val="1"/>
                <w:color w:val="auto"/>
                <w:w w:val="89"/>
              </w:rPr>
              <w:t>Options (#)</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95"/>
              </w:rPr>
              <w:t>Unearned</w:t>
            </w:r>
          </w:p>
        </w:tc>
        <w:tc>
          <w:tcPr>
            <w:tcW w:w="7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Price</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7"/>
              </w:rPr>
              <w:t>Expiration</w:t>
            </w:r>
          </w:p>
        </w:tc>
        <w:tc>
          <w:tcPr>
            <w:tcW w:w="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2"/>
              </w:rPr>
              <w:t>Vested</w:t>
            </w:r>
          </w:p>
        </w:tc>
        <w:tc>
          <w:tcPr>
            <w:tcW w:w="9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Have Not</w:t>
            </w:r>
          </w:p>
        </w:tc>
        <w:tc>
          <w:tcPr>
            <w:tcW w:w="9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Have Not</w:t>
            </w:r>
          </w:p>
        </w:tc>
        <w:tc>
          <w:tcPr>
            <w:tcW w:w="60" w:type="dxa"/>
            <w:vAlign w:val="bottom"/>
          </w:tcPr>
          <w:p>
            <w:pPr>
              <w:spacing w:after="0"/>
              <w:rPr>
                <w:sz w:val="12"/>
                <w:szCs w:val="12"/>
                <w:color w:val="auto"/>
              </w:rPr>
            </w:pPr>
          </w:p>
        </w:tc>
        <w:tc>
          <w:tcPr>
            <w:tcW w:w="78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Have Not</w:t>
            </w:r>
          </w:p>
        </w:tc>
        <w:tc>
          <w:tcPr>
            <w:tcW w:w="0" w:type="dxa"/>
            <w:vAlign w:val="bottom"/>
          </w:tcPr>
          <w:p>
            <w:pPr>
              <w:spacing w:after="0"/>
              <w:rPr>
                <w:sz w:val="1"/>
                <w:szCs w:val="1"/>
                <w:color w:val="auto"/>
              </w:rPr>
            </w:pPr>
          </w:p>
        </w:tc>
      </w:tr>
      <w:tr>
        <w:trPr>
          <w:trHeight w:val="148"/>
        </w:trPr>
        <w:tc>
          <w:tcPr>
            <w:tcW w:w="2700" w:type="dxa"/>
            <w:vAlign w:val="bottom"/>
            <w:gridSpan w:val="3"/>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jc w:val="center"/>
              <w:ind w:right="420"/>
              <w:spacing w:after="0" w:line="148" w:lineRule="exact"/>
              <w:rPr>
                <w:sz w:val="20"/>
                <w:szCs w:val="20"/>
                <w:color w:val="auto"/>
              </w:rPr>
            </w:pPr>
            <w:r>
              <w:rPr>
                <w:rFonts w:ascii="Arial" w:cs="Arial" w:eastAsia="Arial" w:hAnsi="Arial"/>
                <w:sz w:val="14"/>
                <w:szCs w:val="14"/>
                <w:b w:val="1"/>
                <w:bCs w:val="1"/>
                <w:color w:val="auto"/>
                <w:w w:val="84"/>
              </w:rPr>
              <w:t>Exercisable</w:t>
            </w:r>
          </w:p>
        </w:tc>
        <w:tc>
          <w:tcPr>
            <w:tcW w:w="1240" w:type="dxa"/>
            <w:vAlign w:val="bottom"/>
            <w:gridSpan w:val="2"/>
          </w:tcPr>
          <w:p>
            <w:pPr>
              <w:jc w:val="center"/>
              <w:ind w:right="352"/>
              <w:spacing w:after="0" w:line="148" w:lineRule="exact"/>
              <w:rPr>
                <w:sz w:val="20"/>
                <w:szCs w:val="20"/>
                <w:color w:val="auto"/>
              </w:rPr>
            </w:pPr>
            <w:r>
              <w:rPr>
                <w:rFonts w:ascii="Arial" w:cs="Arial" w:eastAsia="Arial" w:hAnsi="Arial"/>
                <w:sz w:val="14"/>
                <w:szCs w:val="14"/>
                <w:b w:val="1"/>
                <w:bCs w:val="1"/>
                <w:color w:val="auto"/>
                <w:w w:val="86"/>
              </w:rPr>
              <w:t>Unexercisable</w:t>
            </w:r>
          </w:p>
        </w:tc>
        <w:tc>
          <w:tcPr>
            <w:tcW w:w="106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9"/>
              </w:rPr>
              <w:t>Options (#)</w:t>
            </w:r>
          </w:p>
        </w:tc>
        <w:tc>
          <w:tcPr>
            <w:tcW w:w="4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2"/>
                <w:szCs w:val="12"/>
                <w:color w:val="auto"/>
              </w:rPr>
            </w:pPr>
          </w:p>
        </w:tc>
        <w:tc>
          <w:tcPr>
            <w:tcW w:w="860" w:type="dxa"/>
            <w:vAlign w:val="bottom"/>
            <w:gridSpan w:val="2"/>
          </w:tcPr>
          <w:p>
            <w:pPr>
              <w:ind w:left="180"/>
              <w:spacing w:after="0" w:line="148" w:lineRule="exact"/>
              <w:rPr>
                <w:sz w:val="20"/>
                <w:szCs w:val="20"/>
                <w:color w:val="auto"/>
              </w:rPr>
            </w:pPr>
            <w:r>
              <w:rPr>
                <w:rFonts w:ascii="Arial" w:cs="Arial" w:eastAsia="Arial" w:hAnsi="Arial"/>
                <w:sz w:val="14"/>
                <w:szCs w:val="14"/>
                <w:b w:val="1"/>
                <w:bCs w:val="1"/>
                <w:color w:val="auto"/>
              </w:rPr>
              <w:t>Date</w:t>
            </w:r>
          </w:p>
        </w:tc>
        <w:tc>
          <w:tcPr>
            <w:tcW w:w="4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60" w:type="dxa"/>
            <w:vAlign w:val="bottom"/>
          </w:tcPr>
          <w:p>
            <w:pPr>
              <w:spacing w:after="0"/>
              <w:rPr>
                <w:sz w:val="12"/>
                <w:szCs w:val="12"/>
                <w:color w:val="auto"/>
              </w:rPr>
            </w:pPr>
          </w:p>
        </w:tc>
        <w:tc>
          <w:tcPr>
            <w:tcW w:w="94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6"/>
              </w:rPr>
              <w:t xml:space="preserve">Vested </w:t>
            </w:r>
            <w:r>
              <w:rPr>
                <w:rFonts w:ascii="Arial" w:cs="Arial" w:eastAsia="Arial" w:hAnsi="Arial"/>
                <w:sz w:val="14"/>
                <w:szCs w:val="14"/>
                <w:b w:val="1"/>
                <w:bCs w:val="1"/>
                <w:u w:val="single" w:color="auto"/>
                <w:color w:val="auto"/>
                <w:w w:val="86"/>
              </w:rPr>
              <w:t>($</w:t>
            </w:r>
            <w:r>
              <w:rPr>
                <w:rFonts w:ascii="Arial" w:cs="Arial" w:eastAsia="Arial" w:hAnsi="Arial"/>
                <w:sz w:val="14"/>
                <w:szCs w:val="14"/>
                <w:b w:val="1"/>
                <w:bCs w:val="1"/>
                <w:color w:val="auto"/>
                <w:w w:val="86"/>
              </w:rPr>
              <w:t>)</w:t>
            </w:r>
          </w:p>
        </w:tc>
        <w:tc>
          <w:tcPr>
            <w:tcW w:w="92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86"/>
              </w:rPr>
              <w:t>Vested (#)</w:t>
            </w:r>
          </w:p>
        </w:tc>
        <w:tc>
          <w:tcPr>
            <w:tcW w:w="60" w:type="dxa"/>
            <w:vAlign w:val="bottom"/>
          </w:tcPr>
          <w:p>
            <w:pPr>
              <w:spacing w:after="0"/>
              <w:rPr>
                <w:sz w:val="12"/>
                <w:szCs w:val="12"/>
                <w:color w:val="auto"/>
              </w:rPr>
            </w:pPr>
          </w:p>
        </w:tc>
        <w:tc>
          <w:tcPr>
            <w:tcW w:w="78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 xml:space="preserve">Vested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3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CCEEFF"/>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68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Michael Rashkin</w:t>
            </w:r>
          </w:p>
        </w:tc>
        <w:tc>
          <w:tcPr>
            <w:tcW w:w="180" w:type="dxa"/>
            <w:vAlign w:val="bottom"/>
            <w:shd w:val="clear" w:color="auto" w:fill="CCEEFF"/>
          </w:tcPr>
          <w:p>
            <w:pPr>
              <w:spacing w:after="0"/>
              <w:rPr>
                <w:sz w:val="11"/>
                <w:szCs w:val="11"/>
                <w:color w:val="auto"/>
              </w:rPr>
            </w:pPr>
          </w:p>
        </w:tc>
        <w:tc>
          <w:tcPr>
            <w:tcW w:w="700" w:type="dxa"/>
            <w:vAlign w:val="bottom"/>
            <w:shd w:val="clear" w:color="auto" w:fill="CCEEFF"/>
          </w:tcPr>
          <w:p>
            <w:pPr>
              <w:ind w:left="500"/>
              <w:spacing w:after="0" w:line="136"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1"/>
                <w:szCs w:val="11"/>
                <w:color w:val="auto"/>
              </w:rPr>
            </w:pPr>
          </w:p>
        </w:tc>
        <w:tc>
          <w:tcPr>
            <w:tcW w:w="820" w:type="dxa"/>
            <w:vAlign w:val="bottom"/>
            <w:shd w:val="clear" w:color="auto" w:fill="CCEEFF"/>
          </w:tcPr>
          <w:p>
            <w:pPr>
              <w:ind w:left="620"/>
              <w:spacing w:after="0" w:line="136"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1"/>
                <w:szCs w:val="11"/>
                <w:color w:val="auto"/>
              </w:rPr>
            </w:pPr>
          </w:p>
        </w:tc>
        <w:tc>
          <w:tcPr>
            <w:tcW w:w="72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34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4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480" w:type="dxa"/>
            <w:vAlign w:val="bottom"/>
            <w:shd w:val="clear" w:color="auto" w:fill="CCEEFF"/>
          </w:tcPr>
          <w:p>
            <w:pPr>
              <w:ind w:left="280"/>
              <w:spacing w:after="0" w:line="136"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1"/>
                <w:szCs w:val="11"/>
                <w:color w:val="auto"/>
              </w:rPr>
            </w:pPr>
          </w:p>
        </w:tc>
        <w:tc>
          <w:tcPr>
            <w:tcW w:w="620" w:type="dxa"/>
            <w:vAlign w:val="bottom"/>
            <w:shd w:val="clear" w:color="auto" w:fill="CCEEFF"/>
          </w:tcPr>
          <w:p>
            <w:pPr>
              <w:jc w:val="center"/>
              <w:ind w:left="292"/>
              <w:spacing w:after="0" w:line="136" w:lineRule="exact"/>
              <w:rPr>
                <w:sz w:val="20"/>
                <w:szCs w:val="20"/>
                <w:color w:val="auto"/>
              </w:rPr>
            </w:pPr>
            <w:r>
              <w:rPr>
                <w:rFonts w:ascii="Arial" w:cs="Arial" w:eastAsia="Arial" w:hAnsi="Arial"/>
                <w:sz w:val="14"/>
                <w:szCs w:val="14"/>
                <w:color w:val="auto"/>
                <w:w w:val="99"/>
              </w:rPr>
              <w:t>—</w:t>
            </w:r>
          </w:p>
        </w:tc>
        <w:tc>
          <w:tcPr>
            <w:tcW w:w="3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58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246"/>
        </w:trPr>
        <w:tc>
          <w:tcPr>
            <w:tcW w:w="2700" w:type="dxa"/>
            <w:vAlign w:val="bottom"/>
            <w:gridSpan w:val="3"/>
          </w:tcPr>
          <w:p>
            <w:pPr>
              <w:spacing w:after="0"/>
              <w:rPr>
                <w:sz w:val="20"/>
                <w:szCs w:val="20"/>
                <w:color w:val="auto"/>
              </w:rPr>
            </w:pPr>
            <w:r>
              <w:rPr>
                <w:rFonts w:ascii="Arial" w:cs="Arial" w:eastAsia="Arial" w:hAnsi="Arial"/>
                <w:sz w:val="14"/>
                <w:szCs w:val="14"/>
                <w:color w:val="auto"/>
              </w:rPr>
              <w:t>Dr. Zining Wu</w:t>
            </w:r>
          </w:p>
        </w:tc>
        <w:tc>
          <w:tcPr>
            <w:tcW w:w="1300" w:type="dxa"/>
            <w:vAlign w:val="bottom"/>
            <w:gridSpan w:val="3"/>
          </w:tcPr>
          <w:p>
            <w:pPr>
              <w:jc w:val="right"/>
              <w:ind w:right="260"/>
              <w:spacing w:after="0"/>
              <w:rPr>
                <w:sz w:val="20"/>
                <w:szCs w:val="20"/>
                <w:color w:val="auto"/>
              </w:rPr>
            </w:pPr>
            <w:r>
              <w:rPr>
                <w:rFonts w:ascii="Arial" w:cs="Arial" w:eastAsia="Arial" w:hAnsi="Arial"/>
                <w:sz w:val="14"/>
                <w:szCs w:val="14"/>
                <w:color w:val="auto"/>
              </w:rPr>
              <w:t>30,000(1)</w:t>
            </w:r>
          </w:p>
        </w:tc>
        <w:tc>
          <w:tcPr>
            <w:tcW w:w="1240" w:type="dxa"/>
            <w:vAlign w:val="bottom"/>
            <w:gridSpan w:val="2"/>
          </w:tcPr>
          <w:p>
            <w:pPr>
              <w:ind w:left="620"/>
              <w:spacing w:after="0"/>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480" w:type="dxa"/>
            <w:vAlign w:val="bottom"/>
          </w:tcPr>
          <w:p>
            <w:pPr>
              <w:jc w:val="right"/>
              <w:spacing w:after="0"/>
              <w:rPr>
                <w:sz w:val="20"/>
                <w:szCs w:val="20"/>
                <w:color w:val="auto"/>
              </w:rPr>
            </w:pPr>
            <w:r>
              <w:rPr>
                <w:rFonts w:ascii="Arial" w:cs="Arial" w:eastAsia="Arial" w:hAnsi="Arial"/>
                <w:sz w:val="14"/>
                <w:szCs w:val="14"/>
                <w:color w:val="auto"/>
              </w:rPr>
              <w:t>21.14</w:t>
            </w:r>
          </w:p>
        </w:tc>
        <w:tc>
          <w:tcPr>
            <w:tcW w:w="240" w:type="dxa"/>
            <w:vAlign w:val="bottom"/>
          </w:tcPr>
          <w:p>
            <w:pPr>
              <w:spacing w:after="0"/>
              <w:rPr>
                <w:sz w:val="21"/>
                <w:szCs w:val="21"/>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4"/>
                <w:szCs w:val="14"/>
                <w:color w:val="auto"/>
                <w:w w:val="99"/>
              </w:rPr>
              <w:t>4/12/2020</w:t>
            </w:r>
          </w:p>
        </w:tc>
        <w:tc>
          <w:tcPr>
            <w:tcW w:w="840" w:type="dxa"/>
            <w:vAlign w:val="bottom"/>
            <w:gridSpan w:val="2"/>
          </w:tcPr>
          <w:p>
            <w:pPr>
              <w:ind w:left="280"/>
              <w:spacing w:after="0"/>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21"/>
                <w:szCs w:val="21"/>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3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50,000(1)</w:t>
            </w:r>
          </w:p>
        </w:tc>
        <w:tc>
          <w:tcPr>
            <w:tcW w:w="12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4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99"/>
              </w:rPr>
              <w:t>4/29/2021</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50,000(2)</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4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99"/>
              </w:rPr>
              <w:t>4/29/2021</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3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18,750(3)</w:t>
            </w:r>
          </w:p>
        </w:tc>
        <w:tc>
          <w:tcPr>
            <w:tcW w:w="1240" w:type="dxa"/>
            <w:vAlign w:val="bottom"/>
            <w:gridSpan w:val="2"/>
          </w:tcPr>
          <w:p>
            <w:pPr>
              <w:jc w:val="right"/>
              <w:ind w:right="192"/>
              <w:spacing w:after="0" w:line="149" w:lineRule="exact"/>
              <w:rPr>
                <w:sz w:val="20"/>
                <w:szCs w:val="20"/>
                <w:color w:val="auto"/>
              </w:rPr>
            </w:pPr>
            <w:r>
              <w:rPr>
                <w:rFonts w:ascii="Arial" w:cs="Arial" w:eastAsia="Arial" w:hAnsi="Arial"/>
                <w:sz w:val="14"/>
                <w:szCs w:val="14"/>
                <w:color w:val="auto"/>
              </w:rPr>
              <w:t>6,250(3)</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15.20</w:t>
            </w:r>
          </w:p>
        </w:tc>
        <w:tc>
          <w:tcPr>
            <w:tcW w:w="24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99"/>
              </w:rPr>
              <w:t>4/21/2022</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jc w:val="right"/>
              <w:ind w:right="192"/>
              <w:spacing w:after="0" w:line="149" w:lineRule="exact"/>
              <w:rPr>
                <w:sz w:val="20"/>
                <w:szCs w:val="20"/>
                <w:color w:val="auto"/>
              </w:rPr>
            </w:pPr>
            <w:r>
              <w:rPr>
                <w:rFonts w:ascii="Arial" w:cs="Arial" w:eastAsia="Arial" w:hAnsi="Arial"/>
                <w:sz w:val="14"/>
                <w:szCs w:val="14"/>
                <w:color w:val="auto"/>
              </w:rPr>
              <w:t>80,000(4)</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10.76</w:t>
            </w:r>
          </w:p>
        </w:tc>
        <w:tc>
          <w:tcPr>
            <w:tcW w:w="24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99"/>
              </w:rPr>
              <w:t>4/30/2023</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ind w:left="180"/>
              <w:spacing w:after="0" w:line="149" w:lineRule="exact"/>
              <w:rPr>
                <w:sz w:val="20"/>
                <w:szCs w:val="20"/>
                <w:color w:val="auto"/>
              </w:rPr>
            </w:pPr>
            <w:r>
              <w:rPr>
                <w:rFonts w:ascii="Arial" w:cs="Arial" w:eastAsia="Arial" w:hAnsi="Arial"/>
                <w:sz w:val="14"/>
                <w:szCs w:val="14"/>
                <w:color w:val="auto"/>
              </w:rPr>
              <w:t>8,125(5)</w:t>
            </w:r>
          </w:p>
        </w:tc>
        <w:tc>
          <w:tcPr>
            <w:tcW w:w="9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w w:val="95"/>
              </w:rPr>
              <w:t>$  71,906(6)</w:t>
            </w:r>
          </w:p>
        </w:tc>
        <w:tc>
          <w:tcPr>
            <w:tcW w:w="9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jc w:val="right"/>
              <w:ind w:right="192"/>
              <w:spacing w:after="0" w:line="149" w:lineRule="exact"/>
              <w:rPr>
                <w:sz w:val="20"/>
                <w:szCs w:val="20"/>
                <w:color w:val="auto"/>
              </w:rPr>
            </w:pPr>
            <w:r>
              <w:rPr>
                <w:rFonts w:ascii="Arial" w:cs="Arial" w:eastAsia="Arial" w:hAnsi="Arial"/>
                <w:sz w:val="14"/>
                <w:szCs w:val="14"/>
                <w:color w:val="auto"/>
              </w:rPr>
              <w:t>100,000(7)</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14.59</w:t>
            </w:r>
          </w:p>
        </w:tc>
        <w:tc>
          <w:tcPr>
            <w:tcW w:w="24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99"/>
              </w:rPr>
              <w:t>6/16/2024</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center"/>
              <w:ind w:left="52"/>
              <w:spacing w:after="0" w:line="149" w:lineRule="exact"/>
              <w:rPr>
                <w:sz w:val="20"/>
                <w:szCs w:val="20"/>
                <w:color w:val="auto"/>
              </w:rPr>
            </w:pPr>
            <w:r>
              <w:rPr>
                <w:rFonts w:ascii="Arial" w:cs="Arial" w:eastAsia="Arial" w:hAnsi="Arial"/>
                <w:sz w:val="14"/>
                <w:szCs w:val="14"/>
                <w:color w:val="auto"/>
                <w:w w:val="86"/>
              </w:rPr>
              <w:t>15,000(8)</w:t>
            </w:r>
          </w:p>
        </w:tc>
        <w:tc>
          <w:tcPr>
            <w:tcW w:w="840" w:type="dxa"/>
            <w:vAlign w:val="bottom"/>
            <w:gridSpan w:val="3"/>
          </w:tcPr>
          <w:p>
            <w:pPr>
              <w:ind w:left="60"/>
              <w:spacing w:after="0" w:line="149" w:lineRule="exact"/>
              <w:rPr>
                <w:sz w:val="20"/>
                <w:szCs w:val="20"/>
                <w:color w:val="auto"/>
              </w:rPr>
            </w:pPr>
            <w:r>
              <w:rPr>
                <w:rFonts w:ascii="Arial" w:cs="Arial" w:eastAsia="Arial" w:hAnsi="Arial"/>
                <w:sz w:val="14"/>
                <w:szCs w:val="14"/>
                <w:color w:val="auto"/>
                <w:w w:val="95"/>
              </w:rPr>
              <w:t>$ 132,750(6)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center"/>
              <w:ind w:left="52"/>
              <w:spacing w:after="0" w:line="149" w:lineRule="exact"/>
              <w:rPr>
                <w:sz w:val="20"/>
                <w:szCs w:val="20"/>
                <w:color w:val="auto"/>
              </w:rPr>
            </w:pPr>
            <w:r>
              <w:rPr>
                <w:rFonts w:ascii="Arial" w:cs="Arial" w:eastAsia="Arial" w:hAnsi="Arial"/>
                <w:sz w:val="14"/>
                <w:szCs w:val="14"/>
                <w:color w:val="auto"/>
                <w:w w:val="86"/>
              </w:rPr>
              <w:t>35,000(9)</w:t>
            </w:r>
          </w:p>
        </w:tc>
        <w:tc>
          <w:tcPr>
            <w:tcW w:w="840" w:type="dxa"/>
            <w:vAlign w:val="bottom"/>
            <w:gridSpan w:val="3"/>
          </w:tcPr>
          <w:p>
            <w:pPr>
              <w:ind w:left="60"/>
              <w:spacing w:after="0" w:line="149" w:lineRule="exact"/>
              <w:rPr>
                <w:sz w:val="20"/>
                <w:szCs w:val="20"/>
                <w:color w:val="auto"/>
              </w:rPr>
            </w:pPr>
            <w:r>
              <w:rPr>
                <w:rFonts w:ascii="Arial" w:cs="Arial" w:eastAsia="Arial" w:hAnsi="Arial"/>
                <w:sz w:val="14"/>
                <w:szCs w:val="14"/>
                <w:color w:val="auto"/>
                <w:w w:val="95"/>
              </w:rPr>
              <w:t>$ 309,750(6)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jc w:val="right"/>
              <w:ind w:right="132"/>
              <w:spacing w:after="0" w:line="149" w:lineRule="exact"/>
              <w:rPr>
                <w:sz w:val="20"/>
                <w:szCs w:val="20"/>
                <w:color w:val="auto"/>
              </w:rPr>
            </w:pPr>
            <w:r>
              <w:rPr>
                <w:rFonts w:ascii="Arial" w:cs="Arial" w:eastAsia="Arial" w:hAnsi="Arial"/>
                <w:sz w:val="14"/>
                <w:szCs w:val="14"/>
                <w:color w:val="auto"/>
              </w:rPr>
              <w:t>127,460(10)</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14.35</w:t>
            </w:r>
          </w:p>
        </w:tc>
        <w:tc>
          <w:tcPr>
            <w:tcW w:w="24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99"/>
              </w:rPr>
              <w:t>6/24/2025</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42,826(11)</w:t>
            </w:r>
          </w:p>
        </w:tc>
        <w:tc>
          <w:tcPr>
            <w:tcW w:w="840" w:type="dxa"/>
            <w:vAlign w:val="bottom"/>
            <w:gridSpan w:val="3"/>
          </w:tcPr>
          <w:p>
            <w:pPr>
              <w:ind w:left="60"/>
              <w:spacing w:after="0" w:line="149" w:lineRule="exact"/>
              <w:rPr>
                <w:sz w:val="20"/>
                <w:szCs w:val="20"/>
                <w:color w:val="auto"/>
              </w:rPr>
            </w:pPr>
            <w:r>
              <w:rPr>
                <w:rFonts w:ascii="Arial" w:cs="Arial" w:eastAsia="Arial" w:hAnsi="Arial"/>
                <w:sz w:val="14"/>
                <w:szCs w:val="14"/>
                <w:color w:val="auto"/>
                <w:w w:val="95"/>
              </w:rPr>
              <w:t>$ 379,010(6)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12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45,707(12)</w:t>
            </w:r>
          </w:p>
        </w:tc>
        <w:tc>
          <w:tcPr>
            <w:tcW w:w="840" w:type="dxa"/>
            <w:vAlign w:val="bottom"/>
            <w:gridSpan w:val="3"/>
          </w:tcPr>
          <w:p>
            <w:pPr>
              <w:ind w:left="60"/>
              <w:spacing w:after="0" w:line="149" w:lineRule="exact"/>
              <w:rPr>
                <w:sz w:val="20"/>
                <w:szCs w:val="20"/>
                <w:color w:val="auto"/>
              </w:rPr>
            </w:pPr>
            <w:r>
              <w:rPr>
                <w:rFonts w:ascii="Arial" w:cs="Arial" w:eastAsia="Arial" w:hAnsi="Arial"/>
                <w:sz w:val="14"/>
                <w:szCs w:val="14"/>
                <w:color w:val="auto"/>
                <w:w w:val="95"/>
              </w:rPr>
              <w:t>$ 404,507(6)</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2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1240" w:type="dxa"/>
            <w:vAlign w:val="bottom"/>
            <w:gridSpan w:val="2"/>
          </w:tcPr>
          <w:p>
            <w:pPr>
              <w:ind w:left="620"/>
              <w:spacing w:after="0"/>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30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40" w:type="dxa"/>
            <w:vAlign w:val="bottom"/>
            <w:gridSpan w:val="2"/>
          </w:tcPr>
          <w:p>
            <w:pPr>
              <w:ind w:left="280"/>
              <w:spacing w:after="0"/>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60"/>
              <w:spacing w:after="0"/>
              <w:rPr>
                <w:sz w:val="20"/>
                <w:szCs w:val="20"/>
                <w:color w:val="auto"/>
              </w:rPr>
            </w:pPr>
            <w:r>
              <w:rPr>
                <w:rFonts w:ascii="Arial" w:cs="Arial" w:eastAsia="Arial" w:hAnsi="Arial"/>
                <w:sz w:val="14"/>
                <w:szCs w:val="14"/>
                <w:color w:val="auto"/>
              </w:rPr>
              <w:t>53,533(13)</w:t>
            </w:r>
          </w:p>
        </w:tc>
        <w:tc>
          <w:tcPr>
            <w:tcW w:w="840" w:type="dxa"/>
            <w:vAlign w:val="bottom"/>
            <w:gridSpan w:val="3"/>
          </w:tcPr>
          <w:p>
            <w:pPr>
              <w:ind w:left="60"/>
              <w:spacing w:after="0"/>
              <w:rPr>
                <w:sz w:val="20"/>
                <w:szCs w:val="20"/>
                <w:color w:val="auto"/>
              </w:rPr>
            </w:pPr>
            <w:r>
              <w:rPr>
                <w:rFonts w:ascii="Arial" w:cs="Arial" w:eastAsia="Arial" w:hAnsi="Arial"/>
                <w:sz w:val="14"/>
                <w:szCs w:val="14"/>
                <w:color w:val="auto"/>
                <w:w w:val="95"/>
              </w:rPr>
              <w:t>$ 473,767(6)</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320" w:type="dxa"/>
            <w:vAlign w:val="bottom"/>
          </w:tcPr>
          <w:p>
            <w:pPr>
              <w:spacing w:after="0"/>
              <w:rPr>
                <w:sz w:val="8"/>
                <w:szCs w:val="8"/>
                <w:color w:val="auto"/>
              </w:rPr>
            </w:pPr>
          </w:p>
        </w:tc>
        <w:tc>
          <w:tcPr>
            <w:tcW w:w="1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82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3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6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Sukhi Nagesh</w:t>
            </w:r>
          </w:p>
        </w:tc>
        <w:tc>
          <w:tcPr>
            <w:tcW w:w="1300" w:type="dxa"/>
            <w:vAlign w:val="bottom"/>
            <w:gridSpan w:val="3"/>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4,583(14)</w:t>
            </w:r>
          </w:p>
        </w:tc>
        <w:tc>
          <w:tcPr>
            <w:tcW w:w="1240" w:type="dxa"/>
            <w:vAlign w:val="bottom"/>
            <w:gridSpan w:val="2"/>
            <w:shd w:val="clear" w:color="auto" w:fill="CCEEFF"/>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14.14</w:t>
            </w:r>
          </w:p>
        </w:tc>
        <w:tc>
          <w:tcPr>
            <w:tcW w:w="2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9"/>
              </w:rPr>
              <w:t>2/14/2016</w:t>
            </w:r>
          </w:p>
        </w:tc>
        <w:tc>
          <w:tcPr>
            <w:tcW w:w="84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3,062(15)</w:t>
            </w:r>
          </w:p>
        </w:tc>
        <w:tc>
          <w:tcPr>
            <w:tcW w:w="1240" w:type="dxa"/>
            <w:vAlign w:val="bottom"/>
            <w:gridSpan w:val="2"/>
            <w:shd w:val="clear" w:color="auto" w:fill="CCEEFF"/>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15.20</w:t>
            </w:r>
          </w:p>
        </w:tc>
        <w:tc>
          <w:tcPr>
            <w:tcW w:w="2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9"/>
              </w:rPr>
              <w:t>2/14/2016</w:t>
            </w:r>
          </w:p>
        </w:tc>
        <w:tc>
          <w:tcPr>
            <w:tcW w:w="84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3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8,250(16)</w:t>
            </w:r>
          </w:p>
        </w:tc>
        <w:tc>
          <w:tcPr>
            <w:tcW w:w="1240" w:type="dxa"/>
            <w:vAlign w:val="bottom"/>
            <w:gridSpan w:val="2"/>
            <w:shd w:val="clear" w:color="auto" w:fill="CCEEFF"/>
          </w:tcPr>
          <w:p>
            <w:pPr>
              <w:ind w:left="62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10.76</w:t>
            </w:r>
          </w:p>
        </w:tc>
        <w:tc>
          <w:tcPr>
            <w:tcW w:w="2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9"/>
              </w:rPr>
              <w:t>2/14/2016</w:t>
            </w:r>
          </w:p>
        </w:tc>
        <w:tc>
          <w:tcPr>
            <w:tcW w:w="84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70"/>
        </w:trPr>
        <w:tc>
          <w:tcPr>
            <w:tcW w:w="2700" w:type="dxa"/>
            <w:vAlign w:val="bottom"/>
            <w:gridSpan w:val="3"/>
          </w:tcPr>
          <w:p>
            <w:pPr>
              <w:spacing w:after="0"/>
              <w:rPr>
                <w:sz w:val="20"/>
                <w:szCs w:val="20"/>
                <w:color w:val="auto"/>
              </w:rPr>
            </w:pPr>
            <w:r>
              <w:rPr>
                <w:rFonts w:ascii="Arial" w:cs="Arial" w:eastAsia="Arial" w:hAnsi="Arial"/>
                <w:sz w:val="14"/>
                <w:szCs w:val="14"/>
                <w:color w:val="auto"/>
              </w:rPr>
              <w:t>David P. Eichler</w:t>
            </w:r>
          </w:p>
        </w:tc>
        <w:tc>
          <w:tcPr>
            <w:tcW w:w="180" w:type="dxa"/>
            <w:vAlign w:val="bottom"/>
          </w:tcPr>
          <w:p>
            <w:pPr>
              <w:spacing w:after="0"/>
              <w:rPr>
                <w:sz w:val="23"/>
                <w:szCs w:val="23"/>
                <w:color w:val="auto"/>
              </w:rPr>
            </w:pPr>
          </w:p>
        </w:tc>
        <w:tc>
          <w:tcPr>
            <w:tcW w:w="112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1240" w:type="dxa"/>
            <w:vAlign w:val="bottom"/>
            <w:gridSpan w:val="2"/>
          </w:tcPr>
          <w:p>
            <w:pPr>
              <w:ind w:left="620"/>
              <w:spacing w:after="0"/>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30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40" w:type="dxa"/>
            <w:vAlign w:val="bottom"/>
            <w:gridSpan w:val="2"/>
          </w:tcPr>
          <w:p>
            <w:pPr>
              <w:ind w:left="280"/>
              <w:spacing w:after="0"/>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2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23"/>
                <w:szCs w:val="23"/>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7" w:lineRule="exact"/>
        <w:rPr>
          <w:sz w:val="20"/>
          <w:szCs w:val="20"/>
          <w:color w:val="auto"/>
        </w:rPr>
      </w:pPr>
    </w:p>
    <w:p>
      <w:pPr>
        <w:ind w:left="460" w:hanging="452"/>
        <w:spacing w:after="0"/>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Fully vested.</w:t>
      </w:r>
    </w:p>
    <w:p>
      <w:pPr>
        <w:spacing w:after="0" w:line="15" w:lineRule="exact"/>
        <w:rPr>
          <w:rFonts w:ascii="Arial" w:cs="Arial" w:eastAsia="Arial" w:hAnsi="Arial"/>
          <w:sz w:val="18"/>
          <w:szCs w:val="18"/>
          <w:color w:val="auto"/>
        </w:rPr>
      </w:pPr>
    </w:p>
    <w:p>
      <w:pPr>
        <w:ind w:left="460" w:right="200" w:hanging="452"/>
        <w:spacing w:after="0" w:line="250" w:lineRule="auto"/>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Performance-based stock options with a market-based condition were granted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1"/>
          <w:szCs w:val="11"/>
          <w:color w:val="auto"/>
        </w:rPr>
        <w:t>th</w:t>
      </w:r>
      <w:r>
        <w:rPr>
          <w:rFonts w:ascii="Arial" w:cs="Arial" w:eastAsia="Arial" w:hAnsi="Arial"/>
          <w:sz w:val="18"/>
          <w:szCs w:val="18"/>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2" w:lineRule="exact"/>
        <w:rPr>
          <w:rFonts w:ascii="Arial" w:cs="Arial" w:eastAsia="Arial" w:hAnsi="Arial"/>
          <w:sz w:val="18"/>
          <w:szCs w:val="18"/>
          <w:color w:val="auto"/>
        </w:rPr>
      </w:pPr>
    </w:p>
    <w:p>
      <w:pPr>
        <w:ind w:left="460" w:right="660" w:hanging="452"/>
        <w:spacing w:after="0" w:line="250" w:lineRule="auto"/>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The option vests as to 25% of the shares on the one year anniversary of the vesting commencement date, which was April 1, 2012, and 1/4</w:t>
      </w:r>
      <w:r>
        <w:rPr>
          <w:rFonts w:ascii="Arial" w:cs="Arial" w:eastAsia="Arial" w:hAnsi="Arial"/>
          <w:sz w:val="11"/>
          <w:szCs w:val="11"/>
          <w:color w:val="auto"/>
        </w:rPr>
        <w:t>th</w:t>
      </w:r>
      <w:r>
        <w:rPr>
          <w:rFonts w:ascii="Arial" w:cs="Arial" w:eastAsia="Arial" w:hAnsi="Arial"/>
          <w:sz w:val="18"/>
          <w:szCs w:val="18"/>
          <w:color w:val="auto"/>
        </w:rPr>
        <w:t xml:space="preserve"> yearly thereafter. The option will be fully vested on April 1, 2016.</w:t>
      </w:r>
    </w:p>
    <w:p>
      <w:pPr>
        <w:ind w:left="460" w:right="740" w:hanging="452"/>
        <w:spacing w:after="0" w:line="261" w:lineRule="auto"/>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The option vests as to 1/3 of the shares on the two year anniversary of the vesting commencement date, which was April 1, 2013, and 1/3</w:t>
      </w:r>
      <w:r>
        <w:rPr>
          <w:rFonts w:ascii="Arial" w:cs="Arial" w:eastAsia="Arial" w:hAnsi="Arial"/>
          <w:sz w:val="11"/>
          <w:szCs w:val="11"/>
          <w:color w:val="auto"/>
        </w:rPr>
        <w:t>rd</w:t>
      </w:r>
      <w:r>
        <w:rPr>
          <w:rFonts w:ascii="Arial" w:cs="Arial" w:eastAsia="Arial" w:hAnsi="Arial"/>
          <w:sz w:val="18"/>
          <w:szCs w:val="18"/>
          <w:color w:val="auto"/>
        </w:rPr>
        <w:t xml:space="preserve"> yearly thereafter. The option will be fully vested on April 1, 2017.</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151</w:t>
      </w:r>
    </w:p>
    <w:p>
      <w:pPr>
        <w:sectPr>
          <w:pgSz w:w="11900" w:h="16838" w:orient="portrait"/>
          <w:cols w:equalWidth="0" w:num="1">
            <w:col w:w="11420"/>
          </w:cols>
          <w:pgMar w:left="240" w:top="459" w:right="239" w:bottom="1440" w:gutter="0" w:footer="0" w:header="0"/>
        </w:sectPr>
      </w:pPr>
    </w:p>
    <w:bookmarkStart w:id="153" w:name="page154"/>
    <w:bookmarkEnd w:id="1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300" w:hanging="452"/>
        <w:spacing w:after="0" w:line="254"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RSU award vests as to 25% of the shares on the one year anniversary of the vesting commencement date, which was April 1, 2012, and 1/4</w:t>
      </w:r>
      <w:r>
        <w:rPr>
          <w:rFonts w:ascii="Arial" w:cs="Arial" w:eastAsia="Arial" w:hAnsi="Arial"/>
          <w:sz w:val="11"/>
          <w:szCs w:val="11"/>
          <w:color w:val="auto"/>
        </w:rPr>
        <w:t>th</w:t>
      </w:r>
      <w:r>
        <w:rPr>
          <w:rFonts w:ascii="Arial" w:cs="Arial" w:eastAsia="Arial" w:hAnsi="Arial"/>
          <w:sz w:val="18"/>
          <w:szCs w:val="18"/>
          <w:color w:val="auto"/>
        </w:rPr>
        <w:t xml:space="preserve"> yearly thereafter.</w:t>
      </w:r>
    </w:p>
    <w:p>
      <w:pPr>
        <w:ind w:left="460" w:right="22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price per share of our common shares on the last trading day of fiscal 2016 was $8.85 as reported on the NASDAQ Global Select Market on January 29, 2016.</w:t>
      </w:r>
    </w:p>
    <w:p>
      <w:pPr>
        <w:ind w:left="460" w:right="10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option vests as to 50% of the shares on the third year anniversary of the vesting commencement date, which was April 1, 2014, and 50% on the fourth anniversary of the vesting commencement date. The option will be fully vested on April 1, 2018.</w:t>
      </w:r>
    </w:p>
    <w:p>
      <w:pPr>
        <w:ind w:left="460" w:right="4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Represents performance-based RSUs awarded on April 29, 2014 that are earned upon the Company’s achievement of revenue and operating income targets for fiscal 2015 and 2016. If earned the performance-based RSUs vest as to 50% of the shares on the first anniversary of the vesting commencement date of April 1, 2014 for fiscal 2015 targets, and 50% on the second anniversary of the vesting commencement date of April 1, 2014 for fiscal 2016 targets. In accordance with SEC disclosure requirements, the maximum number of shares issuable under the performance-based RSUs is shown, assuming achievement at the maximum level of 200% because following 2015 fiscal year end, it was determined that achievement was in excess of the target level of 100% for fiscal 2015.</w:t>
      </w:r>
    </w:p>
    <w:p>
      <w:pPr>
        <w:spacing w:after="0" w:line="2" w:lineRule="exact"/>
        <w:rPr>
          <w:rFonts w:ascii="Arial" w:cs="Arial" w:eastAsia="Arial" w:hAnsi="Arial"/>
          <w:sz w:val="18"/>
          <w:szCs w:val="18"/>
          <w:color w:val="auto"/>
        </w:rPr>
      </w:pPr>
    </w:p>
    <w:p>
      <w:pPr>
        <w:ind w:left="46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Represents performance award shares awarded on April 29, 2014 that are earned upon the NEO’s achievement of individual strategic performance objectives for fiscal 2015 and 2016. If earned the performance shares vest as to 50% of the shares on the first anniversary of the vesting commencement date of April 1, 2014 for fiscal 2015 targets, and 50% on the second anniversary of the vesting commencement date of April 1, 2014 for fiscal 2016 targets. In accordance with SEC disclosure requirements, the target number of shares issuable under the performance share awards is shown, assuming achievement at the 100% level because following 2015 fiscal year end, it was determined that achievement for each NEO was at or below the target level of 100% for fiscal 2015.</w:t>
      </w:r>
    </w:p>
    <w:p>
      <w:pPr>
        <w:spacing w:after="0" w:line="2" w:lineRule="exact"/>
        <w:rPr>
          <w:rFonts w:ascii="Arial" w:cs="Arial" w:eastAsia="Arial" w:hAnsi="Arial"/>
          <w:sz w:val="18"/>
          <w:szCs w:val="18"/>
          <w:color w:val="auto"/>
        </w:rPr>
      </w:pPr>
    </w:p>
    <w:p>
      <w:pPr>
        <w:ind w:left="460" w:right="26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option vests annually over two years beginning on the third anniversary of April 1, 2015, subject to the continued service through each vesting date. The option will be fully vested on April 1, 2019.</w:t>
      </w:r>
    </w:p>
    <w:p>
      <w:pPr>
        <w:ind w:left="460" w:right="20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Performance-based RSUs that vest on the first anniversary of April 1, 2015 based on the achievement of revenue and operating income targets, subject to continued service through the vesting date.</w:t>
      </w:r>
    </w:p>
    <w:p>
      <w:pPr>
        <w:ind w:left="460" w:hanging="452"/>
        <w:spacing w:after="0"/>
        <w:tabs>
          <w:tab w:leader="none" w:pos="460" w:val="left"/>
        </w:tabs>
        <w:numPr>
          <w:ilvl w:val="0"/>
          <w:numId w:val="69"/>
        </w:numPr>
        <w:rPr>
          <w:rFonts w:ascii="Arial" w:cs="Arial" w:eastAsia="Arial" w:hAnsi="Arial"/>
          <w:sz w:val="16"/>
          <w:szCs w:val="16"/>
          <w:color w:val="auto"/>
        </w:rPr>
      </w:pPr>
      <w:r>
        <w:rPr>
          <w:rFonts w:ascii="Arial" w:cs="Arial" w:eastAsia="Arial" w:hAnsi="Arial"/>
          <w:sz w:val="16"/>
          <w:szCs w:val="16"/>
          <w:color w:val="auto"/>
        </w:rPr>
        <w:t>Performance shares that vest on the first anniversary of April 1, 2015 based on the achievement of individual strategic performance objectives.</w:t>
      </w:r>
    </w:p>
    <w:p>
      <w:pPr>
        <w:spacing w:after="0" w:line="32" w:lineRule="exact"/>
        <w:rPr>
          <w:rFonts w:ascii="Arial" w:cs="Arial" w:eastAsia="Arial" w:hAnsi="Arial"/>
          <w:sz w:val="16"/>
          <w:szCs w:val="16"/>
          <w:color w:val="auto"/>
        </w:rPr>
      </w:pPr>
    </w:p>
    <w:p>
      <w:pPr>
        <w:ind w:left="460" w:right="12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Performance shares that vest on the second anniversary of April 1, 2015 based on the achievement of total shareholder return reward objectives, subject to continued service through the vesting date.</w:t>
      </w:r>
    </w:p>
    <w:p>
      <w:pPr>
        <w:ind w:left="460" w:right="6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Original option amount of 25,000 options vest and become exercisable at the rate of 1/5</w:t>
      </w:r>
      <w:r>
        <w:rPr>
          <w:rFonts w:ascii="Arial" w:cs="Arial" w:eastAsia="Arial" w:hAnsi="Arial"/>
          <w:sz w:val="11"/>
          <w:szCs w:val="11"/>
          <w:color w:val="auto"/>
        </w:rPr>
        <w:t>th</w:t>
      </w:r>
      <w:r>
        <w:rPr>
          <w:rFonts w:ascii="Arial" w:cs="Arial" w:eastAsia="Arial" w:hAnsi="Arial"/>
          <w:sz w:val="18"/>
          <w:szCs w:val="18"/>
          <w:color w:val="auto"/>
        </w:rPr>
        <w:t xml:space="preserve"> of the shares on May 9, 2012 and 1/60</w:t>
      </w:r>
      <w:r>
        <w:rPr>
          <w:rFonts w:ascii="Arial" w:cs="Arial" w:eastAsia="Arial" w:hAnsi="Arial"/>
          <w:sz w:val="11"/>
          <w:szCs w:val="11"/>
          <w:color w:val="auto"/>
        </w:rPr>
        <w:t>th</w:t>
      </w:r>
      <w:r>
        <w:rPr>
          <w:rFonts w:ascii="Arial" w:cs="Arial" w:eastAsia="Arial" w:hAnsi="Arial"/>
          <w:sz w:val="18"/>
          <w:szCs w:val="18"/>
          <w:color w:val="auto"/>
        </w:rPr>
        <w:t xml:space="preserve"> of the shares after the completion of each additional month of employment with the Company thereafter after the next four years. Mr. Nagesh’s last date of employment was January 15, 2016, and to the extent this Option was vested at the date of termination, Mr. Nagesh was able to exercise this Option at any time during the 30 day period immediately following termination.</w:t>
      </w:r>
    </w:p>
    <w:p>
      <w:pPr>
        <w:spacing w:after="0" w:line="1" w:lineRule="exact"/>
        <w:rPr>
          <w:rFonts w:ascii="Arial" w:cs="Arial" w:eastAsia="Arial" w:hAnsi="Arial"/>
          <w:sz w:val="18"/>
          <w:szCs w:val="18"/>
          <w:color w:val="auto"/>
        </w:rPr>
      </w:pPr>
    </w:p>
    <w:p>
      <w:pPr>
        <w:ind w:left="460" w:right="280" w:hanging="452"/>
        <w:spacing w:after="0" w:line="250"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Original option amount of 12,250 options vest and become exercisable in four equal annual installments beginning on April 1, 2013 and every year thereafter; provided employment is served through each applicable vesting date. Mr. Nagesh’s last date of employment was January 15, 2016, and to the extent this Option was vested at the date of termination, Mr. Nagesh was able to exercise this Option at any time during the 30 day period immediately following termination.</w:t>
      </w:r>
    </w:p>
    <w:p>
      <w:pPr>
        <w:spacing w:after="0" w:line="1" w:lineRule="exact"/>
        <w:rPr>
          <w:rFonts w:ascii="Arial" w:cs="Arial" w:eastAsia="Arial" w:hAnsi="Arial"/>
          <w:sz w:val="18"/>
          <w:szCs w:val="18"/>
          <w:color w:val="auto"/>
        </w:rPr>
      </w:pPr>
    </w:p>
    <w:p>
      <w:pPr>
        <w:ind w:left="460" w:right="280" w:hanging="452"/>
        <w:spacing w:after="0" w:line="254" w:lineRule="auto"/>
        <w:tabs>
          <w:tab w:leader="none" w:pos="4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Original option amount of 24,750 options vest and become exercisable in three equal annual installments on April 1, 2015 and each year thereafter; provided employment is served through each applicable vesting date. Mr. Nagesh’s last date of employment was January 15, 2016, and to the extent this Option was vested at the date of termination, Mr. Nagesh was able to exercise this Option at any time during the 30 day period immediately following termination.</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152</w:t>
      </w:r>
    </w:p>
    <w:p>
      <w:pPr>
        <w:sectPr>
          <w:pgSz w:w="11900" w:h="16838" w:orient="portrait"/>
          <w:cols w:equalWidth="0" w:num="1">
            <w:col w:w="11420"/>
          </w:cols>
          <w:pgMar w:left="240" w:top="460" w:right="239" w:bottom="1440" w:gutter="0" w:footer="0" w:header="0"/>
        </w:sectPr>
      </w:pPr>
    </w:p>
    <w:bookmarkStart w:id="154" w:name="page155"/>
    <w:bookmarkEnd w:id="1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2016</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2580" w:type="dxa"/>
            <w:vAlign w:val="bottom"/>
            <w:gridSpan w:val="4"/>
          </w:tcPr>
          <w:p>
            <w:pPr>
              <w:ind w:left="600"/>
              <w:spacing w:after="0"/>
              <w:rPr>
                <w:sz w:val="20"/>
                <w:szCs w:val="20"/>
                <w:color w:val="auto"/>
              </w:rPr>
            </w:pPr>
            <w:r>
              <w:rPr>
                <w:rFonts w:ascii="Arial" w:cs="Arial" w:eastAsia="Arial" w:hAnsi="Arial"/>
                <w:sz w:val="14"/>
                <w:szCs w:val="14"/>
                <w:b w:val="1"/>
                <w:bCs w:val="1"/>
                <w:color w:val="auto"/>
              </w:rPr>
              <w:t>Option Awards</w:t>
            </w:r>
          </w:p>
        </w:tc>
        <w:tc>
          <w:tcPr>
            <w:tcW w:w="2140" w:type="dxa"/>
            <w:vAlign w:val="bottom"/>
            <w:gridSpan w:val="4"/>
          </w:tcPr>
          <w:p>
            <w:pPr>
              <w:ind w:left="620"/>
              <w:spacing w:after="0"/>
              <w:rPr>
                <w:sz w:val="20"/>
                <w:szCs w:val="20"/>
                <w:color w:val="auto"/>
              </w:rPr>
            </w:pPr>
            <w:r>
              <w:rPr>
                <w:rFonts w:ascii="Arial" w:cs="Arial" w:eastAsia="Arial" w:hAnsi="Arial"/>
                <w:sz w:val="14"/>
                <w:szCs w:val="14"/>
                <w:b w:val="1"/>
                <w:bCs w:val="1"/>
                <w:color w:val="auto"/>
              </w:rPr>
              <w:t>Stock Awards</w:t>
            </w: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6320" w:type="dxa"/>
            <w:vAlign w:val="bottom"/>
          </w:tcPr>
          <w:p>
            <w:pPr>
              <w:spacing w:after="0"/>
              <w:rPr>
                <w:sz w:val="11"/>
                <w:szCs w:val="11"/>
                <w:color w:val="auto"/>
              </w:rPr>
            </w:pPr>
          </w:p>
        </w:tc>
        <w:tc>
          <w:tcPr>
            <w:tcW w:w="1420" w:type="dxa"/>
            <w:vAlign w:val="bottom"/>
            <w:tcBorders>
              <w:top w:val="single" w:sz="8" w:color="auto"/>
            </w:tcBorders>
            <w:gridSpan w:val="2"/>
          </w:tcPr>
          <w:p>
            <w:pPr>
              <w:jc w:val="center"/>
              <w:ind w:right="680"/>
              <w:spacing w:after="0" w:line="129" w:lineRule="exact"/>
              <w:rPr>
                <w:sz w:val="20"/>
                <w:szCs w:val="20"/>
                <w:color w:val="auto"/>
              </w:rPr>
            </w:pPr>
            <w:r>
              <w:rPr>
                <w:rFonts w:ascii="Arial" w:cs="Arial" w:eastAsia="Arial" w:hAnsi="Arial"/>
                <w:sz w:val="14"/>
                <w:szCs w:val="14"/>
                <w:b w:val="1"/>
                <w:bCs w:val="1"/>
                <w:color w:val="auto"/>
                <w:w w:val="88"/>
              </w:rPr>
              <w:t>Number of</w:t>
            </w:r>
          </w:p>
        </w:tc>
        <w:tc>
          <w:tcPr>
            <w:tcW w:w="6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Value</w:t>
            </w:r>
          </w:p>
        </w:tc>
        <w:tc>
          <w:tcPr>
            <w:tcW w:w="520" w:type="dxa"/>
            <w:vAlign w:val="bottom"/>
          </w:tcPr>
          <w:p>
            <w:pPr>
              <w:spacing w:after="0"/>
              <w:rPr>
                <w:sz w:val="11"/>
                <w:szCs w:val="11"/>
                <w:color w:val="auto"/>
              </w:rPr>
            </w:pPr>
          </w:p>
        </w:tc>
        <w:tc>
          <w:tcPr>
            <w:tcW w:w="128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w w:val="88"/>
              </w:rPr>
              <w:t>Number of</w:t>
            </w: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Value</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6320" w:type="dxa"/>
            <w:vAlign w:val="bottom"/>
          </w:tcPr>
          <w:p>
            <w:pPr>
              <w:spacing w:after="0"/>
              <w:rPr>
                <w:sz w:val="12"/>
                <w:szCs w:val="12"/>
                <w:color w:val="auto"/>
              </w:rPr>
            </w:pPr>
          </w:p>
        </w:tc>
        <w:tc>
          <w:tcPr>
            <w:tcW w:w="142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1"/>
              </w:rPr>
              <w:t>Shares</w:t>
            </w:r>
          </w:p>
        </w:tc>
        <w:tc>
          <w:tcPr>
            <w:tcW w:w="11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7"/>
              </w:rPr>
              <w:t>Realized</w:t>
            </w:r>
          </w:p>
        </w:tc>
        <w:tc>
          <w:tcPr>
            <w:tcW w:w="128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1"/>
              </w:rPr>
              <w:t>Shares</w:t>
            </w:r>
          </w:p>
        </w:tc>
        <w:tc>
          <w:tcPr>
            <w:tcW w:w="8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Realized</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6320" w:type="dxa"/>
            <w:vAlign w:val="bottom"/>
            <w:vMerge w:val="restart"/>
          </w:tcPr>
          <w:p>
            <w:pPr>
              <w:spacing w:after="0"/>
              <w:rPr>
                <w:sz w:val="12"/>
                <w:szCs w:val="12"/>
                <w:color w:val="auto"/>
              </w:rPr>
            </w:pPr>
          </w:p>
        </w:tc>
        <w:tc>
          <w:tcPr>
            <w:tcW w:w="142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88"/>
              </w:rPr>
              <w:t>Acquired on</w:t>
            </w:r>
          </w:p>
        </w:tc>
        <w:tc>
          <w:tcPr>
            <w:tcW w:w="11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1"/>
              </w:rPr>
              <w:t>on</w:t>
            </w:r>
          </w:p>
        </w:tc>
        <w:tc>
          <w:tcPr>
            <w:tcW w:w="128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8"/>
              </w:rPr>
              <w:t>Acquired</w:t>
            </w:r>
          </w:p>
        </w:tc>
        <w:tc>
          <w:tcPr>
            <w:tcW w:w="8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3"/>
              </w:rPr>
              <w:t>on Vesting($)</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6320" w:type="dxa"/>
            <w:vAlign w:val="bottom"/>
            <w:vMerge w:val="continue"/>
          </w:tcPr>
          <w:p>
            <w:pPr>
              <w:spacing w:after="0"/>
              <w:rPr>
                <w:sz w:val="14"/>
                <w:szCs w:val="14"/>
                <w:color w:val="auto"/>
              </w:rPr>
            </w:pPr>
          </w:p>
        </w:tc>
        <w:tc>
          <w:tcPr>
            <w:tcW w:w="1420" w:type="dxa"/>
            <w:vAlign w:val="bottom"/>
            <w:gridSpan w:val="2"/>
          </w:tcPr>
          <w:p>
            <w:pPr>
              <w:jc w:val="center"/>
              <w:ind w:right="700"/>
              <w:spacing w:after="0" w:line="148" w:lineRule="exact"/>
              <w:rPr>
                <w:sz w:val="20"/>
                <w:szCs w:val="20"/>
                <w:color w:val="auto"/>
              </w:rPr>
            </w:pPr>
            <w:r>
              <w:rPr>
                <w:rFonts w:ascii="Arial" w:cs="Arial" w:eastAsia="Arial" w:hAnsi="Arial"/>
                <w:sz w:val="14"/>
                <w:szCs w:val="14"/>
                <w:b w:val="1"/>
                <w:bCs w:val="1"/>
                <w:color w:val="auto"/>
                <w:w w:val="85"/>
              </w:rPr>
              <w:t>Exercise(#)</w:t>
            </w:r>
          </w:p>
        </w:tc>
        <w:tc>
          <w:tcPr>
            <w:tcW w:w="1160" w:type="dxa"/>
            <w:vAlign w:val="bottom"/>
            <w:gridSpan w:val="2"/>
          </w:tcPr>
          <w:p>
            <w:pPr>
              <w:jc w:val="center"/>
              <w:ind w:right="520"/>
              <w:spacing w:after="0" w:line="148" w:lineRule="exact"/>
              <w:rPr>
                <w:sz w:val="20"/>
                <w:szCs w:val="20"/>
                <w:color w:val="auto"/>
              </w:rPr>
            </w:pPr>
            <w:r>
              <w:rPr>
                <w:rFonts w:ascii="Arial" w:cs="Arial" w:eastAsia="Arial" w:hAnsi="Arial"/>
                <w:sz w:val="14"/>
                <w:szCs w:val="14"/>
                <w:b w:val="1"/>
                <w:bCs w:val="1"/>
                <w:u w:val="single" w:color="auto"/>
                <w:color w:val="auto"/>
                <w:w w:val="85"/>
              </w:rPr>
              <w:t>Exercise($</w:t>
            </w:r>
            <w:r>
              <w:rPr>
                <w:rFonts w:ascii="Arial" w:cs="Arial" w:eastAsia="Arial" w:hAnsi="Arial"/>
                <w:sz w:val="14"/>
                <w:szCs w:val="14"/>
                <w:b w:val="1"/>
                <w:bCs w:val="1"/>
                <w:color w:val="auto"/>
                <w:w w:val="85"/>
              </w:rPr>
              <w:t>)</w:t>
            </w:r>
          </w:p>
        </w:tc>
        <w:tc>
          <w:tcPr>
            <w:tcW w:w="1280" w:type="dxa"/>
            <w:vAlign w:val="bottom"/>
            <w:gridSpan w:val="2"/>
          </w:tcPr>
          <w:p>
            <w:pPr>
              <w:jc w:val="center"/>
              <w:ind w:right="520"/>
              <w:spacing w:after="0" w:line="148" w:lineRule="exact"/>
              <w:rPr>
                <w:sz w:val="20"/>
                <w:szCs w:val="20"/>
                <w:color w:val="auto"/>
              </w:rPr>
            </w:pPr>
            <w:r>
              <w:rPr>
                <w:rFonts w:ascii="Arial" w:cs="Arial" w:eastAsia="Arial" w:hAnsi="Arial"/>
                <w:sz w:val="14"/>
                <w:szCs w:val="14"/>
                <w:b w:val="1"/>
                <w:bCs w:val="1"/>
                <w:color w:val="auto"/>
                <w:w w:val="85"/>
              </w:rPr>
              <w:t>on Vesting(#)</w:t>
            </w: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67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720" w:type="dxa"/>
            <w:vAlign w:val="bottom"/>
            <w:tcBorders>
              <w:top w:val="single" w:sz="8" w:color="auto"/>
            </w:tcBorders>
            <w:shd w:val="clear" w:color="auto" w:fill="CCEEFF"/>
          </w:tcPr>
          <w:p>
            <w:pPr>
              <w:ind w:left="460"/>
              <w:spacing w:after="0" w:line="203" w:lineRule="exact"/>
              <w:rPr>
                <w:sz w:val="20"/>
                <w:szCs w:val="20"/>
                <w:color w:val="auto"/>
              </w:rPr>
            </w:pPr>
            <w:r>
              <w:rPr>
                <w:rFonts w:ascii="Arial" w:cs="Arial" w:eastAsia="Arial" w:hAnsi="Arial"/>
                <w:sz w:val="18"/>
                <w:szCs w:val="18"/>
                <w:color w:val="auto"/>
              </w:rPr>
              <w:t>—</w:t>
            </w:r>
          </w:p>
        </w:tc>
        <w:tc>
          <w:tcPr>
            <w:tcW w:w="70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52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279,217</w:t>
            </w:r>
          </w:p>
        </w:tc>
        <w:tc>
          <w:tcPr>
            <w:tcW w:w="52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4,179,878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70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4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147,912</w:t>
            </w:r>
          </w:p>
        </w:tc>
        <w:tc>
          <w:tcPr>
            <w:tcW w:w="5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1,632,368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14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2,500(2)</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35,525</w:t>
            </w:r>
          </w:p>
        </w:tc>
        <w:tc>
          <w:tcPr>
            <w:tcW w:w="5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67,194</w:t>
            </w:r>
          </w:p>
        </w:tc>
        <w:tc>
          <w:tcPr>
            <w:tcW w:w="5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1,005,894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0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420" w:type="dxa"/>
            <w:vAlign w:val="bottom"/>
            <w:gridSpan w:val="2"/>
          </w:tcPr>
          <w:p>
            <w:pPr>
              <w:jc w:val="right"/>
              <w:ind w:right="500"/>
              <w:spacing w:after="0"/>
              <w:rPr>
                <w:sz w:val="20"/>
                <w:szCs w:val="20"/>
                <w:color w:val="auto"/>
              </w:rPr>
            </w:pPr>
            <w:r>
              <w:rPr>
                <w:rFonts w:ascii="Arial" w:cs="Arial" w:eastAsia="Arial" w:hAnsi="Arial"/>
                <w:sz w:val="18"/>
                <w:szCs w:val="18"/>
                <w:color w:val="auto"/>
              </w:rPr>
              <w:t>40,000(3)</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150,141</w:t>
            </w:r>
          </w:p>
        </w:tc>
        <w:tc>
          <w:tcPr>
            <w:tcW w:w="5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66,803</w:t>
            </w:r>
          </w:p>
        </w:tc>
        <w:tc>
          <w:tcPr>
            <w:tcW w:w="5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1,000,040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Sukhi Nagesh</w:t>
            </w:r>
          </w:p>
        </w:tc>
        <w:tc>
          <w:tcPr>
            <w:tcW w:w="14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27,376(4)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45,449</w:t>
            </w:r>
          </w:p>
        </w:tc>
        <w:tc>
          <w:tcPr>
            <w:tcW w:w="5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13,625</w:t>
            </w:r>
          </w:p>
        </w:tc>
        <w:tc>
          <w:tcPr>
            <w:tcW w:w="5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203,991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700" w:type="dxa"/>
            <w:vAlign w:val="bottom"/>
            <w:gridSpan w:val="2"/>
          </w:tcPr>
          <w:p>
            <w:pPr>
              <w:spacing w:after="0"/>
              <w:rPr>
                <w:sz w:val="20"/>
                <w:szCs w:val="20"/>
                <w:color w:val="auto"/>
              </w:rPr>
            </w:pPr>
            <w:r>
              <w:rPr>
                <w:rFonts w:ascii="Arial" w:cs="Arial" w:eastAsia="Arial" w:hAnsi="Arial"/>
                <w:sz w:val="18"/>
                <w:szCs w:val="18"/>
                <w:color w:val="auto"/>
              </w:rPr>
              <w:t>David P. Eichler</w:t>
            </w:r>
          </w:p>
        </w:tc>
        <w:tc>
          <w:tcPr>
            <w:tcW w:w="14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RSUs vested and were released on April 1, 2015 at $14.97 per share.</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Mr. Rashkin exercised an option with an exercise price of $6.84 on June 5, 2015.</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Dr. Wu exercised an option with an exercise price of $10.76 on June 23, 2015.</w:t>
      </w:r>
    </w:p>
    <w:p>
      <w:pPr>
        <w:spacing w:after="0" w:line="9" w:lineRule="exact"/>
        <w:rPr>
          <w:rFonts w:ascii="Arial" w:cs="Arial" w:eastAsia="Arial" w:hAnsi="Arial"/>
          <w:sz w:val="18"/>
          <w:szCs w:val="18"/>
          <w:color w:val="auto"/>
        </w:rPr>
      </w:pPr>
    </w:p>
    <w:p>
      <w:pPr>
        <w:ind w:left="460" w:right="280" w:hanging="452"/>
        <w:spacing w:after="0" w:line="261" w:lineRule="auto"/>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On February 23, 2015, Mr. Nagesh exercised 18,750 options with an exercise price of $14.14; 6,126 options with an exercise price of $15.20; and 2,500 options with an exercise price of $15.43.</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jc w:val="both"/>
        <w:ind w:right="400" w:firstLine="456"/>
        <w:spacing w:after="0" w:line="303" w:lineRule="auto"/>
        <w:rPr>
          <w:sz w:val="20"/>
          <w:szCs w:val="20"/>
          <w:color w:val="auto"/>
        </w:rPr>
      </w:pPr>
      <w:r>
        <w:rPr>
          <w:rFonts w:ascii="Arial" w:cs="Arial" w:eastAsia="Arial" w:hAnsi="Arial"/>
          <w:sz w:val="15"/>
          <w:szCs w:val="15"/>
          <w:color w:val="auto"/>
        </w:rPr>
        <w:t>On October 15, 2015, the Company retained David P. Eichler of Randstad Professionals U.S., LP, d/b/a Tatum (“Tatum”) to serve as our Interim Chief Financial Officer (“Interim CFO”), effective October 16, 2015. In such capacity Mr. Eichler also acts as our principal accounting officer. In connection with retaining Mr. Eichler as our Interim CFO, we entered into an Interim Services Agreement with Tatum, effective October 15, 2015. For the provision of Mr.</w:t>
      </w:r>
    </w:p>
    <w:p>
      <w:pPr>
        <w:spacing w:after="0" w:line="1" w:lineRule="exact"/>
        <w:rPr>
          <w:sz w:val="20"/>
          <w:szCs w:val="20"/>
          <w:color w:val="auto"/>
        </w:rPr>
      </w:pPr>
    </w:p>
    <w:p>
      <w:pPr>
        <w:ind w:right="20"/>
        <w:spacing w:after="0" w:line="252" w:lineRule="auto"/>
        <w:rPr>
          <w:sz w:val="20"/>
          <w:szCs w:val="20"/>
          <w:color w:val="auto"/>
        </w:rPr>
      </w:pPr>
      <w:r>
        <w:rPr>
          <w:rFonts w:ascii="Arial" w:cs="Arial" w:eastAsia="Arial" w:hAnsi="Arial"/>
          <w:sz w:val="18"/>
          <w:szCs w:val="18"/>
          <w:color w:val="auto"/>
        </w:rPr>
        <w:t>Eichler’s services, we pay Tatum $15,000 per week for up to 60 hours of professional services. In addition, for work by Mr. Eichler in excess of 60 hours, we pay Tatum at a rate of $325 per hour, and for work performed by other Tatum professionals, we pay Tatum at a rate of $250 per hour. Mr. Eichler is not eligible for any other compensation or benefits from the Company. The Interim Services Agreement requires that the Company indemnify Mr. Eichler and Tatum in connection with services thereunder. The Interim Services Agreement has a minimum term of three months, and thereafter may be terminated by either party for any reason upon 15 days’ advance written notice. A copy of the Interim Services Agreement is attached as Exhibit 10.1 to our Quarterly Report on Form 10-Q for the quarter ending October 31, 2015.</w:t>
      </w:r>
    </w:p>
    <w:p>
      <w:pPr>
        <w:spacing w:after="0" w:line="148"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During fiscal 2016, we did not have any employment agreements with any of our named executive officers, other than the Interim Services Agreement with Tatum, and we did not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2016</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nonemployee directors (“Outside Directors”) in fiscal 2016.</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9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1"/>
              </w:rPr>
              <w:t>Fees</w:t>
            </w:r>
          </w:p>
        </w:tc>
        <w:tc>
          <w:tcPr>
            <w:tcW w:w="7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20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9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Earned or</w:t>
            </w: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20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9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1"/>
              </w:rPr>
              <w:t>Paid in</w:t>
            </w:r>
          </w:p>
        </w:tc>
        <w:tc>
          <w:tcPr>
            <w:tcW w:w="90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Stock</w:t>
            </w: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200" w:type="dxa"/>
            <w:vAlign w:val="bottom"/>
            <w:vMerge w:val="restart"/>
          </w:tcPr>
          <w:p>
            <w:pPr>
              <w:spacing w:after="0"/>
              <w:rPr>
                <w:sz w:val="12"/>
                <w:szCs w:val="12"/>
                <w:color w:val="auto"/>
              </w:rPr>
            </w:pPr>
          </w:p>
        </w:tc>
        <w:tc>
          <w:tcPr>
            <w:tcW w:w="5200" w:type="dxa"/>
            <w:vAlign w:val="bottom"/>
          </w:tcPr>
          <w:p>
            <w:pPr>
              <w:spacing w:after="0"/>
              <w:rPr>
                <w:sz w:val="12"/>
                <w:szCs w:val="12"/>
                <w:color w:val="auto"/>
              </w:rPr>
            </w:pPr>
          </w:p>
        </w:tc>
        <w:tc>
          <w:tcPr>
            <w:tcW w:w="9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7"/>
              </w:rPr>
              <w:t>Cash</w:t>
            </w:r>
          </w:p>
        </w:tc>
        <w:tc>
          <w:tcPr>
            <w:tcW w:w="90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Awards</w:t>
            </w:r>
          </w:p>
        </w:tc>
        <w:tc>
          <w:tcPr>
            <w:tcW w:w="840" w:type="dxa"/>
            <w:vAlign w:val="bottom"/>
            <w:gridSpan w:val="2"/>
          </w:tcPr>
          <w:p>
            <w:pPr>
              <w:ind w:left="22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3200" w:type="dxa"/>
            <w:vAlign w:val="bottom"/>
            <w:vMerge w:val="continue"/>
          </w:tcPr>
          <w:p>
            <w:pPr>
              <w:spacing w:after="0"/>
              <w:rPr>
                <w:sz w:val="14"/>
                <w:szCs w:val="14"/>
                <w:color w:val="auto"/>
              </w:rPr>
            </w:pPr>
          </w:p>
        </w:tc>
        <w:tc>
          <w:tcPr>
            <w:tcW w:w="5900" w:type="dxa"/>
            <w:vAlign w:val="bottom"/>
            <w:gridSpan w:val="2"/>
          </w:tcPr>
          <w:p>
            <w:pPr>
              <w:jc w:val="center"/>
              <w:ind w:left="5116"/>
              <w:spacing w:after="0" w:line="148" w:lineRule="exact"/>
              <w:rPr>
                <w:sz w:val="20"/>
                <w:szCs w:val="20"/>
                <w:color w:val="auto"/>
              </w:rPr>
            </w:pPr>
            <w:r>
              <w:rPr>
                <w:rFonts w:ascii="Arial" w:cs="Arial" w:eastAsia="Arial" w:hAnsi="Arial"/>
                <w:sz w:val="14"/>
                <w:szCs w:val="14"/>
                <w:b w:val="1"/>
                <w:bCs w:val="1"/>
                <w:color w:val="auto"/>
                <w:w w:val="81"/>
              </w:rPr>
              <w:t>($)</w:t>
            </w:r>
          </w:p>
        </w:tc>
        <w:tc>
          <w:tcPr>
            <w:tcW w:w="20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4"/>
                <w:szCs w:val="14"/>
                <w:b w:val="1"/>
                <w:bCs w:val="1"/>
                <w:color w:val="auto"/>
              </w:rPr>
              <w:t>($) (1)</w:t>
            </w:r>
          </w:p>
        </w:tc>
        <w:tc>
          <w:tcPr>
            <w:tcW w:w="200" w:type="dxa"/>
            <w:vAlign w:val="bottom"/>
          </w:tcPr>
          <w:p>
            <w:pPr>
              <w:spacing w:after="0"/>
              <w:rPr>
                <w:sz w:val="14"/>
                <w:szCs w:val="14"/>
                <w:color w:val="auto"/>
              </w:rPr>
            </w:pPr>
          </w:p>
        </w:tc>
        <w:tc>
          <w:tcPr>
            <w:tcW w:w="720" w:type="dxa"/>
            <w:vAlign w:val="bottom"/>
          </w:tcPr>
          <w:p>
            <w:pPr>
              <w:jc w:val="right"/>
              <w:ind w:right="199"/>
              <w:spacing w:after="0" w:line="148" w:lineRule="exact"/>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35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520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245,000</w:t>
            </w:r>
          </w:p>
        </w:tc>
        <w:tc>
          <w:tcPr>
            <w:tcW w:w="20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ind w:left="120"/>
              <w:spacing w:after="0" w:line="203" w:lineRule="exact"/>
              <w:rPr>
                <w:sz w:val="20"/>
                <w:szCs w:val="20"/>
                <w:color w:val="auto"/>
              </w:rPr>
            </w:pPr>
            <w:r>
              <w:rPr>
                <w:rFonts w:ascii="Arial" w:cs="Arial" w:eastAsia="Arial" w:hAnsi="Arial"/>
                <w:sz w:val="18"/>
                <w:szCs w:val="18"/>
                <w:color w:val="auto"/>
                <w:w w:val="86"/>
              </w:rPr>
              <w:t>219,992</w:t>
            </w:r>
          </w:p>
        </w:tc>
        <w:tc>
          <w:tcPr>
            <w:tcW w:w="2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464,992</w:t>
            </w: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58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5900" w:type="dxa"/>
            <w:vAlign w:val="bottom"/>
            <w:gridSpan w:val="2"/>
          </w:tcPr>
          <w:p>
            <w:pPr>
              <w:jc w:val="right"/>
              <w:spacing w:after="0"/>
              <w:rPr>
                <w:sz w:val="20"/>
                <w:szCs w:val="20"/>
                <w:color w:val="auto"/>
              </w:rPr>
            </w:pPr>
            <w:r>
              <w:rPr>
                <w:rFonts w:ascii="Arial" w:cs="Arial" w:eastAsia="Arial" w:hAnsi="Arial"/>
                <w:sz w:val="18"/>
                <w:szCs w:val="18"/>
                <w:color w:val="auto"/>
              </w:rPr>
              <w:t>150,000</w:t>
            </w:r>
          </w:p>
        </w:tc>
        <w:tc>
          <w:tcPr>
            <w:tcW w:w="200" w:type="dxa"/>
            <w:vAlign w:val="bottom"/>
          </w:tcPr>
          <w:p>
            <w:pPr>
              <w:spacing w:after="0"/>
              <w:rPr>
                <w:sz w:val="18"/>
                <w:szCs w:val="18"/>
                <w:color w:val="auto"/>
              </w:rPr>
            </w:pPr>
          </w:p>
        </w:tc>
        <w:tc>
          <w:tcPr>
            <w:tcW w:w="700" w:type="dxa"/>
            <w:vAlign w:val="bottom"/>
          </w:tcPr>
          <w:p>
            <w:pPr>
              <w:ind w:left="120"/>
              <w:spacing w:after="0"/>
              <w:rPr>
                <w:sz w:val="20"/>
                <w:szCs w:val="20"/>
                <w:color w:val="auto"/>
              </w:rPr>
            </w:pPr>
            <w:r>
              <w:rPr>
                <w:rFonts w:ascii="Arial" w:cs="Arial" w:eastAsia="Arial" w:hAnsi="Arial"/>
                <w:sz w:val="18"/>
                <w:szCs w:val="18"/>
                <w:color w:val="auto"/>
                <w:w w:val="86"/>
              </w:rPr>
              <w:t>219,992</w:t>
            </w: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369,992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5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205,000</w:t>
            </w: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6"/>
              </w:rPr>
              <w:t>219,992</w:t>
            </w: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424,992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58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5900" w:type="dxa"/>
            <w:vAlign w:val="bottom"/>
            <w:gridSpan w:val="2"/>
          </w:tcPr>
          <w:p>
            <w:pPr>
              <w:jc w:val="right"/>
              <w:spacing w:after="0"/>
              <w:rPr>
                <w:sz w:val="20"/>
                <w:szCs w:val="20"/>
                <w:color w:val="auto"/>
              </w:rPr>
            </w:pPr>
            <w:r>
              <w:rPr>
                <w:rFonts w:ascii="Arial" w:cs="Arial" w:eastAsia="Arial" w:hAnsi="Arial"/>
                <w:sz w:val="18"/>
                <w:szCs w:val="18"/>
                <w:color w:val="auto"/>
              </w:rPr>
              <w:t>150,000</w:t>
            </w:r>
          </w:p>
        </w:tc>
        <w:tc>
          <w:tcPr>
            <w:tcW w:w="200" w:type="dxa"/>
            <w:vAlign w:val="bottom"/>
          </w:tcPr>
          <w:p>
            <w:pPr>
              <w:spacing w:after="0"/>
              <w:rPr>
                <w:sz w:val="19"/>
                <w:szCs w:val="19"/>
                <w:color w:val="auto"/>
              </w:rPr>
            </w:pPr>
          </w:p>
        </w:tc>
        <w:tc>
          <w:tcPr>
            <w:tcW w:w="700" w:type="dxa"/>
            <w:vAlign w:val="bottom"/>
          </w:tcPr>
          <w:p>
            <w:pPr>
              <w:ind w:left="120"/>
              <w:spacing w:after="0"/>
              <w:rPr>
                <w:sz w:val="20"/>
                <w:szCs w:val="20"/>
                <w:color w:val="auto"/>
              </w:rPr>
            </w:pPr>
            <w:r>
              <w:rPr>
                <w:rFonts w:ascii="Arial" w:cs="Arial" w:eastAsia="Arial" w:hAnsi="Arial"/>
                <w:sz w:val="18"/>
                <w:szCs w:val="18"/>
                <w:color w:val="auto"/>
                <w:w w:val="86"/>
              </w:rPr>
              <w:t>219,992</w:t>
            </w:r>
          </w:p>
        </w:tc>
        <w:tc>
          <w:tcPr>
            <w:tcW w:w="2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369,992</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8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5200" w:type="dxa"/>
            <w:vAlign w:val="bottom"/>
          </w:tcPr>
          <w:p>
            <w:pPr>
              <w:jc w:val="right"/>
              <w:ind w:right="2856"/>
              <w:spacing w:after="0"/>
              <w:rPr>
                <w:sz w:val="20"/>
                <w:szCs w:val="20"/>
                <w:color w:val="auto"/>
              </w:rPr>
            </w:pPr>
            <w:r>
              <w:rPr>
                <w:rFonts w:ascii="Arial" w:cs="Arial" w:eastAsia="Arial" w:hAnsi="Arial"/>
                <w:sz w:val="18"/>
                <w:szCs w:val="18"/>
                <w:color w:val="auto"/>
              </w:rPr>
              <w:t>153</w:t>
            </w: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60" w:right="239" w:bottom="1440" w:gutter="0" w:footer="0" w:header="0"/>
        </w:sectPr>
      </w:pPr>
    </w:p>
    <w:bookmarkStart w:id="155" w:name="page156"/>
    <w:bookmarkEnd w:id="1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hanging="452"/>
        <w:spacing w:after="0" w:line="294" w:lineRule="auto"/>
        <w:tabs>
          <w:tab w:leader="none" w:pos="460" w:val="left"/>
        </w:tabs>
        <w:numPr>
          <w:ilvl w:val="0"/>
          <w:numId w:val="71"/>
        </w:numPr>
        <w:rPr>
          <w:rFonts w:ascii="Arial" w:cs="Arial" w:eastAsia="Arial" w:hAnsi="Arial"/>
          <w:sz w:val="16"/>
          <w:szCs w:val="16"/>
          <w:color w:val="auto"/>
        </w:rPr>
      </w:pPr>
      <w:r>
        <w:rPr>
          <w:rFonts w:ascii="Arial" w:cs="Arial" w:eastAsia="Arial" w:hAnsi="Arial"/>
          <w:sz w:val="16"/>
          <w:szCs w:val="16"/>
          <w:color w:val="auto"/>
        </w:rPr>
        <w:t>The dollar value of RSUs shown represents the grant date fair value calculated on the basis of the fair market value of the underlying common shares on the grant date based on the closing market price on such date.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 This number was calculated based on the maximum number of RSUs that could be granted pursuant to the Annual RSU Award on July 1, 2014, which is 15,058 RSUs under the 2007 Director Plan.</w:t>
      </w:r>
    </w:p>
    <w:p>
      <w:pPr>
        <w:spacing w:after="0" w:line="115" w:lineRule="exact"/>
        <w:rPr>
          <w:rFonts w:ascii="Arial" w:cs="Arial" w:eastAsia="Arial" w:hAnsi="Arial"/>
          <w:sz w:val="16"/>
          <w:szCs w:val="16"/>
          <w:color w:val="auto"/>
        </w:rPr>
      </w:pPr>
    </w:p>
    <w:p>
      <w:pPr>
        <w:ind w:left="460"/>
        <w:spacing w:after="0"/>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RSUs held at January 30, 2016 for each current Outside Director, as applicable:</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930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RSU</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9300" w:type="dxa"/>
            <w:vAlign w:val="bottom"/>
          </w:tcPr>
          <w:p>
            <w:pPr>
              <w:spacing w:after="0"/>
              <w:rPr>
                <w:sz w:val="12"/>
                <w:szCs w:val="12"/>
                <w:color w:val="auto"/>
              </w:rPr>
            </w:pPr>
          </w:p>
        </w:tc>
        <w:tc>
          <w:tcPr>
            <w:tcW w:w="8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9300" w:type="dxa"/>
            <w:vAlign w:val="bottom"/>
            <w:vMerge w:val="restart"/>
          </w:tcPr>
          <w:p>
            <w:pPr>
              <w:spacing w:after="0"/>
              <w:rPr>
                <w:sz w:val="12"/>
                <w:szCs w:val="12"/>
                <w:color w:val="auto"/>
              </w:rPr>
            </w:pPr>
          </w:p>
        </w:tc>
        <w:tc>
          <w:tcPr>
            <w:tcW w:w="82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4"/>
              </w:rPr>
              <w:t>Outstanding</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9300" w:type="dxa"/>
            <w:vAlign w:val="bottom"/>
            <w:vMerge w:val="continue"/>
          </w:tcPr>
          <w:p>
            <w:pPr>
              <w:spacing w:after="0"/>
              <w:rPr>
                <w:sz w:val="14"/>
                <w:szCs w:val="14"/>
                <w:color w:val="auto"/>
              </w:rPr>
            </w:pPr>
          </w:p>
        </w:tc>
        <w:tc>
          <w:tcPr>
            <w:tcW w:w="7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96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16,685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68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720" w:type="dxa"/>
            <w:vAlign w:val="bottom"/>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68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720" w:type="dxa"/>
            <w:vAlign w:val="bottom"/>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420" w:firstLine="456"/>
        <w:spacing w:after="0" w:line="332" w:lineRule="auto"/>
        <w:rPr>
          <w:sz w:val="20"/>
          <w:szCs w:val="20"/>
          <w:color w:val="auto"/>
        </w:rPr>
      </w:pPr>
      <w:r>
        <w:rPr>
          <w:rFonts w:ascii="Arial" w:cs="Arial" w:eastAsia="Arial" w:hAnsi="Arial"/>
          <w:sz w:val="16"/>
          <w:szCs w:val="16"/>
          <w:color w:val="auto"/>
        </w:rPr>
        <w:t>In fiscal 2014 and prior years, our Outside Directors received stock options as part of their compensation. The following table provides the number of shares subject to outstanding unexercised stock options held by each current Outside Director at January 30, 2016 (all of which are fully vested):</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9220" w:type="dxa"/>
            <w:vAlign w:val="bottom"/>
          </w:tcPr>
          <w:p>
            <w:pPr>
              <w:spacing w:after="0"/>
              <w:rPr>
                <w:sz w:val="14"/>
                <w:szCs w:val="14"/>
                <w:color w:val="auto"/>
              </w:rPr>
            </w:pPr>
          </w:p>
        </w:tc>
        <w:tc>
          <w:tcPr>
            <w:tcW w:w="90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6"/>
              </w:rPr>
              <w:t>Total Options</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9220" w:type="dxa"/>
            <w:vAlign w:val="bottom"/>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9220" w:type="dxa"/>
            <w:vAlign w:val="bottom"/>
            <w:vMerge w:val="restart"/>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9220" w:type="dxa"/>
            <w:vAlign w:val="bottom"/>
            <w:vMerge w:val="continue"/>
          </w:tcPr>
          <w:p>
            <w:pPr>
              <w:spacing w:after="0"/>
              <w:rPr>
                <w:sz w:val="14"/>
                <w:szCs w:val="14"/>
                <w:color w:val="auto"/>
              </w:rPr>
            </w:pPr>
          </w:p>
        </w:tc>
        <w:tc>
          <w:tcPr>
            <w:tcW w:w="8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96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145,000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60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800" w:type="dxa"/>
            <w:vAlign w:val="bottom"/>
          </w:tcPr>
          <w:p>
            <w:pPr>
              <w:jc w:val="right"/>
              <w:spacing w:after="0"/>
              <w:rPr>
                <w:sz w:val="20"/>
                <w:szCs w:val="20"/>
                <w:color w:val="auto"/>
              </w:rPr>
            </w:pPr>
            <w:r>
              <w:rPr>
                <w:rFonts w:ascii="Arial" w:cs="Arial" w:eastAsia="Arial" w:hAnsi="Arial"/>
                <w:sz w:val="18"/>
                <w:szCs w:val="18"/>
                <w:color w:val="auto"/>
              </w:rPr>
              <w:t>133,000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60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800" w:type="dxa"/>
            <w:vAlign w:val="bottom"/>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96"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The Executive Compensation Committee (“ECC”) during fiscal 2016 consisted of Dr. Gromer (Chairman), Dr. Kassakian, Mr. Krueger and Dr. Thakur. None of the members of the ECC who served during fiscal 2016 is a current or former officer or employee of us or our subsidiaries, or had any relationship with us not otherwise disclosed herein under applicable SEC rules. In addition, to our knowledge, there are no compensation committee interlocks between us and other entities involving our executive officers or directors who serve as executive officers or directors of such other entities. On May 1, 2016, the membership of the ECC was reconstituted as follows: Mr. Khaykin (Chairman), Mr. Feld, Dr. Gromer and Dr. Kassakian.</w:t>
      </w:r>
    </w:p>
    <w:p>
      <w:pPr>
        <w:spacing w:after="0" w:line="23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Shareholder Matters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July 11, 2016, except as noted otherwise, for:</w:t>
      </w:r>
    </w:p>
    <w:p>
      <w:pPr>
        <w:spacing w:after="0" w:line="113" w:lineRule="exact"/>
        <w:rPr>
          <w:sz w:val="20"/>
          <w:szCs w:val="20"/>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right="100" w:hanging="325"/>
        <w:spacing w:after="0" w:line="268" w:lineRule="auto"/>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set forth in Part III, Item 11 of this Annual Report on Form 10-K;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154</w:t>
      </w:r>
    </w:p>
    <w:p>
      <w:pPr>
        <w:sectPr>
          <w:pgSz w:w="11900" w:h="16838" w:orient="portrait"/>
          <w:cols w:equalWidth="0" w:num="1">
            <w:col w:w="11400"/>
          </w:cols>
          <w:pgMar w:left="240" w:top="459" w:right="259" w:bottom="1440" w:gutter="0" w:footer="0" w:header="0"/>
        </w:sectPr>
      </w:pPr>
    </w:p>
    <w:bookmarkStart w:id="156" w:name="page157"/>
    <w:bookmarkEnd w:id="1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7820" w:type="dxa"/>
            <w:vAlign w:val="bottom"/>
            <w:vMerge w:val="restart"/>
          </w:tcPr>
          <w:p>
            <w:pPr>
              <w:spacing w:after="0"/>
              <w:rPr>
                <w:sz w:val="14"/>
                <w:szCs w:val="14"/>
                <w:color w:val="auto"/>
              </w:rPr>
            </w:pPr>
          </w:p>
        </w:tc>
        <w:tc>
          <w:tcPr>
            <w:tcW w:w="640" w:type="dxa"/>
            <w:vAlign w:val="bottom"/>
          </w:tcPr>
          <w:p>
            <w:pPr>
              <w:spacing w:after="0"/>
              <w:rPr>
                <w:sz w:val="14"/>
                <w:szCs w:val="14"/>
                <w:color w:val="auto"/>
              </w:rPr>
            </w:pPr>
          </w:p>
        </w:tc>
        <w:tc>
          <w:tcPr>
            <w:tcW w:w="2580" w:type="dxa"/>
            <w:vAlign w:val="bottom"/>
            <w:gridSpan w:val="4"/>
          </w:tcPr>
          <w:p>
            <w:pPr>
              <w:ind w:left="380"/>
              <w:spacing w:after="0"/>
              <w:rPr>
                <w:sz w:val="20"/>
                <w:szCs w:val="20"/>
                <w:color w:val="auto"/>
              </w:rPr>
            </w:pPr>
            <w:r>
              <w:rPr>
                <w:rFonts w:ascii="Arial" w:cs="Arial" w:eastAsia="Arial" w:hAnsi="Arial"/>
                <w:sz w:val="14"/>
                <w:szCs w:val="14"/>
                <w:b w:val="1"/>
                <w:bCs w:val="1"/>
                <w:color w:val="auto"/>
              </w:rPr>
              <w:t>Shares Beneficially Owned (1)</w:t>
            </w:r>
          </w:p>
        </w:tc>
        <w:tc>
          <w:tcPr>
            <w:tcW w:w="0" w:type="dxa"/>
            <w:vAlign w:val="bottom"/>
          </w:tcPr>
          <w:p>
            <w:pPr>
              <w:spacing w:after="0"/>
              <w:rPr>
                <w:sz w:val="1"/>
                <w:szCs w:val="1"/>
                <w:color w:val="auto"/>
              </w:rPr>
            </w:pPr>
          </w:p>
        </w:tc>
      </w:tr>
      <w:tr>
        <w:trPr>
          <w:trHeight w:val="149"/>
        </w:trPr>
        <w:tc>
          <w:tcPr>
            <w:tcW w:w="380" w:type="dxa"/>
            <w:vAlign w:val="bottom"/>
            <w:tcBorders>
              <w:bottom w:val="single" w:sz="8" w:color="auto"/>
            </w:tcBorders>
            <w:vMerge w:val="continue"/>
          </w:tcPr>
          <w:p>
            <w:pPr>
              <w:spacing w:after="0"/>
              <w:rPr>
                <w:sz w:val="12"/>
                <w:szCs w:val="12"/>
                <w:color w:val="auto"/>
              </w:rPr>
            </w:pPr>
          </w:p>
        </w:tc>
        <w:tc>
          <w:tcPr>
            <w:tcW w:w="7820" w:type="dxa"/>
            <w:vAlign w:val="bottom"/>
            <w:vMerge w:val="continue"/>
          </w:tcPr>
          <w:p>
            <w:pPr>
              <w:spacing w:after="0"/>
              <w:rPr>
                <w:sz w:val="12"/>
                <w:szCs w:val="12"/>
                <w:color w:val="auto"/>
              </w:rPr>
            </w:pPr>
          </w:p>
        </w:tc>
        <w:tc>
          <w:tcPr>
            <w:tcW w:w="640" w:type="dxa"/>
            <w:vAlign w:val="bottom"/>
          </w:tcPr>
          <w:p>
            <w:pPr>
              <w:spacing w:after="0"/>
              <w:rPr>
                <w:sz w:val="12"/>
                <w:szCs w:val="12"/>
                <w:color w:val="auto"/>
              </w:rPr>
            </w:pPr>
          </w:p>
        </w:tc>
        <w:tc>
          <w:tcPr>
            <w:tcW w:w="1760" w:type="dxa"/>
            <w:vAlign w:val="bottom"/>
            <w:tcBorders>
              <w:top w:val="single" w:sz="8" w:color="auto"/>
            </w:tcBorders>
            <w:gridSpan w:val="2"/>
          </w:tcPr>
          <w:p>
            <w:pPr>
              <w:ind w:left="280"/>
              <w:spacing w:after="0" w:line="129" w:lineRule="exact"/>
              <w:rPr>
                <w:sz w:val="20"/>
                <w:szCs w:val="20"/>
                <w:color w:val="auto"/>
              </w:rPr>
            </w:pPr>
            <w:r>
              <w:rPr>
                <w:rFonts w:ascii="Arial" w:cs="Arial" w:eastAsia="Arial" w:hAnsi="Arial"/>
                <w:sz w:val="14"/>
                <w:szCs w:val="14"/>
                <w:b w:val="1"/>
                <w:bCs w:val="1"/>
                <w:color w:val="auto"/>
              </w:rPr>
              <w:t>Number</w:t>
            </w: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Percent**</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820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640" w:type="dxa"/>
            <w:vAlign w:val="bottom"/>
            <w:tcBorders>
              <w:top w:val="single" w:sz="8" w:color="CCEEFF"/>
            </w:tcBorders>
            <w:shd w:val="clear" w:color="auto" w:fill="CCEEFF"/>
          </w:tcPr>
          <w:p>
            <w:pPr>
              <w:spacing w:after="0"/>
              <w:rPr>
                <w:sz w:val="16"/>
                <w:szCs w:val="16"/>
                <w:color w:val="auto"/>
              </w:rPr>
            </w:pPr>
          </w:p>
        </w:tc>
        <w:tc>
          <w:tcPr>
            <w:tcW w:w="1020" w:type="dxa"/>
            <w:vAlign w:val="bottom"/>
            <w:tcBorders>
              <w:top w:val="single" w:sz="8" w:color="auto"/>
            </w:tcBorders>
            <w:shd w:val="clear" w:color="auto" w:fill="CCEEFF"/>
          </w:tcPr>
          <w:p>
            <w:pPr>
              <w:spacing w:after="0"/>
              <w:rPr>
                <w:sz w:val="16"/>
                <w:szCs w:val="16"/>
                <w:color w:val="auto"/>
              </w:rPr>
            </w:pPr>
          </w:p>
        </w:tc>
        <w:tc>
          <w:tcPr>
            <w:tcW w:w="740" w:type="dxa"/>
            <w:vAlign w:val="bottom"/>
            <w:tcBorders>
              <w:top w:val="single" w:sz="8" w:color="CCEEFF"/>
            </w:tcBorders>
            <w:shd w:val="clear" w:color="auto" w:fill="CCEEFF"/>
          </w:tcPr>
          <w:p>
            <w:pPr>
              <w:spacing w:after="0"/>
              <w:rPr>
                <w:sz w:val="16"/>
                <w:szCs w:val="16"/>
                <w:color w:val="auto"/>
              </w:rPr>
            </w:pPr>
          </w:p>
        </w:tc>
        <w:tc>
          <w:tcPr>
            <w:tcW w:w="72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8200" w:type="dxa"/>
            <w:vAlign w:val="bottom"/>
            <w:gridSpan w:val="2"/>
          </w:tcPr>
          <w:p>
            <w:pPr>
              <w:spacing w:after="0"/>
              <w:rPr>
                <w:sz w:val="20"/>
                <w:szCs w:val="20"/>
                <w:color w:val="auto"/>
              </w:rPr>
            </w:pPr>
            <w:r>
              <w:rPr>
                <w:rFonts w:ascii="Arial" w:cs="Arial" w:eastAsia="Arial" w:hAnsi="Arial"/>
                <w:sz w:val="18"/>
                <w:szCs w:val="18"/>
                <w:color w:val="auto"/>
              </w:rPr>
              <w:t>FMR LLC (2)</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50,835,497</w:t>
            </w:r>
          </w:p>
        </w:tc>
        <w:tc>
          <w:tcPr>
            <w:tcW w:w="7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tcPr>
          <w:p>
            <w:pPr>
              <w:spacing w:after="0"/>
              <w:rPr>
                <w:sz w:val="18"/>
                <w:szCs w:val="18"/>
                <w:color w:val="auto"/>
              </w:rPr>
            </w:pPr>
          </w:p>
        </w:tc>
        <w:tc>
          <w:tcPr>
            <w:tcW w:w="7820" w:type="dxa"/>
            <w:vAlign w:val="bottom"/>
          </w:tcPr>
          <w:p>
            <w:pPr>
              <w:ind w:left="60"/>
              <w:spacing w:after="0"/>
              <w:rPr>
                <w:sz w:val="20"/>
                <w:szCs w:val="20"/>
                <w:color w:val="auto"/>
              </w:rPr>
            </w:pPr>
            <w:r>
              <w:rPr>
                <w:rFonts w:ascii="Arial" w:cs="Arial" w:eastAsia="Arial" w:hAnsi="Arial"/>
                <w:sz w:val="18"/>
                <w:szCs w:val="18"/>
                <w:color w:val="auto"/>
              </w:rPr>
              <w:t>245 Summer Street</w:t>
            </w: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0" w:type="dxa"/>
            <w:vAlign w:val="bottom"/>
          </w:tcPr>
          <w:p>
            <w:pPr>
              <w:spacing w:after="0"/>
              <w:rPr>
                <w:sz w:val="19"/>
                <w:szCs w:val="19"/>
                <w:color w:val="auto"/>
              </w:rPr>
            </w:pPr>
          </w:p>
        </w:tc>
        <w:tc>
          <w:tcPr>
            <w:tcW w:w="7820" w:type="dxa"/>
            <w:vAlign w:val="bottom"/>
          </w:tcPr>
          <w:p>
            <w:pPr>
              <w:ind w:left="60"/>
              <w:spacing w:after="0"/>
              <w:rPr>
                <w:sz w:val="20"/>
                <w:szCs w:val="20"/>
                <w:color w:val="auto"/>
              </w:rPr>
            </w:pPr>
            <w:r>
              <w:rPr>
                <w:rFonts w:ascii="Arial" w:cs="Arial" w:eastAsia="Arial" w:hAnsi="Arial"/>
                <w:sz w:val="18"/>
                <w:szCs w:val="18"/>
                <w:color w:val="auto"/>
              </w:rPr>
              <w:t>Boston, Massachusetts 02210</w:t>
            </w:r>
          </w:p>
        </w:tc>
        <w:tc>
          <w:tcPr>
            <w:tcW w:w="6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Starboard Value LP (3)</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33,720,786</w:t>
            </w: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shd w:val="clear" w:color="auto" w:fill="CCEEFF"/>
          </w:tcPr>
          <w:p>
            <w:pPr>
              <w:spacing w:after="0"/>
              <w:rPr>
                <w:sz w:val="18"/>
                <w:szCs w:val="18"/>
                <w:color w:val="auto"/>
              </w:rPr>
            </w:pPr>
          </w:p>
        </w:tc>
        <w:tc>
          <w:tcPr>
            <w:tcW w:w="7820" w:type="dxa"/>
            <w:vAlign w:val="bottom"/>
            <w:shd w:val="clear" w:color="auto" w:fill="CCEEFF"/>
          </w:tcPr>
          <w:p>
            <w:pPr>
              <w:ind w:left="60"/>
              <w:spacing w:after="0"/>
              <w:rPr>
                <w:sz w:val="20"/>
                <w:szCs w:val="20"/>
                <w:color w:val="auto"/>
              </w:rPr>
            </w:pPr>
            <w:r>
              <w:rPr>
                <w:rFonts w:ascii="Arial" w:cs="Arial" w:eastAsia="Arial" w:hAnsi="Arial"/>
                <w:sz w:val="18"/>
                <w:szCs w:val="18"/>
                <w:color w:val="auto"/>
              </w:rPr>
              <w:t>777 Third Avenue, 18</w:t>
            </w:r>
            <w:r>
              <w:rPr>
                <w:rFonts w:ascii="Arial" w:cs="Arial" w:eastAsia="Arial" w:hAnsi="Arial"/>
                <w:sz w:val="11"/>
                <w:szCs w:val="11"/>
                <w:color w:val="auto"/>
              </w:rPr>
              <w:t>th</w:t>
            </w:r>
            <w:r>
              <w:rPr>
                <w:rFonts w:ascii="Arial" w:cs="Arial" w:eastAsia="Arial" w:hAnsi="Arial"/>
                <w:sz w:val="18"/>
                <w:szCs w:val="18"/>
                <w:color w:val="auto"/>
              </w:rPr>
              <w:t xml:space="preserve"> Floor</w:t>
            </w:r>
          </w:p>
        </w:tc>
        <w:tc>
          <w:tcPr>
            <w:tcW w:w="6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shd w:val="clear" w:color="auto" w:fill="CCEEFF"/>
          </w:tcPr>
          <w:p>
            <w:pPr>
              <w:spacing w:after="0"/>
              <w:rPr>
                <w:sz w:val="18"/>
                <w:szCs w:val="18"/>
                <w:color w:val="auto"/>
              </w:rPr>
            </w:pPr>
          </w:p>
        </w:tc>
        <w:tc>
          <w:tcPr>
            <w:tcW w:w="7820" w:type="dxa"/>
            <w:vAlign w:val="bottom"/>
            <w:shd w:val="clear" w:color="auto" w:fill="CCEEFF"/>
          </w:tcPr>
          <w:p>
            <w:pPr>
              <w:ind w:left="60"/>
              <w:spacing w:after="0"/>
              <w:rPr>
                <w:sz w:val="20"/>
                <w:szCs w:val="20"/>
                <w:color w:val="auto"/>
              </w:rPr>
            </w:pPr>
            <w:r>
              <w:rPr>
                <w:rFonts w:ascii="Arial" w:cs="Arial" w:eastAsia="Arial" w:hAnsi="Arial"/>
                <w:sz w:val="18"/>
                <w:szCs w:val="18"/>
                <w:color w:val="auto"/>
              </w:rPr>
              <w:t>New York, New York, 10017</w:t>
            </w:r>
          </w:p>
        </w:tc>
        <w:tc>
          <w:tcPr>
            <w:tcW w:w="6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8200" w:type="dxa"/>
            <w:vAlign w:val="bottom"/>
            <w:gridSpan w:val="2"/>
          </w:tcPr>
          <w:p>
            <w:pPr>
              <w:spacing w:after="0"/>
              <w:rPr>
                <w:sz w:val="20"/>
                <w:szCs w:val="20"/>
                <w:color w:val="auto"/>
              </w:rPr>
            </w:pPr>
            <w:r>
              <w:rPr>
                <w:rFonts w:ascii="Arial" w:cs="Arial" w:eastAsia="Arial" w:hAnsi="Arial"/>
                <w:sz w:val="18"/>
                <w:szCs w:val="18"/>
                <w:color w:val="auto"/>
              </w:rPr>
              <w:t>The Vanguard Group (4)</w:t>
            </w:r>
          </w:p>
        </w:tc>
        <w:tc>
          <w:tcPr>
            <w:tcW w:w="6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28,730,206</w:t>
            </w:r>
          </w:p>
        </w:tc>
        <w:tc>
          <w:tcPr>
            <w:tcW w:w="7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tcPr>
          <w:p>
            <w:pPr>
              <w:spacing w:after="0"/>
              <w:rPr>
                <w:sz w:val="18"/>
                <w:szCs w:val="18"/>
                <w:color w:val="auto"/>
              </w:rPr>
            </w:pPr>
          </w:p>
        </w:tc>
        <w:tc>
          <w:tcPr>
            <w:tcW w:w="7820" w:type="dxa"/>
            <w:vAlign w:val="bottom"/>
          </w:tcPr>
          <w:p>
            <w:pPr>
              <w:ind w:left="60"/>
              <w:spacing w:after="0"/>
              <w:rPr>
                <w:sz w:val="20"/>
                <w:szCs w:val="20"/>
                <w:color w:val="auto"/>
              </w:rPr>
            </w:pPr>
            <w:r>
              <w:rPr>
                <w:rFonts w:ascii="Arial" w:cs="Arial" w:eastAsia="Arial" w:hAnsi="Arial"/>
                <w:sz w:val="18"/>
                <w:szCs w:val="18"/>
                <w:color w:val="auto"/>
              </w:rPr>
              <w:t>100 Vanguard Blvd.</w:t>
            </w: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0" w:type="dxa"/>
            <w:vAlign w:val="bottom"/>
          </w:tcPr>
          <w:p>
            <w:pPr>
              <w:spacing w:after="0"/>
              <w:rPr>
                <w:sz w:val="19"/>
                <w:szCs w:val="19"/>
                <w:color w:val="auto"/>
              </w:rPr>
            </w:pPr>
          </w:p>
        </w:tc>
        <w:tc>
          <w:tcPr>
            <w:tcW w:w="7820" w:type="dxa"/>
            <w:vAlign w:val="bottom"/>
          </w:tcPr>
          <w:p>
            <w:pPr>
              <w:ind w:left="60"/>
              <w:spacing w:after="0"/>
              <w:rPr>
                <w:sz w:val="20"/>
                <w:szCs w:val="20"/>
                <w:color w:val="auto"/>
              </w:rPr>
            </w:pPr>
            <w:r>
              <w:rPr>
                <w:rFonts w:ascii="Arial" w:cs="Arial" w:eastAsia="Arial" w:hAnsi="Arial"/>
                <w:sz w:val="18"/>
                <w:szCs w:val="18"/>
                <w:color w:val="auto"/>
              </w:rPr>
              <w:t>Malvern, Pennsylvania 19355</w:t>
            </w:r>
          </w:p>
        </w:tc>
        <w:tc>
          <w:tcPr>
            <w:tcW w:w="6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6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2,000</w:t>
            </w:r>
          </w:p>
        </w:tc>
        <w:tc>
          <w:tcPr>
            <w:tcW w:w="7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Mathew J. Murphy</w:t>
            </w:r>
          </w:p>
        </w:tc>
        <w:tc>
          <w:tcPr>
            <w:tcW w:w="64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ind w:left="76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Weili Dai (5)</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71,225,977</w:t>
            </w:r>
          </w:p>
        </w:tc>
        <w:tc>
          <w:tcPr>
            <w:tcW w:w="7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 (3)</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33,720,786</w:t>
            </w: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Dr. Juergen Gromer (6)</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200,964</w:t>
            </w:r>
          </w:p>
        </w:tc>
        <w:tc>
          <w:tcPr>
            <w:tcW w:w="7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 (7)</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191,262</w:t>
            </w: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10,000</w:t>
            </w:r>
          </w:p>
        </w:tc>
        <w:tc>
          <w:tcPr>
            <w:tcW w:w="7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 (8)</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163,262</w:t>
            </w: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640" w:type="dxa"/>
            <w:vAlign w:val="bottom"/>
          </w:tcPr>
          <w:p>
            <w:pPr>
              <w:spacing w:after="0"/>
              <w:rPr>
                <w:sz w:val="18"/>
                <w:szCs w:val="18"/>
                <w:color w:val="auto"/>
              </w:rPr>
            </w:pPr>
          </w:p>
        </w:tc>
        <w:tc>
          <w:tcPr>
            <w:tcW w:w="1760" w:type="dxa"/>
            <w:vAlign w:val="bottom"/>
            <w:gridSpan w:val="2"/>
          </w:tcPr>
          <w:p>
            <w:pPr>
              <w:ind w:left="76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 (5)</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71,225,977</w:t>
            </w: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Robert Switz</w:t>
            </w:r>
          </w:p>
        </w:tc>
        <w:tc>
          <w:tcPr>
            <w:tcW w:w="640" w:type="dxa"/>
            <w:vAlign w:val="bottom"/>
          </w:tcPr>
          <w:p>
            <w:pPr>
              <w:spacing w:after="0"/>
              <w:rPr>
                <w:sz w:val="18"/>
                <w:szCs w:val="18"/>
                <w:color w:val="auto"/>
              </w:rPr>
            </w:pPr>
          </w:p>
        </w:tc>
        <w:tc>
          <w:tcPr>
            <w:tcW w:w="1760" w:type="dxa"/>
            <w:vAlign w:val="bottom"/>
            <w:gridSpan w:val="2"/>
          </w:tcPr>
          <w:p>
            <w:pPr>
              <w:ind w:left="76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Randhir Thakur (9)</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90,078</w:t>
            </w: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David P. Eichler</w:t>
            </w:r>
          </w:p>
        </w:tc>
        <w:tc>
          <w:tcPr>
            <w:tcW w:w="640" w:type="dxa"/>
            <w:vAlign w:val="bottom"/>
          </w:tcPr>
          <w:p>
            <w:pPr>
              <w:spacing w:after="0"/>
              <w:rPr>
                <w:sz w:val="18"/>
                <w:szCs w:val="18"/>
                <w:color w:val="auto"/>
              </w:rPr>
            </w:pPr>
          </w:p>
        </w:tc>
        <w:tc>
          <w:tcPr>
            <w:tcW w:w="1760" w:type="dxa"/>
            <w:vAlign w:val="bottom"/>
            <w:gridSpan w:val="2"/>
          </w:tcPr>
          <w:p>
            <w:pPr>
              <w:ind w:left="76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Mike Rashkin (11)</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43,317</w:t>
            </w: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Sukhi Nagesh (11)</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7,354</w:t>
            </w:r>
          </w:p>
        </w:tc>
        <w:tc>
          <w:tcPr>
            <w:tcW w:w="7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 (10)</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264,898</w:t>
            </w:r>
          </w:p>
        </w:tc>
        <w:tc>
          <w:tcPr>
            <w:tcW w:w="7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200" w:type="dxa"/>
            <w:vAlign w:val="bottom"/>
            <w:gridSpan w:val="2"/>
          </w:tcPr>
          <w:p>
            <w:pPr>
              <w:spacing w:after="0"/>
              <w:rPr>
                <w:sz w:val="20"/>
                <w:szCs w:val="20"/>
                <w:color w:val="auto"/>
              </w:rPr>
            </w:pPr>
            <w:r>
              <w:rPr>
                <w:rFonts w:ascii="Arial" w:cs="Arial" w:eastAsia="Arial" w:hAnsi="Arial"/>
                <w:sz w:val="18"/>
                <w:szCs w:val="18"/>
                <w:color w:val="auto"/>
              </w:rPr>
              <w:t>Directors and current executive officers as a group (19 persons) (12)</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106,120,862</w:t>
            </w:r>
          </w:p>
        </w:tc>
        <w:tc>
          <w:tcPr>
            <w:tcW w:w="74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20.7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511,246,011 shares outstanding on July 11, 2016.</w:t>
      </w:r>
    </w:p>
    <w:p>
      <w:pPr>
        <w:spacing w:after="0" w:line="9" w:lineRule="exact"/>
        <w:rPr>
          <w:sz w:val="20"/>
          <w:szCs w:val="20"/>
          <w:color w:val="auto"/>
        </w:rPr>
      </w:pPr>
    </w:p>
    <w:p>
      <w:pPr>
        <w:ind w:left="460" w:hanging="452"/>
        <w:spacing w:after="0" w:line="281" w:lineRule="auto"/>
        <w:tabs>
          <w:tab w:leader="none" w:pos="460" w:val="left"/>
        </w:tabs>
        <w:numPr>
          <w:ilvl w:val="0"/>
          <w:numId w:val="75"/>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is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July 11, 2016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hanging="452"/>
        <w:spacing w:after="0"/>
        <w:tabs>
          <w:tab w:leader="none" w:pos="4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June 10, 2016.</w:t>
      </w:r>
    </w:p>
    <w:p>
      <w:pPr>
        <w:spacing w:after="0" w:line="9" w:lineRule="exact"/>
        <w:rPr>
          <w:rFonts w:ascii="Arial" w:cs="Arial" w:eastAsia="Arial" w:hAnsi="Arial"/>
          <w:sz w:val="18"/>
          <w:szCs w:val="18"/>
          <w:color w:val="auto"/>
        </w:rPr>
      </w:pPr>
    </w:p>
    <w:p>
      <w:pPr>
        <w:ind w:left="460" w:right="60" w:hanging="452"/>
        <w:spacing w:after="0" w:line="254" w:lineRule="auto"/>
        <w:tabs>
          <w:tab w:leader="none" w:pos="4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Based solely on information on Schedule 13D/A filed with the SEC on April 25, 2016. Represents 33,720,786 shares held in an account managed by Starboard Value LP, which includes 13,323,422 shares underlying call options exercisable within 60 days of April 25, 2016. Includes (i) 1,772,606 shares held in the Starboard Value LP Account, (ii) 13,495,491 shares beneficially owned by Starboard Value and Opportunity Master Fund Ltd (“Starboard V&amp;O Fund”), including 11,287,308 Shares underlying certain call</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155</w:t>
      </w:r>
    </w:p>
    <w:p>
      <w:pPr>
        <w:sectPr>
          <w:pgSz w:w="11900" w:h="16838" w:orient="portrait"/>
          <w:cols w:equalWidth="0" w:num="1">
            <w:col w:w="11420"/>
          </w:cols>
          <w:pgMar w:left="240" w:top="459" w:right="239" w:bottom="1440" w:gutter="0" w:footer="0" w:header="0"/>
        </w:sectPr>
      </w:pPr>
    </w:p>
    <w:bookmarkStart w:id="157" w:name="page158"/>
    <w:bookmarkEnd w:id="1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line="282" w:lineRule="auto"/>
        <w:rPr>
          <w:sz w:val="20"/>
          <w:szCs w:val="20"/>
          <w:color w:val="auto"/>
        </w:rPr>
      </w:pPr>
      <w:r>
        <w:rPr>
          <w:rFonts w:ascii="Arial" w:cs="Arial" w:eastAsia="Arial" w:hAnsi="Arial"/>
          <w:sz w:val="16"/>
          <w:szCs w:val="16"/>
          <w:color w:val="auto"/>
        </w:rPr>
        <w:t>options, (iii) 1,588,369 shares beneficially owned by Starboard Value and Opportunity S LLC (“Starboard S LLC”), including 1,308,889 Shares underlying certain call options. (iv) 877,932 shares beneficially owned by Starboard Value and Opportunity C LP (“Starboard C LP”), including 727,225 Shares underlying certain call options; (v) 9,310,245 shares beneficially owned by Starboard Leaders Juliet LLC (“Starboard Juliet LLC”), (vi) 3,792,301 shares beneficially owned by Starboard Leaders Select II LP (“Starboard Select II LP”) and (vii) 2,883,842 shares beneficially owned by Starboard T Fund LP (“Starboard T LP”). Starboard Value R LP (“Starboard R LP”), as the general partner of Starboard C LP, may be deemed the beneficial owner of the shares owned by Starboard C LP. Starboard Value R GP LLC (“Starboard R GP”), as the general partner of Starboard R LP, may be deemed the beneficial owner of the shares owned by Starboard C LP. Starboard Leaders Fund LP (“Starboard Leaders Fund”), as a member of Starboard Juliet LLC, may be deemed the beneficial owner of the shares owned by Starboard Juliet LLC. Starboard Leaders Select II GP LLC (“Starboard Select II GP”), as the general partner of Starboard Select II LP, may be deemed the beneficial owner of the shares owned by Starboard Select II LP. Starboard Leaders Select Fund LP (“Starboard Select Fund”), as the sole member of Starboard Select II GP, may be deemed the beneficial owner of the shares owned by Starboard Select II LP. Starboard Value A LP (“Starboard A LP”), as the general partner of Starboard Leaders Fund, Starboard Select Fund and Starboard T LP and the managing member of Starboard Juliet LLC, may be deemed the beneficial owner of the shares owned by Starboard Juliet LLC, Starboard Select II LP and Starboard T LP. Starboard Value A GP LLC (“Starboard A GP”), as the general partner of Starboard A LP, may be deemed the beneficial owner of the shares owned by Starboard Juliet LLC, Starboard Select II LP and Starboard T LP. Starboard Value LP, as the investment manager of Starboard V&amp;O Fund, Starboard C LP, Starboard Juliet LLC, Starboard Select II LP, Starboard T LP, and the Starboard Value LP Account and the manager of Starboard S LLC, may be deemed the beneficial owner of the shares owned by Starboard V&amp;O Fund, Starboard S LLC, Starboard C LP, Starboard Juliet LLC, Starboard Select II LP, Starboard T LP, and the shares held in the Starboard Value LP Account. Starboard Value GP LLC (“Starboard Value GP”), as the general partner of Starboard Value LP, may be deemed the beneficial owner of the shares owned by Starboard V&amp;O Fund, Starboard S LLC, Starboard C LP, Starboard Juliet LLC, Starboard Select II LP, Starboard T LP, and the shares held in the Starboard Value LP Account. Starboard Principal Co LP (“Principal Co”), as a member of Starboard Value GP, may be deemed the beneficial owner of the shares owned by Starboard V&amp;O Fund, Starboard S LLC, Starboard C LP, Starboard Juliet LLC, Starboard Select II LP, Starboard T LP, and the shares held in the Starboard Value LP Account. Starboard Principal Co GP LLC (“Principal GP”), as the general partner of Principal Co, may be deemed the beneficial owner of the shares owned by Starboard V&amp;O Fund, Starboard S LLC, Starboard C LP, Starboard Juliet LLC, Starboard Select II LP, Starboard T LP, and the shares held in the Starboard Value LP Account. Each of Jeffrey C. Smith, Mark R. Mitchell and Peter A. Feld, as a member of Principal GP and as a member of each of the Management Committee of Starboard Value GP and the Management Committee of Principal GP, may be deemed the beneficial owner of the shares owned by Starboard V&amp;O Fund, Starboard S LLC, Starboard C LP, Starboard Juliet LLC, Starboard Select II LP, Starboard T LP, and the shares held in the Starboard Value LP Account. Mr. Feld expressly disclaims beneficial ownership of all such shares, except to the extent of his pecuniary interest therein.</w:t>
      </w:r>
    </w:p>
    <w:p>
      <w:pPr>
        <w:spacing w:after="0" w:line="4" w:lineRule="exact"/>
        <w:rPr>
          <w:sz w:val="20"/>
          <w:szCs w:val="20"/>
          <w:color w:val="auto"/>
        </w:rPr>
      </w:pPr>
    </w:p>
    <w:p>
      <w:pPr>
        <w:ind w:left="460" w:hanging="452"/>
        <w:spacing w:after="0"/>
        <w:tabs>
          <w:tab w:leader="none" w:pos="4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February 10, 2016.</w:t>
      </w:r>
    </w:p>
    <w:p>
      <w:pPr>
        <w:spacing w:after="0" w:line="9" w:lineRule="exact"/>
        <w:rPr>
          <w:rFonts w:ascii="Arial" w:cs="Arial" w:eastAsia="Arial" w:hAnsi="Arial"/>
          <w:sz w:val="18"/>
          <w:szCs w:val="18"/>
          <w:color w:val="auto"/>
        </w:rPr>
      </w:pPr>
    </w:p>
    <w:p>
      <w:pPr>
        <w:ind w:left="460" w:hanging="452"/>
        <w:spacing w:after="0" w:line="281" w:lineRule="auto"/>
        <w:tabs>
          <w:tab w:leader="none" w:pos="460" w:val="left"/>
        </w:tabs>
        <w:numPr>
          <w:ilvl w:val="0"/>
          <w:numId w:val="76"/>
        </w:numPr>
        <w:rPr>
          <w:rFonts w:ascii="Arial" w:cs="Arial" w:eastAsia="Arial" w:hAnsi="Arial"/>
          <w:sz w:val="16"/>
          <w:szCs w:val="16"/>
          <w:color w:val="auto"/>
        </w:rPr>
      </w:pPr>
      <w:r>
        <w:rPr>
          <w:rFonts w:ascii="Arial" w:cs="Arial" w:eastAsia="Arial" w:hAnsi="Arial"/>
          <w:sz w:val="16"/>
          <w:szCs w:val="16"/>
          <w:color w:val="auto"/>
        </w:rPr>
        <w:t>Consists of 4,309,300 shares subject to stock options held by Dr. Sutardja of which Ms. Dai may be deemed to have beneficial ownership and 1,680,000 shares subject to stock options held by Ms. Dai of which Dr. Sutardja may be deemed to have beneficial ownership and that are currently exercisable or will become exercisable within 60 days after July 11, 2016; 46,983,343 shares held jointly by Dr. Sutardja and Ms. Dai, of which Dr. Sutardja and Ms. Dai share voting and dispositive power; and 18,253,334 shares held by The Sutardja Family Partners, a California family limited partnership, of which Dr. Sutardja and Ms. Dai are the general partners and share voting and dispositive power. Dr. Sutardja and Ms. Dai are husband and wife.</w:t>
      </w:r>
    </w:p>
    <w:p>
      <w:pPr>
        <w:spacing w:after="0" w:line="3" w:lineRule="exact"/>
        <w:rPr>
          <w:rFonts w:ascii="Arial" w:cs="Arial" w:eastAsia="Arial" w:hAnsi="Arial"/>
          <w:sz w:val="16"/>
          <w:szCs w:val="16"/>
          <w:color w:val="auto"/>
        </w:rPr>
      </w:pPr>
    </w:p>
    <w:p>
      <w:pPr>
        <w:ind w:left="460" w:hanging="452"/>
        <w:spacing w:after="0"/>
        <w:tabs>
          <w:tab w:leader="none" w:pos="460" w:val="left"/>
        </w:tabs>
        <w:numPr>
          <w:ilvl w:val="0"/>
          <w:numId w:val="76"/>
        </w:numPr>
        <w:rPr>
          <w:rFonts w:ascii="Arial" w:cs="Arial" w:eastAsia="Arial" w:hAnsi="Arial"/>
          <w:sz w:val="16"/>
          <w:szCs w:val="16"/>
          <w:color w:val="auto"/>
        </w:rPr>
      </w:pPr>
      <w:r>
        <w:rPr>
          <w:rFonts w:ascii="Arial" w:cs="Arial" w:eastAsia="Arial" w:hAnsi="Arial"/>
          <w:sz w:val="16"/>
          <w:szCs w:val="16"/>
          <w:color w:val="auto"/>
        </w:rPr>
        <w:t>Includes 145,000 shares subject to stock options that are currently exercisable or will become exercisable within 60 days after July 11, 2016.</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76"/>
        </w:numPr>
        <w:rPr>
          <w:rFonts w:ascii="Arial" w:cs="Arial" w:eastAsia="Arial" w:hAnsi="Arial"/>
          <w:sz w:val="16"/>
          <w:szCs w:val="16"/>
          <w:color w:val="auto"/>
        </w:rPr>
      </w:pPr>
      <w:r>
        <w:rPr>
          <w:rFonts w:ascii="Arial" w:cs="Arial" w:eastAsia="Arial" w:hAnsi="Arial"/>
          <w:sz w:val="16"/>
          <w:szCs w:val="16"/>
          <w:color w:val="auto"/>
        </w:rPr>
        <w:t>Includes 133,000 shares subject to stock options that are currently exercisable or will become exercisable within 60 days after July 11, 2016.</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156</w:t>
      </w:r>
    </w:p>
    <w:p>
      <w:pPr>
        <w:sectPr>
          <w:pgSz w:w="11900" w:h="16838" w:orient="portrait"/>
          <w:cols w:equalWidth="0" w:num="1">
            <w:col w:w="11420"/>
          </w:cols>
          <w:pgMar w:left="240" w:top="459" w:right="239" w:bottom="1440" w:gutter="0" w:footer="0" w:header="0"/>
        </w:sectPr>
      </w:pPr>
    </w:p>
    <w:bookmarkStart w:id="158" w:name="page159"/>
    <w:bookmarkEnd w:id="1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tabs>
          <w:tab w:leader="none" w:pos="460" w:val="left"/>
        </w:tabs>
        <w:numPr>
          <w:ilvl w:val="0"/>
          <w:numId w:val="77"/>
        </w:numPr>
        <w:rPr>
          <w:rFonts w:ascii="Arial" w:cs="Arial" w:eastAsia="Arial" w:hAnsi="Arial"/>
          <w:sz w:val="16"/>
          <w:szCs w:val="16"/>
          <w:color w:val="auto"/>
        </w:rPr>
      </w:pPr>
      <w:r>
        <w:rPr>
          <w:rFonts w:ascii="Arial" w:cs="Arial" w:eastAsia="Arial" w:hAnsi="Arial"/>
          <w:sz w:val="16"/>
          <w:szCs w:val="16"/>
          <w:color w:val="auto"/>
        </w:rPr>
        <w:t>Includes 107,000 shares subject to stock options that are currently exercisable or will become exercisable within 60 days after July 11, 2016.</w:t>
      </w:r>
    </w:p>
    <w:p>
      <w:pPr>
        <w:spacing w:after="0" w:line="38" w:lineRule="exact"/>
        <w:rPr>
          <w:rFonts w:ascii="Arial" w:cs="Arial" w:eastAsia="Arial" w:hAnsi="Arial"/>
          <w:sz w:val="16"/>
          <w:szCs w:val="16"/>
          <w:color w:val="auto"/>
        </w:rPr>
      </w:pPr>
    </w:p>
    <w:p>
      <w:pPr>
        <w:ind w:left="460" w:right="380" w:hanging="452"/>
        <w:spacing w:after="0" w:line="250" w:lineRule="auto"/>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Includes 48,078 shares held by the Thakur Family Trust DTD 6/7/1999 and 50,000 shares subject to stock options that are currently exercisable or will become exercisable within 60 days after July 11, 2016.</w:t>
      </w:r>
    </w:p>
    <w:p>
      <w:pPr>
        <w:ind w:left="460" w:hanging="452"/>
        <w:spacing w:after="0"/>
        <w:tabs>
          <w:tab w:leader="none" w:pos="460" w:val="left"/>
        </w:tabs>
        <w:numPr>
          <w:ilvl w:val="0"/>
          <w:numId w:val="77"/>
        </w:numPr>
        <w:rPr>
          <w:rFonts w:ascii="Arial" w:cs="Arial" w:eastAsia="Arial" w:hAnsi="Arial"/>
          <w:sz w:val="16"/>
          <w:szCs w:val="16"/>
          <w:color w:val="auto"/>
        </w:rPr>
      </w:pPr>
      <w:r>
        <w:rPr>
          <w:rFonts w:ascii="Arial" w:cs="Arial" w:eastAsia="Arial" w:hAnsi="Arial"/>
          <w:sz w:val="16"/>
          <w:szCs w:val="16"/>
          <w:color w:val="auto"/>
        </w:rPr>
        <w:t>Includes 145,000 shares subject to stock options that are currently exercisable or will become exercisable within 60 days after July 11, 2016.</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Based on the most current Form 4 filed by the reporting person.</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77"/>
        </w:numPr>
        <w:rPr>
          <w:rFonts w:ascii="Arial" w:cs="Arial" w:eastAsia="Arial" w:hAnsi="Arial"/>
          <w:sz w:val="16"/>
          <w:szCs w:val="16"/>
          <w:color w:val="auto"/>
        </w:rPr>
      </w:pPr>
      <w:r>
        <w:rPr>
          <w:rFonts w:ascii="Arial" w:cs="Arial" w:eastAsia="Arial" w:hAnsi="Arial"/>
          <w:sz w:val="16"/>
          <w:szCs w:val="16"/>
          <w:color w:val="auto"/>
        </w:rPr>
        <w:t>Includes 6,569,300 shares subject to stock options that are currently exercisable or will become exercisable within 60 days after July 11, 2016.</w:t>
      </w: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71"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January 30, 2016:</w:t>
      </w:r>
    </w:p>
    <w:p>
      <w:pPr>
        <w:sectPr>
          <w:pgSz w:w="11900" w:h="16838" w:orient="portrait"/>
          <w:cols w:equalWidth="0" w:num="1">
            <w:col w:w="11420"/>
          </w:cols>
          <w:pgMar w:left="240" w:top="46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Plan Category</w:t>
      </w:r>
    </w:p>
    <w:p>
      <w:pPr>
        <w:spacing w:after="0" w:line="13" w:lineRule="exact"/>
        <w:rPr>
          <w:sz w:val="20"/>
          <w:szCs w:val="20"/>
          <w:color w:val="auto"/>
        </w:rPr>
      </w:pPr>
    </w:p>
    <w:p>
      <w:pPr>
        <w:spacing w:after="0"/>
        <w:rPr>
          <w:sz w:val="20"/>
          <w:szCs w:val="20"/>
          <w:color w:val="auto"/>
        </w:rPr>
      </w:pPr>
      <w:r>
        <w:rPr>
          <w:rFonts w:ascii="Arial" w:cs="Arial" w:eastAsia="Arial" w:hAnsi="Arial"/>
          <w:sz w:val="16"/>
          <w:szCs w:val="16"/>
          <w:color w:val="auto"/>
        </w:rPr>
        <w:t>Equity compensation plans approved by security holders (3)(4)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132080</wp:posOffset>
            </wp:positionV>
            <wp:extent cx="728980" cy="88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7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1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3"/>
              </w:rPr>
              <w:t>(a)</w:t>
            </w: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60" w:type="dxa"/>
            <w:vAlign w:val="bottom"/>
            <w:gridSpan w:val="2"/>
          </w:tcPr>
          <w:p>
            <w:pPr>
              <w:jc w:val="center"/>
              <w:ind w:right="1020"/>
              <w:spacing w:after="0"/>
              <w:rPr>
                <w:sz w:val="20"/>
                <w:szCs w:val="20"/>
                <w:color w:val="auto"/>
              </w:rPr>
            </w:pPr>
            <w:r>
              <w:rPr>
                <w:rFonts w:ascii="Arial" w:cs="Arial" w:eastAsia="Arial" w:hAnsi="Arial"/>
                <w:sz w:val="14"/>
                <w:szCs w:val="14"/>
                <w:b w:val="1"/>
                <w:bCs w:val="1"/>
                <w:color w:val="auto"/>
                <w:w w:val="89"/>
              </w:rPr>
              <w:t>(b)</w:t>
            </w:r>
          </w:p>
        </w:tc>
        <w:tc>
          <w:tcPr>
            <w:tcW w:w="1420" w:type="dxa"/>
            <w:vAlign w:val="bottom"/>
          </w:tcPr>
          <w:p>
            <w:pPr>
              <w:jc w:val="center"/>
              <w:spacing w:after="0"/>
              <w:rPr>
                <w:sz w:val="20"/>
                <w:szCs w:val="20"/>
                <w:color w:val="auto"/>
              </w:rPr>
            </w:pPr>
            <w:r>
              <w:rPr>
                <w:rFonts w:ascii="Arial" w:cs="Arial" w:eastAsia="Arial" w:hAnsi="Arial"/>
                <w:sz w:val="14"/>
                <w:szCs w:val="14"/>
                <w:b w:val="1"/>
                <w:bCs w:val="1"/>
                <w:color w:val="auto"/>
                <w:w w:val="81"/>
              </w:rPr>
              <w:t>(c)</w:t>
            </w:r>
          </w:p>
        </w:tc>
      </w:tr>
      <w:tr>
        <w:trPr>
          <w:trHeight w:val="149"/>
        </w:trPr>
        <w:tc>
          <w:tcPr>
            <w:tcW w:w="11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4"/>
              </w:rPr>
              <w:t>Number of</w:t>
            </w:r>
          </w:p>
        </w:tc>
        <w:tc>
          <w:tcPr>
            <w:tcW w:w="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60" w:type="dxa"/>
            <w:vAlign w:val="bottom"/>
            <w:gridSpan w:val="2"/>
          </w:tcPr>
          <w:p>
            <w:pPr>
              <w:jc w:val="center"/>
              <w:ind w:right="1020"/>
              <w:spacing w:after="0" w:line="149" w:lineRule="exact"/>
              <w:rPr>
                <w:sz w:val="20"/>
                <w:szCs w:val="20"/>
                <w:color w:val="auto"/>
              </w:rPr>
            </w:pPr>
            <w:r>
              <w:rPr>
                <w:rFonts w:ascii="Arial" w:cs="Arial" w:eastAsia="Arial" w:hAnsi="Arial"/>
                <w:sz w:val="14"/>
                <w:szCs w:val="14"/>
                <w:b w:val="1"/>
                <w:bCs w:val="1"/>
                <w:color w:val="auto"/>
                <w:w w:val="88"/>
              </w:rPr>
              <w:t>Weighted</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r>
      <w:tr>
        <w:trPr>
          <w:trHeight w:val="149"/>
        </w:trPr>
        <w:tc>
          <w:tcPr>
            <w:tcW w:w="11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60" w:type="dxa"/>
            <w:vAlign w:val="bottom"/>
            <w:gridSpan w:val="2"/>
          </w:tcPr>
          <w:p>
            <w:pPr>
              <w:jc w:val="center"/>
              <w:ind w:right="1020"/>
              <w:spacing w:after="0" w:line="149" w:lineRule="exact"/>
              <w:rPr>
                <w:sz w:val="20"/>
                <w:szCs w:val="20"/>
                <w:color w:val="auto"/>
              </w:rPr>
            </w:pPr>
            <w:r>
              <w:rPr>
                <w:rFonts w:ascii="Arial" w:cs="Arial" w:eastAsia="Arial" w:hAnsi="Arial"/>
                <w:sz w:val="14"/>
                <w:szCs w:val="14"/>
                <w:b w:val="1"/>
                <w:bCs w:val="1"/>
                <w:color w:val="auto"/>
                <w:w w:val="86"/>
              </w:rPr>
              <w:t>Average</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Securities Remaining</w:t>
            </w:r>
          </w:p>
        </w:tc>
      </w:tr>
      <w:tr>
        <w:trPr>
          <w:trHeight w:val="149"/>
        </w:trPr>
        <w:tc>
          <w:tcPr>
            <w:tcW w:w="11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4"/>
              </w:rPr>
              <w:t>to Be Issued</w:t>
            </w:r>
          </w:p>
        </w:tc>
        <w:tc>
          <w:tcPr>
            <w:tcW w:w="860" w:type="dxa"/>
            <w:vAlign w:val="bottom"/>
          </w:tcPr>
          <w:p>
            <w:pPr>
              <w:spacing w:after="0"/>
              <w:rPr>
                <w:sz w:val="12"/>
                <w:szCs w:val="12"/>
                <w:color w:val="auto"/>
              </w:rPr>
            </w:pPr>
          </w:p>
        </w:tc>
        <w:tc>
          <w:tcPr>
            <w:tcW w:w="1780" w:type="dxa"/>
            <w:vAlign w:val="bottom"/>
            <w:gridSpan w:val="3"/>
          </w:tcPr>
          <w:p>
            <w:pPr>
              <w:jc w:val="center"/>
              <w:ind w:right="900"/>
              <w:spacing w:after="0" w:line="149" w:lineRule="exact"/>
              <w:rPr>
                <w:sz w:val="20"/>
                <w:szCs w:val="20"/>
                <w:color w:val="auto"/>
              </w:rPr>
            </w:pPr>
            <w:r>
              <w:rPr>
                <w:rFonts w:ascii="Arial" w:cs="Arial" w:eastAsia="Arial" w:hAnsi="Arial"/>
                <w:sz w:val="14"/>
                <w:szCs w:val="14"/>
                <w:b w:val="1"/>
                <w:bCs w:val="1"/>
                <w:color w:val="auto"/>
                <w:w w:val="87"/>
              </w:rPr>
              <w:t>Exercise Price</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Available for Future</w:t>
            </w:r>
          </w:p>
        </w:tc>
      </w:tr>
      <w:tr>
        <w:trPr>
          <w:trHeight w:val="149"/>
        </w:trPr>
        <w:tc>
          <w:tcPr>
            <w:tcW w:w="11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Upon Exercise</w:t>
            </w:r>
          </w:p>
        </w:tc>
        <w:tc>
          <w:tcPr>
            <w:tcW w:w="860" w:type="dxa"/>
            <w:vAlign w:val="bottom"/>
          </w:tcPr>
          <w:p>
            <w:pPr>
              <w:spacing w:after="0"/>
              <w:rPr>
                <w:sz w:val="12"/>
                <w:szCs w:val="12"/>
                <w:color w:val="auto"/>
              </w:rPr>
            </w:pPr>
          </w:p>
        </w:tc>
        <w:tc>
          <w:tcPr>
            <w:tcW w:w="1780" w:type="dxa"/>
            <w:vAlign w:val="bottom"/>
            <w:gridSpan w:val="3"/>
          </w:tcPr>
          <w:p>
            <w:pPr>
              <w:jc w:val="center"/>
              <w:ind w:right="880"/>
              <w:spacing w:after="0" w:line="149" w:lineRule="exact"/>
              <w:rPr>
                <w:sz w:val="20"/>
                <w:szCs w:val="20"/>
                <w:color w:val="auto"/>
              </w:rPr>
            </w:pPr>
            <w:r>
              <w:rPr>
                <w:rFonts w:ascii="Arial" w:cs="Arial" w:eastAsia="Arial" w:hAnsi="Arial"/>
                <w:sz w:val="14"/>
                <w:szCs w:val="14"/>
                <w:b w:val="1"/>
                <w:bCs w:val="1"/>
                <w:color w:val="auto"/>
                <w:w w:val="86"/>
              </w:rPr>
              <w:t>of Outstanding</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Issuance under Equity</w:t>
            </w:r>
          </w:p>
        </w:tc>
      </w:tr>
      <w:tr>
        <w:trPr>
          <w:trHeight w:val="149"/>
        </w:trPr>
        <w:tc>
          <w:tcPr>
            <w:tcW w:w="11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6"/>
              </w:rPr>
              <w:t>of Outstanding</w:t>
            </w:r>
          </w:p>
        </w:tc>
        <w:tc>
          <w:tcPr>
            <w:tcW w:w="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60" w:type="dxa"/>
            <w:vAlign w:val="bottom"/>
            <w:gridSpan w:val="2"/>
          </w:tcPr>
          <w:p>
            <w:pPr>
              <w:jc w:val="center"/>
              <w:ind w:right="1020"/>
              <w:spacing w:after="0" w:line="149" w:lineRule="exact"/>
              <w:rPr>
                <w:sz w:val="20"/>
                <w:szCs w:val="20"/>
                <w:color w:val="auto"/>
              </w:rPr>
            </w:pPr>
            <w:r>
              <w:rPr>
                <w:rFonts w:ascii="Arial" w:cs="Arial" w:eastAsia="Arial" w:hAnsi="Arial"/>
                <w:sz w:val="14"/>
                <w:szCs w:val="14"/>
                <w:b w:val="1"/>
                <w:bCs w:val="1"/>
                <w:color w:val="auto"/>
                <w:w w:val="84"/>
              </w:rPr>
              <w:t>Options,</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Compensation Plans</w:t>
            </w:r>
          </w:p>
        </w:tc>
      </w:tr>
      <w:tr>
        <w:trPr>
          <w:trHeight w:val="149"/>
        </w:trPr>
        <w:tc>
          <w:tcPr>
            <w:tcW w:w="11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Options, Warrants</w:t>
            </w:r>
          </w:p>
        </w:tc>
        <w:tc>
          <w:tcPr>
            <w:tcW w:w="860" w:type="dxa"/>
            <w:vAlign w:val="bottom"/>
          </w:tcPr>
          <w:p>
            <w:pPr>
              <w:spacing w:after="0"/>
              <w:rPr>
                <w:sz w:val="12"/>
                <w:szCs w:val="12"/>
                <w:color w:val="auto"/>
              </w:rPr>
            </w:pPr>
          </w:p>
        </w:tc>
        <w:tc>
          <w:tcPr>
            <w:tcW w:w="1780" w:type="dxa"/>
            <w:vAlign w:val="bottom"/>
            <w:gridSpan w:val="3"/>
          </w:tcPr>
          <w:p>
            <w:pPr>
              <w:jc w:val="center"/>
              <w:ind w:right="900"/>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(Excluding Securities</w:t>
            </w:r>
          </w:p>
        </w:tc>
      </w:tr>
      <w:tr>
        <w:trPr>
          <w:trHeight w:val="161"/>
        </w:trPr>
        <w:tc>
          <w:tcPr>
            <w:tcW w:w="110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7"/>
              </w:rPr>
              <w:t>and Rights (1)</w:t>
            </w: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60" w:type="dxa"/>
            <w:vAlign w:val="bottom"/>
            <w:gridSpan w:val="2"/>
          </w:tcPr>
          <w:p>
            <w:pPr>
              <w:jc w:val="center"/>
              <w:ind w:right="1020"/>
              <w:spacing w:after="0"/>
              <w:rPr>
                <w:sz w:val="20"/>
                <w:szCs w:val="20"/>
                <w:color w:val="auto"/>
              </w:rPr>
            </w:pPr>
            <w:r>
              <w:rPr>
                <w:rFonts w:ascii="Arial" w:cs="Arial" w:eastAsia="Arial" w:hAnsi="Arial"/>
                <w:sz w:val="14"/>
                <w:szCs w:val="14"/>
                <w:b w:val="1"/>
                <w:bCs w:val="1"/>
                <w:color w:val="auto"/>
                <w:w w:val="86"/>
              </w:rPr>
              <w:t>Rights (2)</w:t>
            </w:r>
          </w:p>
        </w:tc>
        <w:tc>
          <w:tcPr>
            <w:tcW w:w="1420" w:type="dxa"/>
            <w:vAlign w:val="bottom"/>
          </w:tcPr>
          <w:p>
            <w:pPr>
              <w:jc w:val="center"/>
              <w:spacing w:after="0"/>
              <w:rPr>
                <w:sz w:val="20"/>
                <w:szCs w:val="20"/>
                <w:color w:val="auto"/>
              </w:rPr>
            </w:pPr>
            <w:r>
              <w:rPr>
                <w:rFonts w:ascii="Arial" w:cs="Arial" w:eastAsia="Arial" w:hAnsi="Arial"/>
                <w:sz w:val="14"/>
                <w:szCs w:val="14"/>
                <w:b w:val="1"/>
                <w:bCs w:val="1"/>
                <w:color w:val="auto"/>
                <w:w w:val="88"/>
              </w:rPr>
              <w:t>Reflected in Column (a))</w:t>
            </w:r>
          </w:p>
        </w:tc>
      </w:tr>
      <w:tr>
        <w:trPr>
          <w:trHeight w:val="210"/>
        </w:trPr>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52,703,661</w:t>
            </w:r>
          </w:p>
        </w:tc>
        <w:tc>
          <w:tcPr>
            <w:tcW w:w="20" w:type="dxa"/>
            <w:vAlign w:val="bottom"/>
            <w:tcBorders>
              <w:bottom w:val="single" w:sz="8" w:color="auto"/>
            </w:tcBorders>
          </w:tcPr>
          <w:p>
            <w:pPr>
              <w:spacing w:after="0"/>
              <w:rPr>
                <w:sz w:val="18"/>
                <w:szCs w:val="18"/>
                <w:color w:val="auto"/>
              </w:rPr>
            </w:pPr>
          </w:p>
        </w:tc>
        <w:tc>
          <w:tcPr>
            <w:tcW w:w="860" w:type="dxa"/>
            <w:vAlign w:val="bottom"/>
          </w:tcPr>
          <w:p>
            <w:pPr>
              <w:spacing w:after="0"/>
              <w:rPr>
                <w:sz w:val="18"/>
                <w:szCs w:val="18"/>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13.91</w:t>
            </w:r>
          </w:p>
        </w:tc>
        <w:tc>
          <w:tcPr>
            <w:tcW w:w="900" w:type="dxa"/>
            <w:vAlign w:val="bottom"/>
          </w:tcPr>
          <w:p>
            <w:pPr>
              <w:spacing w:after="0"/>
              <w:rPr>
                <w:sz w:val="18"/>
                <w:szCs w:val="18"/>
                <w:color w:val="auto"/>
              </w:rPr>
            </w:pPr>
          </w:p>
        </w:tc>
        <w:tc>
          <w:tcPr>
            <w:tcW w:w="14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108,030,974</w:t>
            </w:r>
          </w:p>
        </w:tc>
      </w:tr>
      <w:tr>
        <w:trPr>
          <w:trHeight w:val="20"/>
        </w:trPr>
        <w:tc>
          <w:tcPr>
            <w:tcW w:w="10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-3905885</wp:posOffset>
            </wp:positionH>
            <wp:positionV relativeFrom="paragraph">
              <wp:posOffset>-170815</wp:posOffset>
            </wp:positionV>
            <wp:extent cx="7246620" cy="14605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246620" cy="146050"/>
                    </a:xfrm>
                    <a:prstGeom prst="rect">
                      <a:avLst/>
                    </a:prstGeom>
                    <a:noFill/>
                  </pic:spPr>
                </pic:pic>
              </a:graphicData>
            </a:graphic>
          </wp:anchor>
        </w:drawing>
      </w:r>
    </w:p>
    <w:p>
      <w:pPr>
        <w:spacing w:after="0" w:line="154" w:lineRule="exact"/>
        <w:rPr>
          <w:sz w:val="20"/>
          <w:szCs w:val="20"/>
          <w:color w:val="auto"/>
        </w:rPr>
      </w:pPr>
    </w:p>
    <w:p>
      <w:pPr>
        <w:sectPr>
          <w:pgSz w:w="11900" w:h="16838" w:orient="portrait"/>
          <w:cols w:equalWidth="0" w:num="2">
            <w:col w:w="5440" w:space="720"/>
            <w:col w:w="5260"/>
          </w:cols>
          <w:pgMar w:left="240" w:top="460" w:right="239" w:bottom="1440" w:gutter="0" w:footer="0" w:header="0"/>
          <w:type w:val="continuous"/>
        </w:sectPr>
      </w:pPr>
    </w:p>
    <w:p>
      <w:pPr>
        <w:ind w:left="460" w:right="100" w:hanging="452"/>
        <w:spacing w:after="0" w:line="254" w:lineRule="auto"/>
        <w:tabs>
          <w:tab w:leader="none" w:pos="460" w:val="left"/>
        </w:tabs>
        <w:numPr>
          <w:ilvl w:val="0"/>
          <w:numId w:val="78"/>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30, 2016).</w:t>
      </w:r>
    </w:p>
    <w:p>
      <w:pPr>
        <w:ind w:left="460" w:right="140" w:hanging="452"/>
        <w:spacing w:after="0" w:line="250" w:lineRule="auto"/>
        <w:tabs>
          <w:tab w:leader="none" w:pos="460" w:val="left"/>
        </w:tabs>
        <w:numPr>
          <w:ilvl w:val="0"/>
          <w:numId w:val="78"/>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ind w:left="460" w:right="220" w:hanging="452"/>
        <w:spacing w:after="0" w:line="250" w:lineRule="auto"/>
        <w:tabs>
          <w:tab w:leader="none" w:pos="460" w:val="left"/>
        </w:tabs>
        <w:numPr>
          <w:ilvl w:val="0"/>
          <w:numId w:val="78"/>
        </w:numPr>
        <w:rPr>
          <w:rFonts w:ascii="Arial" w:cs="Arial" w:eastAsia="Arial" w:hAnsi="Arial"/>
          <w:sz w:val="18"/>
          <w:szCs w:val="18"/>
          <w:color w:val="auto"/>
        </w:rPr>
      </w:pPr>
      <w:r>
        <w:rPr>
          <w:rFonts w:ascii="Arial" w:cs="Arial" w:eastAsia="Arial" w:hAnsi="Arial"/>
          <w:sz w:val="18"/>
          <w:szCs w:val="18"/>
          <w:color w:val="auto"/>
        </w:rPr>
        <w:t>Includes our Amended and Restated 1995 Stock Option Plan, our 1997 Directors’ Stock Option Plan, our Amended 2000 Employee Stock Purchase Plan (the “2000 ESPP”) and our 2007 Directors’ Stock Incentive Plan.</w:t>
      </w:r>
    </w:p>
    <w:p>
      <w:pPr>
        <w:ind w:left="460" w:hanging="452"/>
        <w:spacing w:after="0"/>
        <w:tabs>
          <w:tab w:leader="none" w:pos="460" w:val="left"/>
        </w:tabs>
        <w:numPr>
          <w:ilvl w:val="0"/>
          <w:numId w:val="78"/>
        </w:numPr>
        <w:rPr>
          <w:rFonts w:ascii="Arial" w:cs="Arial" w:eastAsia="Arial" w:hAnsi="Arial"/>
          <w:sz w:val="16"/>
          <w:szCs w:val="16"/>
          <w:color w:val="auto"/>
        </w:rPr>
      </w:pPr>
      <w:r>
        <w:rPr>
          <w:rFonts w:ascii="Arial" w:cs="Arial" w:eastAsia="Arial" w:hAnsi="Arial"/>
          <w:sz w:val="16"/>
          <w:szCs w:val="16"/>
          <w:color w:val="auto"/>
        </w:rPr>
        <w:t>The number of shares reserved for issuance under our 2000 ESPP includes an annual increase in shares reserved for issuance equal to the lesser of</w:t>
      </w:r>
    </w:p>
    <w:p>
      <w:pPr>
        <w:spacing w:after="0" w:line="32" w:lineRule="exact"/>
        <w:rPr>
          <w:rFonts w:ascii="Arial" w:cs="Arial" w:eastAsia="Arial" w:hAnsi="Arial"/>
          <w:sz w:val="16"/>
          <w:szCs w:val="16"/>
          <w:color w:val="auto"/>
        </w:rPr>
      </w:pPr>
    </w:p>
    <w:p>
      <w:pPr>
        <w:ind w:left="460" w:right="400"/>
        <w:spacing w:after="0" w:line="261" w:lineRule="auto"/>
        <w:rPr>
          <w:rFonts w:ascii="Arial" w:cs="Arial" w:eastAsia="Arial" w:hAnsi="Arial"/>
          <w:sz w:val="16"/>
          <w:szCs w:val="16"/>
          <w:color w:val="auto"/>
        </w:rPr>
      </w:pPr>
      <w:r>
        <w:rPr>
          <w:rFonts w:ascii="Arial" w:cs="Arial" w:eastAsia="Arial" w:hAnsi="Arial"/>
          <w:sz w:val="18"/>
          <w:szCs w:val="18"/>
          <w:color w:val="auto"/>
        </w:rPr>
        <w:t>(i) 8,000,000 shares of Common Stock, or (ii) 1.5% of the outstanding shares of capital stock on such date, or (iii) an amount determined by the Board (provided that the amount approved by the Board shall not be greater than (i) or (ii)).</w:t>
      </w:r>
    </w:p>
    <w:p>
      <w:pPr>
        <w:spacing w:after="0" w:line="25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right="340" w:hanging="325"/>
        <w:spacing w:after="0" w:line="306" w:lineRule="auto"/>
        <w:tabs>
          <w:tab w:leader="none" w:pos="900" w:val="left"/>
        </w:tabs>
        <w:numPr>
          <w:ilvl w:val="0"/>
          <w:numId w:val="79"/>
        </w:numPr>
        <w:rPr>
          <w:rFonts w:ascii="Arial" w:cs="Arial" w:eastAsia="Arial" w:hAnsi="Arial"/>
          <w:sz w:val="16"/>
          <w:szCs w:val="16"/>
          <w:color w:val="auto"/>
        </w:rPr>
      </w:pPr>
      <w:r>
        <w:rPr>
          <w:rFonts w:ascii="Arial" w:cs="Arial" w:eastAsia="Arial" w:hAnsi="Arial"/>
          <w:sz w:val="16"/>
          <w:szCs w:val="16"/>
          <w:i w:val="1"/>
          <w:iCs w:val="1"/>
          <w:color w:val="auto"/>
        </w:rPr>
        <w:t>Employment of executive officers</w:t>
      </w:r>
      <w:r>
        <w:rPr>
          <w:rFonts w:ascii="Arial" w:cs="Arial" w:eastAsia="Arial" w:hAnsi="Arial"/>
          <w:sz w:val="16"/>
          <w:szCs w:val="16"/>
          <w:color w:val="auto"/>
        </w:rPr>
        <w:t>. Any employment by us of an executive officer if: (a) the related compensation is required to be reported in our</w:t>
      </w:r>
      <w:r>
        <w:rPr>
          <w:rFonts w:ascii="Arial" w:cs="Arial" w:eastAsia="Arial" w:hAnsi="Arial"/>
          <w:sz w:val="16"/>
          <w:szCs w:val="16"/>
          <w:i w:val="1"/>
          <w:iCs w:val="1"/>
          <w:color w:val="auto"/>
        </w:rPr>
        <w:t xml:space="preserve"> </w:t>
      </w:r>
      <w:r>
        <w:rPr>
          <w:rFonts w:ascii="Arial" w:cs="Arial" w:eastAsia="Arial" w:hAnsi="Arial"/>
          <w:sz w:val="16"/>
          <w:szCs w:val="16"/>
          <w:color w:val="auto"/>
        </w:rPr>
        <w:t>proxy statement under SEC compensation disclosure rules; or (b) the executive officer is not an immediate family member of another executive officer or director of our company, and the related compensation would have been reported in our proxy</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157</w:t>
      </w:r>
    </w:p>
    <w:p>
      <w:pPr>
        <w:sectPr>
          <w:pgSz w:w="11900" w:h="16838" w:orient="portrait"/>
          <w:cols w:equalWidth="0" w:num="1">
            <w:col w:w="11420"/>
          </w:cols>
          <w:pgMar w:left="240" w:top="460" w:right="239" w:bottom="1440" w:gutter="0" w:footer="0" w:header="0"/>
          <w:type w:val="continuous"/>
        </w:sectPr>
      </w:pPr>
    </w:p>
    <w:bookmarkStart w:id="159" w:name="page160"/>
    <w:bookmarkEnd w:id="1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960"/>
        <w:spacing w:after="0" w:line="268" w:lineRule="auto"/>
        <w:rPr>
          <w:sz w:val="20"/>
          <w:szCs w:val="20"/>
          <w:color w:val="auto"/>
        </w:rPr>
      </w:pPr>
      <w:r>
        <w:rPr>
          <w:rFonts w:ascii="Arial" w:cs="Arial" w:eastAsia="Arial" w:hAnsi="Arial"/>
          <w:sz w:val="18"/>
          <w:szCs w:val="18"/>
          <w:color w:val="auto"/>
        </w:rPr>
        <w:t>statement under SEC compensation disclosure rules if the executive officer was a “named executive officer,” and the ECC approved (or recommended that our board of directors approve) such compensation.</w:t>
      </w:r>
    </w:p>
    <w:p>
      <w:pPr>
        <w:spacing w:after="0" w:line="51" w:lineRule="exact"/>
        <w:rPr>
          <w:sz w:val="20"/>
          <w:szCs w:val="20"/>
          <w:color w:val="auto"/>
        </w:rPr>
      </w:pPr>
    </w:p>
    <w:p>
      <w:pPr>
        <w:ind w:left="900" w:right="560" w:hanging="325"/>
        <w:spacing w:after="0" w:line="268"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60" w:hanging="325"/>
        <w:spacing w:after="0" w:line="259"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40" w:hanging="325"/>
        <w:spacing w:after="0" w:line="259"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780" w:hanging="325"/>
        <w:spacing w:after="0" w:line="268"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which has been amended various times since its assumption by MIL to include additional technology beyond the scope of the original agreement and is renewable annually. MIL assumed this technology license agreement between VeriSilicon and UTStarcom, Inc. after our acquisition of the semiconductor business of UTStarcom in December 2005. In connection with all of its transactions with VeriSilicon, MIL paid $1.8 million to VeriSilicon during fiscal 2016. As of May 1, 2016, MIL had approximately $0.3 million of accrued liability to VeriSilicon. Ms. Dai’s brother (and Dr. Sutardja’s brother-in-law), Wayne Dai, is the Chairman, President and Chief Executive Officer of VeriSilicon. Ms. Dai is also a shareholder of VeriSilicon. Dr. Sutardja and Ms. Dai are members of our board of directors and were our Chief Executive Officer and President during fiscal 2016. Dr. Sutardja and Ms. Dai are husband and wife.</w:t>
      </w:r>
    </w:p>
    <w:p>
      <w:pPr>
        <w:spacing w:after="0" w:line="118"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$4.0 million to Vivante during fiscal 2016. As of May 1, 2016, MIL had approximately $1.4 million of accrued liability to Vivante. In January 2016, VeriSilicon completed the acquisition of Vivante. As a result of their ownership of and control of Estopia LLC and their existing shareholdings, Dr. Sutardja and Ms. Dai are now direct and indirect shareholders of VeriSilicon. In addition, as a result of the acquisition, Ms. Dai’s brother Weijin Dai, who was the Chief Executive Officer and member of the board of directors of Vivante is now an executive officer and board member of VeriSilicon. Dr. Sutardja who was Chairman of the board of directors of Vivante is not on the board of directors of VeriSilicon.</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158</w:t>
      </w:r>
    </w:p>
    <w:p>
      <w:pPr>
        <w:sectPr>
          <w:pgSz w:w="11900" w:h="16838" w:orient="portrait"/>
          <w:cols w:equalWidth="0" w:num="1">
            <w:col w:w="11400"/>
          </w:cols>
          <w:pgMar w:left="240" w:top="460" w:right="259" w:bottom="1440" w:gutter="0" w:footer="0" w:header="0"/>
        </w:sectPr>
      </w:pPr>
    </w:p>
    <w:bookmarkStart w:id="160" w:name="page161"/>
    <w:bookmarkEnd w:id="1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Indemnification Arrangements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Sutardja for reasonable fees and expenses that he may incur in a legal challenge of the determination that penalty taxes applied, based on the board’s finding that Dr. Sutardja was not involved in setting the terms of the relevant options and that we had in 2007 taken responsibility for and paid the penalty taxes under the Tax Codes that were incurred by other similarly situated Marvell employees who had exercised options in 2006. See “Executive Compensation — Key Fiscal 2016 Compensation Program Decisions — Other Compensation Arrangements” set forth in Part III, Item 11, in this Annual Report on Form 10-K.</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Director Independence</w:t>
      </w:r>
    </w:p>
    <w:p>
      <w:pPr>
        <w:spacing w:after="0" w:line="90"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Our board of directors has determined that, among our current directors, each of Mr. Feld, Mr. Khaykin, Mr. Switz, Dr. Gromer, Dr. Kassakian, Mr. Krueger, Mr. Strachan and Dr. Thakur are “independent” as such term is defined by the rules and regulations of the NASDAQ Stock Market (“Nasdaq”) and the rules and regulations of the SEC. Mr. Hill was determined not to be independent during the period in which he also serves as the Company’s Interim Principal Executive Officer. Once the Company’s Quarterly Report on Form 10-Q for the quarter ended July 30, 2016 is filed with the SEC, Mr. Murphy will assume the role of principal executive officer of the Company and Mr. Hill will resume his role as Chairman of the Board and be considered independent for purposes of Nasdaq and SEC rules and regulations.</w:t>
      </w:r>
    </w:p>
    <w:p>
      <w:pPr>
        <w:spacing w:after="0" w:line="144"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be considered independent, our board of directors must affirmatively determine that neither the director, nor any member of his or her immediate family, has had any direct or indirect material relationship with us within the previous three years. Our board of directors considered relationships, transactions and/or arrangements with each of the directors and concluded that none of the nine nonemployee directors, or any of his immediate family members, has or has had within the previous three years any relationship with us that would impair his independence.</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Deloitte &amp; Touche LLP (“Deloitte”) has been our auditors and independent registered public accounting firm for the financial statements commencing with the fiscal year ended January 30, 2016.</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Fees Paid to Deloitte &amp; Touche LLP</w:t>
      </w:r>
    </w:p>
    <w:p>
      <w:pPr>
        <w:spacing w:after="0" w:line="90" w:lineRule="exact"/>
        <w:rPr>
          <w:sz w:val="20"/>
          <w:szCs w:val="20"/>
          <w:color w:val="auto"/>
        </w:rPr>
      </w:pPr>
    </w:p>
    <w:p>
      <w:pPr>
        <w:ind w:right="860" w:firstLine="456"/>
        <w:spacing w:after="0" w:line="332" w:lineRule="auto"/>
        <w:rPr>
          <w:sz w:val="20"/>
          <w:szCs w:val="20"/>
          <w:color w:val="auto"/>
        </w:rPr>
      </w:pPr>
      <w:r>
        <w:rPr>
          <w:rFonts w:ascii="Arial" w:cs="Arial" w:eastAsia="Arial" w:hAnsi="Arial"/>
          <w:sz w:val="16"/>
          <w:szCs w:val="16"/>
          <w:color w:val="auto"/>
        </w:rPr>
        <w:t>In addition to retaining Deloitte to audit the consolidated financial statements for fiscal 2016, we have retained Deloitte to provide certain other professional services in fiscal 2016. The aggregate fees billed for fiscal 2016 for each of the following categories of services are as follows:</w:t>
      </w:r>
    </w:p>
    <w:p>
      <w:pPr>
        <w:spacing w:after="0" w:line="121" w:lineRule="exact"/>
        <w:rPr>
          <w:sz w:val="20"/>
          <w:szCs w:val="20"/>
          <w:color w:val="auto"/>
        </w:rPr>
      </w:pPr>
    </w:p>
    <w:tbl>
      <w:tblPr>
        <w:tblLayout w:type="fixed"/>
        <w:tblInd w:w="1840" w:type="dxa"/>
        <w:tblCellMar>
          <w:top w:w="0" w:type="dxa"/>
          <w:left w:w="0" w:type="dxa"/>
          <w:bottom w:w="0" w:type="dxa"/>
          <w:right w:w="0" w:type="dxa"/>
        </w:tblCellMar>
      </w:tblPr>
      <w:tr>
        <w:trPr>
          <w:trHeight w:val="181"/>
        </w:trPr>
        <w:tc>
          <w:tcPr>
            <w:tcW w:w="16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Fees Billed to the Company</w:t>
            </w:r>
          </w:p>
        </w:tc>
        <w:tc>
          <w:tcPr>
            <w:tcW w:w="49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980" w:type="dxa"/>
            <w:vAlign w:val="bottom"/>
            <w:gridSpan w:val="2"/>
          </w:tcPr>
          <w:p>
            <w:pPr>
              <w:ind w:left="40"/>
              <w:spacing w:after="0"/>
              <w:rPr>
                <w:sz w:val="20"/>
                <w:szCs w:val="20"/>
                <w:color w:val="auto"/>
              </w:rPr>
            </w:pPr>
            <w:r>
              <w:rPr>
                <w:rFonts w:ascii="Arial" w:cs="Arial" w:eastAsia="Arial" w:hAnsi="Arial"/>
                <w:sz w:val="14"/>
                <w:szCs w:val="14"/>
                <w:b w:val="1"/>
                <w:bCs w:val="1"/>
                <w:color w:val="auto"/>
              </w:rPr>
              <w:t>Fiscal 2016</w:t>
            </w:r>
          </w:p>
        </w:tc>
      </w:tr>
      <w:tr>
        <w:trPr>
          <w:trHeight w:val="203"/>
        </w:trPr>
        <w:tc>
          <w:tcPr>
            <w:tcW w:w="1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Audit fees (1)</w:t>
            </w:r>
          </w:p>
        </w:tc>
        <w:tc>
          <w:tcPr>
            <w:tcW w:w="49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13,598,256</w:t>
            </w: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1680" w:type="dxa"/>
            <w:vAlign w:val="bottom"/>
          </w:tcPr>
          <w:p>
            <w:pPr>
              <w:spacing w:after="0"/>
              <w:rPr>
                <w:sz w:val="20"/>
                <w:szCs w:val="20"/>
                <w:color w:val="auto"/>
              </w:rPr>
            </w:pPr>
            <w:r>
              <w:rPr>
                <w:rFonts w:ascii="Arial" w:cs="Arial" w:eastAsia="Arial" w:hAnsi="Arial"/>
                <w:sz w:val="18"/>
                <w:szCs w:val="18"/>
                <w:color w:val="auto"/>
              </w:rPr>
              <w:t>Tax fees (2)</w:t>
            </w:r>
          </w:p>
        </w:tc>
        <w:tc>
          <w:tcPr>
            <w:tcW w:w="4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106,770</w:t>
            </w:r>
          </w:p>
        </w:tc>
        <w:tc>
          <w:tcPr>
            <w:tcW w:w="120" w:type="dxa"/>
            <w:vAlign w:val="bottom"/>
          </w:tcPr>
          <w:p>
            <w:pPr>
              <w:spacing w:after="0"/>
              <w:rPr>
                <w:sz w:val="18"/>
                <w:szCs w:val="18"/>
                <w:color w:val="auto"/>
              </w:rPr>
            </w:pPr>
          </w:p>
        </w:tc>
      </w:tr>
      <w:tr>
        <w:trPr>
          <w:trHeight w:val="216"/>
        </w:trPr>
        <w:tc>
          <w:tcPr>
            <w:tcW w:w="1680" w:type="dxa"/>
            <w:vAlign w:val="bottom"/>
            <w:shd w:val="clear" w:color="auto" w:fill="CCEEFF"/>
          </w:tcPr>
          <w:p>
            <w:pPr>
              <w:spacing w:after="0"/>
              <w:rPr>
                <w:sz w:val="20"/>
                <w:szCs w:val="20"/>
                <w:color w:val="auto"/>
              </w:rPr>
            </w:pPr>
            <w:r>
              <w:rPr>
                <w:rFonts w:ascii="Arial" w:cs="Arial" w:eastAsia="Arial" w:hAnsi="Arial"/>
                <w:sz w:val="18"/>
                <w:szCs w:val="18"/>
                <w:color w:val="auto"/>
              </w:rPr>
              <w:t>All other fees (3)</w:t>
            </w:r>
          </w:p>
        </w:tc>
        <w:tc>
          <w:tcPr>
            <w:tcW w:w="49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16,300</w:t>
            </w:r>
          </w:p>
        </w:tc>
        <w:tc>
          <w:tcPr>
            <w:tcW w:w="120" w:type="dxa"/>
            <w:vAlign w:val="bottom"/>
            <w:shd w:val="clear" w:color="auto" w:fill="CCEEFF"/>
          </w:tcPr>
          <w:p>
            <w:pPr>
              <w:spacing w:after="0"/>
              <w:rPr>
                <w:sz w:val="18"/>
                <w:szCs w:val="18"/>
                <w:color w:val="auto"/>
              </w:rPr>
            </w:pPr>
          </w:p>
        </w:tc>
      </w:tr>
      <w:tr>
        <w:trPr>
          <w:trHeight w:val="221"/>
        </w:trPr>
        <w:tc>
          <w:tcPr>
            <w:tcW w:w="1680" w:type="dxa"/>
            <w:vAlign w:val="bottom"/>
          </w:tcPr>
          <w:p>
            <w:pPr>
              <w:spacing w:after="0"/>
              <w:rPr>
                <w:sz w:val="20"/>
                <w:szCs w:val="20"/>
                <w:color w:val="auto"/>
              </w:rPr>
            </w:pPr>
            <w:r>
              <w:rPr>
                <w:rFonts w:ascii="Arial" w:cs="Arial" w:eastAsia="Arial" w:hAnsi="Arial"/>
                <w:sz w:val="18"/>
                <w:szCs w:val="18"/>
                <w:b w:val="1"/>
                <w:bCs w:val="1"/>
                <w:color w:val="auto"/>
              </w:rPr>
              <w:t>Total Fees</w:t>
            </w:r>
          </w:p>
        </w:tc>
        <w:tc>
          <w:tcPr>
            <w:tcW w:w="51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w w:val="93"/>
              </w:rPr>
              <w:t>13,721,326</w:t>
            </w:r>
          </w:p>
        </w:tc>
        <w:tc>
          <w:tcPr>
            <w:tcW w:w="120" w:type="dxa"/>
            <w:vAlign w:val="bottom"/>
          </w:tcPr>
          <w:p>
            <w:pPr>
              <w:spacing w:after="0"/>
              <w:rPr>
                <w:sz w:val="19"/>
                <w:szCs w:val="19"/>
                <w:color w:val="auto"/>
              </w:rPr>
            </w:pPr>
          </w:p>
        </w:tc>
      </w:tr>
      <w:tr>
        <w:trPr>
          <w:trHeight w:val="365"/>
        </w:trPr>
        <w:tc>
          <w:tcPr>
            <w:tcW w:w="1680" w:type="dxa"/>
            <w:vAlign w:val="bottom"/>
          </w:tcPr>
          <w:p>
            <w:pPr>
              <w:spacing w:after="0"/>
              <w:rPr>
                <w:sz w:val="24"/>
                <w:szCs w:val="24"/>
                <w:color w:val="auto"/>
              </w:rPr>
            </w:pPr>
          </w:p>
        </w:tc>
        <w:tc>
          <w:tcPr>
            <w:tcW w:w="4980" w:type="dxa"/>
            <w:vAlign w:val="bottom"/>
          </w:tcPr>
          <w:p>
            <w:pPr>
              <w:jc w:val="right"/>
              <w:ind w:right="2572"/>
              <w:spacing w:after="0"/>
              <w:rPr>
                <w:sz w:val="20"/>
                <w:szCs w:val="20"/>
                <w:color w:val="auto"/>
              </w:rPr>
            </w:pPr>
            <w:r>
              <w:rPr>
                <w:rFonts w:ascii="Arial" w:cs="Arial" w:eastAsia="Arial" w:hAnsi="Arial"/>
                <w:sz w:val="18"/>
                <w:szCs w:val="18"/>
                <w:color w:val="auto"/>
              </w:rPr>
              <w:t>159</w:t>
            </w:r>
          </w:p>
        </w:tc>
        <w:tc>
          <w:tcPr>
            <w:tcW w:w="1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20" w:type="dxa"/>
            <w:vAlign w:val="bottom"/>
          </w:tcPr>
          <w:p>
            <w:pPr>
              <w:spacing w:after="0"/>
              <w:rPr>
                <w:sz w:val="24"/>
                <w:szCs w:val="24"/>
                <w:color w:val="auto"/>
              </w:rPr>
            </w:pPr>
          </w:p>
        </w:tc>
      </w:tr>
    </w:tbl>
    <w:p>
      <w:pPr>
        <w:sectPr>
          <w:pgSz w:w="11900" w:h="16838" w:orient="portrait"/>
          <w:cols w:equalWidth="0" w:num="1">
            <w:col w:w="11400"/>
          </w:cols>
          <w:pgMar w:left="240" w:top="460" w:right="259" w:bottom="1440" w:gutter="0" w:footer="0" w:header="0"/>
        </w:sectPr>
      </w:pPr>
    </w:p>
    <w:bookmarkStart w:id="161" w:name="page162"/>
    <w:bookmarkEnd w:id="1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right="80" w:hanging="452"/>
        <w:spacing w:after="0" w:line="254" w:lineRule="auto"/>
        <w:tabs>
          <w:tab w:leader="none" w:pos="4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Includes fees for audit services rendered for the audit of our annual financial statements, review of financial statements included in our quarterly reports on Form 10-Q and services that were provided in connection with statutory and regulatory filings or engagements.</w:t>
      </w:r>
    </w:p>
    <w:p>
      <w:pPr>
        <w:ind w:left="460" w:hanging="452"/>
        <w:spacing w:after="0"/>
        <w:tabs>
          <w:tab w:leader="none" w:pos="4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9" w:lineRule="exact"/>
        <w:rPr>
          <w:rFonts w:ascii="Arial" w:cs="Arial" w:eastAsia="Arial" w:hAnsi="Arial"/>
          <w:sz w:val="18"/>
          <w:szCs w:val="18"/>
          <w:color w:val="auto"/>
        </w:rPr>
      </w:pPr>
    </w:p>
    <w:p>
      <w:pPr>
        <w:ind w:left="460" w:right="740" w:hanging="452"/>
        <w:spacing w:after="0" w:line="261" w:lineRule="auto"/>
        <w:tabs>
          <w:tab w:leader="none" w:pos="4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18"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b w:val="1"/>
          <w:bCs w:val="1"/>
          <w:i w:val="1"/>
          <w:iCs w:val="1"/>
          <w:color w:val="auto"/>
        </w:rPr>
        <w:t>Fees Paid to PricewaterhouseCoopers LLP</w:t>
      </w:r>
    </w:p>
    <w:p>
      <w:pPr>
        <w:spacing w:after="0" w:line="90" w:lineRule="exact"/>
        <w:rPr>
          <w:sz w:val="20"/>
          <w:szCs w:val="20"/>
          <w:color w:val="auto"/>
        </w:rPr>
      </w:pPr>
    </w:p>
    <w:p>
      <w:pPr>
        <w:jc w:val="both"/>
        <w:ind w:right="460" w:firstLine="456"/>
        <w:spacing w:after="0" w:line="298" w:lineRule="auto"/>
        <w:rPr>
          <w:sz w:val="20"/>
          <w:szCs w:val="20"/>
          <w:color w:val="auto"/>
        </w:rPr>
      </w:pPr>
      <w:r>
        <w:rPr>
          <w:rFonts w:ascii="Arial" w:cs="Arial" w:eastAsia="Arial" w:hAnsi="Arial"/>
          <w:sz w:val="16"/>
          <w:szCs w:val="16"/>
          <w:color w:val="auto"/>
        </w:rPr>
        <w:t>PricewaterhouseCoopers were our auditors and independent registered public accounting firm for the financial statements for each year from the year ended January 31, 1998 through the fiscal year ended January 31, 2015. In addition to retaining PricewaterhouseCoopers to audit the consolidated financial statements for fiscal 2015, we retained PricewaterhouseCoopers to provide certain other professional services in fiscal 2015 and for a portion of fiscal 2016 during which they provided certain services in connection with our transition from PricewaterhouseCoopers to Deloitte and Touche.</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aggregate fees billed for all services by PricewaterhouseCoopers in fiscal 2015 and fiscal 2016 were as follows: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1680" w:type="dxa"/>
            <w:vAlign w:val="bottom"/>
            <w:gridSpan w:val="2"/>
          </w:tcPr>
          <w:p>
            <w:pPr>
              <w:spacing w:after="0"/>
              <w:rPr>
                <w:sz w:val="20"/>
                <w:szCs w:val="20"/>
                <w:color w:val="auto"/>
              </w:rPr>
            </w:pPr>
            <w:r>
              <w:rPr>
                <w:rFonts w:ascii="Arial" w:cs="Arial" w:eastAsia="Arial" w:hAnsi="Arial"/>
                <w:sz w:val="14"/>
                <w:szCs w:val="14"/>
                <w:b w:val="1"/>
                <w:bCs w:val="1"/>
                <w:color w:val="auto"/>
                <w:w w:val="90"/>
              </w:rPr>
              <w:t>Fees Billed to the Company</w:t>
            </w:r>
          </w:p>
        </w:tc>
        <w:tc>
          <w:tcPr>
            <w:tcW w:w="7560" w:type="dxa"/>
            <w:vAlign w:val="bottom"/>
          </w:tcPr>
          <w:p>
            <w:pPr>
              <w:spacing w:after="0"/>
              <w:rPr>
                <w:sz w:val="15"/>
                <w:szCs w:val="15"/>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6"/>
              </w:rPr>
              <w:t>Fiscal 2016</w:t>
            </w:r>
          </w:p>
        </w:tc>
        <w:tc>
          <w:tcPr>
            <w:tcW w:w="200" w:type="dxa"/>
            <w:vAlign w:val="bottom"/>
          </w:tcPr>
          <w:p>
            <w:pPr>
              <w:spacing w:after="0"/>
              <w:rPr>
                <w:sz w:val="15"/>
                <w:szCs w:val="15"/>
                <w:color w:val="auto"/>
              </w:rPr>
            </w:pPr>
          </w:p>
        </w:tc>
        <w:tc>
          <w:tcPr>
            <w:tcW w:w="940" w:type="dxa"/>
            <w:vAlign w:val="bottom"/>
            <w:gridSpan w:val="2"/>
          </w:tcPr>
          <w:p>
            <w:pPr>
              <w:ind w:left="100"/>
              <w:spacing w:after="0"/>
              <w:rPr>
                <w:sz w:val="20"/>
                <w:szCs w:val="20"/>
                <w:color w:val="auto"/>
              </w:rPr>
            </w:pPr>
            <w:r>
              <w:rPr>
                <w:rFonts w:ascii="Arial" w:cs="Arial" w:eastAsia="Arial" w:hAnsi="Arial"/>
                <w:sz w:val="14"/>
                <w:szCs w:val="14"/>
                <w:b w:val="1"/>
                <w:bCs w:val="1"/>
                <w:color w:val="auto"/>
              </w:rPr>
              <w:t>Fiscal 2015</w:t>
            </w:r>
          </w:p>
        </w:tc>
      </w:tr>
      <w:tr>
        <w:trPr>
          <w:trHeight w:val="203"/>
        </w:trPr>
        <w:tc>
          <w:tcPr>
            <w:tcW w:w="20" w:type="dxa"/>
            <w:vAlign w:val="bottom"/>
          </w:tcPr>
          <w:p>
            <w:pPr>
              <w:spacing w:after="0"/>
              <w:rPr>
                <w:sz w:val="17"/>
                <w:szCs w:val="17"/>
                <w:color w:val="auto"/>
              </w:rPr>
            </w:pPr>
          </w:p>
        </w:tc>
        <w:tc>
          <w:tcPr>
            <w:tcW w:w="166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Audit fees (1)</w:t>
            </w:r>
          </w:p>
        </w:tc>
        <w:tc>
          <w:tcPr>
            <w:tcW w:w="756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$ 1,649,846</w:t>
            </w: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$ 2,679,640</w:t>
            </w: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1660" w:type="dxa"/>
            <w:vAlign w:val="bottom"/>
          </w:tcPr>
          <w:p>
            <w:pPr>
              <w:spacing w:after="0"/>
              <w:rPr>
                <w:sz w:val="20"/>
                <w:szCs w:val="20"/>
                <w:color w:val="auto"/>
              </w:rPr>
            </w:pPr>
            <w:r>
              <w:rPr>
                <w:rFonts w:ascii="Arial" w:cs="Arial" w:eastAsia="Arial" w:hAnsi="Arial"/>
                <w:sz w:val="18"/>
                <w:szCs w:val="18"/>
                <w:color w:val="auto"/>
                <w:w w:val="98"/>
              </w:rPr>
              <w:t>Audit related fees (2)</w:t>
            </w:r>
          </w:p>
        </w:tc>
        <w:tc>
          <w:tcPr>
            <w:tcW w:w="8600" w:type="dxa"/>
            <w:vAlign w:val="bottom"/>
            <w:gridSpan w:val="3"/>
          </w:tcPr>
          <w:p>
            <w:pPr>
              <w:jc w:val="right"/>
              <w:ind w:right="220"/>
              <w:spacing w:after="0"/>
              <w:rPr>
                <w:sz w:val="20"/>
                <w:szCs w:val="20"/>
                <w:color w:val="auto"/>
              </w:rPr>
            </w:pPr>
            <w:r>
              <w:rPr>
                <w:rFonts w:ascii="Arial" w:cs="Arial" w:eastAsia="Arial" w:hAnsi="Arial"/>
                <w:sz w:val="18"/>
                <w:szCs w:val="18"/>
                <w:color w:val="auto"/>
              </w:rPr>
              <w:t>10,278</w:t>
            </w:r>
          </w:p>
        </w:tc>
        <w:tc>
          <w:tcPr>
            <w:tcW w:w="1140" w:type="dxa"/>
            <w:vAlign w:val="bottom"/>
            <w:gridSpan w:val="3"/>
          </w:tcPr>
          <w:p>
            <w:pPr>
              <w:jc w:val="right"/>
              <w:ind w:right="100"/>
              <w:spacing w:after="0"/>
              <w:rPr>
                <w:sz w:val="20"/>
                <w:szCs w:val="20"/>
                <w:color w:val="auto"/>
              </w:rPr>
            </w:pPr>
            <w:r>
              <w:rPr>
                <w:rFonts w:ascii="Arial" w:cs="Arial" w:eastAsia="Arial" w:hAnsi="Arial"/>
                <w:sz w:val="18"/>
                <w:szCs w:val="18"/>
                <w:color w:val="auto"/>
              </w:rPr>
              <w:t>29,171</w:t>
            </w:r>
          </w:p>
        </w:tc>
      </w:tr>
      <w:tr>
        <w:trPr>
          <w:trHeight w:val="216"/>
        </w:trPr>
        <w:tc>
          <w:tcPr>
            <w:tcW w:w="20" w:type="dxa"/>
            <w:vAlign w:val="bottom"/>
          </w:tcPr>
          <w:p>
            <w:pPr>
              <w:spacing w:after="0"/>
              <w:rPr>
                <w:sz w:val="18"/>
                <w:szCs w:val="18"/>
                <w:color w:val="auto"/>
              </w:rPr>
            </w:pPr>
          </w:p>
        </w:tc>
        <w:tc>
          <w:tcPr>
            <w:tcW w:w="1660" w:type="dxa"/>
            <w:vAlign w:val="bottom"/>
            <w:shd w:val="clear" w:color="auto" w:fill="CCEEFF"/>
          </w:tcPr>
          <w:p>
            <w:pPr>
              <w:spacing w:after="0"/>
              <w:rPr>
                <w:sz w:val="20"/>
                <w:szCs w:val="20"/>
                <w:color w:val="auto"/>
              </w:rPr>
            </w:pPr>
            <w:r>
              <w:rPr>
                <w:rFonts w:ascii="Arial" w:cs="Arial" w:eastAsia="Arial" w:hAnsi="Arial"/>
                <w:sz w:val="18"/>
                <w:szCs w:val="18"/>
                <w:color w:val="auto"/>
              </w:rPr>
              <w:t>Tax fees (3)</w:t>
            </w:r>
          </w:p>
        </w:tc>
        <w:tc>
          <w:tcPr>
            <w:tcW w:w="86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111,581</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80,173</w:t>
            </w:r>
          </w:p>
        </w:tc>
      </w:tr>
      <w:tr>
        <w:trPr>
          <w:trHeight w:val="223"/>
        </w:trPr>
        <w:tc>
          <w:tcPr>
            <w:tcW w:w="20" w:type="dxa"/>
            <w:vAlign w:val="bottom"/>
          </w:tcPr>
          <w:p>
            <w:pPr>
              <w:spacing w:after="0"/>
              <w:rPr>
                <w:sz w:val="19"/>
                <w:szCs w:val="19"/>
                <w:color w:val="auto"/>
              </w:rPr>
            </w:pPr>
          </w:p>
        </w:tc>
        <w:tc>
          <w:tcPr>
            <w:tcW w:w="1660" w:type="dxa"/>
            <w:vAlign w:val="bottom"/>
          </w:tcPr>
          <w:p>
            <w:pPr>
              <w:spacing w:after="0"/>
              <w:rPr>
                <w:sz w:val="20"/>
                <w:szCs w:val="20"/>
                <w:color w:val="auto"/>
              </w:rPr>
            </w:pPr>
            <w:r>
              <w:rPr>
                <w:rFonts w:ascii="Arial" w:cs="Arial" w:eastAsia="Arial" w:hAnsi="Arial"/>
                <w:sz w:val="18"/>
                <w:szCs w:val="18"/>
                <w:color w:val="auto"/>
              </w:rPr>
              <w:t>All other fees (4)</w:t>
            </w:r>
          </w:p>
        </w:tc>
        <w:tc>
          <w:tcPr>
            <w:tcW w:w="7560" w:type="dxa"/>
            <w:vAlign w:val="bottom"/>
          </w:tcPr>
          <w:p>
            <w:pPr>
              <w:spacing w:after="0"/>
              <w:rPr>
                <w:sz w:val="19"/>
                <w:szCs w:val="19"/>
                <w:color w:val="auto"/>
              </w:rPr>
            </w:pPr>
          </w:p>
        </w:tc>
        <w:tc>
          <w:tcPr>
            <w:tcW w:w="820" w:type="dxa"/>
            <w:vAlign w:val="bottom"/>
            <w:tcBorders>
              <w:bottom w:val="single" w:sz="8" w:color="auto"/>
            </w:tcBorders>
          </w:tcPr>
          <w:p>
            <w:pPr>
              <w:jc w:val="right"/>
              <w:ind w:right="19"/>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16,800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1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 Fees</w:t>
            </w:r>
          </w:p>
        </w:tc>
        <w:tc>
          <w:tcPr>
            <w:tcW w:w="86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b w:val="1"/>
                <w:bCs w:val="1"/>
                <w:color w:val="auto"/>
              </w:rPr>
              <w:t>$ 1,771,705</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$ 2,805,784</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140" w:hanging="452"/>
        <w:spacing w:after="0" w:line="254" w:lineRule="auto"/>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Includes fees for audit services rendered for the audit of our annual financial statements, review of financial statement included in our quarterly reports on Form 10-Q and services that were provided in connection with statutory and regulatory filings or engagements.</w:t>
      </w:r>
    </w:p>
    <w:p>
      <w:pPr>
        <w:ind w:left="460" w:right="360" w:hanging="452"/>
        <w:spacing w:after="0" w:line="250" w:lineRule="auto"/>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Includes fees which are for assurance and related services other those included in audit fees above. These services included procedures to support local statutory requirements and certain due diligence related to acquisitions.</w:t>
      </w:r>
    </w:p>
    <w:p>
      <w:pPr>
        <w:ind w:left="460" w:hanging="452"/>
        <w:spacing w:after="0"/>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9" w:lineRule="exact"/>
        <w:rPr>
          <w:rFonts w:ascii="Arial" w:cs="Arial" w:eastAsia="Arial" w:hAnsi="Arial"/>
          <w:sz w:val="18"/>
          <w:szCs w:val="18"/>
          <w:color w:val="auto"/>
        </w:rPr>
      </w:pPr>
    </w:p>
    <w:p>
      <w:pPr>
        <w:ind w:left="460" w:right="740" w:hanging="452"/>
        <w:spacing w:after="0" w:line="261" w:lineRule="auto"/>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engagement of Deloitte for non-audit accounting and tax services performed for us is limited to those circumstances where these services are considered integral to the audit services that Deloitte provides or in which there is another compelling rationale for using its services. Pursuant to the Sarbanes-Oxley Act of 2002, all audit and permitted non-audit services for which the company engages Deloitte require pre-approval by the audit committee. All audit and permitted non-audit service fees were approved by the audit committee.</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Section 10A(i)(3) of the Securities Exchange Act of 1934 permits an audit committee to delegate to one or more designated members of the audit committee who are independent directors of the board of directors the authority to grant preapprovals required by such Section 10A(i). In February 2016, the audit committee approved a policy that allows the chairman of the audit committee to pre-approve audit and non-audit services to be provided by Deloitte without further approval of the full committee, on a case-by-case basis, provided the fees and expenses for such services do not exceed $250,000 per engagement and that all such pre-approvals are communicated to the full committee, for informational purposes only, at its next scheduled meeting.</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160</w:t>
      </w:r>
    </w:p>
    <w:p>
      <w:pPr>
        <w:sectPr>
          <w:pgSz w:w="11900" w:h="16838" w:orient="portrait"/>
          <w:cols w:equalWidth="0" w:num="1">
            <w:col w:w="11420"/>
          </w:cols>
          <w:pgMar w:left="240" w:top="459" w:right="239" w:bottom="1440" w:gutter="0" w:footer="0" w:header="0"/>
        </w:sectPr>
      </w:pPr>
    </w:p>
    <w:bookmarkStart w:id="162" w:name="page163"/>
    <w:bookmarkEnd w:id="1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96" w:lineRule="exact"/>
        <w:rPr>
          <w:sz w:val="20"/>
          <w:szCs w:val="20"/>
          <w:color w:val="auto"/>
        </w:rPr>
      </w:pPr>
    </w:p>
    <w:p>
      <w:pPr>
        <w:ind w:left="900" w:hanging="446"/>
        <w:spacing w:after="0"/>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90" w:lineRule="exact"/>
        <w:rPr>
          <w:sz w:val="20"/>
          <w:szCs w:val="20"/>
          <w:color w:val="auto"/>
        </w:rPr>
      </w:pPr>
    </w:p>
    <w:p>
      <w:pPr>
        <w:ind w:left="900" w:hanging="446"/>
        <w:spacing w:after="0"/>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387" w:lineRule="exact"/>
        <w:rPr>
          <w:sz w:val="20"/>
          <w:szCs w:val="20"/>
          <w:color w:val="auto"/>
        </w:rPr>
      </w:pPr>
    </w:p>
    <w:p>
      <w:pPr>
        <w:ind w:left="900" w:hanging="446"/>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i w:val="1"/>
          <w:iCs w:val="1"/>
          <w:color w:val="auto"/>
        </w:rPr>
        <w:t>Financial Statement Schedule: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“Schedule II — Valuation and Qualifying Accounts” on page 164 of this Annual Report on Form 10-K:</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Annual Report on Form 10-K.</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161</w:t>
      </w:r>
    </w:p>
    <w:p>
      <w:pPr>
        <w:sectPr>
          <w:pgSz w:w="11900" w:h="16838" w:orient="portrait"/>
          <w:cols w:equalWidth="0" w:num="1">
            <w:col w:w="11060"/>
          </w:cols>
          <w:pgMar w:left="240" w:top="460" w:right="599" w:bottom="1440" w:gutter="0" w:footer="0" w:header="0"/>
        </w:sectPr>
      </w:pPr>
    </w:p>
    <w:bookmarkStart w:id="163" w:name="page164"/>
    <w:bookmarkEnd w:id="1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spacing w:after="0"/>
        <w:tabs>
          <w:tab w:leader="none" w:pos="5460" w:val="left"/>
          <w:tab w:leader="none" w:pos="7800" w:val="left"/>
          <w:tab w:leader="none" w:pos="8160" w:val="left"/>
        </w:tabs>
        <w:rPr>
          <w:sz w:val="20"/>
          <w:szCs w:val="20"/>
          <w:color w:val="auto"/>
        </w:rPr>
      </w:pPr>
      <w:r>
        <w:rPr>
          <w:rFonts w:ascii="Arial" w:cs="Arial" w:eastAsia="Arial" w:hAnsi="Arial"/>
          <w:sz w:val="18"/>
          <w:szCs w:val="18"/>
          <w:color w:val="auto"/>
        </w:rPr>
        <w:t>Dated: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AVID</w:t>
      </w:r>
      <w:r>
        <w:rPr>
          <w:rFonts w:ascii="Arial" w:cs="Arial" w:eastAsia="Arial" w:hAnsi="Arial"/>
          <w:sz w:val="16"/>
          <w:szCs w:val="16"/>
          <w:color w:val="auto"/>
        </w:rPr>
        <w:t xml:space="preserve"> P. E</w:t>
      </w:r>
      <w:r>
        <w:rPr>
          <w:rFonts w:ascii="Arial" w:cs="Arial" w:eastAsia="Arial" w:hAnsi="Arial"/>
          <w:sz w:val="13"/>
          <w:szCs w:val="13"/>
          <w:color w:val="auto"/>
        </w:rPr>
        <w:t>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3838575</wp:posOffset>
            </wp:positionH>
            <wp:positionV relativeFrom="paragraph">
              <wp:posOffset>10795</wp:posOffset>
            </wp:positionV>
            <wp:extent cx="3413125" cy="889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jc w:val="center"/>
        <w:ind w:left="6180"/>
        <w:spacing w:after="0"/>
        <w:rPr>
          <w:sz w:val="20"/>
          <w:szCs w:val="20"/>
          <w:color w:val="auto"/>
        </w:rPr>
      </w:pPr>
      <w:r>
        <w:rPr>
          <w:rFonts w:ascii="Arial" w:cs="Arial" w:eastAsia="Arial" w:hAnsi="Arial"/>
          <w:sz w:val="14"/>
          <w:szCs w:val="14"/>
          <w:b w:val="1"/>
          <w:bCs w:val="1"/>
          <w:color w:val="auto"/>
        </w:rPr>
        <w:t>David P. Eichler</w:t>
      </w:r>
    </w:p>
    <w:p>
      <w:pPr>
        <w:jc w:val="center"/>
        <w:ind w:left="6180"/>
        <w:spacing w:after="0" w:line="223" w:lineRule="auto"/>
        <w:rPr>
          <w:sz w:val="20"/>
          <w:szCs w:val="20"/>
          <w:color w:val="auto"/>
        </w:rPr>
      </w:pPr>
      <w:r>
        <w:rPr>
          <w:rFonts w:ascii="Arial" w:cs="Arial" w:eastAsia="Arial" w:hAnsi="Arial"/>
          <w:sz w:val="14"/>
          <w:szCs w:val="14"/>
          <w:b w:val="1"/>
          <w:bCs w:val="1"/>
          <w:i w:val="1"/>
          <w:iCs w:val="1"/>
          <w:color w:val="auto"/>
        </w:rPr>
        <w:t>Interim Chief Financial Officer</w:t>
      </w:r>
    </w:p>
    <w:p>
      <w:pPr>
        <w:jc w:val="center"/>
        <w:ind w:left="6180"/>
        <w:spacing w:after="0"/>
        <w:rPr>
          <w:sz w:val="20"/>
          <w:szCs w:val="20"/>
          <w:color w:val="auto"/>
        </w:rPr>
      </w:pPr>
      <w:r>
        <w:rPr>
          <w:rFonts w:ascii="Arial" w:cs="Arial" w:eastAsia="Arial" w:hAnsi="Arial"/>
          <w:sz w:val="14"/>
          <w:szCs w:val="14"/>
          <w:b w:val="1"/>
          <w:bCs w:val="1"/>
          <w:color w:val="auto"/>
        </w:rPr>
        <w:t>(Principal Financial Officer)</w:t>
      </w:r>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Richard S. Hill and David P. Eichler, and each of them individually, as his or her attorney-in-fact, each with full power of substitution, for him or her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143"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8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7"/>
              </w:rPr>
              <w:t>Name and Signature</w:t>
            </w:r>
          </w:p>
        </w:tc>
        <w:tc>
          <w:tcPr>
            <w:tcW w:w="16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23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Date</w:t>
            </w:r>
          </w:p>
        </w:tc>
        <w:tc>
          <w:tcPr>
            <w:tcW w:w="320" w:type="dxa"/>
            <w:vAlign w:val="bottom"/>
          </w:tcPr>
          <w:p>
            <w:pPr>
              <w:spacing w:after="0"/>
              <w:rPr>
                <w:sz w:val="14"/>
                <w:szCs w:val="14"/>
                <w:color w:val="auto"/>
              </w:rPr>
            </w:pPr>
          </w:p>
        </w:tc>
      </w:tr>
      <w:tr>
        <w:trPr>
          <w:trHeight w:val="424"/>
        </w:trPr>
        <w:tc>
          <w:tcPr>
            <w:tcW w:w="1700" w:type="dxa"/>
            <w:vAlign w:val="bottom"/>
            <w:tcBorders>
              <w:bottom w:val="single" w:sz="8" w:color="auto"/>
            </w:tcBorders>
            <w:gridSpan w:val="2"/>
          </w:tcPr>
          <w:p>
            <w:pPr>
              <w:ind w:left="1500"/>
              <w:spacing w:after="0"/>
              <w:rPr>
                <w:sz w:val="20"/>
                <w:szCs w:val="20"/>
                <w:color w:val="auto"/>
              </w:rPr>
            </w:pPr>
            <w:r>
              <w:rPr>
                <w:rFonts w:ascii="Arial" w:cs="Arial" w:eastAsia="Arial" w:hAnsi="Arial"/>
                <w:sz w:val="18"/>
                <w:szCs w:val="18"/>
                <w:color w:val="auto"/>
                <w:w w:val="92"/>
              </w:rPr>
              <w:t>/</w:t>
            </w:r>
            <w:r>
              <w:rPr>
                <w:rFonts w:ascii="Arial" w:cs="Arial" w:eastAsia="Arial" w:hAnsi="Arial"/>
                <w:sz w:val="14"/>
                <w:szCs w:val="14"/>
                <w:color w:val="auto"/>
                <w:w w:val="92"/>
              </w:rPr>
              <w:t>S</w:t>
            </w:r>
            <w:r>
              <w:rPr>
                <w:rFonts w:ascii="Arial" w:cs="Arial" w:eastAsia="Arial" w:hAnsi="Arial"/>
                <w:sz w:val="18"/>
                <w:szCs w:val="18"/>
                <w:color w:val="auto"/>
                <w:w w:val="92"/>
              </w:rPr>
              <w:t>/</w:t>
            </w:r>
          </w:p>
        </w:tc>
        <w:tc>
          <w:tcPr>
            <w:tcW w:w="2920" w:type="dxa"/>
            <w:vAlign w:val="bottom"/>
            <w:tcBorders>
              <w:bottom w:val="single" w:sz="8" w:color="auto"/>
            </w:tcBorders>
            <w:gridSpan w:val="3"/>
          </w:tcPr>
          <w:p>
            <w:pPr>
              <w:jc w:val="center"/>
              <w:ind w:right="1340"/>
              <w:spacing w:after="0"/>
              <w:rPr>
                <w:sz w:val="20"/>
                <w:szCs w:val="20"/>
                <w:color w:val="auto"/>
              </w:rPr>
            </w:pPr>
            <w:r>
              <w:rPr>
                <w:rFonts w:ascii="Arial" w:cs="Arial" w:eastAsia="Arial" w:hAnsi="Arial"/>
                <w:sz w:val="18"/>
                <w:szCs w:val="18"/>
                <w:color w:val="auto"/>
                <w:w w:val="99"/>
              </w:rPr>
              <w:t>R</w:t>
            </w:r>
            <w:r>
              <w:rPr>
                <w:rFonts w:ascii="Arial" w:cs="Arial" w:eastAsia="Arial" w:hAnsi="Arial"/>
                <w:sz w:val="14"/>
                <w:szCs w:val="14"/>
                <w:color w:val="auto"/>
                <w:w w:val="99"/>
              </w:rPr>
              <w:t>ICHARD</w:t>
            </w:r>
            <w:r>
              <w:rPr>
                <w:rFonts w:ascii="Arial" w:cs="Arial" w:eastAsia="Arial" w:hAnsi="Arial"/>
                <w:sz w:val="18"/>
                <w:szCs w:val="18"/>
                <w:color w:val="auto"/>
                <w:w w:val="99"/>
              </w:rPr>
              <w:t xml:space="preserve"> S. H</w:t>
            </w:r>
            <w:r>
              <w:rPr>
                <w:rFonts w:ascii="Arial" w:cs="Arial" w:eastAsia="Arial" w:hAnsi="Arial"/>
                <w:sz w:val="14"/>
                <w:szCs w:val="14"/>
                <w:color w:val="auto"/>
                <w:w w:val="99"/>
              </w:rPr>
              <w:t>ILL</w:t>
            </w:r>
          </w:p>
        </w:tc>
        <w:tc>
          <w:tcPr>
            <w:tcW w:w="4780" w:type="dxa"/>
            <w:vAlign w:val="bottom"/>
            <w:gridSpan w:val="3"/>
          </w:tcPr>
          <w:p>
            <w:pPr>
              <w:jc w:val="center"/>
              <w:ind w:right="180"/>
              <w:spacing w:after="0"/>
              <w:rPr>
                <w:sz w:val="20"/>
                <w:szCs w:val="20"/>
                <w:color w:val="auto"/>
              </w:rPr>
            </w:pPr>
            <w:r>
              <w:rPr>
                <w:rFonts w:ascii="Arial" w:cs="Arial" w:eastAsia="Arial" w:hAnsi="Arial"/>
                <w:sz w:val="18"/>
                <w:szCs w:val="18"/>
                <w:color w:val="auto"/>
                <w:w w:val="88"/>
              </w:rPr>
              <w:t>Chairman of the Board</w:t>
            </w:r>
          </w:p>
        </w:tc>
        <w:tc>
          <w:tcPr>
            <w:tcW w:w="1440" w:type="dxa"/>
            <w:vAlign w:val="bottom"/>
            <w:gridSpan w:val="3"/>
          </w:tcPr>
          <w:p>
            <w:pPr>
              <w:jc w:val="center"/>
              <w:ind w:left="412"/>
              <w:spacing w:after="0"/>
              <w:rPr>
                <w:sz w:val="20"/>
                <w:szCs w:val="20"/>
                <w:color w:val="auto"/>
              </w:rPr>
            </w:pPr>
            <w:r>
              <w:rPr>
                <w:rFonts w:ascii="Arial" w:cs="Arial" w:eastAsia="Arial" w:hAnsi="Arial"/>
                <w:sz w:val="18"/>
                <w:szCs w:val="18"/>
                <w:color w:val="auto"/>
                <w:w w:val="87"/>
              </w:rPr>
              <w:t>July 21, 2016</w:t>
            </w:r>
          </w:p>
        </w:tc>
      </w:tr>
      <w:tr>
        <w:trPr>
          <w:trHeight w:val="202"/>
        </w:trPr>
        <w:tc>
          <w:tcPr>
            <w:tcW w:w="1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740" w:type="dxa"/>
            <w:vAlign w:val="bottom"/>
            <w:gridSpan w:val="2"/>
          </w:tcPr>
          <w:p>
            <w:pPr>
              <w:jc w:val="center"/>
              <w:ind w:right="1860"/>
              <w:spacing w:after="0"/>
              <w:rPr>
                <w:sz w:val="20"/>
                <w:szCs w:val="20"/>
                <w:color w:val="auto"/>
              </w:rPr>
            </w:pPr>
            <w:r>
              <w:rPr>
                <w:rFonts w:ascii="Arial" w:cs="Arial" w:eastAsia="Arial" w:hAnsi="Arial"/>
                <w:sz w:val="14"/>
                <w:szCs w:val="14"/>
                <w:b w:val="1"/>
                <w:bCs w:val="1"/>
                <w:color w:val="auto"/>
                <w:w w:val="92"/>
              </w:rPr>
              <w:t>Richard S. Hill</w:t>
            </w:r>
          </w:p>
        </w:tc>
        <w:tc>
          <w:tcPr>
            <w:tcW w:w="4780" w:type="dxa"/>
            <w:vAlign w:val="bottom"/>
            <w:gridSpan w:val="3"/>
          </w:tcPr>
          <w:p>
            <w:pPr>
              <w:jc w:val="center"/>
              <w:ind w:right="180"/>
              <w:spacing w:after="0" w:line="202" w:lineRule="exact"/>
              <w:rPr>
                <w:sz w:val="20"/>
                <w:szCs w:val="20"/>
                <w:color w:val="auto"/>
              </w:rPr>
            </w:pPr>
            <w:r>
              <w:rPr>
                <w:rFonts w:ascii="Arial" w:cs="Arial" w:eastAsia="Arial" w:hAnsi="Arial"/>
                <w:sz w:val="18"/>
                <w:szCs w:val="18"/>
                <w:color w:val="auto"/>
                <w:w w:val="92"/>
              </w:rPr>
              <w:t>(Interim Principal Executive Officer)</w:t>
            </w:r>
          </w:p>
        </w:tc>
        <w:tc>
          <w:tcPr>
            <w:tcW w:w="8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20" w:type="dxa"/>
            <w:vAlign w:val="bottom"/>
          </w:tcPr>
          <w:p>
            <w:pPr>
              <w:spacing w:after="0"/>
              <w:rPr>
                <w:sz w:val="17"/>
                <w:szCs w:val="17"/>
                <w:color w:val="auto"/>
              </w:rPr>
            </w:pPr>
          </w:p>
        </w:tc>
      </w:tr>
      <w:tr>
        <w:trPr>
          <w:trHeight w:val="439"/>
        </w:trPr>
        <w:tc>
          <w:tcPr>
            <w:tcW w:w="1700" w:type="dxa"/>
            <w:vAlign w:val="bottom"/>
            <w:tcBorders>
              <w:bottom w:val="single" w:sz="8" w:color="auto"/>
            </w:tcBorders>
            <w:gridSpan w:val="2"/>
          </w:tcPr>
          <w:p>
            <w:pPr>
              <w:ind w:left="148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3"/>
          </w:tcPr>
          <w:p>
            <w:pPr>
              <w:jc w:val="center"/>
              <w:ind w:right="1320"/>
              <w:spacing w:after="0"/>
              <w:rPr>
                <w:sz w:val="20"/>
                <w:szCs w:val="20"/>
                <w:color w:val="auto"/>
              </w:rPr>
            </w:pPr>
            <w:r>
              <w:rPr>
                <w:rFonts w:ascii="Arial" w:cs="Arial" w:eastAsia="Arial" w:hAnsi="Arial"/>
                <w:sz w:val="18"/>
                <w:szCs w:val="18"/>
                <w:color w:val="auto"/>
                <w:w w:val="96"/>
              </w:rPr>
              <w:t>D</w:t>
            </w:r>
            <w:r>
              <w:rPr>
                <w:rFonts w:ascii="Arial" w:cs="Arial" w:eastAsia="Arial" w:hAnsi="Arial"/>
                <w:sz w:val="14"/>
                <w:szCs w:val="14"/>
                <w:color w:val="auto"/>
                <w:w w:val="96"/>
              </w:rPr>
              <w:t>AVID</w:t>
            </w:r>
            <w:r>
              <w:rPr>
                <w:rFonts w:ascii="Arial" w:cs="Arial" w:eastAsia="Arial" w:hAnsi="Arial"/>
                <w:sz w:val="18"/>
                <w:szCs w:val="18"/>
                <w:color w:val="auto"/>
                <w:w w:val="96"/>
              </w:rPr>
              <w:t xml:space="preserve"> P. E</w:t>
            </w:r>
            <w:r>
              <w:rPr>
                <w:rFonts w:ascii="Arial" w:cs="Arial" w:eastAsia="Arial" w:hAnsi="Arial"/>
                <w:sz w:val="14"/>
                <w:szCs w:val="14"/>
                <w:color w:val="auto"/>
                <w:w w:val="96"/>
              </w:rPr>
              <w:t>ICHLER</w:t>
            </w:r>
          </w:p>
        </w:tc>
        <w:tc>
          <w:tcPr>
            <w:tcW w:w="4780" w:type="dxa"/>
            <w:vAlign w:val="bottom"/>
            <w:gridSpan w:val="3"/>
          </w:tcPr>
          <w:p>
            <w:pPr>
              <w:jc w:val="center"/>
              <w:ind w:right="180"/>
              <w:spacing w:after="0"/>
              <w:rPr>
                <w:sz w:val="20"/>
                <w:szCs w:val="20"/>
                <w:color w:val="auto"/>
              </w:rPr>
            </w:pPr>
            <w:r>
              <w:rPr>
                <w:rFonts w:ascii="Arial" w:cs="Arial" w:eastAsia="Arial" w:hAnsi="Arial"/>
                <w:sz w:val="18"/>
                <w:szCs w:val="18"/>
                <w:color w:val="auto"/>
                <w:w w:val="91"/>
              </w:rPr>
              <w:t>Interim Chief Financial Officer (Principal Financial and</w:t>
            </w:r>
          </w:p>
        </w:tc>
        <w:tc>
          <w:tcPr>
            <w:tcW w:w="1440" w:type="dxa"/>
            <w:vAlign w:val="bottom"/>
            <w:gridSpan w:val="3"/>
          </w:tcPr>
          <w:p>
            <w:pPr>
              <w:jc w:val="center"/>
              <w:ind w:left="412"/>
              <w:spacing w:after="0"/>
              <w:rPr>
                <w:sz w:val="20"/>
                <w:szCs w:val="20"/>
                <w:color w:val="auto"/>
              </w:rPr>
            </w:pPr>
            <w:r>
              <w:rPr>
                <w:rFonts w:ascii="Arial" w:cs="Arial" w:eastAsia="Arial" w:hAnsi="Arial"/>
                <w:sz w:val="18"/>
                <w:szCs w:val="18"/>
                <w:color w:val="auto"/>
                <w:w w:val="87"/>
              </w:rPr>
              <w:t>July 21, 2016</w:t>
            </w:r>
          </w:p>
        </w:tc>
      </w:tr>
      <w:tr>
        <w:trPr>
          <w:trHeight w:val="202"/>
        </w:trPr>
        <w:tc>
          <w:tcPr>
            <w:tcW w:w="1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920" w:type="dxa"/>
            <w:vAlign w:val="bottom"/>
            <w:gridSpan w:val="3"/>
          </w:tcPr>
          <w:p>
            <w:pPr>
              <w:jc w:val="center"/>
              <w:ind w:right="1700"/>
              <w:spacing w:after="0"/>
              <w:rPr>
                <w:sz w:val="20"/>
                <w:szCs w:val="20"/>
                <w:color w:val="auto"/>
              </w:rPr>
            </w:pPr>
            <w:r>
              <w:rPr>
                <w:rFonts w:ascii="Arial" w:cs="Arial" w:eastAsia="Arial" w:hAnsi="Arial"/>
                <w:sz w:val="14"/>
                <w:szCs w:val="14"/>
                <w:b w:val="1"/>
                <w:bCs w:val="1"/>
                <w:color w:val="auto"/>
                <w:w w:val="88"/>
              </w:rPr>
              <w:t>David P. Eichler</w:t>
            </w:r>
          </w:p>
        </w:tc>
        <w:tc>
          <w:tcPr>
            <w:tcW w:w="4780" w:type="dxa"/>
            <w:vAlign w:val="bottom"/>
            <w:gridSpan w:val="3"/>
          </w:tcPr>
          <w:p>
            <w:pPr>
              <w:jc w:val="center"/>
              <w:ind w:right="160"/>
              <w:spacing w:after="0" w:line="202" w:lineRule="exact"/>
              <w:rPr>
                <w:sz w:val="20"/>
                <w:szCs w:val="20"/>
                <w:color w:val="auto"/>
              </w:rPr>
            </w:pPr>
            <w:r>
              <w:rPr>
                <w:rFonts w:ascii="Arial" w:cs="Arial" w:eastAsia="Arial" w:hAnsi="Arial"/>
                <w:sz w:val="18"/>
                <w:szCs w:val="18"/>
                <w:color w:val="auto"/>
                <w:w w:val="92"/>
              </w:rPr>
              <w:t>Accounting Officer)</w:t>
            </w:r>
          </w:p>
        </w:tc>
        <w:tc>
          <w:tcPr>
            <w:tcW w:w="8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20" w:type="dxa"/>
            <w:vAlign w:val="bottom"/>
          </w:tcPr>
          <w:p>
            <w:pPr>
              <w:spacing w:after="0"/>
              <w:rPr>
                <w:sz w:val="17"/>
                <w:szCs w:val="17"/>
                <w:color w:val="auto"/>
              </w:rPr>
            </w:pPr>
          </w:p>
        </w:tc>
      </w:tr>
      <w:tr>
        <w:trPr>
          <w:trHeight w:val="427"/>
        </w:trPr>
        <w:tc>
          <w:tcPr>
            <w:tcW w:w="16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080" w:type="dxa"/>
            <w:vAlign w:val="bottom"/>
            <w:tcBorders>
              <w:bottom w:val="single" w:sz="8" w:color="auto"/>
            </w:tcBorders>
          </w:tcPr>
          <w:p>
            <w:pPr>
              <w:spacing w:after="0"/>
              <w:rPr>
                <w:sz w:val="24"/>
                <w:szCs w:val="24"/>
                <w:color w:val="auto"/>
              </w:rPr>
            </w:pPr>
          </w:p>
        </w:tc>
        <w:tc>
          <w:tcPr>
            <w:tcW w:w="1660" w:type="dxa"/>
            <w:vAlign w:val="bottom"/>
            <w:tcBorders>
              <w:bottom w:val="single" w:sz="8" w:color="auto"/>
            </w:tcBorders>
          </w:tcPr>
          <w:p>
            <w:pPr>
              <w:spacing w:after="0"/>
              <w:rPr>
                <w:sz w:val="24"/>
                <w:szCs w:val="24"/>
                <w:color w:val="auto"/>
              </w:rPr>
            </w:pPr>
          </w:p>
        </w:tc>
        <w:tc>
          <w:tcPr>
            <w:tcW w:w="4780" w:type="dxa"/>
            <w:vAlign w:val="bottom"/>
            <w:gridSpan w:val="3"/>
          </w:tcPr>
          <w:p>
            <w:pPr>
              <w:jc w:val="center"/>
              <w:ind w:right="160"/>
              <w:spacing w:after="0"/>
              <w:rPr>
                <w:sz w:val="20"/>
                <w:szCs w:val="20"/>
                <w:color w:val="auto"/>
              </w:rPr>
            </w:pPr>
            <w:r>
              <w:rPr>
                <w:rFonts w:ascii="Arial" w:cs="Arial" w:eastAsia="Arial" w:hAnsi="Arial"/>
                <w:sz w:val="18"/>
                <w:szCs w:val="18"/>
                <w:color w:val="auto"/>
                <w:w w:val="91"/>
              </w:rPr>
              <w:t>Director</w:t>
            </w:r>
          </w:p>
        </w:tc>
        <w:tc>
          <w:tcPr>
            <w:tcW w:w="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r>
      <w:tr>
        <w:trPr>
          <w:trHeight w:val="169"/>
        </w:trPr>
        <w:tc>
          <w:tcPr>
            <w:tcW w:w="1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74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92"/>
              </w:rPr>
              <w:t>Weili Dai</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419"/>
        </w:trPr>
        <w:tc>
          <w:tcPr>
            <w:tcW w:w="16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82"/>
              </w:rPr>
              <w:t>/</w:t>
            </w:r>
            <w:r>
              <w:rPr>
                <w:rFonts w:ascii="Arial" w:cs="Arial" w:eastAsia="Arial" w:hAnsi="Arial"/>
                <w:sz w:val="14"/>
                <w:szCs w:val="14"/>
                <w:color w:val="auto"/>
                <w:w w:val="82"/>
              </w:rPr>
              <w:t>S</w:t>
            </w:r>
            <w:r>
              <w:rPr>
                <w:rFonts w:ascii="Arial" w:cs="Arial" w:eastAsia="Arial" w:hAnsi="Arial"/>
                <w:sz w:val="18"/>
                <w:szCs w:val="18"/>
                <w:color w:val="auto"/>
                <w:w w:val="82"/>
              </w:rPr>
              <w:t>/</w:t>
            </w:r>
          </w:p>
        </w:tc>
        <w:tc>
          <w:tcPr>
            <w:tcW w:w="2740" w:type="dxa"/>
            <w:vAlign w:val="bottom"/>
            <w:tcBorders>
              <w:bottom w:val="single" w:sz="8" w:color="auto"/>
            </w:tcBorders>
            <w:gridSpan w:val="2"/>
          </w:tcPr>
          <w:p>
            <w:pPr>
              <w:jc w:val="center"/>
              <w:ind w:right="1500"/>
              <w:spacing w:after="0"/>
              <w:rPr>
                <w:sz w:val="20"/>
                <w:szCs w:val="20"/>
                <w:color w:val="auto"/>
              </w:rPr>
            </w:pPr>
            <w:r>
              <w:rPr>
                <w:rFonts w:ascii="Arial" w:cs="Arial" w:eastAsia="Arial" w:hAnsi="Arial"/>
                <w:sz w:val="18"/>
                <w:szCs w:val="18"/>
                <w:color w:val="auto"/>
                <w:w w:val="95"/>
              </w:rPr>
              <w:t>P</w:t>
            </w:r>
            <w:r>
              <w:rPr>
                <w:rFonts w:ascii="Arial" w:cs="Arial" w:eastAsia="Arial" w:hAnsi="Arial"/>
                <w:sz w:val="14"/>
                <w:szCs w:val="14"/>
                <w:color w:val="auto"/>
                <w:w w:val="95"/>
              </w:rPr>
              <w:t>ETER</w:t>
            </w:r>
            <w:r>
              <w:rPr>
                <w:rFonts w:ascii="Arial" w:cs="Arial" w:eastAsia="Arial" w:hAnsi="Arial"/>
                <w:sz w:val="18"/>
                <w:szCs w:val="18"/>
                <w:color w:val="auto"/>
                <w:w w:val="95"/>
              </w:rPr>
              <w:t xml:space="preserve"> F</w:t>
            </w:r>
            <w:r>
              <w:rPr>
                <w:rFonts w:ascii="Arial" w:cs="Arial" w:eastAsia="Arial" w:hAnsi="Arial"/>
                <w:sz w:val="14"/>
                <w:szCs w:val="14"/>
                <w:color w:val="auto"/>
                <w:w w:val="95"/>
              </w:rPr>
              <w:t>ELD</w:t>
            </w:r>
          </w:p>
        </w:tc>
        <w:tc>
          <w:tcPr>
            <w:tcW w:w="4780" w:type="dxa"/>
            <w:vAlign w:val="bottom"/>
            <w:gridSpan w:val="3"/>
          </w:tcPr>
          <w:p>
            <w:pPr>
              <w:jc w:val="center"/>
              <w:ind w:right="160"/>
              <w:spacing w:after="0"/>
              <w:rPr>
                <w:sz w:val="20"/>
                <w:szCs w:val="20"/>
                <w:color w:val="auto"/>
              </w:rPr>
            </w:pPr>
            <w:r>
              <w:rPr>
                <w:rFonts w:ascii="Arial" w:cs="Arial" w:eastAsia="Arial" w:hAnsi="Arial"/>
                <w:sz w:val="18"/>
                <w:szCs w:val="18"/>
                <w:color w:val="auto"/>
                <w:w w:val="91"/>
              </w:rPr>
              <w:t>Director</w:t>
            </w:r>
          </w:p>
        </w:tc>
        <w:tc>
          <w:tcPr>
            <w:tcW w:w="1440" w:type="dxa"/>
            <w:vAlign w:val="bottom"/>
            <w:gridSpan w:val="3"/>
          </w:tcPr>
          <w:p>
            <w:pPr>
              <w:jc w:val="center"/>
              <w:ind w:left="412"/>
              <w:spacing w:after="0"/>
              <w:rPr>
                <w:sz w:val="20"/>
                <w:szCs w:val="20"/>
                <w:color w:val="auto"/>
              </w:rPr>
            </w:pPr>
            <w:r>
              <w:rPr>
                <w:rFonts w:ascii="Arial" w:cs="Arial" w:eastAsia="Arial" w:hAnsi="Arial"/>
                <w:sz w:val="18"/>
                <w:szCs w:val="18"/>
                <w:color w:val="auto"/>
                <w:w w:val="87"/>
              </w:rPr>
              <w:t>July 21, 2016</w:t>
            </w:r>
          </w:p>
        </w:tc>
      </w:tr>
      <w:tr>
        <w:trPr>
          <w:trHeight w:val="169"/>
        </w:trPr>
        <w:tc>
          <w:tcPr>
            <w:tcW w:w="1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740" w:type="dxa"/>
            <w:vAlign w:val="bottom"/>
            <w:gridSpan w:val="2"/>
          </w:tcPr>
          <w:p>
            <w:pPr>
              <w:jc w:val="center"/>
              <w:ind w:right="1860"/>
              <w:spacing w:after="0"/>
              <w:rPr>
                <w:sz w:val="20"/>
                <w:szCs w:val="20"/>
                <w:color w:val="auto"/>
              </w:rPr>
            </w:pPr>
            <w:r>
              <w:rPr>
                <w:rFonts w:ascii="Arial" w:cs="Arial" w:eastAsia="Arial" w:hAnsi="Arial"/>
                <w:sz w:val="14"/>
                <w:szCs w:val="14"/>
                <w:b w:val="1"/>
                <w:bCs w:val="1"/>
                <w:color w:val="auto"/>
                <w:w w:val="88"/>
              </w:rPr>
              <w:t>Peter Feld</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419"/>
        </w:trPr>
        <w:tc>
          <w:tcPr>
            <w:tcW w:w="1700" w:type="dxa"/>
            <w:vAlign w:val="bottom"/>
            <w:tcBorders>
              <w:bottom w:val="single" w:sz="8" w:color="auto"/>
            </w:tcBorders>
            <w:gridSpan w:val="2"/>
          </w:tcPr>
          <w:p>
            <w:pPr>
              <w:ind w:left="14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3"/>
          </w:tcPr>
          <w:p>
            <w:pPr>
              <w:jc w:val="center"/>
              <w:ind w:right="1320"/>
              <w:spacing w:after="0"/>
              <w:rPr>
                <w:sz w:val="20"/>
                <w:szCs w:val="20"/>
                <w:color w:val="auto"/>
              </w:rPr>
            </w:pPr>
            <w:r>
              <w:rPr>
                <w:rFonts w:ascii="Arial" w:cs="Arial" w:eastAsia="Arial" w:hAnsi="Arial"/>
                <w:sz w:val="18"/>
                <w:szCs w:val="18"/>
                <w:color w:val="auto"/>
                <w:w w:val="97"/>
              </w:rPr>
              <w:t>J</w:t>
            </w:r>
            <w:r>
              <w:rPr>
                <w:rFonts w:ascii="Arial" w:cs="Arial" w:eastAsia="Arial" w:hAnsi="Arial"/>
                <w:sz w:val="14"/>
                <w:szCs w:val="14"/>
                <w:color w:val="auto"/>
                <w:w w:val="97"/>
              </w:rPr>
              <w:t>UERGEN</w:t>
            </w:r>
            <w:r>
              <w:rPr>
                <w:rFonts w:ascii="Arial" w:cs="Arial" w:eastAsia="Arial" w:hAnsi="Arial"/>
                <w:sz w:val="18"/>
                <w:szCs w:val="18"/>
                <w:color w:val="auto"/>
                <w:w w:val="97"/>
              </w:rPr>
              <w:t xml:space="preserve"> G</w:t>
            </w:r>
            <w:r>
              <w:rPr>
                <w:rFonts w:ascii="Arial" w:cs="Arial" w:eastAsia="Arial" w:hAnsi="Arial"/>
                <w:sz w:val="14"/>
                <w:szCs w:val="14"/>
                <w:color w:val="auto"/>
                <w:w w:val="97"/>
              </w:rPr>
              <w:t>ROMER</w:t>
            </w:r>
          </w:p>
        </w:tc>
        <w:tc>
          <w:tcPr>
            <w:tcW w:w="4780" w:type="dxa"/>
            <w:vAlign w:val="bottom"/>
            <w:gridSpan w:val="3"/>
          </w:tcPr>
          <w:p>
            <w:pPr>
              <w:jc w:val="center"/>
              <w:ind w:right="160"/>
              <w:spacing w:after="0"/>
              <w:rPr>
                <w:sz w:val="20"/>
                <w:szCs w:val="20"/>
                <w:color w:val="auto"/>
              </w:rPr>
            </w:pPr>
            <w:r>
              <w:rPr>
                <w:rFonts w:ascii="Arial" w:cs="Arial" w:eastAsia="Arial" w:hAnsi="Arial"/>
                <w:sz w:val="18"/>
                <w:szCs w:val="18"/>
                <w:color w:val="auto"/>
                <w:w w:val="91"/>
              </w:rPr>
              <w:t>Director</w:t>
            </w:r>
          </w:p>
        </w:tc>
        <w:tc>
          <w:tcPr>
            <w:tcW w:w="1440" w:type="dxa"/>
            <w:vAlign w:val="bottom"/>
            <w:gridSpan w:val="3"/>
          </w:tcPr>
          <w:p>
            <w:pPr>
              <w:jc w:val="center"/>
              <w:ind w:left="412"/>
              <w:spacing w:after="0"/>
              <w:rPr>
                <w:sz w:val="20"/>
                <w:szCs w:val="20"/>
                <w:color w:val="auto"/>
              </w:rPr>
            </w:pPr>
            <w:r>
              <w:rPr>
                <w:rFonts w:ascii="Arial" w:cs="Arial" w:eastAsia="Arial" w:hAnsi="Arial"/>
                <w:sz w:val="18"/>
                <w:szCs w:val="18"/>
                <w:color w:val="auto"/>
                <w:w w:val="87"/>
              </w:rPr>
              <w:t>July 21, 2016</w:t>
            </w:r>
          </w:p>
        </w:tc>
      </w:tr>
      <w:tr>
        <w:trPr>
          <w:trHeight w:val="169"/>
        </w:trPr>
        <w:tc>
          <w:tcPr>
            <w:tcW w:w="1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920" w:type="dxa"/>
            <w:vAlign w:val="bottom"/>
            <w:gridSpan w:val="3"/>
          </w:tcPr>
          <w:p>
            <w:pPr>
              <w:jc w:val="center"/>
              <w:ind w:right="1680"/>
              <w:spacing w:after="0"/>
              <w:rPr>
                <w:sz w:val="20"/>
                <w:szCs w:val="20"/>
                <w:color w:val="auto"/>
              </w:rPr>
            </w:pPr>
            <w:r>
              <w:rPr>
                <w:rFonts w:ascii="Arial" w:cs="Arial" w:eastAsia="Arial" w:hAnsi="Arial"/>
                <w:sz w:val="14"/>
                <w:szCs w:val="14"/>
                <w:b w:val="1"/>
                <w:bCs w:val="1"/>
                <w:color w:val="auto"/>
                <w:w w:val="87"/>
              </w:rPr>
              <w:t>Dr. Juergen Gromer</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419"/>
        </w:trPr>
        <w:tc>
          <w:tcPr>
            <w:tcW w:w="1700" w:type="dxa"/>
            <w:vAlign w:val="bottom"/>
            <w:tcBorders>
              <w:bottom w:val="single" w:sz="8" w:color="auto"/>
            </w:tcBorders>
            <w:gridSpan w:val="2"/>
          </w:tcPr>
          <w:p>
            <w:pPr>
              <w:ind w:left="138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3"/>
          </w:tcPr>
          <w:p>
            <w:pPr>
              <w:jc w:val="center"/>
              <w:ind w:right="1340"/>
              <w:spacing w:after="0"/>
              <w:rPr>
                <w:sz w:val="20"/>
                <w:szCs w:val="20"/>
                <w:color w:val="auto"/>
              </w:rPr>
            </w:pPr>
            <w:r>
              <w:rPr>
                <w:rFonts w:ascii="Arial" w:cs="Arial" w:eastAsia="Arial" w:hAnsi="Arial"/>
                <w:sz w:val="18"/>
                <w:szCs w:val="18"/>
                <w:color w:val="auto"/>
                <w:w w:val="99"/>
              </w:rPr>
              <w:t>J</w:t>
            </w:r>
            <w:r>
              <w:rPr>
                <w:rFonts w:ascii="Arial" w:cs="Arial" w:eastAsia="Arial" w:hAnsi="Arial"/>
                <w:sz w:val="14"/>
                <w:szCs w:val="14"/>
                <w:color w:val="auto"/>
                <w:w w:val="99"/>
              </w:rPr>
              <w:t>OHN</w:t>
            </w:r>
            <w:r>
              <w:rPr>
                <w:rFonts w:ascii="Arial" w:cs="Arial" w:eastAsia="Arial" w:hAnsi="Arial"/>
                <w:sz w:val="18"/>
                <w:szCs w:val="18"/>
                <w:color w:val="auto"/>
                <w:w w:val="99"/>
              </w:rPr>
              <w:t xml:space="preserve"> G. K</w:t>
            </w:r>
            <w:r>
              <w:rPr>
                <w:rFonts w:ascii="Arial" w:cs="Arial" w:eastAsia="Arial" w:hAnsi="Arial"/>
                <w:sz w:val="14"/>
                <w:szCs w:val="14"/>
                <w:color w:val="auto"/>
                <w:w w:val="99"/>
              </w:rPr>
              <w:t>ASSAKIAN</w:t>
            </w:r>
          </w:p>
        </w:tc>
        <w:tc>
          <w:tcPr>
            <w:tcW w:w="4780" w:type="dxa"/>
            <w:vAlign w:val="bottom"/>
            <w:gridSpan w:val="3"/>
          </w:tcPr>
          <w:p>
            <w:pPr>
              <w:jc w:val="center"/>
              <w:ind w:right="160"/>
              <w:spacing w:after="0"/>
              <w:rPr>
                <w:sz w:val="20"/>
                <w:szCs w:val="20"/>
                <w:color w:val="auto"/>
              </w:rPr>
            </w:pPr>
            <w:r>
              <w:rPr>
                <w:rFonts w:ascii="Arial" w:cs="Arial" w:eastAsia="Arial" w:hAnsi="Arial"/>
                <w:sz w:val="18"/>
                <w:szCs w:val="18"/>
                <w:color w:val="auto"/>
                <w:w w:val="91"/>
              </w:rPr>
              <w:t>Director</w:t>
            </w:r>
          </w:p>
        </w:tc>
        <w:tc>
          <w:tcPr>
            <w:tcW w:w="1440" w:type="dxa"/>
            <w:vAlign w:val="bottom"/>
            <w:gridSpan w:val="3"/>
          </w:tcPr>
          <w:p>
            <w:pPr>
              <w:jc w:val="center"/>
              <w:ind w:left="412"/>
              <w:spacing w:after="0"/>
              <w:rPr>
                <w:sz w:val="20"/>
                <w:szCs w:val="20"/>
                <w:color w:val="auto"/>
              </w:rPr>
            </w:pPr>
            <w:r>
              <w:rPr>
                <w:rFonts w:ascii="Arial" w:cs="Arial" w:eastAsia="Arial" w:hAnsi="Arial"/>
                <w:sz w:val="18"/>
                <w:szCs w:val="18"/>
                <w:color w:val="auto"/>
                <w:w w:val="87"/>
              </w:rPr>
              <w:t>July 21, 2016</w:t>
            </w:r>
          </w:p>
        </w:tc>
      </w:tr>
      <w:tr>
        <w:trPr>
          <w:trHeight w:val="169"/>
        </w:trPr>
        <w:tc>
          <w:tcPr>
            <w:tcW w:w="4620" w:type="dxa"/>
            <w:vAlign w:val="bottom"/>
            <w:gridSpan w:val="5"/>
          </w:tcPr>
          <w:p>
            <w:pPr>
              <w:jc w:val="center"/>
              <w:spacing w:after="0"/>
              <w:rPr>
                <w:sz w:val="20"/>
                <w:szCs w:val="20"/>
                <w:color w:val="auto"/>
              </w:rPr>
            </w:pPr>
            <w:r>
              <w:rPr>
                <w:rFonts w:ascii="Arial" w:cs="Arial" w:eastAsia="Arial" w:hAnsi="Arial"/>
                <w:sz w:val="14"/>
                <w:szCs w:val="14"/>
                <w:b w:val="1"/>
                <w:bCs w:val="1"/>
                <w:color w:val="auto"/>
                <w:w w:val="87"/>
              </w:rPr>
              <w:t>Dr. John G. Kassakian</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419"/>
        </w:trPr>
        <w:tc>
          <w:tcPr>
            <w:tcW w:w="1880" w:type="dxa"/>
            <w:vAlign w:val="bottom"/>
            <w:tcBorders>
              <w:bottom w:val="single" w:sz="8" w:color="auto"/>
            </w:tcBorders>
            <w:gridSpan w:val="3"/>
          </w:tcPr>
          <w:p>
            <w:pPr>
              <w:ind w:left="15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740" w:type="dxa"/>
            <w:vAlign w:val="bottom"/>
            <w:tcBorders>
              <w:bottom w:val="single" w:sz="8" w:color="auto"/>
            </w:tcBorders>
            <w:gridSpan w:val="2"/>
          </w:tcPr>
          <w:p>
            <w:pPr>
              <w:jc w:val="center"/>
              <w:ind w:right="1520"/>
              <w:spacing w:after="0"/>
              <w:rPr>
                <w:sz w:val="20"/>
                <w:szCs w:val="20"/>
                <w:color w:val="auto"/>
              </w:rPr>
            </w:pPr>
            <w:r>
              <w:rPr>
                <w:rFonts w:ascii="Arial" w:cs="Arial" w:eastAsia="Arial" w:hAnsi="Arial"/>
                <w:sz w:val="18"/>
                <w:szCs w:val="18"/>
                <w:color w:val="auto"/>
              </w:rPr>
              <w:t>O</w:t>
            </w:r>
            <w:r>
              <w:rPr>
                <w:rFonts w:ascii="Arial" w:cs="Arial" w:eastAsia="Arial" w:hAnsi="Arial"/>
                <w:sz w:val="14"/>
                <w:szCs w:val="14"/>
                <w:color w:val="auto"/>
              </w:rPr>
              <w:t>LEG</w:t>
            </w:r>
            <w:r>
              <w:rPr>
                <w:rFonts w:ascii="Arial" w:cs="Arial" w:eastAsia="Arial" w:hAnsi="Arial"/>
                <w:sz w:val="18"/>
                <w:szCs w:val="18"/>
                <w:color w:val="auto"/>
              </w:rPr>
              <w:t xml:space="preserve"> K</w:t>
            </w:r>
            <w:r>
              <w:rPr>
                <w:rFonts w:ascii="Arial" w:cs="Arial" w:eastAsia="Arial" w:hAnsi="Arial"/>
                <w:sz w:val="14"/>
                <w:szCs w:val="14"/>
                <w:color w:val="auto"/>
              </w:rPr>
              <w:t>HAYKIN</w:t>
            </w:r>
          </w:p>
        </w:tc>
        <w:tc>
          <w:tcPr>
            <w:tcW w:w="4780" w:type="dxa"/>
            <w:vAlign w:val="bottom"/>
            <w:gridSpan w:val="3"/>
          </w:tcPr>
          <w:p>
            <w:pPr>
              <w:jc w:val="center"/>
              <w:ind w:right="160"/>
              <w:spacing w:after="0"/>
              <w:rPr>
                <w:sz w:val="20"/>
                <w:szCs w:val="20"/>
                <w:color w:val="auto"/>
              </w:rPr>
            </w:pPr>
            <w:r>
              <w:rPr>
                <w:rFonts w:ascii="Arial" w:cs="Arial" w:eastAsia="Arial" w:hAnsi="Arial"/>
                <w:sz w:val="18"/>
                <w:szCs w:val="18"/>
                <w:color w:val="auto"/>
                <w:w w:val="91"/>
              </w:rPr>
              <w:t>Director</w:t>
            </w:r>
          </w:p>
        </w:tc>
        <w:tc>
          <w:tcPr>
            <w:tcW w:w="1440" w:type="dxa"/>
            <w:vAlign w:val="bottom"/>
            <w:gridSpan w:val="3"/>
          </w:tcPr>
          <w:p>
            <w:pPr>
              <w:jc w:val="center"/>
              <w:ind w:left="412"/>
              <w:spacing w:after="0"/>
              <w:rPr>
                <w:sz w:val="20"/>
                <w:szCs w:val="20"/>
                <w:color w:val="auto"/>
              </w:rPr>
            </w:pPr>
            <w:r>
              <w:rPr>
                <w:rFonts w:ascii="Arial" w:cs="Arial" w:eastAsia="Arial" w:hAnsi="Arial"/>
                <w:sz w:val="18"/>
                <w:szCs w:val="18"/>
                <w:color w:val="auto"/>
                <w:w w:val="87"/>
              </w:rPr>
              <w:t>July 21, 2016</w:t>
            </w:r>
          </w:p>
        </w:tc>
      </w:tr>
      <w:tr>
        <w:trPr>
          <w:trHeight w:val="169"/>
        </w:trPr>
        <w:tc>
          <w:tcPr>
            <w:tcW w:w="1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740" w:type="dxa"/>
            <w:vAlign w:val="bottom"/>
            <w:gridSpan w:val="2"/>
          </w:tcPr>
          <w:p>
            <w:pPr>
              <w:jc w:val="center"/>
              <w:ind w:right="1860"/>
              <w:spacing w:after="0"/>
              <w:rPr>
                <w:sz w:val="20"/>
                <w:szCs w:val="20"/>
                <w:color w:val="auto"/>
              </w:rPr>
            </w:pPr>
            <w:r>
              <w:rPr>
                <w:rFonts w:ascii="Arial" w:cs="Arial" w:eastAsia="Arial" w:hAnsi="Arial"/>
                <w:sz w:val="14"/>
                <w:szCs w:val="14"/>
                <w:b w:val="1"/>
                <w:bCs w:val="1"/>
                <w:color w:val="auto"/>
                <w:w w:val="89"/>
              </w:rPr>
              <w:t>Oleg Khaykin</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419"/>
        </w:trPr>
        <w:tc>
          <w:tcPr>
            <w:tcW w:w="1700" w:type="dxa"/>
            <w:vAlign w:val="bottom"/>
            <w:tcBorders>
              <w:bottom w:val="single" w:sz="8" w:color="auto"/>
            </w:tcBorders>
            <w:gridSpan w:val="2"/>
          </w:tcPr>
          <w:p>
            <w:pPr>
              <w:ind w:left="14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3"/>
          </w:tcPr>
          <w:p>
            <w:pPr>
              <w:jc w:val="center"/>
              <w:ind w:right="1340"/>
              <w:spacing w:after="0"/>
              <w:rPr>
                <w:sz w:val="20"/>
                <w:szCs w:val="20"/>
                <w:color w:val="auto"/>
              </w:rPr>
            </w:pPr>
            <w:r>
              <w:rPr>
                <w:rFonts w:ascii="Arial" w:cs="Arial" w:eastAsia="Arial" w:hAnsi="Arial"/>
                <w:sz w:val="18"/>
                <w:szCs w:val="18"/>
                <w:color w:val="auto"/>
                <w:w w:val="99"/>
              </w:rPr>
              <w:t>A</w:t>
            </w:r>
            <w:r>
              <w:rPr>
                <w:rFonts w:ascii="Arial" w:cs="Arial" w:eastAsia="Arial" w:hAnsi="Arial"/>
                <w:sz w:val="14"/>
                <w:szCs w:val="14"/>
                <w:color w:val="auto"/>
                <w:w w:val="99"/>
              </w:rPr>
              <w:t>RTURO</w:t>
            </w:r>
            <w:r>
              <w:rPr>
                <w:rFonts w:ascii="Arial" w:cs="Arial" w:eastAsia="Arial" w:hAnsi="Arial"/>
                <w:sz w:val="18"/>
                <w:szCs w:val="18"/>
                <w:color w:val="auto"/>
                <w:w w:val="99"/>
              </w:rPr>
              <w:t xml:space="preserve"> K</w:t>
            </w:r>
            <w:r>
              <w:rPr>
                <w:rFonts w:ascii="Arial" w:cs="Arial" w:eastAsia="Arial" w:hAnsi="Arial"/>
                <w:sz w:val="14"/>
                <w:szCs w:val="14"/>
                <w:color w:val="auto"/>
                <w:w w:val="99"/>
              </w:rPr>
              <w:t>RUEGER</w:t>
            </w:r>
          </w:p>
        </w:tc>
        <w:tc>
          <w:tcPr>
            <w:tcW w:w="4780" w:type="dxa"/>
            <w:vAlign w:val="bottom"/>
            <w:gridSpan w:val="3"/>
          </w:tcPr>
          <w:p>
            <w:pPr>
              <w:jc w:val="center"/>
              <w:ind w:right="160"/>
              <w:spacing w:after="0"/>
              <w:rPr>
                <w:sz w:val="20"/>
                <w:szCs w:val="20"/>
                <w:color w:val="auto"/>
              </w:rPr>
            </w:pPr>
            <w:r>
              <w:rPr>
                <w:rFonts w:ascii="Arial" w:cs="Arial" w:eastAsia="Arial" w:hAnsi="Arial"/>
                <w:sz w:val="18"/>
                <w:szCs w:val="18"/>
                <w:color w:val="auto"/>
                <w:w w:val="91"/>
              </w:rPr>
              <w:t>Director</w:t>
            </w:r>
          </w:p>
        </w:tc>
        <w:tc>
          <w:tcPr>
            <w:tcW w:w="1440" w:type="dxa"/>
            <w:vAlign w:val="bottom"/>
            <w:gridSpan w:val="3"/>
          </w:tcPr>
          <w:p>
            <w:pPr>
              <w:jc w:val="center"/>
              <w:ind w:left="412"/>
              <w:spacing w:after="0"/>
              <w:rPr>
                <w:sz w:val="20"/>
                <w:szCs w:val="20"/>
                <w:color w:val="auto"/>
              </w:rPr>
            </w:pPr>
            <w:r>
              <w:rPr>
                <w:rFonts w:ascii="Arial" w:cs="Arial" w:eastAsia="Arial" w:hAnsi="Arial"/>
                <w:sz w:val="18"/>
                <w:szCs w:val="18"/>
                <w:color w:val="auto"/>
                <w:w w:val="87"/>
              </w:rPr>
              <w:t>July 21, 2016</w:t>
            </w:r>
          </w:p>
        </w:tc>
      </w:tr>
      <w:tr>
        <w:trPr>
          <w:trHeight w:val="169"/>
        </w:trPr>
        <w:tc>
          <w:tcPr>
            <w:tcW w:w="1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920" w:type="dxa"/>
            <w:vAlign w:val="bottom"/>
            <w:gridSpan w:val="3"/>
          </w:tcPr>
          <w:p>
            <w:pPr>
              <w:jc w:val="center"/>
              <w:ind w:right="1680"/>
              <w:spacing w:after="0"/>
              <w:rPr>
                <w:sz w:val="20"/>
                <w:szCs w:val="20"/>
                <w:color w:val="auto"/>
              </w:rPr>
            </w:pPr>
            <w:r>
              <w:rPr>
                <w:rFonts w:ascii="Arial" w:cs="Arial" w:eastAsia="Arial" w:hAnsi="Arial"/>
                <w:sz w:val="14"/>
                <w:szCs w:val="14"/>
                <w:b w:val="1"/>
                <w:bCs w:val="1"/>
                <w:color w:val="auto"/>
                <w:w w:val="91"/>
              </w:rPr>
              <w:t>Arturo Krueger</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350"/>
        </w:trPr>
        <w:tc>
          <w:tcPr>
            <w:tcW w:w="1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160" w:type="dxa"/>
            <w:vAlign w:val="bottom"/>
          </w:tcPr>
          <w:p>
            <w:pPr>
              <w:jc w:val="right"/>
              <w:ind w:right="852"/>
              <w:spacing w:after="0"/>
              <w:rPr>
                <w:sz w:val="20"/>
                <w:szCs w:val="20"/>
                <w:color w:val="auto"/>
              </w:rPr>
            </w:pPr>
            <w:r>
              <w:rPr>
                <w:rFonts w:ascii="Arial" w:cs="Arial" w:eastAsia="Arial" w:hAnsi="Arial"/>
                <w:sz w:val="18"/>
                <w:szCs w:val="18"/>
                <w:color w:val="auto"/>
              </w:rPr>
              <w:t>162</w:t>
            </w:r>
          </w:p>
        </w:tc>
        <w:tc>
          <w:tcPr>
            <w:tcW w:w="28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r>
    </w:tbl>
    <w:p>
      <w:pPr>
        <w:sectPr>
          <w:pgSz w:w="11900" w:h="16838" w:orient="portrait"/>
          <w:cols w:equalWidth="0" w:num="1">
            <w:col w:w="11400"/>
          </w:cols>
          <w:pgMar w:left="240" w:top="460" w:right="259" w:bottom="1440" w:gutter="0" w:footer="0" w:header="0"/>
        </w:sectPr>
      </w:pPr>
    </w:p>
    <w:bookmarkStart w:id="164" w:name="page165"/>
    <w:bookmarkEnd w:id="1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80" w:type="dxa"/>
            <w:vAlign w:val="bottom"/>
          </w:tcPr>
          <w:p>
            <w:pPr>
              <w:spacing w:after="0"/>
              <w:rPr>
                <w:sz w:val="14"/>
                <w:szCs w:val="14"/>
                <w:color w:val="auto"/>
              </w:rPr>
            </w:pPr>
          </w:p>
        </w:tc>
        <w:tc>
          <w:tcPr>
            <w:tcW w:w="1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Name and Signature</w:t>
            </w:r>
          </w:p>
        </w:tc>
        <w:tc>
          <w:tcPr>
            <w:tcW w:w="16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150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Date</w:t>
            </w:r>
          </w:p>
        </w:tc>
        <w:tc>
          <w:tcPr>
            <w:tcW w:w="320" w:type="dxa"/>
            <w:vAlign w:val="bottom"/>
          </w:tcPr>
          <w:p>
            <w:pPr>
              <w:spacing w:after="0"/>
              <w:rPr>
                <w:sz w:val="14"/>
                <w:szCs w:val="14"/>
                <w:color w:val="auto"/>
              </w:rPr>
            </w:pPr>
          </w:p>
        </w:tc>
      </w:tr>
      <w:tr>
        <w:trPr>
          <w:trHeight w:val="425"/>
        </w:trPr>
        <w:tc>
          <w:tcPr>
            <w:tcW w:w="1680" w:type="dxa"/>
            <w:vAlign w:val="bottom"/>
            <w:tcBorders>
              <w:bottom w:val="single" w:sz="8" w:color="auto"/>
            </w:tcBorders>
          </w:tcPr>
          <w:p>
            <w:pPr>
              <w:ind w:left="138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40" w:type="dxa"/>
            <w:vAlign w:val="bottom"/>
            <w:tcBorders>
              <w:bottom w:val="single" w:sz="8" w:color="auto"/>
            </w:tcBorders>
            <w:gridSpan w:val="2"/>
          </w:tcPr>
          <w:p>
            <w:pPr>
              <w:jc w:val="center"/>
              <w:ind w:right="132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ICHAEL</w:t>
            </w:r>
            <w:r>
              <w:rPr>
                <w:rFonts w:ascii="Arial" w:cs="Arial" w:eastAsia="Arial" w:hAnsi="Arial"/>
                <w:sz w:val="18"/>
                <w:szCs w:val="18"/>
                <w:color w:val="auto"/>
              </w:rPr>
              <w:t xml:space="preserve"> S</w:t>
            </w:r>
            <w:r>
              <w:rPr>
                <w:rFonts w:ascii="Arial" w:cs="Arial" w:eastAsia="Arial" w:hAnsi="Arial"/>
                <w:sz w:val="14"/>
                <w:szCs w:val="14"/>
                <w:color w:val="auto"/>
              </w:rPr>
              <w:t>TRACHAN</w:t>
            </w:r>
          </w:p>
        </w:tc>
        <w:tc>
          <w:tcPr>
            <w:tcW w:w="3940" w:type="dxa"/>
            <w:vAlign w:val="bottom"/>
            <w:gridSpan w:val="3"/>
          </w:tcPr>
          <w:p>
            <w:pPr>
              <w:jc w:val="center"/>
              <w:ind w:left="592"/>
              <w:spacing w:after="0"/>
              <w:rPr>
                <w:sz w:val="20"/>
                <w:szCs w:val="20"/>
                <w:color w:val="auto"/>
              </w:rPr>
            </w:pPr>
            <w:r>
              <w:rPr>
                <w:rFonts w:ascii="Arial" w:cs="Arial" w:eastAsia="Arial" w:hAnsi="Arial"/>
                <w:sz w:val="18"/>
                <w:szCs w:val="18"/>
                <w:color w:val="auto"/>
                <w:w w:val="91"/>
              </w:rPr>
              <w:t>Director</w:t>
            </w:r>
          </w:p>
        </w:tc>
        <w:tc>
          <w:tcPr>
            <w:tcW w:w="2280" w:type="dxa"/>
            <w:vAlign w:val="bottom"/>
            <w:gridSpan w:val="3"/>
          </w:tcPr>
          <w:p>
            <w:pPr>
              <w:jc w:val="center"/>
              <w:ind w:left="1252"/>
              <w:spacing w:after="0"/>
              <w:rPr>
                <w:sz w:val="20"/>
                <w:szCs w:val="20"/>
                <w:color w:val="auto"/>
              </w:rPr>
            </w:pPr>
            <w:r>
              <w:rPr>
                <w:rFonts w:ascii="Arial" w:cs="Arial" w:eastAsia="Arial" w:hAnsi="Arial"/>
                <w:sz w:val="18"/>
                <w:szCs w:val="18"/>
                <w:color w:val="auto"/>
                <w:w w:val="87"/>
              </w:rPr>
              <w:t>July 21, 2016</w:t>
            </w:r>
          </w:p>
        </w:tc>
      </w:tr>
      <w:tr>
        <w:trPr>
          <w:trHeight w:val="169"/>
        </w:trPr>
        <w:tc>
          <w:tcPr>
            <w:tcW w:w="1680" w:type="dxa"/>
            <w:vAlign w:val="bottom"/>
          </w:tcPr>
          <w:p>
            <w:pPr>
              <w:spacing w:after="0"/>
              <w:rPr>
                <w:sz w:val="14"/>
                <w:szCs w:val="14"/>
                <w:color w:val="auto"/>
              </w:rPr>
            </w:pPr>
          </w:p>
        </w:tc>
        <w:tc>
          <w:tcPr>
            <w:tcW w:w="294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88"/>
              </w:rPr>
              <w:t>Michael Strachan</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419"/>
        </w:trPr>
        <w:tc>
          <w:tcPr>
            <w:tcW w:w="1680" w:type="dxa"/>
            <w:vAlign w:val="bottom"/>
            <w:tcBorders>
              <w:bottom w:val="single" w:sz="8" w:color="auto"/>
            </w:tcBorders>
          </w:tcPr>
          <w:p>
            <w:pPr>
              <w:spacing w:after="0"/>
              <w:rPr>
                <w:sz w:val="24"/>
                <w:szCs w:val="24"/>
                <w:color w:val="auto"/>
              </w:rPr>
            </w:pPr>
          </w:p>
        </w:tc>
        <w:tc>
          <w:tcPr>
            <w:tcW w:w="1280" w:type="dxa"/>
            <w:vAlign w:val="bottom"/>
            <w:tcBorders>
              <w:bottom w:val="single" w:sz="8" w:color="auto"/>
            </w:tcBorders>
          </w:tcPr>
          <w:p>
            <w:pPr>
              <w:spacing w:after="0"/>
              <w:rPr>
                <w:sz w:val="24"/>
                <w:szCs w:val="24"/>
                <w:color w:val="auto"/>
              </w:rPr>
            </w:pPr>
          </w:p>
        </w:tc>
        <w:tc>
          <w:tcPr>
            <w:tcW w:w="1660" w:type="dxa"/>
            <w:vAlign w:val="bottom"/>
            <w:tcBorders>
              <w:bottom w:val="single" w:sz="8" w:color="auto"/>
            </w:tcBorders>
          </w:tcPr>
          <w:p>
            <w:pPr>
              <w:spacing w:after="0"/>
              <w:rPr>
                <w:sz w:val="24"/>
                <w:szCs w:val="24"/>
                <w:color w:val="auto"/>
              </w:rPr>
            </w:pPr>
          </w:p>
        </w:tc>
        <w:tc>
          <w:tcPr>
            <w:tcW w:w="3940" w:type="dxa"/>
            <w:vAlign w:val="bottom"/>
            <w:gridSpan w:val="3"/>
          </w:tcPr>
          <w:p>
            <w:pPr>
              <w:jc w:val="center"/>
              <w:ind w:left="592"/>
              <w:spacing w:after="0"/>
              <w:rPr>
                <w:sz w:val="20"/>
                <w:szCs w:val="20"/>
                <w:color w:val="auto"/>
              </w:rPr>
            </w:pPr>
            <w:r>
              <w:rPr>
                <w:rFonts w:ascii="Arial" w:cs="Arial" w:eastAsia="Arial" w:hAnsi="Arial"/>
                <w:sz w:val="18"/>
                <w:szCs w:val="18"/>
                <w:color w:val="auto"/>
                <w:w w:val="91"/>
              </w:rPr>
              <w:t>Director</w:t>
            </w:r>
          </w:p>
        </w:tc>
        <w:tc>
          <w:tcPr>
            <w:tcW w:w="16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r>
      <w:tr>
        <w:trPr>
          <w:trHeight w:val="169"/>
        </w:trPr>
        <w:tc>
          <w:tcPr>
            <w:tcW w:w="1680" w:type="dxa"/>
            <w:vAlign w:val="bottom"/>
          </w:tcPr>
          <w:p>
            <w:pPr>
              <w:spacing w:after="0"/>
              <w:rPr>
                <w:sz w:val="14"/>
                <w:szCs w:val="14"/>
                <w:color w:val="auto"/>
              </w:rPr>
            </w:pPr>
          </w:p>
        </w:tc>
        <w:tc>
          <w:tcPr>
            <w:tcW w:w="2940" w:type="dxa"/>
            <w:vAlign w:val="bottom"/>
            <w:gridSpan w:val="2"/>
          </w:tcPr>
          <w:p>
            <w:pPr>
              <w:jc w:val="center"/>
              <w:ind w:right="1660"/>
              <w:spacing w:after="0"/>
              <w:rPr>
                <w:sz w:val="20"/>
                <w:szCs w:val="20"/>
                <w:color w:val="auto"/>
              </w:rPr>
            </w:pPr>
            <w:r>
              <w:rPr>
                <w:rFonts w:ascii="Arial" w:cs="Arial" w:eastAsia="Arial" w:hAnsi="Arial"/>
                <w:sz w:val="14"/>
                <w:szCs w:val="14"/>
                <w:b w:val="1"/>
                <w:bCs w:val="1"/>
                <w:color w:val="auto"/>
                <w:w w:val="88"/>
              </w:rPr>
              <w:t>Dr. Sehat Sutardja</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419"/>
        </w:trPr>
        <w:tc>
          <w:tcPr>
            <w:tcW w:w="1680" w:type="dxa"/>
            <w:vAlign w:val="bottom"/>
            <w:tcBorders>
              <w:bottom w:val="single" w:sz="8" w:color="auto"/>
            </w:tcBorders>
          </w:tcPr>
          <w:p>
            <w:pPr>
              <w:ind w:left="1500"/>
              <w:spacing w:after="0"/>
              <w:rPr>
                <w:sz w:val="20"/>
                <w:szCs w:val="20"/>
                <w:color w:val="auto"/>
              </w:rPr>
            </w:pPr>
            <w:r>
              <w:rPr>
                <w:rFonts w:ascii="Arial" w:cs="Arial" w:eastAsia="Arial" w:hAnsi="Arial"/>
                <w:sz w:val="18"/>
                <w:szCs w:val="18"/>
                <w:color w:val="auto"/>
                <w:w w:val="82"/>
              </w:rPr>
              <w:t>/</w:t>
            </w:r>
            <w:r>
              <w:rPr>
                <w:rFonts w:ascii="Arial" w:cs="Arial" w:eastAsia="Arial" w:hAnsi="Arial"/>
                <w:sz w:val="14"/>
                <w:szCs w:val="14"/>
                <w:color w:val="auto"/>
                <w:w w:val="82"/>
              </w:rPr>
              <w:t>S</w:t>
            </w:r>
            <w:r>
              <w:rPr>
                <w:rFonts w:ascii="Arial" w:cs="Arial" w:eastAsia="Arial" w:hAnsi="Arial"/>
                <w:sz w:val="18"/>
                <w:szCs w:val="18"/>
                <w:color w:val="auto"/>
                <w:w w:val="82"/>
              </w:rPr>
              <w:t>/</w:t>
            </w:r>
          </w:p>
        </w:tc>
        <w:tc>
          <w:tcPr>
            <w:tcW w:w="2940" w:type="dxa"/>
            <w:vAlign w:val="bottom"/>
            <w:tcBorders>
              <w:bottom w:val="single" w:sz="8" w:color="auto"/>
            </w:tcBorders>
            <w:gridSpan w:val="2"/>
          </w:tcPr>
          <w:p>
            <w:pPr>
              <w:jc w:val="center"/>
              <w:ind w:right="1300"/>
              <w:spacing w:after="0"/>
              <w:rPr>
                <w:sz w:val="20"/>
                <w:szCs w:val="20"/>
                <w:color w:val="auto"/>
              </w:rPr>
            </w:pPr>
            <w:r>
              <w:rPr>
                <w:rFonts w:ascii="Arial" w:cs="Arial" w:eastAsia="Arial" w:hAnsi="Arial"/>
                <w:sz w:val="18"/>
                <w:szCs w:val="18"/>
                <w:color w:val="auto"/>
                <w:w w:val="95"/>
              </w:rPr>
              <w:t>R</w:t>
            </w:r>
            <w:r>
              <w:rPr>
                <w:rFonts w:ascii="Arial" w:cs="Arial" w:eastAsia="Arial" w:hAnsi="Arial"/>
                <w:sz w:val="14"/>
                <w:szCs w:val="14"/>
                <w:color w:val="auto"/>
                <w:w w:val="95"/>
              </w:rPr>
              <w:t>OBERT</w:t>
            </w:r>
            <w:r>
              <w:rPr>
                <w:rFonts w:ascii="Arial" w:cs="Arial" w:eastAsia="Arial" w:hAnsi="Arial"/>
                <w:sz w:val="18"/>
                <w:szCs w:val="18"/>
                <w:color w:val="auto"/>
                <w:w w:val="95"/>
              </w:rPr>
              <w:t xml:space="preserve"> E. S</w:t>
            </w:r>
            <w:r>
              <w:rPr>
                <w:rFonts w:ascii="Arial" w:cs="Arial" w:eastAsia="Arial" w:hAnsi="Arial"/>
                <w:sz w:val="14"/>
                <w:szCs w:val="14"/>
                <w:color w:val="auto"/>
                <w:w w:val="95"/>
              </w:rPr>
              <w:t>WITZ</w:t>
            </w:r>
          </w:p>
        </w:tc>
        <w:tc>
          <w:tcPr>
            <w:tcW w:w="3940" w:type="dxa"/>
            <w:vAlign w:val="bottom"/>
            <w:gridSpan w:val="3"/>
          </w:tcPr>
          <w:p>
            <w:pPr>
              <w:jc w:val="center"/>
              <w:ind w:left="592"/>
              <w:spacing w:after="0"/>
              <w:rPr>
                <w:sz w:val="20"/>
                <w:szCs w:val="20"/>
                <w:color w:val="auto"/>
              </w:rPr>
            </w:pPr>
            <w:r>
              <w:rPr>
                <w:rFonts w:ascii="Arial" w:cs="Arial" w:eastAsia="Arial" w:hAnsi="Arial"/>
                <w:sz w:val="18"/>
                <w:szCs w:val="18"/>
                <w:color w:val="auto"/>
                <w:w w:val="91"/>
              </w:rPr>
              <w:t>Director</w:t>
            </w:r>
          </w:p>
        </w:tc>
        <w:tc>
          <w:tcPr>
            <w:tcW w:w="2280" w:type="dxa"/>
            <w:vAlign w:val="bottom"/>
            <w:gridSpan w:val="3"/>
          </w:tcPr>
          <w:p>
            <w:pPr>
              <w:jc w:val="center"/>
              <w:ind w:left="1252"/>
              <w:spacing w:after="0"/>
              <w:rPr>
                <w:sz w:val="20"/>
                <w:szCs w:val="20"/>
                <w:color w:val="auto"/>
              </w:rPr>
            </w:pPr>
            <w:r>
              <w:rPr>
                <w:rFonts w:ascii="Arial" w:cs="Arial" w:eastAsia="Arial" w:hAnsi="Arial"/>
                <w:sz w:val="18"/>
                <w:szCs w:val="18"/>
                <w:color w:val="auto"/>
                <w:w w:val="87"/>
              </w:rPr>
              <w:t>July 21, 2016</w:t>
            </w:r>
          </w:p>
        </w:tc>
      </w:tr>
      <w:tr>
        <w:trPr>
          <w:trHeight w:val="169"/>
        </w:trPr>
        <w:tc>
          <w:tcPr>
            <w:tcW w:w="1680" w:type="dxa"/>
            <w:vAlign w:val="bottom"/>
          </w:tcPr>
          <w:p>
            <w:pPr>
              <w:spacing w:after="0"/>
              <w:rPr>
                <w:sz w:val="14"/>
                <w:szCs w:val="14"/>
                <w:color w:val="auto"/>
              </w:rPr>
            </w:pPr>
          </w:p>
        </w:tc>
        <w:tc>
          <w:tcPr>
            <w:tcW w:w="2940" w:type="dxa"/>
            <w:vAlign w:val="bottom"/>
            <w:gridSpan w:val="2"/>
          </w:tcPr>
          <w:p>
            <w:pPr>
              <w:jc w:val="center"/>
              <w:ind w:right="1660"/>
              <w:spacing w:after="0"/>
              <w:rPr>
                <w:sz w:val="20"/>
                <w:szCs w:val="20"/>
                <w:color w:val="auto"/>
              </w:rPr>
            </w:pPr>
            <w:r>
              <w:rPr>
                <w:rFonts w:ascii="Arial" w:cs="Arial" w:eastAsia="Arial" w:hAnsi="Arial"/>
                <w:sz w:val="14"/>
                <w:szCs w:val="14"/>
                <w:b w:val="1"/>
                <w:bCs w:val="1"/>
                <w:color w:val="auto"/>
                <w:w w:val="90"/>
              </w:rPr>
              <w:t>Robert E. Switz</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419"/>
        </w:trPr>
        <w:tc>
          <w:tcPr>
            <w:tcW w:w="1680" w:type="dxa"/>
            <w:vAlign w:val="bottom"/>
            <w:tcBorders>
              <w:bottom w:val="single" w:sz="8" w:color="auto"/>
            </w:tcBorders>
          </w:tcPr>
          <w:p>
            <w:pPr>
              <w:ind w:left="14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40" w:type="dxa"/>
            <w:vAlign w:val="bottom"/>
            <w:tcBorders>
              <w:bottom w:val="single" w:sz="8" w:color="auto"/>
            </w:tcBorders>
            <w:gridSpan w:val="2"/>
          </w:tcPr>
          <w:p>
            <w:pPr>
              <w:jc w:val="center"/>
              <w:ind w:right="1300"/>
              <w:spacing w:after="0"/>
              <w:rPr>
                <w:sz w:val="20"/>
                <w:szCs w:val="20"/>
                <w:color w:val="auto"/>
              </w:rPr>
            </w:pPr>
            <w:r>
              <w:rPr>
                <w:rFonts w:ascii="Arial" w:cs="Arial" w:eastAsia="Arial" w:hAnsi="Arial"/>
                <w:sz w:val="18"/>
                <w:szCs w:val="18"/>
                <w:color w:val="auto"/>
              </w:rPr>
              <w:t>R</w:t>
            </w:r>
            <w:r>
              <w:rPr>
                <w:rFonts w:ascii="Arial" w:cs="Arial" w:eastAsia="Arial" w:hAnsi="Arial"/>
                <w:sz w:val="14"/>
                <w:szCs w:val="14"/>
                <w:color w:val="auto"/>
              </w:rPr>
              <w:t>ANDHIR</w:t>
            </w:r>
            <w:r>
              <w:rPr>
                <w:rFonts w:ascii="Arial" w:cs="Arial" w:eastAsia="Arial" w:hAnsi="Arial"/>
                <w:sz w:val="18"/>
                <w:szCs w:val="18"/>
                <w:color w:val="auto"/>
              </w:rPr>
              <w:t xml:space="preserve"> T</w:t>
            </w:r>
            <w:r>
              <w:rPr>
                <w:rFonts w:ascii="Arial" w:cs="Arial" w:eastAsia="Arial" w:hAnsi="Arial"/>
                <w:sz w:val="14"/>
                <w:szCs w:val="14"/>
                <w:color w:val="auto"/>
              </w:rPr>
              <w:t>HAKUR</w:t>
            </w:r>
          </w:p>
        </w:tc>
        <w:tc>
          <w:tcPr>
            <w:tcW w:w="3940" w:type="dxa"/>
            <w:vAlign w:val="bottom"/>
            <w:gridSpan w:val="3"/>
          </w:tcPr>
          <w:p>
            <w:pPr>
              <w:jc w:val="center"/>
              <w:ind w:left="592"/>
              <w:spacing w:after="0"/>
              <w:rPr>
                <w:sz w:val="20"/>
                <w:szCs w:val="20"/>
                <w:color w:val="auto"/>
              </w:rPr>
            </w:pPr>
            <w:r>
              <w:rPr>
                <w:rFonts w:ascii="Arial" w:cs="Arial" w:eastAsia="Arial" w:hAnsi="Arial"/>
                <w:sz w:val="18"/>
                <w:szCs w:val="18"/>
                <w:color w:val="auto"/>
                <w:w w:val="91"/>
              </w:rPr>
              <w:t>Director</w:t>
            </w:r>
          </w:p>
        </w:tc>
        <w:tc>
          <w:tcPr>
            <w:tcW w:w="2280" w:type="dxa"/>
            <w:vAlign w:val="bottom"/>
            <w:gridSpan w:val="3"/>
          </w:tcPr>
          <w:p>
            <w:pPr>
              <w:jc w:val="center"/>
              <w:ind w:left="1252"/>
              <w:spacing w:after="0"/>
              <w:rPr>
                <w:sz w:val="20"/>
                <w:szCs w:val="20"/>
                <w:color w:val="auto"/>
              </w:rPr>
            </w:pPr>
            <w:r>
              <w:rPr>
                <w:rFonts w:ascii="Arial" w:cs="Arial" w:eastAsia="Arial" w:hAnsi="Arial"/>
                <w:sz w:val="18"/>
                <w:szCs w:val="18"/>
                <w:color w:val="auto"/>
                <w:w w:val="87"/>
              </w:rPr>
              <w:t>July 21, 2016</w:t>
            </w:r>
          </w:p>
        </w:tc>
      </w:tr>
      <w:tr>
        <w:trPr>
          <w:trHeight w:val="169"/>
        </w:trPr>
        <w:tc>
          <w:tcPr>
            <w:tcW w:w="1680" w:type="dxa"/>
            <w:vAlign w:val="bottom"/>
          </w:tcPr>
          <w:p>
            <w:pPr>
              <w:spacing w:after="0"/>
              <w:rPr>
                <w:sz w:val="14"/>
                <w:szCs w:val="14"/>
                <w:color w:val="auto"/>
              </w:rPr>
            </w:pPr>
          </w:p>
        </w:tc>
        <w:tc>
          <w:tcPr>
            <w:tcW w:w="294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93"/>
              </w:rPr>
              <w:t>Dr. Randhir Thakur</w:t>
            </w:r>
          </w:p>
        </w:tc>
        <w:tc>
          <w:tcPr>
            <w:tcW w:w="2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r>
      <w:tr>
        <w:trPr>
          <w:trHeight w:val="350"/>
        </w:trPr>
        <w:tc>
          <w:tcPr>
            <w:tcW w:w="16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160" w:type="dxa"/>
            <w:vAlign w:val="bottom"/>
          </w:tcPr>
          <w:p>
            <w:pPr>
              <w:jc w:val="right"/>
              <w:ind w:right="852"/>
              <w:spacing w:after="0"/>
              <w:rPr>
                <w:sz w:val="20"/>
                <w:szCs w:val="20"/>
                <w:color w:val="auto"/>
              </w:rPr>
            </w:pPr>
            <w:r>
              <w:rPr>
                <w:rFonts w:ascii="Arial" w:cs="Arial" w:eastAsia="Arial" w:hAnsi="Arial"/>
                <w:sz w:val="18"/>
                <w:szCs w:val="18"/>
                <w:color w:val="auto"/>
              </w:rPr>
              <w:t>163</w:t>
            </w:r>
          </w:p>
        </w:tc>
        <w:tc>
          <w:tcPr>
            <w:tcW w:w="28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r>
    </w:tbl>
    <w:p>
      <w:pPr>
        <w:sectPr>
          <w:pgSz w:w="11900" w:h="16838" w:orient="portrait"/>
          <w:cols w:equalWidth="0" w:num="1">
            <w:col w:w="10840"/>
          </w:cols>
          <w:pgMar w:left="240" w:top="459" w:right="819" w:bottom="1440" w:gutter="0" w:footer="0" w:header="0"/>
        </w:sectPr>
      </w:pPr>
    </w:p>
    <w:bookmarkStart w:id="165" w:name="page166"/>
    <w:bookmarkEnd w:id="1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SCHEDULE II</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0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10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5"/>
              </w:rPr>
              <w:t>Balance at</w:t>
            </w: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5"/>
              </w:rPr>
              <w:t>Balance at</w:t>
            </w:r>
          </w:p>
        </w:tc>
        <w:tc>
          <w:tcPr>
            <w:tcW w:w="0" w:type="dxa"/>
            <w:vAlign w:val="bottom"/>
          </w:tcPr>
          <w:p>
            <w:pPr>
              <w:spacing w:after="0"/>
              <w:rPr>
                <w:sz w:val="1"/>
                <w:szCs w:val="1"/>
                <w:color w:val="auto"/>
              </w:rPr>
            </w:pPr>
          </w:p>
        </w:tc>
      </w:tr>
      <w:tr>
        <w:trPr>
          <w:trHeight w:val="149"/>
        </w:trPr>
        <w:tc>
          <w:tcPr>
            <w:tcW w:w="480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10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4"/>
              </w:rPr>
              <w:t>Beginning</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End of</w:t>
            </w:r>
          </w:p>
        </w:tc>
        <w:tc>
          <w:tcPr>
            <w:tcW w:w="0" w:type="dxa"/>
            <w:vAlign w:val="bottom"/>
          </w:tcPr>
          <w:p>
            <w:pPr>
              <w:spacing w:after="0"/>
              <w:rPr>
                <w:sz w:val="1"/>
                <w:szCs w:val="1"/>
                <w:color w:val="auto"/>
              </w:rPr>
            </w:pPr>
          </w:p>
        </w:tc>
      </w:tr>
      <w:tr>
        <w:trPr>
          <w:trHeight w:val="161"/>
        </w:trPr>
        <w:tc>
          <w:tcPr>
            <w:tcW w:w="480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8"/>
              </w:rPr>
              <w:t>of Year</w:t>
            </w:r>
          </w:p>
        </w:tc>
        <w:tc>
          <w:tcPr>
            <w:tcW w:w="580" w:type="dxa"/>
            <w:vAlign w:val="bottom"/>
            <w:gridSpan w:val="2"/>
          </w:tcPr>
          <w:p>
            <w:pPr>
              <w:ind w:left="20"/>
              <w:spacing w:after="0"/>
              <w:rPr>
                <w:sz w:val="20"/>
                <w:szCs w:val="20"/>
                <w:color w:val="auto"/>
              </w:rPr>
            </w:pPr>
            <w:r>
              <w:rPr>
                <w:rFonts w:ascii="Arial" w:cs="Arial" w:eastAsia="Arial" w:hAnsi="Arial"/>
                <w:sz w:val="14"/>
                <w:szCs w:val="14"/>
                <w:b w:val="1"/>
                <w:bCs w:val="1"/>
                <w:color w:val="auto"/>
                <w:w w:val="83"/>
              </w:rPr>
              <w:t>Additions</w:t>
            </w:r>
          </w:p>
        </w:tc>
        <w:tc>
          <w:tcPr>
            <w:tcW w:w="44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Deductions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Year</w:t>
            </w:r>
          </w:p>
        </w:tc>
        <w:tc>
          <w:tcPr>
            <w:tcW w:w="0" w:type="dxa"/>
            <w:vAlign w:val="bottom"/>
          </w:tcPr>
          <w:p>
            <w:pPr>
              <w:spacing w:after="0"/>
              <w:rPr>
                <w:sz w:val="1"/>
                <w:szCs w:val="1"/>
                <w:color w:val="auto"/>
              </w:rPr>
            </w:pPr>
          </w:p>
        </w:tc>
      </w:tr>
      <w:tr>
        <w:trPr>
          <w:trHeight w:val="196"/>
        </w:trPr>
        <w:tc>
          <w:tcPr>
            <w:tcW w:w="48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Fiscal year ended January 30, 2016</w:t>
            </w:r>
          </w:p>
        </w:tc>
        <w:tc>
          <w:tcPr>
            <w:tcW w:w="26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2,112</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2,614</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(1,964)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2,762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 allowance</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6"/>
              </w:rPr>
              <w:t>382,796</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42,118</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424,914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vMerge w:val="restart"/>
          </w:tcPr>
          <w:p>
            <w:pPr>
              <w:spacing w:after="0"/>
              <w:rPr>
                <w:sz w:val="20"/>
                <w:szCs w:val="20"/>
                <w:color w:val="auto"/>
              </w:rPr>
            </w:pPr>
            <w:r>
              <w:rPr>
                <w:rFonts w:ascii="Arial" w:cs="Arial" w:eastAsia="Arial" w:hAnsi="Arial"/>
                <w:sz w:val="18"/>
                <w:szCs w:val="18"/>
                <w:color w:val="auto"/>
              </w:rPr>
              <w:t>Fiscal year ended January 31, 2015</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800" w:type="dxa"/>
            <w:vAlign w:val="bottom"/>
            <w:vMerge w:val="continue"/>
          </w:tcPr>
          <w:p>
            <w:pPr>
              <w:spacing w:after="0"/>
              <w:rPr>
                <w:sz w:val="18"/>
                <w:szCs w:val="18"/>
                <w:color w:val="auto"/>
              </w:rPr>
            </w:pP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2,294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3,041</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4"/>
              </w:rPr>
              <w:t>(3,223)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vMerge w:val="restart"/>
          </w:tcPr>
          <w:p>
            <w:pPr>
              <w:spacing w:after="0"/>
              <w:rPr>
                <w:sz w:val="20"/>
                <w:szCs w:val="20"/>
                <w:color w:val="auto"/>
              </w:rPr>
            </w:pPr>
            <w:r>
              <w:rPr>
                <w:rFonts w:ascii="Arial" w:cs="Arial" w:eastAsia="Arial" w:hAnsi="Arial"/>
                <w:sz w:val="18"/>
                <w:szCs w:val="18"/>
                <w:color w:val="auto"/>
              </w:rPr>
              <w:t>Deferred tax valuation allowance</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00" w:type="dxa"/>
            <w:vAlign w:val="bottom"/>
            <w:vMerge w:val="continue"/>
          </w:tcPr>
          <w:p>
            <w:pPr>
              <w:spacing w:after="0"/>
              <w:rPr>
                <w:sz w:val="18"/>
                <w:szCs w:val="18"/>
                <w:color w:val="auto"/>
              </w:rPr>
            </w:pPr>
          </w:p>
        </w:tc>
        <w:tc>
          <w:tcPr>
            <w:tcW w:w="27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w w:val="86"/>
              </w:rPr>
              <w:t>335,890</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46,906</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382,796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February 1, 2014</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7,921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3,808</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(9,435)</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2,294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 allowance</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6"/>
              </w:rPr>
              <w:t>299,449</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36,441</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335,890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vMerge w:val="restart"/>
          </w:tcPr>
          <w:p>
            <w:pPr>
              <w:jc w:val="right"/>
              <w:ind w:right="1512"/>
              <w:spacing w:after="0"/>
              <w:rPr>
                <w:sz w:val="20"/>
                <w:szCs w:val="20"/>
                <w:color w:val="auto"/>
              </w:rPr>
            </w:pPr>
            <w:r>
              <w:rPr>
                <w:rFonts w:ascii="Arial" w:cs="Arial" w:eastAsia="Arial" w:hAnsi="Arial"/>
                <w:sz w:val="18"/>
                <w:szCs w:val="18"/>
                <w:color w:val="auto"/>
              </w:rPr>
              <w:t>164</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800" w:type="dxa"/>
            <w:vAlign w:val="bottom"/>
          </w:tcPr>
          <w:p>
            <w:pPr>
              <w:spacing w:after="0"/>
              <w:rPr>
                <w:sz w:val="24"/>
                <w:szCs w:val="24"/>
                <w:color w:val="auto"/>
              </w:rPr>
            </w:pPr>
          </w:p>
        </w:tc>
        <w:tc>
          <w:tcPr>
            <w:tcW w:w="26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60" w:right="239" w:bottom="1440" w:gutter="0" w:footer="0" w:header="0"/>
        </w:sectPr>
      </w:pPr>
    </w:p>
    <w:bookmarkStart w:id="166" w:name="page167"/>
    <w:bookmarkEnd w:id="1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320" w:type="dxa"/>
            <w:vAlign w:val="bottom"/>
          </w:tcPr>
          <w:p>
            <w:pPr>
              <w:jc w:val="center"/>
              <w:ind w:right="1952"/>
              <w:spacing w:after="0"/>
              <w:rPr>
                <w:sz w:val="20"/>
                <w:szCs w:val="20"/>
                <w:color w:val="auto"/>
              </w:rPr>
            </w:pPr>
            <w:r>
              <w:rPr>
                <w:rFonts w:ascii="Arial" w:cs="Arial" w:eastAsia="Arial" w:hAnsi="Arial"/>
                <w:sz w:val="18"/>
                <w:szCs w:val="18"/>
                <w:b w:val="1"/>
                <w:bCs w:val="1"/>
                <w:color w:val="auto"/>
              </w:rPr>
              <w:t>INDEX TO EXHIBITS</w:t>
            </w:r>
          </w:p>
        </w:tc>
      </w:tr>
      <w:tr>
        <w:trPr>
          <w:trHeight w:val="340"/>
        </w:trPr>
        <w:tc>
          <w:tcPr>
            <w:tcW w:w="120" w:type="dxa"/>
            <w:vAlign w:val="bottom"/>
          </w:tcPr>
          <w:p>
            <w:pPr>
              <w:spacing w:after="0"/>
              <w:rPr>
                <w:sz w:val="24"/>
                <w:szCs w:val="2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94"/>
              </w:rPr>
              <w:t>Exhibit</w:t>
            </w:r>
          </w:p>
        </w:tc>
        <w:tc>
          <w:tcPr>
            <w:tcW w:w="8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320" w:type="dxa"/>
            <w:vAlign w:val="bottom"/>
          </w:tcPr>
          <w:p>
            <w:pPr>
              <w:spacing w:after="0"/>
              <w:rPr>
                <w:sz w:val="24"/>
                <w:szCs w:val="24"/>
                <w:color w:val="auto"/>
              </w:rPr>
            </w:pPr>
          </w:p>
        </w:tc>
      </w:tr>
      <w:tr>
        <w:trPr>
          <w:trHeight w:val="161"/>
        </w:trPr>
        <w:tc>
          <w:tcPr>
            <w:tcW w:w="12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80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20" w:type="dxa"/>
            <w:vAlign w:val="bottom"/>
          </w:tcPr>
          <w:p>
            <w:pPr>
              <w:spacing w:after="0"/>
              <w:rPr>
                <w:sz w:val="14"/>
                <w:szCs w:val="14"/>
                <w:color w:val="auto"/>
              </w:rPr>
            </w:pPr>
          </w:p>
        </w:tc>
      </w:tr>
      <w:tr>
        <w:trPr>
          <w:trHeight w:val="309"/>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3.1</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3"/>
              </w:rPr>
              <w:t>Memorandum of Association of Marvell Technology Group Ltd., incorporated by reference to Exhibit 3.1 of the registrant’s Registration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3.2</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4"/>
              </w:rPr>
              <w:t>Third Amended and Restated Bye-Laws of Marvell Technology Group Ltd., incorporated by reference to Exhibit 3.1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Current Report on Form 8-K (file no. 000-30877) as filed on July 13, 2010</w:t>
            </w:r>
          </w:p>
        </w:tc>
      </w:tr>
      <w:tr>
        <w:trPr>
          <w:trHeight w:val="318"/>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3.3</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2"/>
              </w:rPr>
              <w:t>Memorandum of Increase of Share Capital of Marvell Technology Group Ltd., incorporated by reference to Exhibit 3.1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Current Report on Form 8-K (file no. 000-30877) as filed on July 6, 2006</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3"/>
              </w:rPr>
              <w:t>1997 Directors’ Stock Option Plan, incorporated by reference to Exhibit 10.2 of the registrant’s Registration Statement on Form S-1 (file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10.2#</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8"/>
              </w:rPr>
              <w:t>Form of Notice of Stock Option Grants, Nonstatutory Stock Option Agreement, Exercise Notice and Restricted Stock Purchase Agreement for</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use under the 1997 Directors’ Stock Option Plan, incorporated by reference to Exhibit 10.7 of the registrant’s Registration Statement on Form</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S-8 (file no. 333-148621) as filed on January 11,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10.3#</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4"/>
              </w:rPr>
              <w:t>registrant’s Quarterly Report on Form 10-Q (file no. 000-30877) for the period ended October 29, 2011 as filed on December 2, 2011</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10.4#</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10.4 of the registrant’s Annual</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Report on Form 10-K (file no. 000-30877) for the year ended February 2, 2013 as filed on March 29, 2013</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10.5#</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8"/>
              </w:rPr>
              <w:t>Amended and Restated 1995 Stock Option Plan, amended through April 16, 2015, incorporated by reference to Exhibit 10.2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Current Report on Form 8-K (file no. 000-30877) as filed on July 2, 2015</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10.6#</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0"/>
              </w:rPr>
              <w:t>Amended and Restated 1995 Stock Option Plan Restricted Stock Agreement, incorporated by reference to Exhibit 10.20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Annual Report on Form 10-K (file no. 000-30877) for the year ended January 28, 2006 as filed on April 13, 2006</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10.7#</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Form of Option Agreement for use with the Amended and Restated 1995 Stock Option Plan, incorporated by reference to Exhibit 10.21 of the</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2"/>
              </w:rPr>
              <w:t>registrant’s Annual Report on Form 10-K (file no. 000-30877) for the year ended January 28, 2006 as filed on April 13, 2006 (for options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granted prior to December 4,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10.7.1#</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1"/>
              </w:rPr>
              <w:t>Stock Option Plan, incorporated by reference to Exhibit 10.1 of the registrant’s Current Report on Form 8-K (file no. 000-30877) as filed on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December 17, 2008 (for options granted on or after December 4,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10.7.2#</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1"/>
              </w:rPr>
              <w:t>Stock Option Plan, incorporated by reference to Exhibit 10.3 of the registrant’s Quarterly Report on Form 10-Q (file no. 000-30877) for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period ended July 31, 2010 as filed on September 3, 2010 (for options granted on or after August 2, 2010)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10.7.3#</w:t>
            </w:r>
          </w:p>
        </w:tc>
        <w:tc>
          <w:tcPr>
            <w:tcW w:w="80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0"/>
              </w:rPr>
              <w:t>Stock Option Plan (for options granted on or after September 20, 2013), incorporated by reference to Exhibit 10.1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Report on Form 8-K (file no. 000-30877) as filed on September 26, 2013</w:t>
            </w:r>
          </w:p>
        </w:tc>
      </w:tr>
      <w:tr>
        <w:trPr>
          <w:trHeight w:val="365"/>
        </w:trPr>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820" w:type="dxa"/>
            <w:vAlign w:val="bottom"/>
            <w:gridSpan w:val="3"/>
          </w:tcPr>
          <w:p>
            <w:pPr>
              <w:jc w:val="right"/>
              <w:ind w:right="5472"/>
              <w:spacing w:after="0"/>
              <w:rPr>
                <w:sz w:val="20"/>
                <w:szCs w:val="20"/>
                <w:color w:val="auto"/>
              </w:rPr>
            </w:pPr>
            <w:r>
              <w:rPr>
                <w:rFonts w:ascii="Arial" w:cs="Arial" w:eastAsia="Arial" w:hAnsi="Arial"/>
                <w:sz w:val="18"/>
                <w:szCs w:val="18"/>
                <w:color w:val="auto"/>
              </w:rPr>
              <w:t>165</w:t>
            </w:r>
          </w:p>
        </w:tc>
      </w:tr>
    </w:tbl>
    <w:p>
      <w:pPr>
        <w:sectPr>
          <w:pgSz w:w="11900" w:h="16838" w:orient="portrait"/>
          <w:cols w:equalWidth="0" w:num="1">
            <w:col w:w="11400"/>
          </w:cols>
          <w:pgMar w:left="240" w:top="459" w:right="259" w:bottom="1440" w:gutter="0" w:footer="0" w:header="0"/>
        </w:sectPr>
      </w:pPr>
    </w:p>
    <w:bookmarkStart w:id="167" w:name="page168"/>
    <w:bookmarkEnd w:id="1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80" w:type="dxa"/>
            <w:vAlign w:val="bottom"/>
          </w:tcPr>
          <w:p>
            <w:pPr>
              <w:spacing w:after="0"/>
              <w:rPr>
                <w:sz w:val="14"/>
                <w:szCs w:val="14"/>
                <w:color w:val="auto"/>
              </w:rPr>
            </w:pPr>
          </w:p>
        </w:tc>
      </w:tr>
      <w:tr>
        <w:trPr>
          <w:trHeight w:val="161"/>
        </w:trPr>
        <w:tc>
          <w:tcPr>
            <w:tcW w:w="1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80" w:type="dxa"/>
            <w:vAlign w:val="bottom"/>
          </w:tcPr>
          <w:p>
            <w:pPr>
              <w:spacing w:after="0"/>
              <w:rPr>
                <w:sz w:val="14"/>
                <w:szCs w:val="14"/>
                <w:color w:val="auto"/>
              </w:rPr>
            </w:pPr>
          </w:p>
        </w:tc>
      </w:tr>
      <w:tr>
        <w:trPr>
          <w:trHeight w:val="309"/>
        </w:trPr>
        <w:tc>
          <w:tcPr>
            <w:tcW w:w="640" w:type="dxa"/>
            <w:vAlign w:val="bottom"/>
            <w:gridSpan w:val="2"/>
          </w:tcPr>
          <w:p>
            <w:pPr>
              <w:spacing w:after="0"/>
              <w:rPr>
                <w:sz w:val="20"/>
                <w:szCs w:val="20"/>
                <w:color w:val="auto"/>
              </w:rPr>
            </w:pPr>
            <w:r>
              <w:rPr>
                <w:rFonts w:ascii="Arial" w:cs="Arial" w:eastAsia="Arial" w:hAnsi="Arial"/>
                <w:sz w:val="18"/>
                <w:szCs w:val="18"/>
                <w:color w:val="auto"/>
              </w:rPr>
              <w:t>10.8#</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Restricted Stock Unit Agreement for use with the Amended and Restated 1995 Stock Option Plan, incorporated by reference to</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Exhibit 10.34 of the registrant’s Annual Report on Form 10-K (file no. 000-30877) for the year ended January 27, 2007 as filed on July 2,</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2007 (for RSUs granted prior to December 4,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10.8.1#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4"/>
              </w:rPr>
              <w:t>Option Plan, incorporated by reference to Exhibit 10.2 of the registrant’s Current Report on Form 8-K (file no. 000-30877) as filed on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December 17, 2008 (for RSUs granted on or after December 4,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10.8.2#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Option Plan, incorporated by reference to Exhibit 10.4 of the registrant’s Quarterly Report on Form 10-Q (file no. 000-30877) for the period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ended July 31, 2010 as filed on September 3, 2010 (for RSUs granted on or after August 2, 2010)</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10.9#</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Form of Notice of Grant of Stock Options — Performance-Based, for use with the Amended and Restated 1995 Stock Option Plan,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10.10#</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Reformation of Stock Option Agreement dated December 27, 2006 by and between Sehat Sutardja and Marvell Technology Group Ltd.,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incorporated by reference to Exhibit 10.1 of the registrant’s Current Report on Form 8-K (file no. 000-30877) as filed on January 4,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6"/>
              </w:rPr>
              <w:t>Reformation of Stock Option Agreement dated December 27, 2006 by and between Weili Dai and Marvell Technology Group Ltd.,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incorporated by reference to Exhibit 10.2 of the registrant’s Current Report on Form 8-K (file no. 000-30877) as filed on January 4,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8"/>
              </w:rPr>
              <w:t>Reformation of Stock Option Agreement dated May 6, 2007 between Marvell Technology Group Ltd. and Dr. Sehat Sutardja,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reference to Exhibit 10.1 of the registrant’s Current Report on Form 8-K (file no. 000-30877) as filed on May 8,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10.13#</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Amendment of Stock Option Agreement dated May 6, 2007 between Marvell Technology Group Ltd. and Weili Dai,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reference to Exhibit 10.2 of the registrant’s Current Report on Form 8-K (file no. 000-30877) as filed on May 8,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10.14#</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1"/>
              </w:rPr>
              <w:t>Form of Performance Award Agreement and Notice of Grant of Performance Award and Award Agreement for use with the Amended and</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Restated 1995 Stock Option Plan, incorporated by reference to Exhibit 10.2 of the registrant’s Quarterly Report on Form 10-Q (file no. 000-</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30877) for the period ended May 3, 2014 as filed on June 5, 2014</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10.15#</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Marvell Technology Group Ltd. Executive Performance Incentive Plan, incorporated by reference to Exhibit 10.1 of the registrant’s Current</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Report on Form 8-K (file no. 000-30877) as filed on July 2, 2015</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10.16#</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1"/>
              </w:rPr>
              <w:t>2007 Director Stock Incentive Plan, as amended and restated effective March 11, 2014, incorporated by reference to Exhibit 10.15 of the</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registrant’s Annual Report on Form 10-K (file no. 000-30877) for the year ended February 1, 2014 as filed on March 27, 2014</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10.17.1#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6"/>
              </w:rPr>
              <w:t>Form of Stock Option Agreement for use with the 2007 Director Stock Incentive Plan — Initial Award,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Exhibit 10.2 of the registrant’s Current Report on Form 8-K (file no. 000-30877) as filed on October 25,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10.17.2#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Form of Stock Option Agreement for use with the 2007 Director Stock Incentive Plan — Annual Award,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Exhibit 10.3 of the registrant’s Current Report on Form 8-K (file no. 000-30877) as filed on October 25, 2007</w:t>
            </w:r>
          </w:p>
        </w:tc>
      </w:tr>
      <w:tr>
        <w:trPr>
          <w:trHeight w:val="365"/>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20" w:type="dxa"/>
            <w:vAlign w:val="bottom"/>
            <w:gridSpan w:val="3"/>
          </w:tcPr>
          <w:p>
            <w:pPr>
              <w:jc w:val="right"/>
              <w:ind w:right="5520"/>
              <w:spacing w:after="0"/>
              <w:rPr>
                <w:sz w:val="20"/>
                <w:szCs w:val="20"/>
                <w:color w:val="auto"/>
              </w:rPr>
            </w:pPr>
            <w:r>
              <w:rPr>
                <w:rFonts w:ascii="Arial" w:cs="Arial" w:eastAsia="Arial" w:hAnsi="Arial"/>
                <w:sz w:val="18"/>
                <w:szCs w:val="18"/>
                <w:color w:val="auto"/>
              </w:rPr>
              <w:t>166</w:t>
            </w:r>
          </w:p>
        </w:tc>
      </w:tr>
    </w:tbl>
    <w:p>
      <w:pPr>
        <w:sectPr>
          <w:pgSz w:w="11900" w:h="16838" w:orient="portrait"/>
          <w:cols w:equalWidth="0" w:num="1">
            <w:col w:w="11360"/>
          </w:cols>
          <w:pgMar w:left="240" w:top="460" w:right="299" w:bottom="1440" w:gutter="0" w:footer="0" w:header="0"/>
        </w:sectPr>
      </w:pPr>
    </w:p>
    <w:bookmarkStart w:id="168" w:name="page169"/>
    <w:bookmarkEnd w:id="1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0" w:type="dxa"/>
            <w:vAlign w:val="bottom"/>
          </w:tcPr>
          <w:p>
            <w:pPr>
              <w:spacing w:after="0"/>
              <w:rPr>
                <w:sz w:val="14"/>
                <w:szCs w:val="14"/>
                <w:color w:val="auto"/>
              </w:rPr>
            </w:pPr>
          </w:p>
        </w:tc>
        <w:tc>
          <w:tcPr>
            <w:tcW w:w="44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320" w:type="dxa"/>
            <w:vAlign w:val="bottom"/>
          </w:tcPr>
          <w:p>
            <w:pPr>
              <w:spacing w:after="0"/>
              <w:rPr>
                <w:sz w:val="14"/>
                <w:szCs w:val="14"/>
                <w:color w:val="auto"/>
              </w:rPr>
            </w:pPr>
          </w:p>
        </w:tc>
      </w:tr>
      <w:tr>
        <w:trPr>
          <w:trHeight w:val="161"/>
        </w:trPr>
        <w:tc>
          <w:tcPr>
            <w:tcW w:w="260" w:type="dxa"/>
            <w:vAlign w:val="bottom"/>
          </w:tcPr>
          <w:p>
            <w:pPr>
              <w:spacing w:after="0"/>
              <w:rPr>
                <w:sz w:val="14"/>
                <w:szCs w:val="14"/>
                <w:color w:val="auto"/>
              </w:rPr>
            </w:pP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20" w:type="dxa"/>
            <w:vAlign w:val="bottom"/>
          </w:tcPr>
          <w:p>
            <w:pPr>
              <w:spacing w:after="0"/>
              <w:rPr>
                <w:sz w:val="14"/>
                <w:szCs w:val="14"/>
                <w:color w:val="auto"/>
              </w:rPr>
            </w:pPr>
          </w:p>
        </w:tc>
      </w:tr>
      <w:tr>
        <w:trPr>
          <w:trHeight w:val="309"/>
        </w:trPr>
        <w:tc>
          <w:tcPr>
            <w:tcW w:w="700" w:type="dxa"/>
            <w:vAlign w:val="bottom"/>
            <w:gridSpan w:val="2"/>
          </w:tcPr>
          <w:p>
            <w:pPr>
              <w:spacing w:after="0"/>
              <w:rPr>
                <w:sz w:val="20"/>
                <w:szCs w:val="20"/>
                <w:color w:val="auto"/>
              </w:rPr>
            </w:pPr>
            <w:r>
              <w:rPr>
                <w:rFonts w:ascii="Arial" w:cs="Arial" w:eastAsia="Arial" w:hAnsi="Arial"/>
                <w:sz w:val="18"/>
                <w:szCs w:val="18"/>
                <w:color w:val="auto"/>
                <w:w w:val="96"/>
              </w:rPr>
              <w:t>10.17.3#</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2007 Director Stock Incentive Plan,</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5"/>
              </w:rPr>
              <w:t>incorporated by reference to Exhibit 10.2 of the registrant’s Current Report on Form 8-K (file no. 000-30877) as filed on July 1, 2011</w:t>
            </w:r>
          </w:p>
        </w:tc>
      </w:tr>
      <w:tr>
        <w:trPr>
          <w:trHeight w:val="318"/>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90"/>
              </w:rPr>
              <w:t>10.18#</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6"/>
              </w:rPr>
              <w:t>Description of Indemnification Rights for certain current and former directors, officers and employees, incorporated by reference to</w:t>
            </w:r>
          </w:p>
        </w:tc>
      </w:tr>
      <w:tr>
        <w:trPr>
          <w:trHeight w:val="216"/>
        </w:trPr>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Exhibit 10.37 of the registrant’s Quarterly Report on Form 10-Q (file no. 000-30877) for the period ended July 28, 2007 as filed on September</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380" w:type="dxa"/>
            <w:vAlign w:val="bottom"/>
            <w:gridSpan w:val="2"/>
          </w:tcPr>
          <w:p>
            <w:pPr>
              <w:ind w:left="680"/>
              <w:spacing w:after="0"/>
              <w:rPr>
                <w:sz w:val="20"/>
                <w:szCs w:val="20"/>
                <w:color w:val="auto"/>
              </w:rPr>
            </w:pPr>
            <w:r>
              <w:rPr>
                <w:rFonts w:ascii="Arial" w:cs="Arial" w:eastAsia="Arial" w:hAnsi="Arial"/>
                <w:sz w:val="18"/>
                <w:szCs w:val="18"/>
                <w:color w:val="auto"/>
              </w:rPr>
              <w:t>6, 2007</w:t>
            </w:r>
          </w:p>
        </w:tc>
        <w:tc>
          <w:tcPr>
            <w:tcW w:w="9320" w:type="dxa"/>
            <w:vAlign w:val="bottom"/>
          </w:tcPr>
          <w:p>
            <w:pPr>
              <w:spacing w:after="0"/>
              <w:rPr>
                <w:sz w:val="19"/>
                <w:szCs w:val="19"/>
                <w:color w:val="auto"/>
              </w:rPr>
            </w:pPr>
          </w:p>
        </w:tc>
      </w:tr>
      <w:tr>
        <w:trPr>
          <w:trHeight w:val="318"/>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90"/>
              </w:rPr>
              <w:t>10.19#</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4"/>
              </w:rPr>
              <w:t>Form of Indemnification Agreement with Directors and Executive Officers, incorporated by reference to Exhibit 10.1 of the registrant’s</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Current Report on Form 8-K (file no. 000-30877) as filed on October 10, 2008</w:t>
            </w:r>
          </w:p>
        </w:tc>
      </w:tr>
      <w:tr>
        <w:trPr>
          <w:trHeight w:val="318"/>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90"/>
              </w:rPr>
              <w:t>10.20#</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Indemnification Arrangement with Dr. Sehat Sutardja, incorporated by reference to Exhibit 10.1 of the registrant’s Current Report on Form 8-</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K (file no. 000-30877) as filed on March 7, 2011</w:t>
            </w:r>
          </w:p>
        </w:tc>
      </w:tr>
      <w:tr>
        <w:trPr>
          <w:trHeight w:val="318"/>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90"/>
              </w:rPr>
              <w:t>10.21#</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8"/>
              </w:rPr>
              <w:t>Interim Services Agreement between the registrant and Randstad Professionals U.S., LP d/b/a “Tatum” dated October 15, 2015 in connection</w:t>
            </w:r>
          </w:p>
        </w:tc>
      </w:tr>
      <w:tr>
        <w:trPr>
          <w:trHeight w:val="216"/>
        </w:trPr>
        <w:tc>
          <w:tcPr>
            <w:tcW w:w="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with the retention of David P. Eichler as Interim Chief Financial Officer, incorporated by reference to Exhibit 10.1 of the registrant’s Quarterly</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Report on Form 10-Q (file no. 000-30877) for the period ended October 31, 2015 as filed on the date hereof.</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21.1</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24.1</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31.1</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Certification of Interim Principal Executive Officer as required pursuant to Section 302 of the Sarbanes-Oxley Act</w:t>
            </w:r>
          </w:p>
        </w:tc>
      </w:tr>
      <w:tr>
        <w:trPr>
          <w:trHeight w:val="324"/>
        </w:trPr>
        <w:tc>
          <w:tcPr>
            <w:tcW w:w="700" w:type="dxa"/>
            <w:vAlign w:val="bottom"/>
            <w:gridSpan w:val="2"/>
          </w:tcPr>
          <w:p>
            <w:pPr>
              <w:jc w:val="center"/>
              <w:ind w:right="132"/>
              <w:spacing w:after="0"/>
              <w:rPr>
                <w:sz w:val="20"/>
                <w:szCs w:val="20"/>
                <w:color w:val="auto"/>
              </w:rPr>
            </w:pPr>
            <w:r>
              <w:rPr>
                <w:rFonts w:ascii="Arial" w:cs="Arial" w:eastAsia="Arial" w:hAnsi="Arial"/>
                <w:sz w:val="18"/>
                <w:szCs w:val="18"/>
                <w:color w:val="auto"/>
                <w:w w:val="85"/>
              </w:rPr>
              <w:t>31.2</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Certification of Interim Chief Financial Officer as required pursuant to Section 302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32.1~</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Certification of Interim Principal Executive Officer as required pursuant to Section 906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32.2~</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Certification of Interim Chief Financial Officer as required pursuant to Section 906 of the Sarbanes-Oxley Act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101.INS</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3"/>
              </w:rPr>
              <w:t>101.SCH</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7"/>
              </w:rPr>
              <w:t>101.CAL</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5"/>
              </w:rPr>
              <w:t>101.DEF</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8"/>
              </w:rPr>
              <w:t>101.LAB</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4"/>
              </w:rPr>
              <w:t>101.PRE</w:t>
            </w:r>
          </w:p>
        </w:tc>
        <w:tc>
          <w:tcPr>
            <w:tcW w:w="68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196" w:lineRule="exact"/>
        <w:rPr>
          <w:sz w:val="20"/>
          <w:szCs w:val="20"/>
          <w:color w:val="auto"/>
        </w:rPr>
      </w:pPr>
    </w:p>
    <w:p>
      <w:pPr>
        <w:ind w:left="460" w:hanging="452"/>
        <w:spacing w:after="0"/>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60" w:hanging="452"/>
        <w:spacing w:after="0" w:line="253" w:lineRule="auto"/>
        <w:tabs>
          <w:tab w:leader="none" w:pos="4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Annual Report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167</w:t>
      </w:r>
    </w:p>
    <w:p>
      <w:pPr>
        <w:sectPr>
          <w:pgSz w:w="11900" w:h="16838" w:orient="portrait"/>
          <w:cols w:equalWidth="0" w:num="1">
            <w:col w:w="11400"/>
          </w:cols>
          <w:pgMar w:left="240" w:top="460" w:right="259" w:bottom="1440" w:gutter="0" w:footer="0" w:header="0"/>
        </w:sectPr>
      </w:pPr>
    </w:p>
    <w:bookmarkStart w:id="169" w:name="page170"/>
    <w:bookmarkEnd w:id="169"/>
    <w:tbl>
      <w:tblPr>
        <w:tblLayout w:type="fixed"/>
        <w:tblInd w:w="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3620" w:type="dxa"/>
            <w:vAlign w:val="bottom"/>
          </w:tcPr>
          <w:p>
            <w:pPr>
              <w:spacing w:after="0"/>
              <w:rPr>
                <w:sz w:val="20"/>
                <w:szCs w:val="20"/>
                <w:color w:val="auto"/>
              </w:rPr>
            </w:pPr>
          </w:p>
        </w:tc>
        <w:tc>
          <w:tcPr>
            <w:tcW w:w="5060" w:type="dxa"/>
            <w:vAlign w:val="bottom"/>
          </w:tcPr>
          <w:p>
            <w:pPr>
              <w:spacing w:after="0"/>
              <w:rPr>
                <w:sz w:val="20"/>
                <w:szCs w:val="20"/>
                <w:color w:val="auto"/>
              </w:rPr>
            </w:pPr>
          </w:p>
        </w:tc>
        <w:tc>
          <w:tcPr>
            <w:tcW w:w="2080" w:type="dxa"/>
            <w:vAlign w:val="bottom"/>
            <w:gridSpan w:val="2"/>
          </w:tcPr>
          <w:p>
            <w:pPr>
              <w:ind w:left="1120"/>
              <w:spacing w:after="0"/>
              <w:rPr>
                <w:sz w:val="20"/>
                <w:szCs w:val="20"/>
                <w:color w:val="auto"/>
              </w:rPr>
            </w:pPr>
            <w:r>
              <w:rPr>
                <w:rFonts w:ascii="Arial" w:cs="Arial" w:eastAsia="Arial" w:hAnsi="Arial"/>
                <w:sz w:val="18"/>
                <w:szCs w:val="18"/>
                <w:b w:val="1"/>
                <w:bCs w:val="1"/>
                <w:color w:val="auto"/>
                <w:w w:val="93"/>
              </w:rPr>
              <w:t>Exhibit 21.1</w:t>
            </w:r>
          </w:p>
        </w:tc>
      </w:tr>
      <w:tr>
        <w:trPr>
          <w:trHeight w:val="648"/>
        </w:trPr>
        <w:tc>
          <w:tcPr>
            <w:tcW w:w="680" w:type="dxa"/>
            <w:vAlign w:val="bottom"/>
          </w:tcPr>
          <w:p>
            <w:pPr>
              <w:spacing w:after="0"/>
              <w:rPr>
                <w:sz w:val="24"/>
                <w:szCs w:val="24"/>
                <w:color w:val="auto"/>
              </w:rPr>
            </w:pPr>
          </w:p>
        </w:tc>
        <w:tc>
          <w:tcPr>
            <w:tcW w:w="3620" w:type="dxa"/>
            <w:vAlign w:val="bottom"/>
          </w:tcPr>
          <w:p>
            <w:pPr>
              <w:spacing w:after="0"/>
              <w:rPr>
                <w:sz w:val="24"/>
                <w:szCs w:val="24"/>
                <w:color w:val="auto"/>
              </w:rPr>
            </w:pPr>
          </w:p>
        </w:tc>
        <w:tc>
          <w:tcPr>
            <w:tcW w:w="7140" w:type="dxa"/>
            <w:vAlign w:val="bottom"/>
            <w:gridSpan w:val="3"/>
          </w:tcPr>
          <w:p>
            <w:pPr>
              <w:ind w:left="160"/>
              <w:spacing w:after="0"/>
              <w:rPr>
                <w:sz w:val="20"/>
                <w:szCs w:val="20"/>
                <w:color w:val="auto"/>
              </w:rPr>
            </w:pPr>
            <w:r>
              <w:rPr>
                <w:rFonts w:ascii="Arial" w:cs="Arial" w:eastAsia="Arial" w:hAnsi="Arial"/>
                <w:sz w:val="18"/>
                <w:szCs w:val="18"/>
                <w:b w:val="1"/>
                <w:bCs w:val="1"/>
                <w:color w:val="auto"/>
              </w:rPr>
              <w:t>SUBSIDIARIES OF MARVELL</w:t>
            </w:r>
          </w:p>
        </w:tc>
      </w:tr>
      <w:tr>
        <w:trPr>
          <w:trHeight w:val="412"/>
        </w:trPr>
        <w:tc>
          <w:tcPr>
            <w:tcW w:w="4300" w:type="dxa"/>
            <w:vAlign w:val="bottom"/>
            <w:gridSpan w:val="2"/>
          </w:tcPr>
          <w:p>
            <w:pPr>
              <w:spacing w:after="0"/>
              <w:rPr>
                <w:sz w:val="20"/>
                <w:szCs w:val="20"/>
                <w:color w:val="auto"/>
              </w:rPr>
            </w:pPr>
            <w:r>
              <w:rPr>
                <w:rFonts w:ascii="Arial" w:cs="Arial" w:eastAsia="Arial" w:hAnsi="Arial"/>
                <w:sz w:val="14"/>
                <w:szCs w:val="14"/>
                <w:b w:val="1"/>
                <w:bCs w:val="1"/>
                <w:color w:val="auto"/>
              </w:rPr>
              <w:t>Subsidiary</w:t>
            </w:r>
          </w:p>
        </w:tc>
        <w:tc>
          <w:tcPr>
            <w:tcW w:w="7140" w:type="dxa"/>
            <w:vAlign w:val="bottom"/>
            <w:gridSpan w:val="3"/>
          </w:tcPr>
          <w:p>
            <w:pPr>
              <w:ind w:left="5060"/>
              <w:spacing w:after="0"/>
              <w:rPr>
                <w:sz w:val="20"/>
                <w:szCs w:val="20"/>
                <w:color w:val="auto"/>
              </w:rPr>
            </w:pPr>
            <w:r>
              <w:rPr>
                <w:rFonts w:ascii="Arial" w:cs="Arial" w:eastAsia="Arial" w:hAnsi="Arial"/>
                <w:sz w:val="14"/>
                <w:szCs w:val="14"/>
                <w:b w:val="1"/>
                <w:bCs w:val="1"/>
                <w:color w:val="auto"/>
              </w:rPr>
              <w:t>Jurisdiction of Organization</w:t>
            </w:r>
          </w:p>
        </w:tc>
      </w:tr>
      <w:tr>
        <w:trPr>
          <w:trHeight w:val="189"/>
        </w:trPr>
        <w:tc>
          <w:tcPr>
            <w:tcW w:w="68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rPr>
              <w:t>Marvell</w:t>
            </w:r>
          </w:p>
        </w:tc>
        <w:tc>
          <w:tcPr>
            <w:tcW w:w="3620" w:type="dxa"/>
            <w:vAlign w:val="bottom"/>
          </w:tcPr>
          <w:p>
            <w:pPr>
              <w:spacing w:after="0" w:line="189" w:lineRule="exact"/>
              <w:rPr>
                <w:sz w:val="20"/>
                <w:szCs w:val="20"/>
                <w:color w:val="auto"/>
              </w:rPr>
            </w:pPr>
            <w:r>
              <w:rPr>
                <w:rFonts w:ascii="Arial" w:cs="Arial" w:eastAsia="Arial" w:hAnsi="Arial"/>
                <w:sz w:val="18"/>
                <w:szCs w:val="18"/>
                <w:color w:val="auto"/>
              </w:rPr>
              <w:t>International Ltd.</w:t>
            </w:r>
          </w:p>
        </w:tc>
        <w:tc>
          <w:tcPr>
            <w:tcW w:w="5060" w:type="dxa"/>
            <w:vAlign w:val="bottom"/>
          </w:tcPr>
          <w:p>
            <w:pPr>
              <w:spacing w:after="0"/>
              <w:rPr>
                <w:sz w:val="16"/>
                <w:szCs w:val="16"/>
                <w:color w:val="auto"/>
              </w:rPr>
            </w:pPr>
          </w:p>
        </w:tc>
        <w:tc>
          <w:tcPr>
            <w:tcW w:w="206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rPr>
              <w:t>Bermuda</w:t>
            </w:r>
          </w:p>
        </w:tc>
        <w:tc>
          <w:tcPr>
            <w:tcW w:w="20" w:type="dxa"/>
            <w:vAlign w:val="bottom"/>
          </w:tcPr>
          <w:p>
            <w:pPr>
              <w:spacing w:after="0"/>
              <w:rPr>
                <w:sz w:val="16"/>
                <w:szCs w:val="16"/>
                <w:color w:val="auto"/>
              </w:rPr>
            </w:pP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Utopia Capital Holdings,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Bermuda</w:t>
            </w:r>
          </w:p>
        </w:tc>
      </w:tr>
      <w:tr>
        <w:trPr>
          <w:trHeight w:val="230"/>
        </w:trPr>
        <w:tc>
          <w:tcPr>
            <w:tcW w:w="4300" w:type="dxa"/>
            <w:vAlign w:val="bottom"/>
            <w:gridSpan w:val="2"/>
          </w:tcPr>
          <w:p>
            <w:pPr>
              <w:spacing w:after="0"/>
              <w:rPr>
                <w:sz w:val="20"/>
                <w:szCs w:val="20"/>
                <w:color w:val="auto"/>
              </w:rPr>
            </w:pPr>
            <w:r>
              <w:rPr>
                <w:rFonts w:ascii="Arial" w:cs="Arial" w:eastAsia="Arial" w:hAnsi="Arial"/>
                <w:sz w:val="18"/>
                <w:szCs w:val="18"/>
                <w:color w:val="auto"/>
              </w:rPr>
              <w:t>MV Acquisition,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Nulinear,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UK Limited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United Kingdom</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Barbados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Denmark ApS</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Denmark</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Germany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Technologies Hungary Kft.</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Hungary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Italy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Netherlands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Hispania, S.L.</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Spain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Sweden AB</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Sweden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Switzerland</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Switzerland</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Israel</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India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PT Marvell Technology Indonesia</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Indonesia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Japan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Japan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Korea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Malaysia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Singapore</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Taiwan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Hong Kong</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(Beijing),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(Chengdu),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(Shanghai),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China</w:t>
            </w:r>
          </w:p>
        </w:tc>
      </w:tr>
      <w:tr>
        <w:trPr>
          <w:trHeight w:val="230"/>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(Nanjing),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Canada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Kinoma, Inc.</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California,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California,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Delaware,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Delaware, United States</w:t>
            </w:r>
          </w:p>
        </w:tc>
      </w:tr>
      <w:tr>
        <w:trPr>
          <w:trHeight w:val="230"/>
        </w:trPr>
        <w:tc>
          <w:tcPr>
            <w:tcW w:w="4300" w:type="dxa"/>
            <w:vAlign w:val="bottom"/>
            <w:gridSpan w:val="2"/>
          </w:tcPr>
          <w:p>
            <w:pPr>
              <w:spacing w:after="0"/>
              <w:rPr>
                <w:sz w:val="20"/>
                <w:szCs w:val="20"/>
                <w:color w:val="auto"/>
              </w:rPr>
            </w:pPr>
            <w:r>
              <w:rPr>
                <w:rFonts w:ascii="Arial" w:cs="Arial" w:eastAsia="Arial" w:hAnsi="Arial"/>
                <w:sz w:val="18"/>
                <w:szCs w:val="18"/>
                <w:color w:val="auto"/>
                <w:w w:val="97"/>
              </w:rPr>
              <w:t>Marvell Technology Vietnam Limited Liability Company</w:t>
            </w:r>
          </w:p>
        </w:tc>
        <w:tc>
          <w:tcPr>
            <w:tcW w:w="7140" w:type="dxa"/>
            <w:vAlign w:val="bottom"/>
            <w:gridSpan w:val="3"/>
          </w:tcPr>
          <w:p>
            <w:pPr>
              <w:ind w:left="5060"/>
              <w:spacing w:after="0"/>
              <w:rPr>
                <w:sz w:val="20"/>
                <w:szCs w:val="20"/>
                <w:color w:val="auto"/>
              </w:rPr>
            </w:pPr>
            <w:r>
              <w:rPr>
                <w:rFonts w:ascii="Arial" w:cs="Arial" w:eastAsia="Arial" w:hAnsi="Arial"/>
                <w:sz w:val="18"/>
                <w:szCs w:val="18"/>
                <w:color w:val="auto"/>
              </w:rPr>
              <w:t>Vietnam</w:t>
            </w:r>
          </w:p>
        </w:tc>
      </w:tr>
    </w:tbl>
    <w:p>
      <w:pPr>
        <w:sectPr>
          <w:pgSz w:w="11900" w:h="16838" w:orient="portrait"/>
          <w:cols w:equalWidth="0" w:num="1">
            <w:col w:w="11420"/>
          </w:cols>
          <w:pgMar w:left="240" w:top="121" w:right="239" w:bottom="1440" w:gutter="0" w:footer="0" w:header="0"/>
        </w:sectPr>
      </w:pPr>
    </w:p>
    <w:bookmarkStart w:id="170" w:name="page171"/>
    <w:bookmarkEnd w:id="170"/>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ind w:left="260" w:right="2100"/>
        <w:spacing w:after="0" w:line="266" w:lineRule="auto"/>
        <w:rPr>
          <w:sz w:val="20"/>
          <w:szCs w:val="20"/>
          <w:color w:val="auto"/>
        </w:rPr>
      </w:pPr>
      <w:r>
        <w:rPr>
          <w:rFonts w:ascii="Arial" w:cs="Arial" w:eastAsia="Arial" w:hAnsi="Arial"/>
          <w:sz w:val="18"/>
          <w:szCs w:val="18"/>
          <w:b w:val="1"/>
          <w:bCs w:val="1"/>
          <w:color w:val="auto"/>
        </w:rPr>
        <w:t>CERTIFICATION OF THE CHIEF EXECUTIVE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Richard S. Hill, certify that:</w:t>
      </w:r>
    </w:p>
    <w:p>
      <w:pPr>
        <w:spacing w:after="0" w:line="131" w:lineRule="exact"/>
        <w:rPr>
          <w:sz w:val="20"/>
          <w:szCs w:val="20"/>
          <w:color w:val="auto"/>
        </w:rPr>
      </w:pPr>
    </w:p>
    <w:p>
      <w:pPr>
        <w:ind w:left="460" w:hanging="452"/>
        <w:spacing w:after="0"/>
        <w:tabs>
          <w:tab w:leader="none" w:pos="460" w:val="left"/>
        </w:tabs>
        <w:numPr>
          <w:ilvl w:val="0"/>
          <w:numId w:val="89"/>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8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8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8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8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8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8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8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8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8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7380" w:val="left"/>
          <w:tab w:leader="none" w:pos="802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5081905</wp:posOffset>
            </wp:positionH>
            <wp:positionV relativeFrom="paragraph">
              <wp:posOffset>14605</wp:posOffset>
            </wp:positionV>
            <wp:extent cx="2169795"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11" w:lineRule="exact"/>
        <w:rPr>
          <w:sz w:val="20"/>
          <w:szCs w:val="20"/>
          <w:color w:val="auto"/>
        </w:rPr>
      </w:pPr>
    </w:p>
    <w:p>
      <w:pPr>
        <w:ind w:left="8040"/>
        <w:spacing w:after="0"/>
        <w:rPr>
          <w:sz w:val="20"/>
          <w:szCs w:val="20"/>
          <w:color w:val="auto"/>
        </w:rPr>
      </w:pPr>
      <w:r>
        <w:rPr>
          <w:rFonts w:ascii="Arial" w:cs="Arial" w:eastAsia="Arial" w:hAnsi="Arial"/>
          <w:sz w:val="14"/>
          <w:szCs w:val="14"/>
          <w:b w:val="1"/>
          <w:bCs w:val="1"/>
          <w:color w:val="auto"/>
        </w:rPr>
        <w:t>Richard S. Hill</w:t>
      </w:r>
    </w:p>
    <w:p>
      <w:pPr>
        <w:ind w:left="8040"/>
        <w:spacing w:after="0" w:line="221" w:lineRule="auto"/>
        <w:rPr>
          <w:sz w:val="20"/>
          <w:szCs w:val="20"/>
          <w:color w:val="auto"/>
        </w:rPr>
      </w:pPr>
      <w:r>
        <w:rPr>
          <w:rFonts w:ascii="Arial" w:cs="Arial" w:eastAsia="Arial" w:hAnsi="Arial"/>
          <w:sz w:val="14"/>
          <w:szCs w:val="14"/>
          <w:b w:val="1"/>
          <w:bCs w:val="1"/>
          <w:color w:val="auto"/>
        </w:rPr>
        <w:t>Chairman of the Board</w:t>
      </w:r>
    </w:p>
    <w:p>
      <w:pPr>
        <w:ind w:left="8040"/>
        <w:spacing w:after="0"/>
        <w:rPr>
          <w:sz w:val="20"/>
          <w:szCs w:val="20"/>
          <w:color w:val="auto"/>
        </w:rPr>
      </w:pPr>
      <w:r>
        <w:rPr>
          <w:rFonts w:ascii="Arial" w:cs="Arial" w:eastAsia="Arial" w:hAnsi="Arial"/>
          <w:sz w:val="14"/>
          <w:szCs w:val="14"/>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171" w:name="page172"/>
    <w:bookmarkEnd w:id="171"/>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ind w:left="260" w:right="2100"/>
        <w:spacing w:after="0" w:line="266"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David P. Eichler, certify that:</w:t>
      </w:r>
    </w:p>
    <w:p>
      <w:pPr>
        <w:spacing w:after="0" w:line="131" w:lineRule="exact"/>
        <w:rPr>
          <w:sz w:val="20"/>
          <w:szCs w:val="20"/>
          <w:color w:val="auto"/>
        </w:rPr>
      </w:pPr>
    </w:p>
    <w:p>
      <w:pPr>
        <w:ind w:left="460" w:hanging="452"/>
        <w:spacing w:after="0"/>
        <w:tabs>
          <w:tab w:leader="none" w:pos="4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90"/>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9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9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90"/>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9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9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90"/>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9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7380" w:val="left"/>
          <w:tab w:leader="none" w:pos="8020" w:val="left"/>
          <w:tab w:leader="none" w:pos="838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5081905</wp:posOffset>
            </wp:positionH>
            <wp:positionV relativeFrom="paragraph">
              <wp:posOffset>14605</wp:posOffset>
            </wp:positionV>
            <wp:extent cx="2169795"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11" w:lineRule="exact"/>
        <w:rPr>
          <w:sz w:val="20"/>
          <w:szCs w:val="20"/>
          <w:color w:val="auto"/>
        </w:rPr>
      </w:pPr>
    </w:p>
    <w:p>
      <w:pPr>
        <w:ind w:left="8040"/>
        <w:spacing w:after="0"/>
        <w:rPr>
          <w:sz w:val="20"/>
          <w:szCs w:val="20"/>
          <w:color w:val="auto"/>
        </w:rPr>
      </w:pPr>
      <w:r>
        <w:rPr>
          <w:rFonts w:ascii="Arial" w:cs="Arial" w:eastAsia="Arial" w:hAnsi="Arial"/>
          <w:sz w:val="14"/>
          <w:szCs w:val="14"/>
          <w:b w:val="1"/>
          <w:bCs w:val="1"/>
          <w:color w:val="auto"/>
        </w:rPr>
        <w:t>David P. Eichler</w:t>
      </w:r>
    </w:p>
    <w:p>
      <w:pPr>
        <w:ind w:left="8040"/>
        <w:spacing w:after="0" w:line="221" w:lineRule="auto"/>
        <w:rPr>
          <w:sz w:val="20"/>
          <w:szCs w:val="20"/>
          <w:color w:val="auto"/>
        </w:rPr>
      </w:pPr>
      <w:r>
        <w:rPr>
          <w:rFonts w:ascii="Arial" w:cs="Arial" w:eastAsia="Arial" w:hAnsi="Arial"/>
          <w:sz w:val="14"/>
          <w:szCs w:val="14"/>
          <w:b w:val="1"/>
          <w:bCs w:val="1"/>
          <w:color w:val="auto"/>
        </w:rPr>
        <w:t>Interim Chief Financial Officer</w:t>
      </w:r>
    </w:p>
    <w:p>
      <w:pPr>
        <w:ind w:left="8040"/>
        <w:spacing w:after="0"/>
        <w:rPr>
          <w:sz w:val="20"/>
          <w:szCs w:val="20"/>
          <w:color w:val="auto"/>
        </w:rPr>
      </w:pPr>
      <w:r>
        <w:rPr>
          <w:rFonts w:ascii="Arial" w:cs="Arial" w:eastAsia="Arial" w:hAnsi="Arial"/>
          <w:sz w:val="14"/>
          <w:szCs w:val="14"/>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172" w:name="page173"/>
    <w:bookmarkEnd w:id="172"/>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80" w:lineRule="exact"/>
        <w:rPr>
          <w:sz w:val="20"/>
          <w:szCs w:val="20"/>
          <w:color w:val="auto"/>
        </w:rPr>
      </w:pPr>
    </w:p>
    <w:p>
      <w:pPr>
        <w:ind w:right="220" w:firstLine="456"/>
        <w:spacing w:after="0" w:line="277" w:lineRule="auto"/>
        <w:rPr>
          <w:sz w:val="20"/>
          <w:szCs w:val="20"/>
          <w:color w:val="auto"/>
        </w:rPr>
      </w:pPr>
      <w:r>
        <w:rPr>
          <w:rFonts w:ascii="Arial" w:cs="Arial" w:eastAsia="Arial" w:hAnsi="Arial"/>
          <w:sz w:val="18"/>
          <w:szCs w:val="18"/>
          <w:color w:val="auto"/>
        </w:rPr>
        <w:t>I, Richard S. Hill, the Interim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980" w:hanging="446"/>
        <w:spacing w:after="0" w:line="277" w:lineRule="auto"/>
        <w:tabs>
          <w:tab w:leader="none" w:pos="900" w:val="left"/>
        </w:tabs>
        <w:numPr>
          <w:ilvl w:val="0"/>
          <w:numId w:val="91"/>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January 30, 2016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9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7380" w:val="left"/>
          <w:tab w:leader="none" w:pos="802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5081905</wp:posOffset>
            </wp:positionH>
            <wp:positionV relativeFrom="paragraph">
              <wp:posOffset>14605</wp:posOffset>
            </wp:positionV>
            <wp:extent cx="2169795" cy="88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11" w:lineRule="exact"/>
        <w:rPr>
          <w:sz w:val="20"/>
          <w:szCs w:val="20"/>
          <w:color w:val="auto"/>
        </w:rPr>
      </w:pPr>
    </w:p>
    <w:p>
      <w:pPr>
        <w:ind w:left="8040"/>
        <w:spacing w:after="0"/>
        <w:rPr>
          <w:sz w:val="20"/>
          <w:szCs w:val="20"/>
          <w:color w:val="auto"/>
        </w:rPr>
      </w:pPr>
      <w:r>
        <w:rPr>
          <w:rFonts w:ascii="Arial" w:cs="Arial" w:eastAsia="Arial" w:hAnsi="Arial"/>
          <w:sz w:val="14"/>
          <w:szCs w:val="14"/>
          <w:b w:val="1"/>
          <w:bCs w:val="1"/>
          <w:color w:val="auto"/>
        </w:rPr>
        <w:t>Richard S. Hill</w:t>
      </w:r>
    </w:p>
    <w:p>
      <w:pPr>
        <w:ind w:left="8040"/>
        <w:spacing w:after="0" w:line="221" w:lineRule="auto"/>
        <w:rPr>
          <w:sz w:val="20"/>
          <w:szCs w:val="20"/>
          <w:color w:val="auto"/>
        </w:rPr>
      </w:pPr>
      <w:r>
        <w:rPr>
          <w:rFonts w:ascii="Arial" w:cs="Arial" w:eastAsia="Arial" w:hAnsi="Arial"/>
          <w:sz w:val="14"/>
          <w:szCs w:val="14"/>
          <w:b w:val="1"/>
          <w:bCs w:val="1"/>
          <w:color w:val="auto"/>
        </w:rPr>
        <w:t>Chairman of the Board</w:t>
      </w:r>
    </w:p>
    <w:p>
      <w:pPr>
        <w:ind w:left="8040"/>
        <w:spacing w:after="0"/>
        <w:rPr>
          <w:sz w:val="20"/>
          <w:szCs w:val="20"/>
          <w:color w:val="auto"/>
        </w:rPr>
      </w:pPr>
      <w:r>
        <w:rPr>
          <w:rFonts w:ascii="Arial" w:cs="Arial" w:eastAsia="Arial" w:hAnsi="Arial"/>
          <w:sz w:val="14"/>
          <w:szCs w:val="14"/>
          <w:b w:val="1"/>
          <w:bCs w:val="1"/>
          <w:color w:val="auto"/>
        </w:rPr>
        <w:t>(Interim Principal Executive Officer)</w:t>
      </w:r>
    </w:p>
    <w:p>
      <w:pPr>
        <w:sectPr>
          <w:pgSz w:w="11900" w:h="16838" w:orient="portrait"/>
          <w:cols w:equalWidth="0" w:num="1">
            <w:col w:w="11420"/>
          </w:cols>
          <w:pgMar w:left="240" w:top="122" w:right="239" w:bottom="1440" w:gutter="0" w:footer="0" w:header="0"/>
        </w:sectPr>
      </w:pPr>
    </w:p>
    <w:bookmarkStart w:id="173" w:name="page174"/>
    <w:bookmarkEnd w:id="173"/>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CERTIFICATION OF CHIEF FINANCIAL OFFICER PURSUANT TO 18 U.S.C. § 1350, AS ADOPTED PURSUANT TO SECTION 906 OF THE SARBANES-OXLEY ACT OF 2002</w:t>
      </w:r>
    </w:p>
    <w:p>
      <w:pPr>
        <w:spacing w:after="0" w:line="180" w:lineRule="exact"/>
        <w:rPr>
          <w:sz w:val="20"/>
          <w:szCs w:val="20"/>
          <w:color w:val="auto"/>
        </w:rPr>
      </w:pPr>
    </w:p>
    <w:p>
      <w:pPr>
        <w:ind w:right="440" w:firstLine="456"/>
        <w:spacing w:after="0" w:line="277" w:lineRule="auto"/>
        <w:rPr>
          <w:sz w:val="20"/>
          <w:szCs w:val="20"/>
          <w:color w:val="auto"/>
        </w:rPr>
      </w:pPr>
      <w:r>
        <w:rPr>
          <w:rFonts w:ascii="Arial" w:cs="Arial" w:eastAsia="Arial" w:hAnsi="Arial"/>
          <w:sz w:val="18"/>
          <w:szCs w:val="18"/>
          <w:color w:val="auto"/>
        </w:rPr>
        <w:t>I, David P. Eichler, the Interim Chief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980" w:hanging="446"/>
        <w:spacing w:after="0" w:line="277"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January 30, 2016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92"/>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7380" w:val="left"/>
          <w:tab w:leader="none" w:pos="7980" w:val="left"/>
        </w:tabs>
        <w:rPr>
          <w:sz w:val="20"/>
          <w:szCs w:val="20"/>
          <w:color w:val="auto"/>
        </w:rPr>
      </w:pPr>
      <w:r>
        <w:rPr>
          <w:rFonts w:ascii="Arial" w:cs="Arial" w:eastAsia="Arial" w:hAnsi="Arial"/>
          <w:sz w:val="18"/>
          <w:szCs w:val="18"/>
          <w:color w:val="auto"/>
        </w:rPr>
        <w:t>Date: July 21,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5081905</wp:posOffset>
            </wp:positionH>
            <wp:positionV relativeFrom="paragraph">
              <wp:posOffset>14605</wp:posOffset>
            </wp:positionV>
            <wp:extent cx="2169795" cy="88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11" w:lineRule="exact"/>
        <w:rPr>
          <w:sz w:val="20"/>
          <w:szCs w:val="20"/>
          <w:color w:val="auto"/>
        </w:rPr>
      </w:pPr>
    </w:p>
    <w:p>
      <w:pPr>
        <w:ind w:left="8000"/>
        <w:spacing w:after="0"/>
        <w:rPr>
          <w:sz w:val="20"/>
          <w:szCs w:val="20"/>
          <w:color w:val="auto"/>
        </w:rPr>
      </w:pPr>
      <w:r>
        <w:rPr>
          <w:rFonts w:ascii="Arial" w:cs="Arial" w:eastAsia="Arial" w:hAnsi="Arial"/>
          <w:sz w:val="14"/>
          <w:szCs w:val="14"/>
          <w:b w:val="1"/>
          <w:bCs w:val="1"/>
          <w:color w:val="auto"/>
        </w:rPr>
        <w:t>David P. Eichler</w:t>
      </w:r>
    </w:p>
    <w:p>
      <w:pPr>
        <w:ind w:left="8000"/>
        <w:spacing w:after="0" w:line="221" w:lineRule="auto"/>
        <w:rPr>
          <w:sz w:val="20"/>
          <w:szCs w:val="20"/>
          <w:color w:val="auto"/>
        </w:rPr>
      </w:pPr>
      <w:r>
        <w:rPr>
          <w:rFonts w:ascii="Arial" w:cs="Arial" w:eastAsia="Arial" w:hAnsi="Arial"/>
          <w:sz w:val="14"/>
          <w:szCs w:val="14"/>
          <w:b w:val="1"/>
          <w:bCs w:val="1"/>
          <w:color w:val="auto"/>
        </w:rPr>
        <w:t>Interim Chief Financial Officer</w:t>
      </w:r>
    </w:p>
    <w:p>
      <w:pPr>
        <w:ind w:left="8000"/>
        <w:spacing w:after="0"/>
        <w:rPr>
          <w:sz w:val="20"/>
          <w:szCs w:val="20"/>
          <w:color w:val="auto"/>
        </w:rPr>
      </w:pPr>
      <w:r>
        <w:rPr>
          <w:rFonts w:ascii="Arial" w:cs="Arial" w:eastAsia="Arial" w:hAnsi="Arial"/>
          <w:sz w:val="14"/>
          <w:szCs w:val="14"/>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42289EC"/>
    <w:multiLevelType w:val="hybridMultilevel"/>
    <w:lvl w:ilvl="0">
      <w:lvlJc w:val="left"/>
      <w:lvlText w:val="☒"/>
      <w:numFmt w:val="bullet"/>
      <w:start w:val="1"/>
    </w:lvl>
  </w:abstractNum>
  <w:abstractNum w:abstractNumId="1">
    <w:nsid w:val="6DE91B18"/>
    <w:multiLevelType w:val="hybridMultilevel"/>
    <w:lvl w:ilvl="0">
      <w:lvlJc w:val="left"/>
      <w:lvlText w:val="☐"/>
      <w:numFmt w:val="bullet"/>
      <w:start w:val="1"/>
    </w:lvl>
  </w:abstractNum>
  <w:abstractNum w:abstractNumId="2">
    <w:nsid w:val="38437FDB"/>
    <w:multiLevelType w:val="hybridMultilevel"/>
    <w:lvl w:ilvl="0">
      <w:lvlJc w:val="left"/>
      <w:lvlText w:val="•"/>
      <w:numFmt w:val="bullet"/>
      <w:start w:val="1"/>
    </w:lvl>
  </w:abstractNum>
  <w:abstractNum w:abstractNumId="3">
    <w:nsid w:val="7644A45C"/>
    <w:multiLevelType w:val="hybridMultilevel"/>
    <w:lvl w:ilvl="0">
      <w:lvlJc w:val="left"/>
      <w:lvlText w:val="•"/>
      <w:numFmt w:val="bullet"/>
      <w:start w:val="1"/>
    </w:lvl>
  </w:abstractNum>
  <w:abstractNum w:abstractNumId="4">
    <w:nsid w:val="32FFF902"/>
    <w:multiLevelType w:val="hybridMultilevel"/>
    <w:lvl w:ilvl="0">
      <w:lvlJc w:val="left"/>
      <w:lvlText w:val="•"/>
      <w:numFmt w:val="bullet"/>
      <w:start w:val="1"/>
    </w:lvl>
  </w:abstractNum>
  <w:abstractNum w:abstractNumId="5">
    <w:nsid w:val="684A481A"/>
    <w:multiLevelType w:val="hybridMultilevel"/>
    <w:lvl w:ilvl="0">
      <w:lvlJc w:val="left"/>
      <w:lvlText w:val="•"/>
      <w:numFmt w:val="bullet"/>
      <w:start w:val="1"/>
    </w:lvl>
  </w:abstractNum>
  <w:abstractNum w:abstractNumId="6">
    <w:nsid w:val="579478FE"/>
    <w:multiLevelType w:val="hybridMultilevel"/>
    <w:lvl w:ilvl="0">
      <w:lvlJc w:val="left"/>
      <w:lvlText w:val="*"/>
      <w:numFmt w:val="bullet"/>
      <w:start w:val="1"/>
    </w:lvl>
  </w:abstractNum>
  <w:abstractNum w:abstractNumId="7">
    <w:nsid w:val="749ABB43"/>
    <w:multiLevelType w:val="hybridMultilevel"/>
    <w:lvl w:ilvl="0">
      <w:lvlJc w:val="left"/>
      <w:lvlText w:val="•"/>
      <w:numFmt w:val="bullet"/>
      <w:start w:val="1"/>
    </w:lvl>
  </w:abstractNum>
  <w:abstractNum w:abstractNumId="8">
    <w:nsid w:val="3DC240FB"/>
    <w:multiLevelType w:val="hybridMultilevel"/>
    <w:lvl w:ilvl="0">
      <w:lvlJc w:val="left"/>
      <w:lvlText w:val="•"/>
      <w:numFmt w:val="bullet"/>
      <w:start w:val="1"/>
    </w:lvl>
  </w:abstractNum>
  <w:abstractNum w:abstractNumId="9">
    <w:nsid w:val="1BA026FA"/>
    <w:multiLevelType w:val="hybridMultilevel"/>
    <w:lvl w:ilvl="0">
      <w:lvlJc w:val="left"/>
      <w:lvlText w:val="•"/>
      <w:numFmt w:val="bullet"/>
      <w:start w:val="1"/>
    </w:lvl>
  </w:abstractNum>
  <w:abstractNum w:abstractNumId="10">
    <w:nsid w:val="79A1DEAA"/>
    <w:multiLevelType w:val="hybridMultilevel"/>
    <w:lvl w:ilvl="0">
      <w:lvlJc w:val="left"/>
      <w:lvlText w:val="•"/>
      <w:numFmt w:val="bullet"/>
      <w:start w:val="1"/>
    </w:lvl>
  </w:abstractNum>
  <w:abstractNum w:abstractNumId="11">
    <w:nsid w:val="75C6C33A"/>
    <w:multiLevelType w:val="hybridMultilevel"/>
    <w:lvl w:ilvl="0">
      <w:lvlJc w:val="left"/>
      <w:lvlText w:val="•"/>
      <w:numFmt w:val="bullet"/>
      <w:start w:val="1"/>
    </w:lvl>
  </w:abstractNum>
  <w:abstractNum w:abstractNumId="12">
    <w:nsid w:val="12E685FB"/>
    <w:multiLevelType w:val="hybridMultilevel"/>
    <w:lvl w:ilvl="0">
      <w:lvlJc w:val="left"/>
      <w:lvlText w:val="•"/>
      <w:numFmt w:val="bullet"/>
      <w:start w:val="1"/>
    </w:lvl>
  </w:abstractNum>
  <w:abstractNum w:abstractNumId="13">
    <w:nsid w:val="70C6A529"/>
    <w:multiLevelType w:val="hybridMultilevel"/>
    <w:lvl w:ilvl="0">
      <w:lvlJc w:val="left"/>
      <w:lvlText w:val="•"/>
      <w:numFmt w:val="bullet"/>
      <w:start w:val="1"/>
    </w:lvl>
  </w:abstractNum>
  <w:abstractNum w:abstractNumId="14">
    <w:nsid w:val="520EEDD1"/>
    <w:multiLevelType w:val="hybridMultilevel"/>
    <w:lvl w:ilvl="0">
      <w:lvlJc w:val="left"/>
      <w:lvlText w:val="•"/>
      <w:numFmt w:val="bullet"/>
      <w:start w:val="1"/>
    </w:lvl>
  </w:abstractNum>
  <w:abstractNum w:abstractNumId="15">
    <w:nsid w:val="374A3FE6"/>
    <w:multiLevelType w:val="hybridMultilevel"/>
    <w:lvl w:ilvl="0">
      <w:lvlJc w:val="left"/>
      <w:lvlText w:val="•"/>
      <w:numFmt w:val="bullet"/>
      <w:start w:val="1"/>
    </w:lvl>
  </w:abstractNum>
  <w:abstractNum w:abstractNumId="16">
    <w:nsid w:val="4F4EF005"/>
    <w:multiLevelType w:val="hybridMultilevel"/>
    <w:lvl w:ilvl="0">
      <w:lvlJc w:val="left"/>
      <w:lvlText w:val="•"/>
      <w:numFmt w:val="bullet"/>
      <w:start w:val="1"/>
    </w:lvl>
  </w:abstractNum>
  <w:abstractNum w:abstractNumId="17">
    <w:nsid w:val="23F9C13C"/>
    <w:multiLevelType w:val="hybridMultilevel"/>
    <w:lvl w:ilvl="0">
      <w:lvlJc w:val="left"/>
      <w:lvlText w:val="(%1)"/>
      <w:numFmt w:val="decimal"/>
      <w:start w:val="1"/>
    </w:lvl>
  </w:abstractNum>
  <w:abstractNum w:abstractNumId="18">
    <w:nsid w:val="649BB77C"/>
    <w:multiLevelType w:val="hybridMultilevel"/>
    <w:lvl w:ilvl="0">
      <w:lvlJc w:val="left"/>
      <w:lvlText w:val="(%1)"/>
      <w:numFmt w:val="decimal"/>
      <w:start w:val="1"/>
    </w:lvl>
  </w:abstractNum>
  <w:abstractNum w:abstractNumId="19">
    <w:nsid w:val="275AC794"/>
    <w:multiLevelType w:val="hybridMultilevel"/>
    <w:lvl w:ilvl="0">
      <w:lvlJc w:val="left"/>
      <w:lvlText w:val="•"/>
      <w:numFmt w:val="bullet"/>
      <w:start w:val="1"/>
    </w:lvl>
  </w:abstractNum>
  <w:abstractNum w:abstractNumId="20">
    <w:nsid w:val="39386575"/>
    <w:multiLevelType w:val="hybridMultilevel"/>
    <w:lvl w:ilvl="0">
      <w:lvlJc w:val="left"/>
      <w:lvlText w:val="•"/>
      <w:numFmt w:val="bullet"/>
      <w:start w:val="1"/>
    </w:lvl>
  </w:abstractNum>
  <w:abstractNum w:abstractNumId="21">
    <w:nsid w:val="1CF10FD8"/>
    <w:multiLevelType w:val="hybridMultilevel"/>
    <w:lvl w:ilvl="0">
      <w:lvlJc w:val="left"/>
      <w:lvlText w:val="•"/>
      <w:numFmt w:val="bullet"/>
      <w:start w:val="1"/>
    </w:lvl>
  </w:abstractNum>
  <w:abstractNum w:abstractNumId="22">
    <w:nsid w:val="180115BE"/>
    <w:multiLevelType w:val="hybridMultilevel"/>
    <w:lvl w:ilvl="0">
      <w:lvlJc w:val="left"/>
      <w:lvlText w:val="•"/>
      <w:numFmt w:val="bullet"/>
      <w:start w:val="1"/>
    </w:lvl>
  </w:abstractNum>
  <w:abstractNum w:abstractNumId="23">
    <w:nsid w:val="235BA861"/>
    <w:multiLevelType w:val="hybridMultilevel"/>
    <w:lvl w:ilvl="0">
      <w:lvlJc w:val="left"/>
      <w:lvlText w:val="(%1)"/>
      <w:numFmt w:val="decimal"/>
      <w:start w:val="1"/>
    </w:lvl>
  </w:abstractNum>
  <w:abstractNum w:abstractNumId="24">
    <w:nsid w:val="47398C89"/>
    <w:multiLevelType w:val="hybridMultilevel"/>
    <w:lvl w:ilvl="0">
      <w:lvlJc w:val="left"/>
      <w:lvlText w:val="•"/>
      <w:numFmt w:val="bullet"/>
      <w:start w:val="1"/>
    </w:lvl>
  </w:abstractNum>
  <w:abstractNum w:abstractNumId="25">
    <w:nsid w:val="354FE9F9"/>
    <w:multiLevelType w:val="hybridMultilevel"/>
    <w:lvl w:ilvl="0">
      <w:lvlJc w:val="left"/>
      <w:lvlText w:val="*"/>
      <w:numFmt w:val="bullet"/>
      <w:start w:val="1"/>
    </w:lvl>
  </w:abstractNum>
  <w:abstractNum w:abstractNumId="26">
    <w:nsid w:val="15B5AF5C"/>
    <w:multiLevelType w:val="hybridMultilevel"/>
    <w:lvl w:ilvl="0">
      <w:lvlJc w:val="left"/>
      <w:lvlText w:val="•"/>
      <w:numFmt w:val="bullet"/>
      <w:start w:val="1"/>
    </w:lvl>
  </w:abstractNum>
  <w:abstractNum w:abstractNumId="27">
    <w:nsid w:val="741226BB"/>
    <w:multiLevelType w:val="hybridMultilevel"/>
    <w:lvl w:ilvl="0">
      <w:lvlJc w:val="left"/>
      <w:lvlText w:val="•"/>
      <w:numFmt w:val="bullet"/>
      <w:start w:val="1"/>
    </w:lvl>
  </w:abstractNum>
  <w:abstractNum w:abstractNumId="28">
    <w:nsid w:val="D34B6A8"/>
    <w:multiLevelType w:val="hybridMultilevel"/>
    <w:lvl w:ilvl="0">
      <w:lvlJc w:val="left"/>
      <w:lvlText w:val="(%1)"/>
      <w:numFmt w:val="decimal"/>
      <w:start w:val="1"/>
    </w:lvl>
  </w:abstractNum>
  <w:abstractNum w:abstractNumId="29">
    <w:nsid w:val="10233C99"/>
    <w:multiLevelType w:val="hybridMultilevel"/>
    <w:lvl w:ilvl="0">
      <w:lvlJc w:val="left"/>
      <w:lvlText w:val="(%1)"/>
      <w:numFmt w:val="lowerLetter"/>
      <w:start w:val="1"/>
    </w:lvl>
  </w:abstractNum>
  <w:abstractNum w:abstractNumId="30">
    <w:nsid w:val="3F6AB60F"/>
    <w:multiLevelType w:val="hybridMultilevel"/>
    <w:lvl w:ilvl="0">
      <w:lvlJc w:val="left"/>
      <w:lvlText w:val="•"/>
      <w:numFmt w:val="bullet"/>
      <w:start w:val="1"/>
    </w:lvl>
  </w:abstractNum>
  <w:abstractNum w:abstractNumId="31">
    <w:nsid w:val="61574095"/>
    <w:multiLevelType w:val="hybridMultilevel"/>
    <w:lvl w:ilvl="0">
      <w:lvlJc w:val="left"/>
      <w:lvlText w:val="•"/>
      <w:numFmt w:val="bullet"/>
      <w:start w:val="1"/>
    </w:lvl>
  </w:abstractNum>
  <w:abstractNum w:abstractNumId="32">
    <w:nsid w:val="7E0C57B1"/>
    <w:multiLevelType w:val="hybridMultilevel"/>
    <w:lvl w:ilvl="0">
      <w:lvlJc w:val="left"/>
      <w:lvlText w:val="•"/>
      <w:numFmt w:val="bullet"/>
      <w:start w:val="1"/>
    </w:lvl>
  </w:abstractNum>
  <w:abstractNum w:abstractNumId="33">
    <w:nsid w:val="77AE35EB"/>
    <w:multiLevelType w:val="hybridMultilevel"/>
    <w:lvl w:ilvl="0">
      <w:lvlJc w:val="left"/>
      <w:lvlText w:val="•"/>
      <w:numFmt w:val="bullet"/>
      <w:start w:val="1"/>
    </w:lvl>
  </w:abstractNum>
  <w:abstractNum w:abstractNumId="34">
    <w:nsid w:val="579BE4F1"/>
    <w:multiLevelType w:val="hybridMultilevel"/>
    <w:lvl w:ilvl="0">
      <w:lvlJc w:val="left"/>
      <w:lvlText w:val="•"/>
      <w:numFmt w:val="bullet"/>
      <w:start w:val="1"/>
    </w:lvl>
  </w:abstractNum>
  <w:abstractNum w:abstractNumId="35">
    <w:nsid w:val="310C50B3"/>
    <w:multiLevelType w:val="hybridMultilevel"/>
    <w:lvl w:ilvl="0">
      <w:lvlJc w:val="left"/>
      <w:lvlText w:val="•"/>
      <w:numFmt w:val="bullet"/>
      <w:start w:val="1"/>
    </w:lvl>
  </w:abstractNum>
  <w:abstractNum w:abstractNumId="36">
    <w:nsid w:val="5FF87E05"/>
    <w:multiLevelType w:val="hybridMultilevel"/>
    <w:lvl w:ilvl="0">
      <w:lvlJc w:val="left"/>
      <w:lvlText w:val="•"/>
      <w:numFmt w:val="bullet"/>
      <w:start w:val="1"/>
    </w:lvl>
  </w:abstractNum>
  <w:abstractNum w:abstractNumId="37">
    <w:nsid w:val="2F305DEF"/>
    <w:multiLevelType w:val="hybridMultilevel"/>
    <w:lvl w:ilvl="0">
      <w:lvlJc w:val="left"/>
      <w:lvlText w:val="•"/>
      <w:numFmt w:val="bullet"/>
      <w:start w:val="1"/>
    </w:lvl>
  </w:abstractNum>
  <w:abstractNum w:abstractNumId="38">
    <w:nsid w:val="25A70BF7"/>
    <w:multiLevelType w:val="hybridMultilevel"/>
    <w:lvl w:ilvl="0">
      <w:lvlJc w:val="left"/>
      <w:lvlText w:val="•"/>
      <w:numFmt w:val="bullet"/>
      <w:start w:val="1"/>
    </w:lvl>
  </w:abstractNum>
  <w:abstractNum w:abstractNumId="39">
    <w:nsid w:val="1DBABF00"/>
    <w:multiLevelType w:val="hybridMultilevel"/>
    <w:lvl w:ilvl="0">
      <w:lvlJc w:val="left"/>
      <w:lvlText w:val="•"/>
      <w:numFmt w:val="bullet"/>
      <w:start w:val="1"/>
    </w:lvl>
  </w:abstractNum>
  <w:abstractNum w:abstractNumId="40">
    <w:nsid w:val="4AD084E9"/>
    <w:multiLevelType w:val="hybridMultilevel"/>
    <w:lvl w:ilvl="0">
      <w:lvlJc w:val="left"/>
      <w:lvlText w:val="•"/>
      <w:numFmt w:val="bullet"/>
      <w:start w:val="1"/>
    </w:lvl>
  </w:abstractNum>
  <w:abstractNum w:abstractNumId="41">
    <w:nsid w:val="1F48EAA1"/>
    <w:multiLevelType w:val="hybridMultilevel"/>
    <w:lvl w:ilvl="0">
      <w:lvlJc w:val="left"/>
      <w:lvlText w:val="•"/>
      <w:numFmt w:val="bullet"/>
      <w:start w:val="1"/>
    </w:lvl>
  </w:abstractNum>
  <w:abstractNum w:abstractNumId="42">
    <w:nsid w:val="1381823A"/>
    <w:multiLevelType w:val="hybridMultilevel"/>
    <w:lvl w:ilvl="0">
      <w:lvlJc w:val="left"/>
      <w:lvlText w:val="•"/>
      <w:numFmt w:val="bullet"/>
      <w:start w:val="1"/>
    </w:lvl>
  </w:abstractNum>
  <w:abstractNum w:abstractNumId="43">
    <w:nsid w:val="5DB70AE5"/>
    <w:multiLevelType w:val="hybridMultilevel"/>
    <w:lvl w:ilvl="0">
      <w:lvlJc w:val="left"/>
      <w:lvlText w:val="•"/>
      <w:numFmt w:val="bullet"/>
      <w:start w:val="1"/>
    </w:lvl>
  </w:abstractNum>
  <w:abstractNum w:abstractNumId="44">
    <w:nsid w:val="100F8FCA"/>
    <w:multiLevelType w:val="hybridMultilevel"/>
    <w:lvl w:ilvl="0">
      <w:lvlJc w:val="left"/>
      <w:lvlText w:val="%1."/>
      <w:numFmt w:val="decimal"/>
      <w:start w:val="1"/>
    </w:lvl>
  </w:abstractNum>
  <w:abstractNum w:abstractNumId="45">
    <w:nsid w:val="6590700B"/>
    <w:multiLevelType w:val="hybridMultilevel"/>
    <w:lvl w:ilvl="0">
      <w:lvlJc w:val="left"/>
      <w:lvlText w:val="•"/>
      <w:numFmt w:val="bullet"/>
      <w:start w:val="1"/>
    </w:lvl>
  </w:abstractNum>
  <w:abstractNum w:abstractNumId="46">
    <w:nsid w:val="15014ACB"/>
    <w:multiLevelType w:val="hybridMultilevel"/>
    <w:lvl w:ilvl="0">
      <w:lvlJc w:val="left"/>
      <w:lvlText w:val="(%1)"/>
      <w:numFmt w:val="decimal"/>
      <w:start w:val="1"/>
    </w:lvl>
  </w:abstractNum>
  <w:abstractNum w:abstractNumId="47">
    <w:nsid w:val="5F5E7FD0"/>
    <w:multiLevelType w:val="hybridMultilevel"/>
    <w:lvl w:ilvl="0">
      <w:lvlJc w:val="left"/>
      <w:lvlText w:val="(%1)"/>
      <w:numFmt w:val="decimal"/>
      <w:start w:val="1"/>
    </w:lvl>
  </w:abstractNum>
  <w:abstractNum w:abstractNumId="48">
    <w:nsid w:val="98A3148"/>
    <w:multiLevelType w:val="hybridMultilevel"/>
    <w:lvl w:ilvl="0">
      <w:lvlJc w:val="left"/>
      <w:lvlText w:val="•"/>
      <w:numFmt w:val="bullet"/>
      <w:start w:val="1"/>
    </w:lvl>
  </w:abstractNum>
  <w:abstractNum w:abstractNumId="49">
    <w:nsid w:val="799D0247"/>
    <w:multiLevelType w:val="hybridMultilevel"/>
    <w:lvl w:ilvl="0">
      <w:lvlJc w:val="left"/>
      <w:lvlText w:val="(%1)"/>
      <w:numFmt w:val="lowerRoman"/>
      <w:start w:val="1"/>
    </w:lvl>
  </w:abstractNum>
  <w:abstractNum w:abstractNumId="50">
    <w:nsid w:val="6B94764"/>
    <w:multiLevelType w:val="hybridMultilevel"/>
    <w:lvl w:ilvl="0">
      <w:lvlJc w:val="left"/>
      <w:lvlText w:val="%1."/>
      <w:numFmt w:val="decimal"/>
      <w:start w:val="1"/>
    </w:lvl>
  </w:abstractNum>
  <w:abstractNum w:abstractNumId="51">
    <w:nsid w:val="42C296BD"/>
    <w:multiLevelType w:val="hybridMultilevel"/>
    <w:lvl w:ilvl="0">
      <w:lvlJc w:val="left"/>
      <w:lvlText w:val="•"/>
      <w:numFmt w:val="bullet"/>
      <w:start w:val="1"/>
    </w:lvl>
  </w:abstractNum>
  <w:abstractNum w:abstractNumId="52">
    <w:nsid w:val="168E121F"/>
    <w:multiLevelType w:val="hybridMultilevel"/>
    <w:lvl w:ilvl="0">
      <w:lvlJc w:val="left"/>
      <w:lvlText w:val="•"/>
      <w:numFmt w:val="bullet"/>
      <w:start w:val="1"/>
    </w:lvl>
    <w:lvl w:ilvl="1">
      <w:lvlJc w:val="left"/>
      <w:lvlText w:val="•"/>
      <w:numFmt w:val="bullet"/>
      <w:start w:val="1"/>
    </w:lvl>
  </w:abstractNum>
  <w:abstractNum w:abstractNumId="53">
    <w:nsid w:val="1EBA5D23"/>
    <w:multiLevelType w:val="hybridMultilevel"/>
    <w:lvl w:ilvl="0">
      <w:lvlJc w:val="left"/>
      <w:lvlText w:val="•"/>
      <w:numFmt w:val="bullet"/>
      <w:start w:val="1"/>
    </w:lvl>
  </w:abstractNum>
  <w:abstractNum w:abstractNumId="54">
    <w:nsid w:val="661E3F1E"/>
    <w:multiLevelType w:val="hybridMultilevel"/>
    <w:lvl w:ilvl="0">
      <w:lvlJc w:val="left"/>
      <w:lvlText w:val="•"/>
      <w:numFmt w:val="bullet"/>
      <w:start w:val="1"/>
    </w:lvl>
  </w:abstractNum>
  <w:abstractNum w:abstractNumId="55">
    <w:nsid w:val="5DC79EA8"/>
    <w:multiLevelType w:val="hybridMultilevel"/>
    <w:lvl w:ilvl="0">
      <w:lvlJc w:val="left"/>
      <w:lvlText w:val="•"/>
      <w:numFmt w:val="bullet"/>
      <w:start w:val="1"/>
    </w:lvl>
  </w:abstractNum>
  <w:abstractNum w:abstractNumId="56">
    <w:nsid w:val="540A471C"/>
    <w:multiLevelType w:val="hybridMultilevel"/>
    <w:lvl w:ilvl="0">
      <w:lvlJc w:val="left"/>
      <w:lvlText w:val="%1."/>
      <w:numFmt w:val="decimal"/>
      <w:start w:val="1"/>
    </w:lvl>
  </w:abstractNum>
  <w:abstractNum w:abstractNumId="57">
    <w:nsid w:val="7BD3EE7B"/>
    <w:multiLevelType w:val="hybridMultilevel"/>
    <w:lvl w:ilvl="0">
      <w:lvlJc w:val="left"/>
      <w:lvlText w:val="•"/>
      <w:numFmt w:val="bullet"/>
      <w:start w:val="1"/>
    </w:lvl>
  </w:abstractNum>
  <w:abstractNum w:abstractNumId="58">
    <w:nsid w:val="51D9C564"/>
    <w:multiLevelType w:val="hybridMultilevel"/>
    <w:lvl w:ilvl="0">
      <w:lvlJc w:val="left"/>
      <w:lvlText w:val="(%1)"/>
      <w:numFmt w:val="decimal"/>
      <w:start w:val="1"/>
    </w:lvl>
  </w:abstractNum>
  <w:abstractNum w:abstractNumId="59">
    <w:nsid w:val="613EFDC5"/>
    <w:multiLevelType w:val="hybridMultilevel"/>
    <w:lvl w:ilvl="0">
      <w:lvlJc w:val="left"/>
      <w:lvlText w:val="(%1)"/>
      <w:numFmt w:val="decimal"/>
      <w:start w:val="1"/>
    </w:lvl>
  </w:abstractNum>
  <w:abstractNum w:abstractNumId="60">
    <w:nsid w:val="BF72B14"/>
    <w:multiLevelType w:val="hybridMultilevel"/>
    <w:lvl w:ilvl="0">
      <w:lvlJc w:val="left"/>
      <w:lvlText w:val="•"/>
      <w:numFmt w:val="bullet"/>
      <w:start w:val="1"/>
    </w:lvl>
  </w:abstractNum>
  <w:abstractNum w:abstractNumId="61">
    <w:nsid w:val="11447B73"/>
    <w:multiLevelType w:val="hybridMultilevel"/>
    <w:lvl w:ilvl="0">
      <w:lvlJc w:val="left"/>
      <w:lvlText w:val="•"/>
      <w:numFmt w:val="bullet"/>
      <w:start w:val="1"/>
    </w:lvl>
  </w:abstractNum>
  <w:abstractNum w:abstractNumId="62">
    <w:nsid w:val="42963E5A"/>
    <w:multiLevelType w:val="hybridMultilevel"/>
    <w:lvl w:ilvl="0">
      <w:lvlJc w:val="left"/>
      <w:lvlText w:val="(%1)"/>
      <w:numFmt w:val="decimal"/>
      <w:start w:val="1"/>
    </w:lvl>
  </w:abstractNum>
  <w:abstractNum w:abstractNumId="63">
    <w:nsid w:val="A0382C5"/>
    <w:multiLevelType w:val="hybridMultilevel"/>
    <w:lvl w:ilvl="0">
      <w:lvlJc w:val="left"/>
      <w:lvlText w:val="(%1)"/>
      <w:numFmt w:val="decimal"/>
      <w:start w:val="4"/>
    </w:lvl>
  </w:abstractNum>
  <w:abstractNum w:abstractNumId="64">
    <w:nsid w:val="8F2B15E"/>
    <w:multiLevelType w:val="hybridMultilevel"/>
    <w:lvl w:ilvl="0">
      <w:lvlJc w:val="left"/>
      <w:lvlText w:val="(%1)"/>
      <w:numFmt w:val="decimal"/>
      <w:start w:val="11"/>
    </w:lvl>
  </w:abstractNum>
  <w:abstractNum w:abstractNumId="65">
    <w:nsid w:val="1A32234B"/>
    <w:multiLevelType w:val="hybridMultilevel"/>
    <w:lvl w:ilvl="0">
      <w:lvlJc w:val="left"/>
      <w:lvlText w:val="(%1)"/>
      <w:numFmt w:val="decimal"/>
      <w:start w:val="1"/>
    </w:lvl>
  </w:abstractNum>
  <w:abstractNum w:abstractNumId="66">
    <w:nsid w:val="3B0FD379"/>
    <w:multiLevelType w:val="hybridMultilevel"/>
    <w:lvl w:ilvl="0">
      <w:lvlJc w:val="left"/>
      <w:lvlText w:val="(%1)"/>
      <w:numFmt w:val="decimal"/>
      <w:start w:val="2"/>
    </w:lvl>
  </w:abstractNum>
  <w:abstractNum w:abstractNumId="67">
    <w:nsid w:val="68EB2F63"/>
    <w:multiLevelType w:val="hybridMultilevel"/>
    <w:lvl w:ilvl="0">
      <w:lvlJc w:val="left"/>
      <w:lvlText w:val="(%1)"/>
      <w:numFmt w:val="decimal"/>
      <w:start w:val="1"/>
    </w:lvl>
  </w:abstractNum>
  <w:abstractNum w:abstractNumId="68">
    <w:nsid w:val="4962813B"/>
    <w:multiLevelType w:val="hybridMultilevel"/>
    <w:lvl w:ilvl="0">
      <w:lvlJc w:val="left"/>
      <w:lvlText w:val="(%1)"/>
      <w:numFmt w:val="decimal"/>
      <w:start w:val="5"/>
    </w:lvl>
  </w:abstractNum>
  <w:abstractNum w:abstractNumId="69">
    <w:nsid w:val="60B6DF70"/>
    <w:multiLevelType w:val="hybridMultilevel"/>
    <w:lvl w:ilvl="0">
      <w:lvlJc w:val="left"/>
      <w:lvlText w:val="(%1)"/>
      <w:numFmt w:val="decimal"/>
      <w:start w:val="1"/>
    </w:lvl>
  </w:abstractNum>
  <w:abstractNum w:abstractNumId="70">
    <w:nsid w:val="6A5EE64"/>
    <w:multiLevelType w:val="hybridMultilevel"/>
    <w:lvl w:ilvl="0">
      <w:lvlJc w:val="left"/>
      <w:lvlText w:val="(%1)"/>
      <w:numFmt w:val="decimal"/>
      <w:start w:val="1"/>
    </w:lvl>
  </w:abstractNum>
  <w:abstractNum w:abstractNumId="71">
    <w:nsid w:val="14330624"/>
    <w:multiLevelType w:val="hybridMultilevel"/>
    <w:lvl w:ilvl="0">
      <w:lvlJc w:val="left"/>
      <w:lvlText w:val="•"/>
      <w:numFmt w:val="bullet"/>
      <w:start w:val="1"/>
    </w:lvl>
  </w:abstractNum>
  <w:abstractNum w:abstractNumId="72">
    <w:nsid w:val="7FFFCA11"/>
    <w:multiLevelType w:val="hybridMultilevel"/>
    <w:lvl w:ilvl="0">
      <w:lvlJc w:val="left"/>
      <w:lvlText w:val="*"/>
      <w:numFmt w:val="bullet"/>
      <w:start w:val="1"/>
    </w:lvl>
  </w:abstractNum>
  <w:abstractNum w:abstractNumId="73">
    <w:nsid w:val="1A27709E"/>
    <w:multiLevelType w:val="hybridMultilevel"/>
    <w:lvl w:ilvl="0">
      <w:lvlJc w:val="left"/>
      <w:lvlText w:val="**"/>
      <w:numFmt w:val="bullet"/>
      <w:start w:val="1"/>
    </w:lvl>
  </w:abstractNum>
  <w:abstractNum w:abstractNumId="74">
    <w:nsid w:val="71EA1109"/>
    <w:multiLevelType w:val="hybridMultilevel"/>
    <w:lvl w:ilvl="0">
      <w:lvlJc w:val="left"/>
      <w:lvlText w:val="(%1)"/>
      <w:numFmt w:val="decimal"/>
      <w:start w:val="1"/>
    </w:lvl>
  </w:abstractNum>
  <w:abstractNum w:abstractNumId="75">
    <w:nsid w:val="100F59DC"/>
    <w:multiLevelType w:val="hybridMultilevel"/>
    <w:lvl w:ilvl="0">
      <w:lvlJc w:val="left"/>
      <w:lvlText w:val="(%1)"/>
      <w:numFmt w:val="decimal"/>
      <w:start w:val="4"/>
    </w:lvl>
  </w:abstractNum>
  <w:abstractNum w:abstractNumId="76">
    <w:nsid w:val="7FB7E0AA"/>
    <w:multiLevelType w:val="hybridMultilevel"/>
    <w:lvl w:ilvl="0">
      <w:lvlJc w:val="left"/>
      <w:lvlText w:val="(%1)"/>
      <w:numFmt w:val="decimal"/>
      <w:start w:val="8"/>
    </w:lvl>
  </w:abstractNum>
  <w:abstractNum w:abstractNumId="77">
    <w:nsid w:val="6EB5BD4"/>
    <w:multiLevelType w:val="hybridMultilevel"/>
    <w:lvl w:ilvl="0">
      <w:lvlJc w:val="left"/>
      <w:lvlText w:val="(%1)"/>
      <w:numFmt w:val="decimal"/>
      <w:start w:val="1"/>
    </w:lvl>
  </w:abstractNum>
  <w:abstractNum w:abstractNumId="78">
    <w:nsid w:val="6F6DD9AC"/>
    <w:multiLevelType w:val="hybridMultilevel"/>
    <w:lvl w:ilvl="0">
      <w:lvlJc w:val="left"/>
      <w:lvlText w:val="•"/>
      <w:numFmt w:val="bullet"/>
      <w:start w:val="1"/>
    </w:lvl>
  </w:abstractNum>
  <w:abstractNum w:abstractNumId="79">
    <w:nsid w:val="94211F2"/>
    <w:multiLevelType w:val="hybridMultilevel"/>
    <w:lvl w:ilvl="0">
      <w:lvlJc w:val="left"/>
      <w:lvlText w:val="•"/>
      <w:numFmt w:val="bullet"/>
      <w:start w:val="1"/>
    </w:lvl>
  </w:abstractNum>
  <w:abstractNum w:abstractNumId="80">
    <w:nsid w:val="885E1B"/>
    <w:multiLevelType w:val="hybridMultilevel"/>
    <w:lvl w:ilvl="0">
      <w:lvlJc w:val="left"/>
      <w:lvlText w:val="(%1)"/>
      <w:numFmt w:val="decimal"/>
      <w:start w:val="1"/>
    </w:lvl>
  </w:abstractNum>
  <w:abstractNum w:abstractNumId="81">
    <w:nsid w:val="76272110"/>
    <w:multiLevelType w:val="hybridMultilevel"/>
    <w:lvl w:ilvl="0">
      <w:lvlJc w:val="left"/>
      <w:lvlText w:val="(%1)"/>
      <w:numFmt w:val="decimal"/>
      <w:start w:val="1"/>
    </w:lvl>
  </w:abstractNum>
  <w:abstractNum w:abstractNumId="82">
    <w:nsid w:val="4C04A8AF"/>
    <w:multiLevelType w:val="hybridMultilevel"/>
    <w:lvl w:ilvl="0">
      <w:lvlJc w:val="left"/>
      <w:lvlText w:val="(%1)"/>
      <w:numFmt w:val="lowerLetter"/>
      <w:start w:val="1"/>
    </w:lvl>
  </w:abstractNum>
  <w:abstractNum w:abstractNumId="83">
    <w:nsid w:val="1716703B"/>
    <w:multiLevelType w:val="hybridMultilevel"/>
    <w:lvl w:ilvl="0">
      <w:lvlJc w:val="left"/>
      <w:lvlText w:val="%1."/>
      <w:numFmt w:val="decimal"/>
      <w:start w:val="1"/>
    </w:lvl>
  </w:abstractNum>
  <w:abstractNum w:abstractNumId="84">
    <w:nsid w:val="14E17E33"/>
    <w:multiLevelType w:val="hybridMultilevel"/>
    <w:lvl w:ilvl="0">
      <w:lvlJc w:val="left"/>
      <w:lvlText w:val="%1."/>
      <w:numFmt w:val="decimal"/>
      <w:start w:val="2"/>
    </w:lvl>
  </w:abstractNum>
  <w:abstractNum w:abstractNumId="85">
    <w:nsid w:val="3222E7CD"/>
    <w:multiLevelType w:val="hybridMultilevel"/>
    <w:lvl w:ilvl="0">
      <w:lvlJc w:val="left"/>
      <w:lvlText w:val="%1."/>
      <w:numFmt w:val="decimal"/>
      <w:start w:val="3"/>
    </w:lvl>
  </w:abstractNum>
  <w:abstractNum w:abstractNumId="86">
    <w:nsid w:val="74DE0EE3"/>
    <w:multiLevelType w:val="hybridMultilevel"/>
    <w:lvl w:ilvl="0">
      <w:lvlJc w:val="left"/>
      <w:lvlText w:val="#"/>
      <w:numFmt w:val="bullet"/>
      <w:start w:val="1"/>
    </w:lvl>
  </w:abstractNum>
  <w:abstractNum w:abstractNumId="87">
    <w:nsid w:val="68EBC550"/>
    <w:multiLevelType w:val="hybridMultilevel"/>
    <w:lvl w:ilvl="0">
      <w:lvlJc w:val="left"/>
      <w:lvlText w:val="~"/>
      <w:numFmt w:val="bullet"/>
      <w:start w:val="1"/>
    </w:lvl>
  </w:abstractNum>
  <w:abstractNum w:abstractNumId="88">
    <w:nsid w:val="2DF6D648"/>
    <w:multiLevelType w:val="hybridMultilevel"/>
    <w:lvl w:ilvl="0">
      <w:lvlJc w:val="left"/>
      <w:lvlText w:val="%1."/>
      <w:numFmt w:val="decimal"/>
      <w:start w:val="1"/>
    </w:lvl>
    <w:lvl w:ilvl="1">
      <w:lvlJc w:val="left"/>
      <w:lvlText w:val="%2)"/>
      <w:numFmt w:val="lowerLetter"/>
      <w:start w:val="1"/>
    </w:lvl>
  </w:abstractNum>
  <w:abstractNum w:abstractNumId="89">
    <w:nsid w:val="46B7D447"/>
    <w:multiLevelType w:val="hybridMultilevel"/>
    <w:lvl w:ilvl="0">
      <w:lvlJc w:val="left"/>
      <w:lvlText w:val="%1."/>
      <w:numFmt w:val="decimal"/>
      <w:start w:val="1"/>
    </w:lvl>
    <w:lvl w:ilvl="1">
      <w:lvlJc w:val="left"/>
      <w:lvlText w:val="%2)"/>
      <w:numFmt w:val="lowerLetter"/>
      <w:start w:val="1"/>
    </w:lvl>
  </w:abstractNum>
  <w:abstractNum w:abstractNumId="90">
    <w:nsid w:val="4A2AC315"/>
    <w:multiLevelType w:val="hybridMultilevel"/>
    <w:lvl w:ilvl="0">
      <w:lvlJc w:val="left"/>
      <w:lvlText w:val="(%1)"/>
      <w:numFmt w:val="lowerRoman"/>
      <w:start w:val="1"/>
    </w:lvl>
  </w:abstractNum>
  <w:abstractNum w:abstractNumId="91">
    <w:nsid w:val="39EE015C"/>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jpe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jpe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2019-12-29T11:15:42Z</dcterms:created>
  <dcterms:modified xsi:type="dcterms:W3CDTF">2019-12-29T11:15:42Z</dcterms:modified>
</cp:coreProperties>
</file>