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9440"/>
        <w:spacing w:after="0"/>
        <w:rPr>
          <w:sz w:val="20"/>
          <w:szCs w:val="20"/>
          <w:color w:val="auto"/>
        </w:rPr>
      </w:pPr>
      <w:r>
        <w:rPr>
          <w:rFonts w:ascii="Arial" w:cs="Arial" w:eastAsia="Arial" w:hAnsi="Arial"/>
          <w:sz w:val="18"/>
          <w:szCs w:val="18"/>
          <w:color w:val="auto"/>
        </w:rPr>
        <w:t>OMB APPROVAL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5596255</wp:posOffset>
            </wp:positionH>
            <wp:positionV relativeFrom="paragraph">
              <wp:posOffset>-130175</wp:posOffset>
            </wp:positionV>
            <wp:extent cx="1663700" cy="7289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663700" cy="728980"/>
                    </a:xfrm>
                    <a:prstGeom prst="rect">
                      <a:avLst/>
                    </a:prstGeom>
                    <a:noFill/>
                  </pic:spPr>
                </pic:pic>
              </a:graphicData>
            </a:graphic>
          </wp:anchor>
        </w:drawing>
      </w:r>
    </w:p>
    <w:p>
      <w:pPr>
        <w:spacing w:after="0" w:line="3" w:lineRule="exact"/>
        <w:rPr>
          <w:sz w:val="24"/>
          <w:szCs w:val="24"/>
          <w:color w:val="auto"/>
        </w:rPr>
      </w:pPr>
    </w:p>
    <w:tbl>
      <w:tblPr>
        <w:tblLayout w:type="fixed"/>
        <w:tblInd w:w="8820" w:type="dxa"/>
        <w:tblCellMar>
          <w:top w:w="0" w:type="dxa"/>
          <w:left w:w="0" w:type="dxa"/>
          <w:bottom w:w="0" w:type="dxa"/>
          <w:right w:w="0" w:type="dxa"/>
        </w:tblCellMar>
      </w:tblPr>
      <w:tr>
        <w:trPr>
          <w:trHeight w:val="230"/>
        </w:trPr>
        <w:tc>
          <w:tcPr>
            <w:tcW w:w="1580" w:type="dxa"/>
            <w:vAlign w:val="bottom"/>
            <w:tcBorders>
              <w:bottom w:val="single" w:sz="8" w:color="auto"/>
            </w:tcBorders>
            <w:gridSpan w:val="2"/>
          </w:tcPr>
          <w:p>
            <w:pPr>
              <w:ind w:left="160"/>
              <w:spacing w:after="0"/>
              <w:rPr>
                <w:sz w:val="20"/>
                <w:szCs w:val="20"/>
                <w:color w:val="auto"/>
              </w:rPr>
            </w:pPr>
            <w:r>
              <w:rPr>
                <w:rFonts w:ascii="Arial" w:cs="Arial" w:eastAsia="Arial" w:hAnsi="Arial"/>
                <w:sz w:val="18"/>
                <w:szCs w:val="18"/>
                <w:color w:val="auto"/>
              </w:rPr>
              <w:t>OMB Number:</w:t>
            </w:r>
          </w:p>
        </w:tc>
        <w:tc>
          <w:tcPr>
            <w:tcW w:w="104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3235-0058</w:t>
            </w:r>
          </w:p>
        </w:tc>
      </w:tr>
      <w:tr>
        <w:trPr>
          <w:trHeight w:val="210"/>
        </w:trPr>
        <w:tc>
          <w:tcPr>
            <w:tcW w:w="980" w:type="dxa"/>
            <w:vAlign w:val="bottom"/>
            <w:tcBorders>
              <w:bottom w:val="single" w:sz="8" w:color="auto"/>
            </w:tcBorders>
          </w:tcPr>
          <w:p>
            <w:pPr>
              <w:ind w:left="160"/>
              <w:spacing w:after="0"/>
              <w:rPr>
                <w:sz w:val="20"/>
                <w:szCs w:val="20"/>
                <w:color w:val="auto"/>
              </w:rPr>
            </w:pPr>
            <w:r>
              <w:rPr>
                <w:rFonts w:ascii="Arial" w:cs="Arial" w:eastAsia="Arial" w:hAnsi="Arial"/>
                <w:sz w:val="18"/>
                <w:szCs w:val="18"/>
                <w:color w:val="auto"/>
              </w:rPr>
              <w:t>Expires:</w:t>
            </w:r>
          </w:p>
        </w:tc>
        <w:tc>
          <w:tcPr>
            <w:tcW w:w="1640" w:type="dxa"/>
            <w:vAlign w:val="bottom"/>
            <w:tcBorders>
              <w:bottom w:val="single" w:sz="8" w:color="auto"/>
            </w:tcBorders>
            <w:gridSpan w:val="2"/>
          </w:tcPr>
          <w:p>
            <w:pPr>
              <w:jc w:val="right"/>
              <w:ind w:right="70"/>
              <w:spacing w:after="0"/>
              <w:rPr>
                <w:sz w:val="20"/>
                <w:szCs w:val="20"/>
                <w:color w:val="auto"/>
              </w:rPr>
            </w:pPr>
            <w:r>
              <w:rPr>
                <w:rFonts w:ascii="Arial" w:cs="Arial" w:eastAsia="Arial" w:hAnsi="Arial"/>
                <w:sz w:val="18"/>
                <w:szCs w:val="18"/>
                <w:color w:val="auto"/>
              </w:rPr>
              <w:t>October 31, 2018</w:t>
            </w:r>
          </w:p>
        </w:tc>
      </w:tr>
      <w:tr>
        <w:trPr>
          <w:trHeight w:val="195"/>
        </w:trPr>
        <w:tc>
          <w:tcPr>
            <w:tcW w:w="2620" w:type="dxa"/>
            <w:vAlign w:val="bottom"/>
            <w:gridSpan w:val="3"/>
          </w:tcPr>
          <w:p>
            <w:pPr>
              <w:ind w:left="160"/>
              <w:spacing w:after="0" w:line="195" w:lineRule="exact"/>
              <w:rPr>
                <w:sz w:val="20"/>
                <w:szCs w:val="20"/>
                <w:color w:val="auto"/>
              </w:rPr>
            </w:pPr>
            <w:r>
              <w:rPr>
                <w:rFonts w:ascii="Arial" w:cs="Arial" w:eastAsia="Arial" w:hAnsi="Arial"/>
                <w:sz w:val="18"/>
                <w:szCs w:val="18"/>
                <w:color w:val="auto"/>
              </w:rPr>
              <w:t>Estimated average burden</w:t>
            </w:r>
          </w:p>
        </w:tc>
      </w:tr>
      <w:tr>
        <w:trPr>
          <w:trHeight w:val="230"/>
        </w:trPr>
        <w:tc>
          <w:tcPr>
            <w:tcW w:w="1580" w:type="dxa"/>
            <w:vAlign w:val="bottom"/>
            <w:gridSpan w:val="2"/>
          </w:tcPr>
          <w:p>
            <w:pPr>
              <w:ind w:left="160"/>
              <w:spacing w:after="0"/>
              <w:rPr>
                <w:sz w:val="20"/>
                <w:szCs w:val="20"/>
                <w:color w:val="auto"/>
              </w:rPr>
            </w:pPr>
            <w:r>
              <w:rPr>
                <w:rFonts w:ascii="Arial" w:cs="Arial" w:eastAsia="Arial" w:hAnsi="Arial"/>
                <w:sz w:val="18"/>
                <w:szCs w:val="18"/>
                <w:color w:val="auto"/>
                <w:w w:val="90"/>
              </w:rPr>
              <w:t>hours per response</w:t>
            </w: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2.50</w:t>
            </w:r>
          </w:p>
        </w:tc>
      </w:tr>
    </w:tbl>
    <w:p>
      <w:pPr>
        <w:spacing w:after="0" w:line="40" w:lineRule="exact"/>
        <w:rPr>
          <w:sz w:val="24"/>
          <w:szCs w:val="24"/>
          <w:color w:val="auto"/>
        </w:rPr>
      </w:pPr>
    </w:p>
    <w:p>
      <w:pPr>
        <w:jc w:val="center"/>
        <w:ind w:left="8820"/>
        <w:spacing w:after="0"/>
        <w:rPr>
          <w:sz w:val="20"/>
          <w:szCs w:val="20"/>
          <w:color w:val="auto"/>
        </w:rPr>
      </w:pPr>
      <w:r>
        <w:rPr>
          <w:rFonts w:ascii="Arial" w:cs="Arial" w:eastAsia="Arial" w:hAnsi="Arial"/>
          <w:sz w:val="18"/>
          <w:szCs w:val="18"/>
          <w:color w:val="auto"/>
        </w:rPr>
        <w:t>SEC FILE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5596255</wp:posOffset>
            </wp:positionH>
            <wp:positionV relativeFrom="paragraph">
              <wp:posOffset>-130175</wp:posOffset>
            </wp:positionV>
            <wp:extent cx="1663700" cy="3003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663700" cy="300355"/>
                    </a:xfrm>
                    <a:prstGeom prst="rect">
                      <a:avLst/>
                    </a:prstGeom>
                    <a:noFill/>
                  </pic:spPr>
                </pic:pic>
              </a:graphicData>
            </a:graphic>
          </wp:anchor>
        </w:drawing>
      </w:r>
    </w:p>
    <w:p>
      <w:pPr>
        <w:spacing w:after="0" w:line="3" w:lineRule="exact"/>
        <w:rPr>
          <w:sz w:val="24"/>
          <w:szCs w:val="24"/>
          <w:color w:val="auto"/>
        </w:rPr>
      </w:pPr>
    </w:p>
    <w:p>
      <w:pPr>
        <w:jc w:val="center"/>
        <w:ind w:left="8820"/>
        <w:spacing w:after="0"/>
        <w:rPr>
          <w:sz w:val="20"/>
          <w:szCs w:val="20"/>
          <w:color w:val="auto"/>
        </w:rPr>
      </w:pPr>
      <w:r>
        <w:rPr>
          <w:rFonts w:ascii="Arial" w:cs="Arial" w:eastAsia="Arial" w:hAnsi="Arial"/>
          <w:sz w:val="18"/>
          <w:szCs w:val="18"/>
          <w:color w:val="auto"/>
        </w:rPr>
        <w:t>000-30877</w:t>
      </w:r>
    </w:p>
    <w:p>
      <w:pPr>
        <w:spacing w:after="0" w:line="62" w:lineRule="exact"/>
        <w:rPr>
          <w:sz w:val="24"/>
          <w:szCs w:val="24"/>
          <w:color w:val="auto"/>
        </w:rPr>
      </w:pPr>
    </w:p>
    <w:p>
      <w:pPr>
        <w:jc w:val="center"/>
        <w:ind w:left="8820"/>
        <w:spacing w:after="0"/>
        <w:rPr>
          <w:sz w:val="20"/>
          <w:szCs w:val="20"/>
          <w:color w:val="auto"/>
        </w:rPr>
      </w:pPr>
      <w:r>
        <w:rPr>
          <w:rFonts w:ascii="Arial" w:cs="Arial" w:eastAsia="Arial" w:hAnsi="Arial"/>
          <w:sz w:val="18"/>
          <w:szCs w:val="18"/>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5596255</wp:posOffset>
            </wp:positionH>
            <wp:positionV relativeFrom="paragraph">
              <wp:posOffset>-130175</wp:posOffset>
            </wp:positionV>
            <wp:extent cx="1663700" cy="3003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63700" cy="300355"/>
                    </a:xfrm>
                    <a:prstGeom prst="rect">
                      <a:avLst/>
                    </a:prstGeom>
                    <a:noFill/>
                  </pic:spPr>
                </pic:pic>
              </a:graphicData>
            </a:graphic>
          </wp:anchor>
        </w:drawing>
      </w:r>
    </w:p>
    <w:p>
      <w:pPr>
        <w:spacing w:after="0" w:line="3" w:lineRule="exact"/>
        <w:rPr>
          <w:sz w:val="24"/>
          <w:szCs w:val="24"/>
          <w:color w:val="auto"/>
        </w:rPr>
      </w:pPr>
    </w:p>
    <w:p>
      <w:pPr>
        <w:jc w:val="center"/>
        <w:ind w:left="8820"/>
        <w:spacing w:after="0"/>
        <w:rPr>
          <w:sz w:val="20"/>
          <w:szCs w:val="20"/>
          <w:color w:val="auto"/>
        </w:rPr>
      </w:pPr>
      <w:r>
        <w:rPr>
          <w:rFonts w:ascii="Arial" w:cs="Arial" w:eastAsia="Arial" w:hAnsi="Arial"/>
          <w:sz w:val="18"/>
          <w:szCs w:val="18"/>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125730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67"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12b-25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255270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5"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NOTIFICATION OF LATE FILING</w:t>
      </w:r>
    </w:p>
    <w:p>
      <w:pPr>
        <w:spacing w:after="0" w:line="214" w:lineRule="exact"/>
        <w:rPr>
          <w:sz w:val="24"/>
          <w:szCs w:val="24"/>
          <w:color w:val="auto"/>
        </w:rPr>
      </w:pPr>
    </w:p>
    <w:p>
      <w:pPr>
        <w:ind w:left="2100"/>
        <w:spacing w:after="0" w:line="207" w:lineRule="exact"/>
        <w:tabs>
          <w:tab w:leader="none" w:pos="3320" w:val="left"/>
          <w:tab w:leader="none" w:pos="4600" w:val="left"/>
          <w:tab w:leader="none" w:pos="5840" w:val="left"/>
          <w:tab w:leader="none" w:pos="7120" w:val="left"/>
        </w:tabs>
        <w:rPr>
          <w:sz w:val="20"/>
          <w:szCs w:val="20"/>
          <w:color w:val="auto"/>
        </w:rPr>
      </w:pPr>
      <w:r>
        <w:rPr>
          <w:rFonts w:ascii="Arial" w:cs="Arial" w:eastAsia="Arial" w:hAnsi="Arial"/>
          <w:sz w:val="18"/>
          <w:szCs w:val="18"/>
          <w:color w:val="auto"/>
        </w:rPr>
        <w:t>(Check one):</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Form 10-K</w:t>
      </w:r>
      <w:r>
        <w:rPr>
          <w:rFonts w:ascii="MS PGothic" w:cs="MS PGothic" w:eastAsia="MS PGothic" w:hAnsi="MS PGothic"/>
          <w:sz w:val="18"/>
          <w:szCs w:val="18"/>
          <w:color w:val="auto"/>
        </w:rPr>
        <w:tab/>
        <w:t xml:space="preserve">☐ </w:t>
      </w:r>
      <w:r>
        <w:rPr>
          <w:rFonts w:ascii="Arial" w:cs="Arial" w:eastAsia="Arial" w:hAnsi="Arial"/>
          <w:sz w:val="18"/>
          <w:szCs w:val="18"/>
          <w:color w:val="auto"/>
        </w:rPr>
        <w:t>Form 20-F</w:t>
      </w:r>
      <w:r>
        <w:rPr>
          <w:rFonts w:ascii="MS PGothic" w:cs="MS PGothic" w:eastAsia="MS PGothic" w:hAnsi="MS PGothic"/>
          <w:sz w:val="18"/>
          <w:szCs w:val="18"/>
          <w:color w:val="auto"/>
        </w:rPr>
        <w:tab/>
        <w:t xml:space="preserve">☐ </w:t>
      </w:r>
      <w:r>
        <w:rPr>
          <w:rFonts w:ascii="Arial" w:cs="Arial" w:eastAsia="Arial" w:hAnsi="Arial"/>
          <w:sz w:val="18"/>
          <w:szCs w:val="18"/>
          <w:color w:val="auto"/>
        </w:rPr>
        <w:t>Form 11-K</w:t>
      </w:r>
      <w:r>
        <w:rPr>
          <w:sz w:val="20"/>
          <w:szCs w:val="20"/>
          <w:color w:val="auto"/>
        </w:rPr>
        <w:tab/>
      </w:r>
      <w:r>
        <w:rPr>
          <w:rFonts w:ascii="MS PGothic" w:cs="MS PGothic" w:eastAsia="MS PGothic" w:hAnsi="MS PGothic"/>
          <w:sz w:val="17"/>
          <w:szCs w:val="17"/>
          <w:color w:val="auto"/>
        </w:rPr>
        <w:t xml:space="preserve">☒ </w:t>
      </w:r>
      <w:r>
        <w:rPr>
          <w:rFonts w:ascii="Arial" w:cs="Arial" w:eastAsia="Arial" w:hAnsi="Arial"/>
          <w:sz w:val="17"/>
          <w:szCs w:val="17"/>
          <w:color w:val="auto"/>
        </w:rPr>
        <w:t>Form 10-Q</w:t>
      </w:r>
    </w:p>
    <w:p>
      <w:pPr>
        <w:spacing w:after="0" w:line="51" w:lineRule="exact"/>
        <w:rPr>
          <w:sz w:val="24"/>
          <w:szCs w:val="24"/>
          <w:color w:val="auto"/>
        </w:rPr>
      </w:pPr>
    </w:p>
    <w:p>
      <w:pPr>
        <w:ind w:left="3340" w:right="5440" w:hanging="10"/>
        <w:spacing w:after="0" w:line="333" w:lineRule="exact"/>
        <w:tabs>
          <w:tab w:leader="none" w:pos="3592"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 xml:space="preserve">Form N-SAR </w:t>
      </w:r>
      <w:r>
        <w:rPr>
          <w:rFonts w:ascii="MS PGothic" w:cs="MS PGothic" w:eastAsia="MS PGothic" w:hAnsi="MS PGothic"/>
          <w:sz w:val="18"/>
          <w:szCs w:val="18"/>
          <w:color w:val="auto"/>
        </w:rPr>
        <w:t>☐</w:t>
      </w:r>
      <w:r>
        <w:rPr>
          <w:rFonts w:ascii="Arial" w:cs="Arial" w:eastAsia="Arial" w:hAnsi="Arial"/>
          <w:sz w:val="18"/>
          <w:szCs w:val="18"/>
          <w:color w:val="auto"/>
        </w:rPr>
        <w:t xml:space="preserve"> Form N-CSR For Period Ended: April 30, 2016</w:t>
      </w:r>
    </w:p>
    <w:p>
      <w:pPr>
        <w:spacing w:after="0" w:line="202"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10-K</w:t>
      </w:r>
    </w:p>
    <w:p>
      <w:pPr>
        <w:spacing w:after="0" w:line="25"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20-F</w:t>
      </w:r>
    </w:p>
    <w:p>
      <w:pPr>
        <w:spacing w:after="0" w:line="9"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11-K</w:t>
      </w:r>
    </w:p>
    <w:p>
      <w:pPr>
        <w:spacing w:after="0" w:line="9"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10-Q</w:t>
      </w:r>
    </w:p>
    <w:p>
      <w:pPr>
        <w:spacing w:after="0" w:line="9"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N-SAR</w:t>
      </w:r>
    </w:p>
    <w:p>
      <w:pPr>
        <w:spacing w:after="0" w:line="209" w:lineRule="exact"/>
        <w:rPr>
          <w:sz w:val="24"/>
          <w:szCs w:val="24"/>
          <w:color w:val="auto"/>
        </w:rPr>
      </w:pPr>
    </w:p>
    <w:p>
      <w:pPr>
        <w:ind w:left="3340"/>
        <w:spacing w:after="0"/>
        <w:rPr>
          <w:sz w:val="20"/>
          <w:szCs w:val="20"/>
          <w:color w:val="auto"/>
        </w:rPr>
      </w:pPr>
      <w:r>
        <w:rPr>
          <w:rFonts w:ascii="Arial" w:cs="Arial" w:eastAsia="Arial" w:hAnsi="Arial"/>
          <w:sz w:val="18"/>
          <w:szCs w:val="18"/>
          <w:color w:val="auto"/>
        </w:rPr>
        <w:t>For the Transition Period Ended:</w:t>
      </w:r>
    </w:p>
    <w:p>
      <w:pPr>
        <w:spacing w:after="0" w:line="266"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Read Instruction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3003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4875" cy="300355"/>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Nothing in this form shall be construed to imply that the Commission has verified any information contained herein.</w:t>
      </w:r>
    </w:p>
    <w:p>
      <w:pPr>
        <w:spacing w:after="0" w:line="238" w:lineRule="exact"/>
        <w:rPr>
          <w:sz w:val="24"/>
          <w:szCs w:val="24"/>
          <w:color w:val="auto"/>
        </w:rPr>
      </w:pPr>
    </w:p>
    <w:p>
      <w:pPr>
        <w:ind w:left="460"/>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417830</wp:posOffset>
            </wp:positionV>
            <wp:extent cx="72466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PART I — REGISTRANT INFORMATION</w:t>
      </w:r>
    </w:p>
    <w:p>
      <w:pPr>
        <w:spacing w:after="0" w:line="200" w:lineRule="exact"/>
        <w:rPr>
          <w:sz w:val="24"/>
          <w:szCs w:val="24"/>
          <w:color w:val="auto"/>
        </w:rPr>
      </w:pPr>
    </w:p>
    <w:p>
      <w:pPr>
        <w:spacing w:after="0" w:line="212" w:lineRule="exact"/>
        <w:rPr>
          <w:sz w:val="24"/>
          <w:szCs w:val="24"/>
          <w:color w:val="auto"/>
        </w:rPr>
      </w:pPr>
    </w:p>
    <w:p>
      <w:pPr>
        <w:jc w:val="center"/>
        <w:ind w:right="20"/>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Full Name of Registrant</w:t>
      </w:r>
    </w:p>
    <w:p>
      <w:pPr>
        <w:spacing w:after="0" w:line="200" w:lineRule="exact"/>
        <w:rPr>
          <w:sz w:val="24"/>
          <w:szCs w:val="24"/>
          <w:color w:val="auto"/>
        </w:rPr>
      </w:pPr>
    </w:p>
    <w:p>
      <w:pPr>
        <w:spacing w:after="0" w:line="221"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Former Name if Applicable</w:t>
      </w:r>
    </w:p>
    <w:p>
      <w:pPr>
        <w:spacing w:after="0" w:line="200" w:lineRule="exact"/>
        <w:rPr>
          <w:sz w:val="24"/>
          <w:szCs w:val="24"/>
          <w:color w:val="auto"/>
        </w:rPr>
      </w:pPr>
    </w:p>
    <w:p>
      <w:pPr>
        <w:spacing w:after="0" w:line="20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Canon’s Court, 22 Victoria Street</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Address of Principal Executive Office (</w:t>
      </w:r>
      <w:r>
        <w:rPr>
          <w:rFonts w:ascii="Arial" w:cs="Arial" w:eastAsia="Arial" w:hAnsi="Arial"/>
          <w:sz w:val="14"/>
          <w:szCs w:val="14"/>
          <w:b w:val="1"/>
          <w:bCs w:val="1"/>
          <w:i w:val="1"/>
          <w:iCs w:val="1"/>
          <w:color w:val="auto"/>
        </w:rPr>
        <w:t>Street and Number</w:t>
      </w:r>
      <w:r>
        <w:rPr>
          <w:rFonts w:ascii="Arial" w:cs="Arial" w:eastAsia="Arial" w:hAnsi="Arial"/>
          <w:sz w:val="14"/>
          <w:szCs w:val="14"/>
          <w:b w:val="1"/>
          <w:bCs w:val="1"/>
          <w:color w:val="auto"/>
        </w:rPr>
        <w:t>)</w:t>
      </w:r>
    </w:p>
    <w:p>
      <w:pPr>
        <w:spacing w:after="0" w:line="200" w:lineRule="exact"/>
        <w:rPr>
          <w:sz w:val="24"/>
          <w:szCs w:val="24"/>
          <w:color w:val="auto"/>
        </w:rPr>
      </w:pPr>
    </w:p>
    <w:p>
      <w:pPr>
        <w:spacing w:after="0" w:line="20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12, Bermuda</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City, State and Zip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167640</wp:posOffset>
            </wp:positionV>
            <wp:extent cx="72466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4"/>
          <w:szCs w:val="24"/>
          <w:color w:val="auto"/>
        </w:rPr>
      </w:pPr>
    </w:p>
    <w:p>
      <w:pPr>
        <w:spacing w:after="0" w:line="26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PART II — RULES 12b-25(b) AND (c)</w:t>
      </w:r>
    </w:p>
    <w:p>
      <w:pPr>
        <w:spacing w:after="0" w:line="229" w:lineRule="exact"/>
        <w:rPr>
          <w:sz w:val="24"/>
          <w:szCs w:val="24"/>
          <w:color w:val="auto"/>
        </w:rPr>
      </w:pPr>
    </w:p>
    <w:p>
      <w:pPr>
        <w:ind w:right="200" w:firstLine="456"/>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97" w:lineRule="exact"/>
        <w:rPr>
          <w:sz w:val="24"/>
          <w:szCs w:val="24"/>
          <w:color w:val="auto"/>
        </w:rPr>
      </w:pPr>
    </w:p>
    <w:p>
      <w:pPr>
        <w:ind w:left="540" w:hanging="388"/>
        <w:spacing w:after="0"/>
        <w:tabs>
          <w:tab w:leader="none" w:pos="5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(a)  The reason described in reasonable detail in Part III of this form could not be eliminated without unreasonable effort or expense;</w:t>
      </w:r>
    </w:p>
    <w:p>
      <w:pPr>
        <w:spacing w:after="0" w:line="144" w:lineRule="exact"/>
        <w:rPr>
          <w:rFonts w:ascii="MS PGothic" w:cs="MS PGothic" w:eastAsia="MS PGothic" w:hAnsi="MS PGothic"/>
          <w:sz w:val="18"/>
          <w:szCs w:val="18"/>
          <w:color w:val="auto"/>
        </w:rPr>
      </w:pPr>
    </w:p>
    <w:p>
      <w:pPr>
        <w:jc w:val="both"/>
        <w:ind w:left="880" w:right="160" w:hanging="332"/>
        <w:spacing w:after="0" w:line="342" w:lineRule="auto"/>
        <w:tabs>
          <w:tab w:leader="none" w:pos="880" w:val="left"/>
        </w:tabs>
        <w:numPr>
          <w:ilvl w:val="1"/>
          <w:numId w:val="2"/>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 thereof, will be filed on or before the fifteenth calendar day following the prescribed due date; or the subject quarterly report or transition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288290</wp:posOffset>
            </wp:positionH>
            <wp:positionV relativeFrom="paragraph">
              <wp:posOffset>-546100</wp:posOffset>
            </wp:positionV>
            <wp:extent cx="8890" cy="6102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8890" cy="610235"/>
                    </a:xfrm>
                    <a:prstGeom prst="rect">
                      <a:avLst/>
                    </a:prstGeom>
                    <a:noFill/>
                  </pic:spPr>
                </pic:pic>
              </a:graphicData>
            </a:graphic>
          </wp:anchor>
        </w:drawing>
      </w:r>
    </w:p>
    <w:p>
      <w:pPr>
        <w:sectPr>
          <w:pgSz w:w="11900" w:h="16838" w:orient="portrait"/>
          <w:cols w:equalWidth="0" w:num="1">
            <w:col w:w="11440"/>
          </w:cols>
          <w:pgMar w:left="240" w:top="247" w:right="219" w:bottom="0" w:gutter="0" w:footer="0" w:header="0"/>
        </w:sectPr>
      </w:pPr>
    </w:p>
    <w:bookmarkStart w:id="1" w:name="page2"/>
    <w:bookmarkEnd w:id="1"/>
    <w:p>
      <w:pPr>
        <w:ind w:left="880" w:right="460"/>
        <w:spacing w:after="0" w:line="277" w:lineRule="auto"/>
        <w:rPr>
          <w:sz w:val="20"/>
          <w:szCs w:val="20"/>
          <w:color w:val="auto"/>
        </w:rPr>
      </w:pPr>
      <w:r>
        <w:rPr>
          <w:rFonts w:ascii="Arial" w:cs="Arial" w:eastAsia="Arial" w:hAnsi="Arial"/>
          <w:sz w:val="18"/>
          <w:szCs w:val="18"/>
          <w:color w:val="auto"/>
        </w:rPr>
        <w:t>on Form 10-Q or subject distribution report on Form 10-D, or portion thereof, will be filed on or before the fifth calendar day following the prescribed due date;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288290</wp:posOffset>
            </wp:positionH>
            <wp:positionV relativeFrom="paragraph">
              <wp:posOffset>-293370</wp:posOffset>
            </wp:positionV>
            <wp:extent cx="8890" cy="5060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8890" cy="506095"/>
                    </a:xfrm>
                    <a:prstGeom prst="rect">
                      <a:avLst/>
                    </a:prstGeom>
                    <a:noFill/>
                  </pic:spPr>
                </pic:pic>
              </a:graphicData>
            </a:graphic>
          </wp:anchor>
        </w:drawing>
      </w:r>
    </w:p>
    <w:p>
      <w:pPr>
        <w:spacing w:after="0" w:line="83" w:lineRule="exact"/>
        <w:rPr>
          <w:sz w:val="20"/>
          <w:szCs w:val="20"/>
          <w:color w:val="auto"/>
        </w:rPr>
      </w:pPr>
    </w:p>
    <w:p>
      <w:pPr>
        <w:ind w:left="540"/>
        <w:spacing w:after="0"/>
        <w:rPr>
          <w:sz w:val="20"/>
          <w:szCs w:val="20"/>
          <w:color w:val="auto"/>
        </w:rPr>
      </w:pPr>
      <w:r>
        <w:rPr>
          <w:rFonts w:ascii="Arial" w:cs="Arial" w:eastAsia="Arial" w:hAnsi="Arial"/>
          <w:sz w:val="18"/>
          <w:szCs w:val="18"/>
          <w:color w:val="auto"/>
        </w:rPr>
        <w:t>(c)  The accountant’s statement or other exhibit required by Rule 12b-25(c) has been attached if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255270</wp:posOffset>
            </wp:positionV>
            <wp:extent cx="72466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9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III — NARRATIVE</w:t>
      </w:r>
    </w:p>
    <w:p>
      <w:pPr>
        <w:spacing w:after="0" w:line="229" w:lineRule="exact"/>
        <w:rPr>
          <w:sz w:val="20"/>
          <w:szCs w:val="20"/>
          <w:color w:val="auto"/>
        </w:rPr>
      </w:pPr>
    </w:p>
    <w:p>
      <w:pPr>
        <w:ind w:right="320" w:firstLine="456"/>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97" w:lineRule="exact"/>
        <w:rPr>
          <w:sz w:val="20"/>
          <w:szCs w:val="20"/>
          <w:color w:val="auto"/>
        </w:rPr>
      </w:pPr>
    </w:p>
    <w:tbl>
      <w:tblPr>
        <w:tblLayout w:type="fixed"/>
        <w:tblInd w:w="460" w:type="dxa"/>
        <w:tblCellMar>
          <w:top w:w="0" w:type="dxa"/>
          <w:left w:w="0" w:type="dxa"/>
          <w:bottom w:w="0" w:type="dxa"/>
          <w:right w:w="0" w:type="dxa"/>
        </w:tblCellMar>
      </w:tblPr>
      <w:tr>
        <w:trPr>
          <w:trHeight w:val="216"/>
        </w:trPr>
        <w:tc>
          <w:tcPr>
            <w:tcW w:w="1620" w:type="dxa"/>
            <w:vAlign w:val="bottom"/>
            <w:vMerge w:val="restart"/>
          </w:tcPr>
          <w:p>
            <w:pPr>
              <w:spacing w:after="0"/>
              <w:rPr>
                <w:sz w:val="20"/>
                <w:szCs w:val="20"/>
                <w:color w:val="auto"/>
              </w:rPr>
            </w:pPr>
            <w:r>
              <w:rPr>
                <w:rFonts w:ascii="Arial" w:cs="Arial" w:eastAsia="Arial" w:hAnsi="Arial"/>
                <w:sz w:val="18"/>
                <w:szCs w:val="18"/>
                <w:color w:val="auto"/>
              </w:rPr>
              <w:t>SEC 13344 (04-09)</w:t>
            </w:r>
          </w:p>
        </w:tc>
        <w:tc>
          <w:tcPr>
            <w:tcW w:w="6920" w:type="dxa"/>
            <w:vAlign w:val="bottom"/>
          </w:tcPr>
          <w:p>
            <w:pPr>
              <w:ind w:left="180"/>
              <w:spacing w:after="0"/>
              <w:rPr>
                <w:sz w:val="20"/>
                <w:szCs w:val="20"/>
                <w:color w:val="auto"/>
              </w:rPr>
            </w:pPr>
            <w:r>
              <w:rPr>
                <w:rFonts w:ascii="Arial" w:cs="Arial" w:eastAsia="Arial" w:hAnsi="Arial"/>
                <w:sz w:val="18"/>
                <w:szCs w:val="18"/>
                <w:color w:val="auto"/>
                <w:w w:val="91"/>
              </w:rPr>
              <w:t>Persons who are to respond to the collection of information contained in this form required to</w:t>
            </w:r>
          </w:p>
        </w:tc>
        <w:tc>
          <w:tcPr>
            <w:tcW w:w="0" w:type="dxa"/>
            <w:vAlign w:val="bottom"/>
          </w:tcPr>
          <w:p>
            <w:pPr>
              <w:spacing w:after="0"/>
              <w:rPr>
                <w:sz w:val="1"/>
                <w:szCs w:val="1"/>
                <w:color w:val="auto"/>
              </w:rPr>
            </w:pPr>
          </w:p>
        </w:tc>
      </w:tr>
      <w:tr>
        <w:trPr>
          <w:trHeight w:val="122"/>
        </w:trPr>
        <w:tc>
          <w:tcPr>
            <w:tcW w:w="1620" w:type="dxa"/>
            <w:vAlign w:val="bottom"/>
            <w:vMerge w:val="continue"/>
          </w:tcPr>
          <w:p>
            <w:pPr>
              <w:spacing w:after="0"/>
              <w:rPr>
                <w:sz w:val="10"/>
                <w:szCs w:val="10"/>
                <w:color w:val="auto"/>
              </w:rPr>
            </w:pPr>
          </w:p>
        </w:tc>
        <w:tc>
          <w:tcPr>
            <w:tcW w:w="6920" w:type="dxa"/>
            <w:vAlign w:val="bottom"/>
            <w:vMerge w:val="restart"/>
          </w:tcPr>
          <w:p>
            <w:pPr>
              <w:ind w:left="180"/>
              <w:spacing w:after="0"/>
              <w:rPr>
                <w:sz w:val="20"/>
                <w:szCs w:val="20"/>
                <w:color w:val="auto"/>
              </w:rPr>
            </w:pPr>
            <w:r>
              <w:rPr>
                <w:rFonts w:ascii="Arial" w:cs="Arial" w:eastAsia="Arial" w:hAnsi="Arial"/>
                <w:sz w:val="18"/>
                <w:szCs w:val="18"/>
                <w:color w:val="auto"/>
              </w:rPr>
              <w:t>respond unless the form displays a currently valid OMB control number</w:t>
            </w:r>
          </w:p>
        </w:tc>
        <w:tc>
          <w:tcPr>
            <w:tcW w:w="0" w:type="dxa"/>
            <w:vAlign w:val="bottom"/>
          </w:tcPr>
          <w:p>
            <w:pPr>
              <w:spacing w:after="0"/>
              <w:rPr>
                <w:sz w:val="1"/>
                <w:szCs w:val="1"/>
                <w:color w:val="auto"/>
              </w:rPr>
            </w:pPr>
          </w:p>
        </w:tc>
      </w:tr>
      <w:tr>
        <w:trPr>
          <w:trHeight w:val="108"/>
        </w:trPr>
        <w:tc>
          <w:tcPr>
            <w:tcW w:w="1620" w:type="dxa"/>
            <w:vAlign w:val="bottom"/>
          </w:tcPr>
          <w:p>
            <w:pPr>
              <w:spacing w:after="0"/>
              <w:rPr>
                <w:sz w:val="9"/>
                <w:szCs w:val="9"/>
                <w:color w:val="auto"/>
              </w:rPr>
            </w:pPr>
          </w:p>
        </w:tc>
        <w:tc>
          <w:tcPr>
            <w:tcW w:w="69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432"/>
        </w:trPr>
        <w:tc>
          <w:tcPr>
            <w:tcW w:w="1620" w:type="dxa"/>
            <w:vAlign w:val="bottom"/>
          </w:tcPr>
          <w:p>
            <w:pPr>
              <w:spacing w:after="0"/>
              <w:rPr>
                <w:sz w:val="24"/>
                <w:szCs w:val="24"/>
                <w:color w:val="auto"/>
              </w:rPr>
            </w:pPr>
          </w:p>
        </w:tc>
        <w:tc>
          <w:tcPr>
            <w:tcW w:w="6920" w:type="dxa"/>
            <w:vAlign w:val="bottom"/>
          </w:tcPr>
          <w:p>
            <w:pPr>
              <w:ind w:left="2540"/>
              <w:spacing w:after="0"/>
              <w:rPr>
                <w:sz w:val="20"/>
                <w:szCs w:val="20"/>
                <w:color w:val="auto"/>
              </w:rPr>
            </w:pPr>
            <w:r>
              <w:rPr>
                <w:rFonts w:ascii="Arial" w:cs="Arial" w:eastAsia="Arial" w:hAnsi="Arial"/>
                <w:sz w:val="18"/>
                <w:szCs w:val="18"/>
                <w:color w:val="auto"/>
              </w:rPr>
              <w:t>(Attach extra sheets if needed)</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Marvell Technology Group Ltd. (“Marvell” or “the Company”) has determined that it is unable to file its Quarterly Report on Form 10-Q for the fiscal quarter ended April 30, 2016, which is its first quarter of fiscal 2017 (the “First Quarter Quarterly Report”), within the prescribed time period without unreasonable effort or expense for the reasons described below.</w:t>
      </w:r>
    </w:p>
    <w:p>
      <w:pPr>
        <w:spacing w:after="0" w:line="181"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In October of 2015, PricewaterhouseCoopers LLP resigned as the Company’s independent public accounting firm. On February 22, 2016, the Audit Committee approved the engagement of Deloitte &amp;Touche LLP as the Company’s new independent public accounting firm. For further information on these matters, see the Company’s Current Reports on Form 8-K dated October 20, 2015, December 7, 2015, February 22, 2016 and March 1, 2016 (the “Forms 8-K”). As a result of these matters, including the review of the results of the Audit Committee’s independent investigation of certain accounting and internal control matters as disclosed in the Current Report on Form 8-K filed on March 1, 2016, the Company has experienced a delay in the completion of its financial statements, Management’s Discussion and Analysis of Financial Condition and Results of Operations and other related components of the First Quarter Quarterly Report. The Company is working to complete the preparation and facilitate the review of its financial statements for the fiscal quarter ended April 30, 2016 and the other portions of the First Quarter Quarterly Report, as well as its Annual Report on Form 10-K for the fiscal year ended January 30, 2016 and its Quarterly Reports on Form 10-Q for the second and third quarters of fiscal 2016, as soon as practicable.</w:t>
      </w:r>
    </w:p>
    <w:p>
      <w:pPr>
        <w:spacing w:after="0" w:line="167"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This document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those identified in the Forms 8-K. Marvell undertakes no obligation to revise or update publicly any forward-looking statements.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165735</wp:posOffset>
            </wp:positionV>
            <wp:extent cx="7246620"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0"/>
          <w:szCs w:val="20"/>
          <w:color w:val="auto"/>
        </w:rPr>
      </w:pPr>
    </w:p>
    <w:p>
      <w:pPr>
        <w:spacing w:after="0" w:line="26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IV — OTHER INFORMATION</w:t>
      </w:r>
    </w:p>
    <w:p>
      <w:pPr>
        <w:spacing w:after="0" w:line="256" w:lineRule="exact"/>
        <w:rPr>
          <w:sz w:val="20"/>
          <w:szCs w:val="20"/>
          <w:color w:val="auto"/>
        </w:rPr>
      </w:pPr>
    </w:p>
    <w:p>
      <w:pPr>
        <w:ind w:left="460" w:hanging="452"/>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00" w:lineRule="exact"/>
        <w:rPr>
          <w:sz w:val="20"/>
          <w:szCs w:val="20"/>
          <w:color w:val="auto"/>
        </w:rPr>
      </w:pPr>
    </w:p>
    <w:p>
      <w:pPr>
        <w:spacing w:after="0" w:line="305" w:lineRule="exact"/>
        <w:rPr>
          <w:sz w:val="20"/>
          <w:szCs w:val="20"/>
          <w:color w:val="auto"/>
        </w:rPr>
      </w:pPr>
    </w:p>
    <w:tbl>
      <w:tblPr>
        <w:tblLayout w:type="fixed"/>
        <w:tblInd w:w="460" w:type="dxa"/>
        <w:tblCellMar>
          <w:top w:w="0" w:type="dxa"/>
          <w:left w:w="0" w:type="dxa"/>
          <w:bottom w:w="0" w:type="dxa"/>
          <w:right w:w="0" w:type="dxa"/>
        </w:tblCellMar>
      </w:tblPr>
      <w:tr>
        <w:trPr>
          <w:trHeight w:val="234"/>
        </w:trPr>
        <w:tc>
          <w:tcPr>
            <w:tcW w:w="4060" w:type="dxa"/>
            <w:vAlign w:val="bottom"/>
            <w:gridSpan w:val="2"/>
          </w:tcPr>
          <w:p>
            <w:pPr>
              <w:jc w:val="center"/>
              <w:ind w:right="520"/>
              <w:spacing w:after="0"/>
              <w:rPr>
                <w:sz w:val="20"/>
                <w:szCs w:val="20"/>
                <w:color w:val="auto"/>
              </w:rPr>
            </w:pPr>
            <w:r>
              <w:rPr>
                <w:rFonts w:ascii="Arial" w:cs="Arial" w:eastAsia="Arial" w:hAnsi="Arial"/>
                <w:sz w:val="18"/>
                <w:szCs w:val="18"/>
                <w:b w:val="1"/>
                <w:bCs w:val="1"/>
                <w:color w:val="auto"/>
                <w:w w:val="92"/>
              </w:rPr>
              <w:t>David Eichler</w:t>
            </w:r>
          </w:p>
        </w:tc>
        <w:tc>
          <w:tcPr>
            <w:tcW w:w="2340" w:type="dxa"/>
            <w:vAlign w:val="bottom"/>
          </w:tcPr>
          <w:p>
            <w:pPr>
              <w:jc w:val="right"/>
              <w:ind w:right="779"/>
              <w:spacing w:after="0"/>
              <w:rPr>
                <w:sz w:val="20"/>
                <w:szCs w:val="20"/>
                <w:color w:val="auto"/>
              </w:rPr>
            </w:pPr>
            <w:r>
              <w:rPr>
                <w:rFonts w:ascii="Arial" w:cs="Arial" w:eastAsia="Arial" w:hAnsi="Arial"/>
                <w:sz w:val="18"/>
                <w:szCs w:val="18"/>
                <w:b w:val="1"/>
                <w:bCs w:val="1"/>
                <w:color w:val="auto"/>
              </w:rPr>
              <w:t>(408)</w:t>
            </w:r>
          </w:p>
        </w:tc>
        <w:tc>
          <w:tcPr>
            <w:tcW w:w="840" w:type="dxa"/>
            <w:vAlign w:val="bottom"/>
          </w:tcPr>
          <w:p>
            <w:pPr>
              <w:spacing w:after="0"/>
              <w:rPr>
                <w:sz w:val="20"/>
                <w:szCs w:val="20"/>
                <w:color w:val="auto"/>
              </w:rPr>
            </w:pPr>
          </w:p>
        </w:tc>
        <w:tc>
          <w:tcPr>
            <w:tcW w:w="3260" w:type="dxa"/>
            <w:vAlign w:val="bottom"/>
          </w:tcPr>
          <w:p>
            <w:pPr>
              <w:jc w:val="right"/>
              <w:ind w:right="1159"/>
              <w:spacing w:after="0"/>
              <w:rPr>
                <w:sz w:val="20"/>
                <w:szCs w:val="20"/>
                <w:color w:val="auto"/>
              </w:rPr>
            </w:pPr>
            <w:r>
              <w:rPr>
                <w:rFonts w:ascii="Arial" w:cs="Arial" w:eastAsia="Arial" w:hAnsi="Arial"/>
                <w:sz w:val="18"/>
                <w:szCs w:val="18"/>
                <w:b w:val="1"/>
                <w:bCs w:val="1"/>
                <w:color w:val="auto"/>
              </w:rPr>
              <w:t>222-2500</w:t>
            </w:r>
          </w:p>
        </w:tc>
      </w:tr>
      <w:tr>
        <w:trPr>
          <w:trHeight w:val="180"/>
        </w:trPr>
        <w:tc>
          <w:tcPr>
            <w:tcW w:w="3540" w:type="dxa"/>
            <w:vAlign w:val="bottom"/>
            <w:tcBorders>
              <w:top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(Name)</w:t>
            </w:r>
          </w:p>
        </w:tc>
        <w:tc>
          <w:tcPr>
            <w:tcW w:w="520" w:type="dxa"/>
            <w:vAlign w:val="bottom"/>
          </w:tcPr>
          <w:p>
            <w:pPr>
              <w:spacing w:after="0"/>
              <w:rPr>
                <w:sz w:val="15"/>
                <w:szCs w:val="15"/>
                <w:color w:val="auto"/>
              </w:rPr>
            </w:pPr>
          </w:p>
        </w:tc>
        <w:tc>
          <w:tcPr>
            <w:tcW w:w="2340" w:type="dxa"/>
            <w:vAlign w:val="bottom"/>
            <w:tcBorders>
              <w:top w:val="single" w:sz="8" w:color="auto"/>
            </w:tcBorders>
          </w:tcPr>
          <w:p>
            <w:pPr>
              <w:jc w:val="center"/>
              <w:ind w:left="139"/>
              <w:spacing w:after="0"/>
              <w:rPr>
                <w:sz w:val="20"/>
                <w:szCs w:val="20"/>
                <w:color w:val="auto"/>
              </w:rPr>
            </w:pPr>
            <w:r>
              <w:rPr>
                <w:rFonts w:ascii="Arial" w:cs="Arial" w:eastAsia="Arial" w:hAnsi="Arial"/>
                <w:sz w:val="14"/>
                <w:szCs w:val="14"/>
                <w:b w:val="1"/>
                <w:bCs w:val="1"/>
                <w:color w:val="auto"/>
                <w:w w:val="95"/>
              </w:rPr>
              <w:t>(Area Code)</w:t>
            </w:r>
          </w:p>
        </w:tc>
        <w:tc>
          <w:tcPr>
            <w:tcW w:w="840" w:type="dxa"/>
            <w:vAlign w:val="bottom"/>
          </w:tcPr>
          <w:p>
            <w:pPr>
              <w:spacing w:after="0"/>
              <w:rPr>
                <w:sz w:val="15"/>
                <w:szCs w:val="15"/>
                <w:color w:val="auto"/>
              </w:rPr>
            </w:pPr>
          </w:p>
        </w:tc>
        <w:tc>
          <w:tcPr>
            <w:tcW w:w="3260" w:type="dxa"/>
            <w:vAlign w:val="bottom"/>
            <w:tcBorders>
              <w:top w:val="single" w:sz="8" w:color="auto"/>
            </w:tcBorders>
          </w:tcPr>
          <w:p>
            <w:pPr>
              <w:jc w:val="center"/>
              <w:ind w:left="19"/>
              <w:spacing w:after="0"/>
              <w:rPr>
                <w:sz w:val="20"/>
                <w:szCs w:val="20"/>
                <w:color w:val="auto"/>
              </w:rPr>
            </w:pPr>
            <w:r>
              <w:rPr>
                <w:rFonts w:ascii="Arial" w:cs="Arial" w:eastAsia="Arial" w:hAnsi="Arial"/>
                <w:sz w:val="14"/>
                <w:szCs w:val="14"/>
                <w:b w:val="1"/>
                <w:bCs w:val="1"/>
                <w:color w:val="auto"/>
                <w:w w:val="93"/>
              </w:rPr>
              <w:t>(Telephone Number)</w:t>
            </w:r>
          </w:p>
        </w:tc>
      </w:tr>
    </w:tbl>
    <w:p>
      <w:pPr>
        <w:spacing w:after="0" w:line="69" w:lineRule="exact"/>
        <w:rPr>
          <w:sz w:val="20"/>
          <w:szCs w:val="20"/>
          <w:color w:val="auto"/>
        </w:rPr>
      </w:pPr>
    </w:p>
    <w:p>
      <w:pPr>
        <w:ind w:left="460" w:hanging="452"/>
        <w:spacing w:after="0" w:line="220" w:lineRule="exact"/>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Have all other periodic reports required under Section 13 or 15(d) of the Securities Exchange Act of 1934 or Section 30 of the Investment Company Act of 1940 during the preceding 12 months or for such shorter period that the registrant was required to file such report(s) been filed? If answer is no, identify report(s).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Arial" w:cs="Arial" w:eastAsia="Arial" w:hAnsi="Arial"/>
          <w:sz w:val="18"/>
          <w:szCs w:val="18"/>
          <w:i w:val="1"/>
          <w:iCs w:val="1"/>
          <w:color w:val="auto"/>
        </w:rPr>
        <w:t>The Company’s Forms 10-Q for the periods ended August 1, 2015 and October 31, 2015 and its Form 10-K for the</w:t>
      </w:r>
      <w:r>
        <w:rPr>
          <w:rFonts w:ascii="Arial" w:cs="Arial" w:eastAsia="Arial" w:hAnsi="Arial"/>
          <w:sz w:val="18"/>
          <w:szCs w:val="18"/>
          <w:color w:val="auto"/>
        </w:rPr>
        <w:t xml:space="preserve"> </w:t>
      </w:r>
      <w:r>
        <w:rPr>
          <w:rFonts w:ascii="Arial" w:cs="Arial" w:eastAsia="Arial" w:hAnsi="Arial"/>
          <w:sz w:val="18"/>
          <w:szCs w:val="18"/>
          <w:i w:val="1"/>
          <w:iCs w:val="1"/>
          <w:color w:val="auto"/>
        </w:rPr>
        <w:t>fiscal year ended January 30, 2016 have not been filed.</w:t>
      </w:r>
    </w:p>
    <w:p>
      <w:pPr>
        <w:spacing w:after="0" w:line="231" w:lineRule="exact"/>
        <w:rPr>
          <w:rFonts w:ascii="Arial" w:cs="Arial" w:eastAsia="Arial" w:hAnsi="Arial"/>
          <w:sz w:val="18"/>
          <w:szCs w:val="18"/>
          <w:color w:val="auto"/>
        </w:rPr>
      </w:pPr>
    </w:p>
    <w:p>
      <w:pPr>
        <w:ind w:left="460" w:hanging="452"/>
        <w:spacing w:after="0"/>
        <w:tabs>
          <w:tab w:leader="none" w:pos="460" w:val="left"/>
        </w:tabs>
        <w:numPr>
          <w:ilvl w:val="0"/>
          <w:numId w:val="4"/>
        </w:numPr>
        <w:rPr>
          <w:rFonts w:ascii="Arial" w:cs="Arial" w:eastAsia="Arial" w:hAnsi="Arial"/>
          <w:sz w:val="17"/>
          <w:szCs w:val="17"/>
          <w:color w:val="auto"/>
        </w:rPr>
      </w:pPr>
      <w:r>
        <w:rPr>
          <w:rFonts w:ascii="Arial" w:cs="Arial" w:eastAsia="Arial" w:hAnsi="Arial"/>
          <w:sz w:val="17"/>
          <w:szCs w:val="17"/>
          <w:color w:val="auto"/>
        </w:rPr>
        <w:t>Is it anticipated that any significant change in results of operations from the corresponding period for the last fiscal year will be reflected by the</w:t>
      </w:r>
    </w:p>
    <w:p>
      <w:pPr>
        <w:spacing w:after="0" w:line="30" w:lineRule="exact"/>
        <w:rPr>
          <w:sz w:val="20"/>
          <w:szCs w:val="20"/>
          <w:color w:val="auto"/>
        </w:rPr>
      </w:pPr>
    </w:p>
    <w:p>
      <w:pPr>
        <w:ind w:left="460"/>
        <w:spacing w:after="0" w:line="207" w:lineRule="exact"/>
        <w:tabs>
          <w:tab w:leader="none" w:pos="6020" w:val="left"/>
        </w:tabs>
        <w:rPr>
          <w:sz w:val="20"/>
          <w:szCs w:val="20"/>
          <w:color w:val="auto"/>
        </w:rPr>
      </w:pPr>
      <w:r>
        <w:rPr>
          <w:rFonts w:ascii="Arial" w:cs="Arial" w:eastAsia="Arial" w:hAnsi="Arial"/>
          <w:sz w:val="18"/>
          <w:szCs w:val="18"/>
          <w:color w:val="auto"/>
        </w:rPr>
        <w:t>earnings statements to be included in the subject report or portion there of?</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216" w:lineRule="exact"/>
        <w:rPr>
          <w:sz w:val="20"/>
          <w:szCs w:val="20"/>
          <w:color w:val="auto"/>
        </w:rPr>
      </w:pPr>
    </w:p>
    <w:p>
      <w:pPr>
        <w:ind w:left="460" w:right="58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expects net revenue for the first quarter of fiscal year 2017 to be substantially lower than net revenue for the first quarter of fiscal year</w:t>
      </w:r>
    </w:p>
    <w:p>
      <w:pPr>
        <w:spacing w:after="0" w:line="46" w:lineRule="exact"/>
        <w:rPr>
          <w:sz w:val="20"/>
          <w:szCs w:val="20"/>
          <w:color w:val="auto"/>
        </w:rPr>
      </w:pPr>
    </w:p>
    <w:p>
      <w:pPr>
        <w:ind w:right="480"/>
        <w:spacing w:after="0" w:line="290" w:lineRule="auto"/>
        <w:rPr>
          <w:sz w:val="20"/>
          <w:szCs w:val="20"/>
          <w:color w:val="auto"/>
        </w:rPr>
      </w:pPr>
      <w:r>
        <w:rPr>
          <w:rFonts w:ascii="Arial" w:cs="Arial" w:eastAsia="Arial" w:hAnsi="Arial"/>
          <w:sz w:val="17"/>
          <w:szCs w:val="17"/>
          <w:color w:val="auto"/>
        </w:rPr>
        <w:t>2016. The decrease in revenue was due primarily to lower sales of its hard disc drive storage products which is related to the overall decrease in market demand for PCs and, to a lesser extent, the restructuring of our mobile platform business, which was announced in September 2015.</w:t>
      </w:r>
    </w:p>
    <w:p>
      <w:pPr>
        <w:spacing w:after="0" w:line="162"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The Company cannot make a quantitative estimate of the expected change in its results of operations for the period indicated at this time as the Company needs to complete the Company’s annual audit of its financial statements for fiscal year 2016 and its quarterly review of its financial statements for the first quarter of fiscal 2017.</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 *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177800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2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the Company has duly caused this report to be signed on its behalf by the undersigned thereunto duly authorized.</w:t>
      </w:r>
    </w:p>
    <w:p>
      <w:pPr>
        <w:spacing w:after="0" w:line="193" w:lineRule="exact"/>
        <w:rPr>
          <w:sz w:val="20"/>
          <w:szCs w:val="20"/>
          <w:color w:val="auto"/>
        </w:rPr>
      </w:pPr>
    </w:p>
    <w:p>
      <w:pPr>
        <w:ind w:left="584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spacing w:after="0"/>
        <w:tabs>
          <w:tab w:leader="none" w:pos="5820" w:val="left"/>
          <w:tab w:leader="none" w:pos="6260" w:val="left"/>
        </w:tabs>
        <w:rPr>
          <w:sz w:val="20"/>
          <w:szCs w:val="20"/>
          <w:color w:val="auto"/>
        </w:rPr>
      </w:pPr>
      <w:r>
        <w:rPr>
          <w:rFonts w:ascii="Arial" w:cs="Arial" w:eastAsia="Arial" w:hAnsi="Arial"/>
          <w:sz w:val="18"/>
          <w:szCs w:val="18"/>
          <w:color w:val="auto"/>
        </w:rPr>
        <w:t>June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Interim Chief Financial Officer</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w:t>
      </w:r>
    </w:p>
    <w:sectPr>
      <w:pgSz w:w="11900" w:h="16838" w:orient="portrait"/>
      <w:cols w:equalWidth="0" w:num="1">
        <w:col w:w="11240"/>
      </w:cols>
      <w:pgMar w:left="240" w:top="270" w:right="4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
      <w:numFmt w:val="bullet"/>
      <w:start w:val="1"/>
    </w:lvl>
    <w:lvl w:ilvl="1">
      <w:lvlJc w:val="left"/>
      <w:lvlText w:val="(%2)"/>
      <w:numFmt w:val="lowerLetter"/>
      <w:start w:val="2"/>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2019-12-06T21:17:33Z</dcterms:created>
  <dcterms:modified xsi:type="dcterms:W3CDTF">2019-12-06T21:17:33Z</dcterms:modified>
</cp:coreProperties>
</file>