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8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10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August 1, 2015</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77"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40"/>
        <w:spacing w:after="0"/>
        <w:tabs>
          <w:tab w:leader="none" w:pos="676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3968115</wp:posOffset>
            </wp:positionH>
            <wp:positionV relativeFrom="paragraph">
              <wp:posOffset>-10160</wp:posOffset>
            </wp:positionV>
            <wp:extent cx="78994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89940"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92"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43"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20"/>
          </w:cols>
          <w:pgMar w:left="240" w:top="230" w:right="239" w:bottom="1440" w:gutter="0" w:footer="0" w:header="0"/>
        </w:sectPr>
      </w:pPr>
    </w:p>
    <w:p>
      <w:pPr>
        <w:spacing w:after="0" w:line="126" w:lineRule="exact"/>
        <w:rPr>
          <w:sz w:val="24"/>
          <w:szCs w:val="24"/>
          <w:color w:val="auto"/>
        </w:rPr>
      </w:pPr>
    </w:p>
    <w:p>
      <w:pPr>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06"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64" w:lineRule="exact"/>
        <w:rPr>
          <w:sz w:val="24"/>
          <w:szCs w:val="24"/>
          <w:color w:val="auto"/>
        </w:rPr>
      </w:pPr>
    </w:p>
    <w:p>
      <w:pPr>
        <w:sectPr>
          <w:pgSz w:w="11900" w:h="16838" w:orient="portrait"/>
          <w:cols w:equalWidth="0" w:num="4">
            <w:col w:w="1580" w:space="340"/>
            <w:col w:w="6220" w:space="720"/>
            <w:col w:w="1680" w:space="720"/>
            <w:col w:w="160"/>
          </w:cols>
          <w:pgMar w:left="240" w:top="230" w:right="239" w:bottom="1440" w:gutter="0" w:footer="0" w:header="0"/>
          <w:type w:val="continuous"/>
        </w:sectPr>
      </w:pPr>
    </w:p>
    <w:p>
      <w:pPr>
        <w:spacing w:after="0" w:line="32" w:lineRule="exact"/>
        <w:rPr>
          <w:sz w:val="24"/>
          <w:szCs w:val="24"/>
          <w:color w:val="auto"/>
        </w:rPr>
      </w:pPr>
    </w:p>
    <w:p>
      <w:pPr>
        <w:spacing w:after="0"/>
        <w:rPr>
          <w:sz w:val="20"/>
          <w:szCs w:val="20"/>
          <w:color w:val="auto"/>
        </w:rPr>
      </w:pPr>
      <w:r>
        <w:rPr>
          <w:rFonts w:ascii="Arial" w:cs="Arial" w:eastAsia="Arial" w:hAnsi="Arial"/>
          <w:sz w:val="16"/>
          <w:szCs w:val="16"/>
          <w:color w:val="auto"/>
        </w:rPr>
        <w:t>Non-accelerated filer</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(Do not check if a smaller reporting company)</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18" w:lineRule="exact"/>
        <w:rPr>
          <w:sz w:val="24"/>
          <w:szCs w:val="24"/>
          <w:color w:val="auto"/>
        </w:rPr>
      </w:pPr>
    </w:p>
    <w:p>
      <w:pPr>
        <w:sectPr>
          <w:pgSz w:w="11900" w:h="16838" w:orient="portrait"/>
          <w:cols w:equalWidth="0" w:num="5">
            <w:col w:w="1500" w:space="420"/>
            <w:col w:w="160" w:space="100"/>
            <w:col w:w="5960" w:space="720"/>
            <w:col w:w="1920" w:space="480"/>
            <w:col w:w="160"/>
          </w:cols>
          <w:pgMar w:left="240" w:top="230" w:right="239" w:bottom="1440" w:gutter="0" w:footer="0" w:header="0"/>
          <w:type w:val="continuous"/>
        </w:sectPr>
      </w:pPr>
    </w:p>
    <w:p>
      <w:pPr>
        <w:spacing w:after="0" w:line="32" w:lineRule="exact"/>
        <w:rPr>
          <w:sz w:val="24"/>
          <w:szCs w:val="24"/>
          <w:color w:val="auto"/>
        </w:rPr>
      </w:pPr>
    </w:p>
    <w:p>
      <w:pPr>
        <w:ind w:left="460"/>
        <w:spacing w:after="0"/>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p>
    <w:p>
      <w:pPr>
        <w:spacing w:after="0" w:line="20" w:lineRule="exact"/>
        <w:rPr>
          <w:sz w:val="24"/>
          <w:szCs w:val="24"/>
          <w:color w:val="auto"/>
        </w:rPr>
      </w:pPr>
      <w:r>
        <w:rPr>
          <w:sz w:val="24"/>
          <w:szCs w:val="24"/>
          <w:color w:val="auto"/>
        </w:rPr>
        <w:br w:type="column"/>
      </w:r>
    </w:p>
    <w:p>
      <w:pPr>
        <w:jc w:val="center"/>
        <w:spacing w:after="0" w:line="164" w:lineRule="exact"/>
        <w:rPr>
          <w:sz w:val="20"/>
          <w:szCs w:val="20"/>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Yes</w:t>
      </w:r>
    </w:p>
    <w:p>
      <w:pPr>
        <w:spacing w:after="0" w:line="20" w:lineRule="exact"/>
        <w:rPr>
          <w:sz w:val="24"/>
          <w:szCs w:val="24"/>
          <w:color w:val="auto"/>
        </w:rPr>
      </w:pPr>
      <w:r>
        <w:rPr>
          <w:sz w:val="24"/>
          <w:szCs w:val="24"/>
          <w:color w:val="auto"/>
        </w:rPr>
        <w:br w:type="column"/>
      </w:r>
    </w:p>
    <w:p>
      <w:pPr>
        <w:spacing w:after="0" w:line="121"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194" w:lineRule="exact"/>
        <w:rPr>
          <w:sz w:val="24"/>
          <w:szCs w:val="24"/>
          <w:color w:val="auto"/>
        </w:rPr>
      </w:pPr>
    </w:p>
    <w:p>
      <w:pPr>
        <w:sectPr>
          <w:pgSz w:w="11900" w:h="16838" w:orient="portrait"/>
          <w:cols w:equalWidth="0" w:num="4">
            <w:col w:w="8440" w:space="180"/>
            <w:col w:w="500" w:space="180"/>
            <w:col w:w="140" w:space="100"/>
            <w:col w:w="1880"/>
          </w:cols>
          <w:pgMar w:left="240" w:top="230" w:right="239" w:bottom="1440" w:gutter="0" w:footer="0" w:header="0"/>
          <w:type w:val="continuous"/>
        </w:sectPr>
      </w:pPr>
    </w:p>
    <w:p>
      <w:pPr>
        <w:ind w:left="460"/>
        <w:spacing w:after="0"/>
        <w:rPr>
          <w:sz w:val="20"/>
          <w:szCs w:val="20"/>
          <w:color w:val="auto"/>
        </w:rPr>
      </w:pPr>
      <w:r>
        <w:rPr>
          <w:rFonts w:ascii="Arial" w:cs="Arial" w:eastAsia="Arial" w:hAnsi="Arial"/>
          <w:sz w:val="15"/>
          <w:szCs w:val="15"/>
          <w:color w:val="auto"/>
        </w:rPr>
        <w:t>The number of common shares of the registrant outstanding as of July 11, 2016 was 511.2 million shares.</w:t>
      </w:r>
    </w:p>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00" w:type="dxa"/>
            <w:vAlign w:val="bottom"/>
            <w:gridSpan w:val="13"/>
            <w:vMerge w:val="restart"/>
          </w:tcPr>
          <w:p>
            <w:pPr>
              <w:jc w:val="center"/>
              <w:ind w:right="232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7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300" w:type="dxa"/>
            <w:vAlign w:val="bottom"/>
            <w:gridSpan w:val="13"/>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240" w:type="dxa"/>
            <w:vAlign w:val="bottom"/>
            <w:gridSpan w:val="8"/>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20" w:type="dxa"/>
            <w:vAlign w:val="bottom"/>
            <w:gridSpan w:val="6"/>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700" w:type="dxa"/>
            <w:vAlign w:val="bottom"/>
            <w:tcBorders>
              <w:bottom w:val="single" w:sz="8" w:color="0000EE"/>
            </w:tcBorders>
            <w:gridSpan w:val="16"/>
          </w:tcPr>
          <w:p>
            <w:pPr>
              <w:spacing w:after="0" w:line="196" w:lineRule="exact"/>
              <w:rPr>
                <w:rFonts w:ascii="Arial" w:cs="Arial" w:eastAsia="Arial" w:hAnsi="Arial"/>
                <w:sz w:val="18"/>
                <w:szCs w:val="18"/>
                <w:color w:val="0000EE"/>
                <w:w w:val="86"/>
              </w:rPr>
            </w:pPr>
            <w:hyperlink w:anchor="page3">
              <w:r>
                <w:rPr>
                  <w:rFonts w:ascii="Arial" w:cs="Arial" w:eastAsia="Arial" w:hAnsi="Arial"/>
                  <w:sz w:val="18"/>
                  <w:szCs w:val="18"/>
                  <w:color w:val="0000EE"/>
                  <w:w w:val="86"/>
                </w:rPr>
                <w:t>Unaudited Condensed Consolidated Balance Sheets as of August 1, 2015 and January 31, 2015</w:t>
              </w:r>
            </w:hyperlink>
          </w:p>
        </w:tc>
        <w:tc>
          <w:tcPr>
            <w:tcW w:w="3340" w:type="dxa"/>
            <w:vAlign w:val="bottom"/>
            <w:gridSpan w:val="4"/>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20"/>
          </w:tcPr>
          <w:p>
            <w:pPr>
              <w:spacing w:after="0" w:line="196" w:lineRule="exact"/>
              <w:rPr>
                <w:rFonts w:ascii="Arial" w:cs="Arial" w:eastAsia="Arial" w:hAnsi="Arial"/>
                <w:sz w:val="18"/>
                <w:szCs w:val="18"/>
                <w:color w:val="0000EE"/>
                <w:w w:val="93"/>
              </w:rPr>
            </w:pPr>
            <w:hyperlink w:anchor="page4">
              <w:r>
                <w:rPr>
                  <w:rFonts w:ascii="Arial" w:cs="Arial" w:eastAsia="Arial" w:hAnsi="Arial"/>
                  <w:sz w:val="18"/>
                  <w:szCs w:val="18"/>
                  <w:color w:val="0000EE"/>
                  <w:w w:val="93"/>
                </w:rPr>
                <w:t>Unaudited Condensed Consolidated Statements of Operations for the three and six months ended August 1, 2015 and August 2, 2014</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40" w:type="dxa"/>
            <w:vAlign w:val="bottom"/>
            <w:gridSpan w:val="2"/>
            <w:shd w:val="clear" w:color="auto" w:fill="0000EE"/>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0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2420" w:type="dxa"/>
            <w:vAlign w:val="bottom"/>
            <w:gridSpan w:val="2"/>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640" w:type="dxa"/>
            <w:vAlign w:val="bottom"/>
            <w:tcBorders>
              <w:bottom w:val="single" w:sz="8" w:color="0000EE"/>
            </w:tcBorders>
            <w:gridSpan w:val="19"/>
          </w:tcPr>
          <w:p>
            <w:pPr>
              <w:spacing w:after="0" w:line="196" w:lineRule="exact"/>
              <w:rPr>
                <w:rFonts w:ascii="Arial" w:cs="Arial" w:eastAsia="Arial" w:hAnsi="Arial"/>
                <w:sz w:val="18"/>
                <w:szCs w:val="18"/>
                <w:color w:val="0000EE"/>
                <w:w w:val="87"/>
              </w:rPr>
            </w:pPr>
            <w:hyperlink w:anchor="page5">
              <w:r>
                <w:rPr>
                  <w:rFonts w:ascii="Arial" w:cs="Arial" w:eastAsia="Arial" w:hAnsi="Arial"/>
                  <w:sz w:val="18"/>
                  <w:szCs w:val="18"/>
                  <w:color w:val="0000EE"/>
                  <w:w w:val="87"/>
                </w:rPr>
                <w:t>Unaudited Condensed Consolidated Statements of Comprehensive Income (Loss) for the three and six months ended August 1, 2015 and</w:t>
              </w:r>
            </w:hyperlink>
          </w:p>
        </w:tc>
        <w:tc>
          <w:tcPr>
            <w:tcW w:w="4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20"/>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August 2, 2014</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420" w:type="dxa"/>
            <w:vAlign w:val="bottom"/>
            <w:gridSpan w:val="2"/>
          </w:tcPr>
          <w:p>
            <w:pPr>
              <w:spacing w:after="0" w:line="20" w:lineRule="exact"/>
              <w:rPr>
                <w:sz w:val="1"/>
                <w:szCs w:val="1"/>
                <w:color w:val="auto"/>
              </w:rPr>
            </w:pPr>
          </w:p>
        </w:tc>
        <w:tc>
          <w:tcPr>
            <w:tcW w:w="132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20"/>
          </w:tcPr>
          <w:p>
            <w:pPr>
              <w:spacing w:after="0" w:line="196" w:lineRule="exact"/>
              <w:rPr>
                <w:rFonts w:ascii="Arial" w:cs="Arial" w:eastAsia="Arial" w:hAnsi="Arial"/>
                <w:sz w:val="18"/>
                <w:szCs w:val="18"/>
                <w:color w:val="0000EE"/>
              </w:rPr>
            </w:pPr>
            <w:hyperlink w:anchor="page6">
              <w:r>
                <w:rPr>
                  <w:rFonts w:ascii="Arial" w:cs="Arial" w:eastAsia="Arial" w:hAnsi="Arial"/>
                  <w:sz w:val="18"/>
                  <w:szCs w:val="18"/>
                  <w:color w:val="0000EE"/>
                </w:rPr>
                <w:t>Unaudited Condensed Consolidated Statements of Cash Flows for the six months ended August 1, 2015 and August 2, 2014</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80" w:type="dxa"/>
            <w:vAlign w:val="bottom"/>
            <w:tcBorders>
              <w:top w:val="single" w:sz="8" w:color="0000EE"/>
              <w:bottom w:val="single" w:sz="8" w:color="0000EE"/>
            </w:tcBorders>
            <w:gridSpan w:val="12"/>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4040" w:type="dxa"/>
            <w:vAlign w:val="bottom"/>
            <w:tcBorders>
              <w:top w:val="single" w:sz="8" w:color="0000EE"/>
            </w:tcBorders>
            <w:gridSpan w:val="5"/>
          </w:tcPr>
          <w:p>
            <w:pPr>
              <w:spacing w:after="0"/>
              <w:rPr>
                <w:sz w:val="17"/>
                <w:szCs w:val="17"/>
                <w:color w:val="auto"/>
              </w:rPr>
            </w:pPr>
          </w:p>
        </w:tc>
        <w:tc>
          <w:tcPr>
            <w:tcW w:w="132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0"/>
          </w:tcPr>
          <w:p>
            <w:pPr>
              <w:spacing w:after="0" w:line="196" w:lineRule="exact"/>
              <w:rPr>
                <w:rFonts w:ascii="Arial" w:cs="Arial" w:eastAsia="Arial" w:hAnsi="Arial"/>
                <w:sz w:val="18"/>
                <w:szCs w:val="18"/>
                <w:color w:val="0000EE"/>
              </w:rPr>
            </w:pPr>
            <w:hyperlink w:anchor="page29">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1"/>
          </w:tcPr>
          <w:p>
            <w:pPr>
              <w:spacing w:after="0" w:line="196" w:lineRule="exact"/>
              <w:rPr>
                <w:rFonts w:ascii="Arial" w:cs="Arial" w:eastAsia="Arial" w:hAnsi="Arial"/>
                <w:sz w:val="18"/>
                <w:szCs w:val="18"/>
                <w:color w:val="0000EE"/>
                <w:w w:val="89"/>
              </w:rPr>
            </w:pPr>
            <w:hyperlink w:anchor="page38">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17"/>
                <w:szCs w:val="17"/>
                <w:color w:val="auto"/>
              </w:rPr>
            </w:pPr>
          </w:p>
        </w:tc>
        <w:tc>
          <w:tcPr>
            <w:tcW w:w="374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4.</w:t>
            </w:r>
          </w:p>
        </w:tc>
        <w:tc>
          <w:tcPr>
            <w:tcW w:w="10040" w:type="dxa"/>
            <w:vAlign w:val="bottom"/>
            <w:gridSpan w:val="20"/>
          </w:tcPr>
          <w:p>
            <w:pPr>
              <w:spacing w:after="0" w:line="196" w:lineRule="exact"/>
              <w:rPr>
                <w:rFonts w:ascii="Arial" w:cs="Arial" w:eastAsia="Arial" w:hAnsi="Arial"/>
                <w:sz w:val="18"/>
                <w:szCs w:val="18"/>
                <w:color w:val="0000EE"/>
              </w:rPr>
            </w:pPr>
            <w:hyperlink w:anchor="page39">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52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500" w:type="dxa"/>
            <w:vAlign w:val="bottom"/>
          </w:tcPr>
          <w:p>
            <w:pPr>
              <w:spacing w:after="0"/>
              <w:rPr>
                <w:sz w:val="17"/>
                <w:szCs w:val="17"/>
                <w:color w:val="auto"/>
              </w:rPr>
            </w:pPr>
          </w:p>
        </w:tc>
        <w:tc>
          <w:tcPr>
            <w:tcW w:w="6800" w:type="dxa"/>
            <w:vAlign w:val="bottom"/>
            <w:gridSpan w:val="12"/>
          </w:tcPr>
          <w:p>
            <w:pPr>
              <w:jc w:val="center"/>
              <w:ind w:right="3820"/>
              <w:spacing w:after="0" w:line="196" w:lineRule="exact"/>
              <w:rPr>
                <w:rFonts w:ascii="Arial" w:cs="Arial" w:eastAsia="Arial" w:hAnsi="Arial"/>
                <w:sz w:val="18"/>
                <w:szCs w:val="18"/>
                <w:b w:val="1"/>
                <w:bCs w:val="1"/>
                <w:color w:val="0000EE"/>
              </w:rPr>
            </w:pPr>
            <w:hyperlink w:anchor="page44">
              <w:r>
                <w:rPr>
                  <w:rFonts w:ascii="Arial" w:cs="Arial" w:eastAsia="Arial" w:hAnsi="Arial"/>
                  <w:sz w:val="18"/>
                  <w:szCs w:val="18"/>
                  <w:b w:val="1"/>
                  <w:bCs w:val="1"/>
                  <w:color w:val="0000EE"/>
                </w:rPr>
                <w:t>PART II. OTHER INFORMATION</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380" w:type="dxa"/>
            <w:vAlign w:val="bottom"/>
            <w:gridSpan w:val="9"/>
          </w:tcPr>
          <w:p>
            <w:pPr>
              <w:spacing w:after="0" w:line="196" w:lineRule="exact"/>
              <w:rPr>
                <w:rFonts w:ascii="Arial" w:cs="Arial" w:eastAsia="Arial" w:hAnsi="Arial"/>
                <w:sz w:val="18"/>
                <w:szCs w:val="18"/>
                <w:color w:val="0000EE"/>
              </w:rPr>
            </w:pPr>
            <w:hyperlink w:anchor="page44">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17"/>
                <w:szCs w:val="17"/>
                <w:color w:val="auto"/>
              </w:rPr>
            </w:pPr>
          </w:p>
        </w:tc>
        <w:tc>
          <w:tcPr>
            <w:tcW w:w="3960" w:type="dxa"/>
            <w:vAlign w:val="bottom"/>
            <w:gridSpan w:val="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44">
              <w:r>
                <w:rPr>
                  <w:rFonts w:ascii="Arial" w:cs="Arial" w:eastAsia="Arial" w:hAnsi="Arial"/>
                  <w:sz w:val="18"/>
                  <w:szCs w:val="18"/>
                  <w:color w:val="0000EE"/>
                </w:rPr>
                <w:t>Risk Factors</w:t>
              </w:r>
            </w:hyperlink>
          </w:p>
        </w:tc>
        <w:tc>
          <w:tcPr>
            <w:tcW w:w="874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7"/>
          </w:tcPr>
          <w:p>
            <w:pPr>
              <w:spacing w:after="0" w:line="20" w:lineRule="exact"/>
              <w:rPr>
                <w:sz w:val="1"/>
                <w:szCs w:val="1"/>
                <w:color w:val="auto"/>
              </w:rPr>
            </w:pPr>
          </w:p>
        </w:tc>
        <w:tc>
          <w:tcPr>
            <w:tcW w:w="5800" w:type="dxa"/>
            <w:vAlign w:val="bottom"/>
            <w:gridSpan w:val="1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0"/>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10"/>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Exhibits</w:t>
              </w:r>
            </w:hyperlink>
          </w:p>
        </w:tc>
        <w:tc>
          <w:tcPr>
            <w:tcW w:w="580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rFonts w:ascii="Arial" w:cs="Arial" w:eastAsia="Arial" w:hAnsi="Arial"/>
                <w:sz w:val="18"/>
                <w:szCs w:val="18"/>
                <w:color w:val="0000EE"/>
                <w:w w:val="99"/>
              </w:rPr>
            </w:pPr>
            <w:hyperlink w:anchor="page61">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17"/>
                <w:szCs w:val="17"/>
                <w:color w:val="auto"/>
              </w:rPr>
            </w:pPr>
          </w:p>
        </w:tc>
        <w:tc>
          <w:tcPr>
            <w:tcW w:w="520" w:type="dxa"/>
            <w:vAlign w:val="bottom"/>
            <w:tcBorders>
              <w:top w:val="single" w:sz="8" w:color="0000EE"/>
            </w:tcBorders>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9960" w:type="dxa"/>
            <w:vAlign w:val="bottom"/>
            <w:gridSpan w:val="19"/>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920" w:type="dxa"/>
            <w:vAlign w:val="bottom"/>
            <w:gridSpan w:val="22"/>
          </w:tcPr>
          <w:p>
            <w:pPr>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Exhibit Index</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EXPLANATORY NOTE</w:t>
      </w:r>
    </w:p>
    <w:p>
      <w:pPr>
        <w:spacing w:after="0" w:line="17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As previously reported, we were unable to timely file our Quarterly Report on Form 10-Q for the second and third quarters of fiscal 2016 and our Annual Report on Form 10-K for fiscal 2016. Except as specifically set forth herein, this Form 10-Q speaks only as of August 1, 2015 and the period then ended, and these financial results do not reflect the effect of events or results of operations that may have occurred subsequent to August 1, 2015. The Company was obligated to adjust its financial results for the second quarter of fiscal 2016 through the date of filing of this report to account for certain activities subsequent to August 1, 2015 (Type 1 subsequent events). As a result, certain results, including net loss and net loss per share, reported in this report may differ from the preliminary results for the second quarter of fiscal 2016 released on September 11, 2015 and updated on December 7, 2016. Please see also our Quarterly Report on Form 10-Q for the fiscal quarter ended October 31, 2015 and our Annual Report on Form 10-K for the fiscal year ended January 30, 2016, which are being filed on the date hereof.</w:t>
      </w:r>
    </w:p>
    <w:p>
      <w:pPr>
        <w:spacing w:after="0" w:line="10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00"/>
          </w:cols>
          <w:pgMar w:left="240" w:top="459" w:right="3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w:t>
      </w:r>
      <w:r>
        <w:rPr>
          <w:rFonts w:ascii="Arial" w:cs="Arial" w:eastAsia="Arial" w:hAnsi="Arial"/>
          <w:sz w:val="18"/>
          <w:szCs w:val="18"/>
          <w:b w:val="1"/>
          <w:bCs w:val="1"/>
          <w:i w:val="1"/>
          <w:iCs w:val="1"/>
          <w:color w:val="auto"/>
        </w:rPr>
        <w:t>. 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7"/>
              </w:rPr>
              <w:t>August 1,</w:t>
            </w:r>
          </w:p>
        </w:tc>
        <w:tc>
          <w:tcPr>
            <w:tcW w:w="120" w:type="dxa"/>
            <w:vAlign w:val="bottom"/>
          </w:tcPr>
          <w:p>
            <w:pPr>
              <w:spacing w:after="0"/>
              <w:rPr>
                <w:sz w:val="14"/>
                <w:szCs w:val="14"/>
                <w:color w:val="auto"/>
              </w:rPr>
            </w:pPr>
          </w:p>
        </w:tc>
        <w:tc>
          <w:tcPr>
            <w:tcW w:w="102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9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2015</w:t>
            </w:r>
          </w:p>
        </w:tc>
        <w:tc>
          <w:tcPr>
            <w:tcW w:w="2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80" w:type="dxa"/>
            <w:vAlign w:val="bottom"/>
            <w:shd w:val="clear" w:color="auto" w:fill="CCEEFF"/>
          </w:tcPr>
          <w:p>
            <w:pPr>
              <w:ind w:left="528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927,530</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1,210,977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1,410,117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1,318,578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417,721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420,955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327,103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308,162</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68,883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68,140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17,223</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17,228</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3,168,577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3,344,040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322,262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340,639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10,123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24,592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30,698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110,457</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128,839</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5,665,956</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5,884,387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80" w:type="dxa"/>
            <w:vAlign w:val="bottom"/>
            <w:vMerge w:val="restart"/>
          </w:tcPr>
          <w:p>
            <w:pPr>
              <w:ind w:left="264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28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289,023</w:t>
            </w:r>
          </w:p>
        </w:tc>
        <w:tc>
          <w:tcPr>
            <w:tcW w:w="20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282,899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160,969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131,388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Carnegie Mellon University accrued litigation settlement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733,557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126,038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154,969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80" w:type="dxa"/>
            <w:vAlign w:val="bottom"/>
          </w:tcPr>
          <w:p>
            <w:pPr>
              <w:ind w:left="88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59,652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68,120</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1,369,239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637,376</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Non-current income taxes payable</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55,283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68,729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27,437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32,193</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280" w:type="dxa"/>
            <w:vAlign w:val="bottom"/>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1,451,959</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738,298</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Commitments and contingencies (Note 10)</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Common shares, $0.002 par value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2,989,011</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3,099,548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(1,278)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1,225,249</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2,045,203</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4,213,997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5,146,089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8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5,665,956</w:t>
            </w:r>
          </w:p>
        </w:tc>
        <w:tc>
          <w:tcPr>
            <w:tcW w:w="20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5,884,387</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40" w:type="dxa"/>
            <w:vAlign w:val="bottom"/>
            <w:gridSpan w:val="5"/>
          </w:tcPr>
          <w:p>
            <w:pPr>
              <w:jc w:val="right"/>
              <w:ind w:right="620"/>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7"/>
              </w:rPr>
              <w:t>August 1,</w:t>
            </w: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2,</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7"/>
              </w:rPr>
              <w:t>August 1,</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87"/>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2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710,492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961,545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1,434,780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1,919,375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461,719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477,741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812,872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971,601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285,641</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294,352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565,755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585,033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30,841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33,997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67,015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72,307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35,243</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30,962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75,678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61,177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Carnegie Mellon University litigation settlement</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654,667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654,667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Restructuring and other related charges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13,000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735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13,592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5,823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2,568</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3,304</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5,136</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2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1,483,679</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841,091</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2,194,715</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1,705,934</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(773,187)</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120,454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(759,935)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213,441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6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6,790</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12,263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11,957</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14,188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(766,397)</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132,717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(747,978)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227,629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5,543</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(6,153)</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9,872</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(10,720)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26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8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(771,940)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138,870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(757,850)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238,349</w:t>
            </w:r>
          </w:p>
        </w:tc>
        <w:tc>
          <w:tcPr>
            <w:tcW w:w="0" w:type="dxa"/>
            <w:vAlign w:val="bottom"/>
          </w:tcPr>
          <w:p>
            <w:pPr>
              <w:spacing w:after="0"/>
              <w:rPr>
                <w:sz w:val="1"/>
                <w:szCs w:val="1"/>
                <w:color w:val="auto"/>
              </w:rPr>
            </w:pPr>
          </w:p>
        </w:tc>
      </w:tr>
      <w:tr>
        <w:trPr>
          <w:trHeight w:val="20"/>
        </w:trPr>
        <w:tc>
          <w:tcPr>
            <w:tcW w:w="7280" w:type="dxa"/>
            <w:vAlign w:val="bottom"/>
            <w:gridSpan w:val="2"/>
            <w:vMerge w:val="restart"/>
          </w:tcPr>
          <w:p>
            <w:pPr>
              <w:spacing w:after="0"/>
              <w:rPr>
                <w:sz w:val="20"/>
                <w:szCs w:val="20"/>
                <w:color w:val="auto"/>
              </w:rPr>
            </w:pPr>
            <w:r>
              <w:rPr>
                <w:rFonts w:ascii="Arial" w:cs="Arial" w:eastAsia="Arial" w:hAnsi="Arial"/>
                <w:sz w:val="18"/>
                <w:szCs w:val="18"/>
                <w:color w:val="auto"/>
              </w:rPr>
              <w:t>Net income (loss) per share:</w:t>
            </w:r>
          </w:p>
        </w:tc>
        <w:tc>
          <w:tcPr>
            <w:tcW w:w="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2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8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(1.47)</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0.47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260" w:type="dxa"/>
            <w:vAlign w:val="bottom"/>
            <w:vMerge w:val="continue"/>
          </w:tcPr>
          <w:p>
            <w:pPr>
              <w:spacing w:after="0"/>
              <w:rPr>
                <w:sz w:val="18"/>
                <w:szCs w:val="18"/>
                <w:color w:val="auto"/>
              </w:rPr>
            </w:pPr>
          </w:p>
        </w:tc>
        <w:tc>
          <w:tcPr>
            <w:tcW w:w="8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(1.49)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0.27</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(1.47)</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0.46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516,368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511,821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516,298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508,463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516,368</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520,269</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516,298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520,510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8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280" w:type="dxa"/>
            <w:vAlign w:val="bottom"/>
            <w:gridSpan w:val="2"/>
            <w:vMerge w:val="continue"/>
          </w:tcPr>
          <w:p>
            <w:pPr>
              <w:spacing w:after="0"/>
              <w:rPr>
                <w:sz w:val="18"/>
                <w:szCs w:val="18"/>
                <w:color w:val="auto"/>
              </w:rPr>
            </w:pPr>
          </w:p>
        </w:tc>
        <w:tc>
          <w:tcPr>
            <w:tcW w:w="8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0.06</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0.12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840" w:type="dxa"/>
            <w:vAlign w:val="bottom"/>
          </w:tcPr>
          <w:p>
            <w:pPr>
              <w:spacing w:after="0"/>
              <w:rPr>
                <w:sz w:val="14"/>
                <w:szCs w:val="14"/>
                <w:color w:val="auto"/>
              </w:rPr>
            </w:pPr>
          </w:p>
        </w:tc>
        <w:tc>
          <w:tcPr>
            <w:tcW w:w="1760" w:type="dxa"/>
            <w:vAlign w:val="bottom"/>
            <w:gridSpan w:val="4"/>
          </w:tcPr>
          <w:p>
            <w:pPr>
              <w:jc w:val="right"/>
              <w:ind w:right="340"/>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4"/>
                <w:szCs w:val="14"/>
                <w:color w:val="auto"/>
              </w:rPr>
            </w:pPr>
          </w:p>
        </w:tc>
        <w:tc>
          <w:tcPr>
            <w:tcW w:w="1720" w:type="dxa"/>
            <w:vAlign w:val="bottom"/>
            <w:gridSpan w:val="5"/>
          </w:tcPr>
          <w:p>
            <w:pPr>
              <w:jc w:val="right"/>
              <w:ind w:right="3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840" w:type="dxa"/>
            <w:vAlign w:val="bottom"/>
          </w:tcPr>
          <w:p>
            <w:pPr>
              <w:spacing w:after="0"/>
              <w:rPr>
                <w:sz w:val="11"/>
                <w:szCs w:val="11"/>
                <w:color w:val="auto"/>
              </w:rPr>
            </w:pPr>
          </w:p>
        </w:tc>
        <w:tc>
          <w:tcPr>
            <w:tcW w:w="94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97"/>
              </w:rPr>
              <w:t>August 1,</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August 2,</w:t>
            </w: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240"/>
              <w:spacing w:after="0" w:line="129" w:lineRule="exact"/>
              <w:rPr>
                <w:sz w:val="20"/>
                <w:szCs w:val="20"/>
                <w:color w:val="auto"/>
              </w:rPr>
            </w:pPr>
            <w:r>
              <w:rPr>
                <w:rFonts w:ascii="Arial" w:cs="Arial" w:eastAsia="Arial" w:hAnsi="Arial"/>
                <w:sz w:val="14"/>
                <w:szCs w:val="14"/>
                <w:b w:val="1"/>
                <w:bCs w:val="1"/>
                <w:color w:val="auto"/>
                <w:w w:val="93"/>
              </w:rPr>
              <w:t>August 1,</w:t>
            </w:r>
          </w:p>
        </w:tc>
        <w:tc>
          <w:tcPr>
            <w:tcW w:w="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w w:val="90"/>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840" w:type="dxa"/>
            <w:vAlign w:val="bottom"/>
          </w:tcPr>
          <w:p>
            <w:pPr>
              <w:spacing w:after="0"/>
              <w:rPr>
                <w:sz w:val="14"/>
                <w:szCs w:val="14"/>
                <w:color w:val="auto"/>
              </w:rPr>
            </w:pPr>
          </w:p>
        </w:tc>
        <w:tc>
          <w:tcPr>
            <w:tcW w:w="720" w:type="dxa"/>
            <w:vAlign w:val="bottom"/>
          </w:tcPr>
          <w:p>
            <w:pPr>
              <w:jc w:val="right"/>
              <w:ind w:right="139"/>
              <w:spacing w:after="0"/>
              <w:rPr>
                <w:sz w:val="20"/>
                <w:szCs w:val="20"/>
                <w:color w:val="auto"/>
              </w:rPr>
            </w:pPr>
            <w:r>
              <w:rPr>
                <w:rFonts w:ascii="Arial" w:cs="Arial" w:eastAsia="Arial" w:hAnsi="Arial"/>
                <w:sz w:val="14"/>
                <w:szCs w:val="14"/>
                <w:b w:val="1"/>
                <w:bCs w:val="1"/>
                <w:color w:val="auto"/>
              </w:rPr>
              <w:t>2015</w:t>
            </w:r>
          </w:p>
        </w:tc>
        <w:tc>
          <w:tcPr>
            <w:tcW w:w="220" w:type="dxa"/>
            <w:vAlign w:val="bottom"/>
          </w:tcPr>
          <w:p>
            <w:pPr>
              <w:spacing w:after="0"/>
              <w:rPr>
                <w:sz w:val="14"/>
                <w:szCs w:val="14"/>
                <w:color w:val="auto"/>
              </w:rPr>
            </w:pPr>
          </w:p>
        </w:tc>
        <w:tc>
          <w:tcPr>
            <w:tcW w:w="680" w:type="dxa"/>
            <w:vAlign w:val="bottom"/>
          </w:tcPr>
          <w:p>
            <w:pPr>
              <w:jc w:val="right"/>
              <w:ind w:right="117"/>
              <w:spacing w:after="0"/>
              <w:rPr>
                <w:sz w:val="20"/>
                <w:szCs w:val="20"/>
                <w:color w:val="auto"/>
              </w:rPr>
            </w:pPr>
            <w:r>
              <w:rPr>
                <w:rFonts w:ascii="Arial" w:cs="Arial" w:eastAsia="Arial" w:hAnsi="Arial"/>
                <w:sz w:val="14"/>
                <w:szCs w:val="14"/>
                <w:b w:val="1"/>
                <w:bCs w:val="1"/>
                <w:color w:val="auto"/>
              </w:rPr>
              <w:t>2014</w:t>
            </w:r>
          </w:p>
        </w:tc>
        <w:tc>
          <w:tcPr>
            <w:tcW w:w="140" w:type="dxa"/>
            <w:vAlign w:val="bottom"/>
          </w:tcPr>
          <w:p>
            <w:pPr>
              <w:spacing w:after="0"/>
              <w:rPr>
                <w:sz w:val="14"/>
                <w:szCs w:val="14"/>
                <w:color w:val="auto"/>
              </w:rPr>
            </w:pPr>
          </w:p>
        </w:tc>
        <w:tc>
          <w:tcPr>
            <w:tcW w:w="800" w:type="dxa"/>
            <w:vAlign w:val="bottom"/>
            <w:gridSpan w:val="2"/>
          </w:tcPr>
          <w:p>
            <w:pPr>
              <w:jc w:val="right"/>
              <w:ind w:right="142"/>
              <w:spacing w:after="0"/>
              <w:rPr>
                <w:sz w:val="20"/>
                <w:szCs w:val="20"/>
                <w:color w:val="auto"/>
              </w:rPr>
            </w:pPr>
            <w:r>
              <w:rPr>
                <w:rFonts w:ascii="Arial" w:cs="Arial" w:eastAsia="Arial" w:hAnsi="Arial"/>
                <w:sz w:val="14"/>
                <w:szCs w:val="14"/>
                <w:b w:val="1"/>
                <w:bCs w:val="1"/>
                <w:color w:val="auto"/>
              </w:rPr>
              <w:t>2015</w:t>
            </w:r>
          </w:p>
        </w:tc>
        <w:tc>
          <w:tcPr>
            <w:tcW w:w="140" w:type="dxa"/>
            <w:vAlign w:val="bottom"/>
          </w:tcPr>
          <w:p>
            <w:pPr>
              <w:spacing w:after="0"/>
              <w:rPr>
                <w:sz w:val="14"/>
                <w:szCs w:val="14"/>
                <w:color w:val="auto"/>
              </w:rPr>
            </w:pPr>
          </w:p>
        </w:tc>
        <w:tc>
          <w:tcPr>
            <w:tcW w:w="760" w:type="dxa"/>
            <w:vAlign w:val="bottom"/>
            <w:gridSpan w:val="2"/>
          </w:tcPr>
          <w:p>
            <w:pPr>
              <w:jc w:val="right"/>
              <w:ind w:right="142"/>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 (loss)</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0"/>
              </w:rPr>
              <w:t>$(771,940)</w:t>
            </w:r>
          </w:p>
        </w:tc>
        <w:tc>
          <w:tcPr>
            <w:tcW w:w="2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$138,870</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0"/>
              </w:rPr>
              <w:t>$(757,850)</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$238,349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marketable securities</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(1,458)</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(221)</w:t>
            </w:r>
          </w:p>
        </w:tc>
        <w:tc>
          <w:tcPr>
            <w:tcW w:w="9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(3,318)</w:t>
            </w:r>
          </w:p>
        </w:tc>
        <w:tc>
          <w:tcPr>
            <w:tcW w:w="8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420"/>
              <w:spacing w:after="0"/>
              <w:rPr>
                <w:sz w:val="20"/>
                <w:szCs w:val="20"/>
                <w:color w:val="auto"/>
              </w:rPr>
            </w:pPr>
            <w:r>
              <w:rPr>
                <w:rFonts w:ascii="Arial" w:cs="Arial" w:eastAsia="Arial" w:hAnsi="Arial"/>
                <w:sz w:val="18"/>
                <w:szCs w:val="18"/>
                <w:color w:val="auto"/>
              </w:rPr>
              <w:t>Net change in unrealized gain (loss) on auction rate securities</w:t>
            </w:r>
          </w:p>
        </w:tc>
        <w:tc>
          <w:tcPr>
            <w:tcW w:w="720" w:type="dxa"/>
            <w:vAlign w:val="bottom"/>
          </w:tcPr>
          <w:p>
            <w:pPr>
              <w:jc w:val="right"/>
              <w:spacing w:after="0"/>
              <w:rPr>
                <w:sz w:val="20"/>
                <w:szCs w:val="20"/>
                <w:color w:val="auto"/>
              </w:rPr>
            </w:pPr>
            <w:r>
              <w:rPr>
                <w:rFonts w:ascii="Arial" w:cs="Arial" w:eastAsia="Arial" w:hAnsi="Arial"/>
                <w:sz w:val="18"/>
                <w:szCs w:val="18"/>
                <w:color w:val="auto"/>
              </w:rPr>
              <w:t>12</w:t>
            </w:r>
          </w:p>
        </w:tc>
        <w:tc>
          <w:tcPr>
            <w:tcW w:w="2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(34)</w:t>
            </w:r>
          </w:p>
        </w:tc>
        <w:tc>
          <w:tcPr>
            <w:tcW w:w="940" w:type="dxa"/>
            <w:vAlign w:val="bottom"/>
            <w:gridSpan w:val="3"/>
          </w:tcPr>
          <w:p>
            <w:pPr>
              <w:jc w:val="right"/>
              <w:ind w:right="80"/>
              <w:spacing w:after="0"/>
              <w:rPr>
                <w:sz w:val="20"/>
                <w:szCs w:val="20"/>
                <w:color w:val="auto"/>
              </w:rPr>
            </w:pPr>
            <w:r>
              <w:rPr>
                <w:rFonts w:ascii="Arial" w:cs="Arial" w:eastAsia="Arial" w:hAnsi="Arial"/>
                <w:sz w:val="18"/>
                <w:szCs w:val="18"/>
                <w:color w:val="auto"/>
              </w:rPr>
              <w:t>(103)</w:t>
            </w:r>
          </w:p>
        </w:tc>
        <w:tc>
          <w:tcPr>
            <w:tcW w:w="860" w:type="dxa"/>
            <w:vAlign w:val="bottom"/>
            <w:gridSpan w:val="3"/>
          </w:tcPr>
          <w:p>
            <w:pPr>
              <w:jc w:val="right"/>
              <w:ind w:right="100"/>
              <w:spacing w:after="0"/>
              <w:rPr>
                <w:sz w:val="20"/>
                <w:szCs w:val="20"/>
                <w:color w:val="auto"/>
              </w:rPr>
            </w:pPr>
            <w:r>
              <w:rPr>
                <w:rFonts w:ascii="Arial" w:cs="Arial" w:eastAsia="Arial" w:hAnsi="Arial"/>
                <w:sz w:val="18"/>
                <w:szCs w:val="18"/>
                <w:color w:val="auto"/>
              </w:rPr>
              <w:t>143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cash flow hedges</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w:t>
            </w: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1,835</w:t>
            </w:r>
          </w:p>
        </w:tc>
        <w:tc>
          <w:tcPr>
            <w:tcW w:w="8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(270)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4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income (loss), net of tax</w:t>
            </w:r>
          </w:p>
        </w:tc>
        <w:tc>
          <w:tcPr>
            <w:tcW w:w="7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840" w:type="dxa"/>
            <w:vAlign w:val="bottom"/>
            <w:vMerge w:val="continue"/>
          </w:tcPr>
          <w:p>
            <w:pPr>
              <w:spacing w:after="0"/>
              <w:rPr>
                <w:sz w:val="19"/>
                <w:szCs w:val="19"/>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(1,358)</w:t>
            </w:r>
          </w:p>
        </w:tc>
        <w:tc>
          <w:tcPr>
            <w:tcW w:w="680" w:type="dxa"/>
            <w:vAlign w:val="bottom"/>
          </w:tcPr>
          <w:p>
            <w:pPr>
              <w:jc w:val="right"/>
              <w:spacing w:after="0"/>
              <w:rPr>
                <w:sz w:val="20"/>
                <w:szCs w:val="20"/>
                <w:color w:val="auto"/>
              </w:rPr>
            </w:pPr>
            <w:r>
              <w:rPr>
                <w:rFonts w:ascii="Arial" w:cs="Arial" w:eastAsia="Arial" w:hAnsi="Arial"/>
                <w:sz w:val="18"/>
                <w:szCs w:val="18"/>
                <w:color w:val="auto"/>
              </w:rPr>
              <w:t>218</w:t>
            </w:r>
          </w:p>
        </w:tc>
        <w:tc>
          <w:tcPr>
            <w:tcW w:w="140" w:type="dxa"/>
            <w:vAlign w:val="bottom"/>
          </w:tcPr>
          <w:p>
            <w:pPr>
              <w:spacing w:after="0"/>
              <w:rPr>
                <w:sz w:val="19"/>
                <w:szCs w:val="19"/>
                <w:color w:val="auto"/>
              </w:rPr>
            </w:pPr>
          </w:p>
        </w:tc>
        <w:tc>
          <w:tcPr>
            <w:tcW w:w="940" w:type="dxa"/>
            <w:vAlign w:val="bottom"/>
            <w:gridSpan w:val="3"/>
          </w:tcPr>
          <w:p>
            <w:pPr>
              <w:jc w:val="right"/>
              <w:ind w:right="80"/>
              <w:spacing w:after="0"/>
              <w:rPr>
                <w:sz w:val="20"/>
                <w:szCs w:val="20"/>
                <w:color w:val="auto"/>
              </w:rPr>
            </w:pPr>
            <w:r>
              <w:rPr>
                <w:rFonts w:ascii="Arial" w:cs="Arial" w:eastAsia="Arial" w:hAnsi="Arial"/>
                <w:sz w:val="18"/>
                <w:szCs w:val="18"/>
                <w:color w:val="auto"/>
              </w:rPr>
              <w:t>(1,586)</w:t>
            </w:r>
          </w:p>
        </w:tc>
        <w:tc>
          <w:tcPr>
            <w:tcW w:w="860" w:type="dxa"/>
            <w:vAlign w:val="bottom"/>
            <w:gridSpan w:val="3"/>
          </w:tcPr>
          <w:p>
            <w:pPr>
              <w:jc w:val="right"/>
              <w:ind w:right="10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84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4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 (loss), net of tax</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(773,298)</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139,088</w:t>
            </w:r>
          </w:p>
        </w:tc>
        <w:tc>
          <w:tcPr>
            <w:tcW w:w="14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u w:val="single" w:color="auto"/>
                <w:color w:val="auto"/>
                <w:w w:val="96"/>
              </w:rPr>
              <w:t>$</w:t>
            </w:r>
            <w:r>
              <w:rPr>
                <w:rFonts w:ascii="Arial" w:cs="Arial" w:eastAsia="Arial" w:hAnsi="Arial"/>
                <w:sz w:val="18"/>
                <w:szCs w:val="18"/>
                <w:color w:val="auto"/>
                <w:w w:val="96"/>
              </w:rPr>
              <w:t>(759,436)</w:t>
            </w:r>
          </w:p>
        </w:tc>
        <w:tc>
          <w:tcPr>
            <w:tcW w:w="8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238,379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94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7"/>
              </w:rPr>
              <w:t>August 1,</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3"/>
              <w:spacing w:after="0" w:line="129" w:lineRule="exact"/>
              <w:rPr>
                <w:sz w:val="20"/>
                <w:szCs w:val="20"/>
                <w:color w:val="auto"/>
              </w:rPr>
            </w:pPr>
            <w:r>
              <w:rPr>
                <w:rFonts w:ascii="Arial" w:cs="Arial" w:eastAsia="Arial" w:hAnsi="Arial"/>
                <w:sz w:val="14"/>
                <w:szCs w:val="14"/>
                <w:b w:val="1"/>
                <w:bCs w:val="1"/>
                <w:color w:val="auto"/>
                <w:w w:val="87"/>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(757,850)</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238,349</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51,811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53,269</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69,895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64,989</w:t>
            </w: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6,106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10,963</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Non-cash restructuring and related charges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Other non-cash expense (income), net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1,721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(6,143)</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(76)</w:t>
            </w: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(30,159)</w:t>
            </w:r>
          </w:p>
        </w:tc>
        <w:tc>
          <w:tcPr>
            <w:tcW w:w="0" w:type="dxa"/>
            <w:vAlign w:val="bottom"/>
          </w:tcPr>
          <w:p>
            <w:pPr>
              <w:spacing w:after="0"/>
              <w:rPr>
                <w:sz w:val="1"/>
                <w:szCs w:val="1"/>
                <w:color w:val="auto"/>
              </w:rPr>
            </w:pPr>
          </w:p>
        </w:tc>
      </w:tr>
      <w:tr>
        <w:trPr>
          <w:trHeight w:val="216"/>
        </w:trPr>
        <w:tc>
          <w:tcPr>
            <w:tcW w:w="9400" w:type="dxa"/>
            <w:vAlign w:val="bottom"/>
          </w:tcPr>
          <w:p>
            <w:pPr>
              <w:ind w:left="130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(18,415)</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(46,299)</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11,328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(27,157)</w:t>
            </w:r>
          </w:p>
        </w:tc>
        <w:tc>
          <w:tcPr>
            <w:tcW w:w="0" w:type="dxa"/>
            <w:vAlign w:val="bottom"/>
          </w:tcPr>
          <w:p>
            <w:pPr>
              <w:spacing w:after="0"/>
              <w:rPr>
                <w:sz w:val="1"/>
                <w:szCs w:val="1"/>
                <w:color w:val="auto"/>
              </w:rPr>
            </w:pPr>
          </w:p>
        </w:tc>
      </w:tr>
      <w:tr>
        <w:trPr>
          <w:trHeight w:val="216"/>
        </w:trPr>
        <w:tc>
          <w:tcPr>
            <w:tcW w:w="9400" w:type="dxa"/>
            <w:vAlign w:val="bottom"/>
          </w:tcPr>
          <w:p>
            <w:pPr>
              <w:ind w:left="130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11,958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87,686</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8,058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2,962</w:t>
            </w:r>
          </w:p>
        </w:tc>
        <w:tc>
          <w:tcPr>
            <w:tcW w:w="0" w:type="dxa"/>
            <w:vAlign w:val="bottom"/>
          </w:tcPr>
          <w:p>
            <w:pPr>
              <w:spacing w:after="0"/>
              <w:rPr>
                <w:sz w:val="1"/>
                <w:szCs w:val="1"/>
                <w:color w:val="auto"/>
              </w:rPr>
            </w:pPr>
          </w:p>
        </w:tc>
      </w:tr>
      <w:tr>
        <w:trPr>
          <w:trHeight w:val="216"/>
        </w:trPr>
        <w:tc>
          <w:tcPr>
            <w:tcW w:w="9400" w:type="dxa"/>
            <w:vAlign w:val="bottom"/>
          </w:tcPr>
          <w:p>
            <w:pPr>
              <w:ind w:left="1300"/>
              <w:spacing w:after="0"/>
              <w:rPr>
                <w:sz w:val="20"/>
                <w:szCs w:val="20"/>
                <w:color w:val="auto"/>
              </w:rPr>
            </w:pPr>
            <w:r>
              <w:rPr>
                <w:rFonts w:ascii="Arial" w:cs="Arial" w:eastAsia="Arial" w:hAnsi="Arial"/>
                <w:sz w:val="18"/>
                <w:szCs w:val="18"/>
                <w:color w:val="auto"/>
              </w:rPr>
              <w:t>Carnegie Mellon University accrued litigation settlement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733,557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(28,931)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22,550</w:t>
            </w:r>
          </w:p>
        </w:tc>
        <w:tc>
          <w:tcPr>
            <w:tcW w:w="0" w:type="dxa"/>
            <w:vAlign w:val="bottom"/>
          </w:tcPr>
          <w:p>
            <w:pPr>
              <w:spacing w:after="0"/>
              <w:rPr>
                <w:sz w:val="1"/>
                <w:szCs w:val="1"/>
                <w:color w:val="auto"/>
              </w:rPr>
            </w:pPr>
          </w:p>
        </w:tc>
      </w:tr>
      <w:tr>
        <w:trPr>
          <w:trHeight w:val="223"/>
        </w:trPr>
        <w:tc>
          <w:tcPr>
            <w:tcW w:w="940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(8,468)</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21,140</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85,452</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392,091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0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(566,365)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(335,770)</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Sales and maturities of available-for-sale securities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469,790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372,410</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Distribution from (investments in) privately-held companies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(441)</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(5,677)</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(9,409)</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(24,320)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(31,954)</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Purchase of equipment previously leased</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(10,240)</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9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4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(136,604)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(5,164)</w:t>
            </w:r>
          </w:p>
        </w:tc>
        <w:tc>
          <w:tcPr>
            <w:tcW w:w="0" w:type="dxa"/>
            <w:vAlign w:val="bottom"/>
          </w:tcPr>
          <w:p>
            <w:pPr>
              <w:spacing w:after="0"/>
              <w:rPr>
                <w:sz w:val="1"/>
                <w:szCs w:val="1"/>
                <w:color w:val="auto"/>
              </w:rPr>
            </w:pPr>
          </w:p>
        </w:tc>
      </w:tr>
      <w:tr>
        <w:trPr>
          <w:trHeight w:val="222"/>
        </w:trPr>
        <w:tc>
          <w:tcPr>
            <w:tcW w:w="940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(195,584)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57,174</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68,374</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(23,007)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(24,923)</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(62,104)</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(60,992)</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(8,799)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(2,677)</w:t>
            </w:r>
          </w:p>
        </w:tc>
        <w:tc>
          <w:tcPr>
            <w:tcW w:w="0" w:type="dxa"/>
            <w:vAlign w:val="bottom"/>
          </w:tcPr>
          <w:p>
            <w:pPr>
              <w:spacing w:after="0"/>
              <w:rPr>
                <w:sz w:val="1"/>
                <w:szCs w:val="1"/>
                <w:color w:val="auto"/>
              </w:rPr>
            </w:pPr>
          </w:p>
        </w:tc>
      </w:tr>
      <w:tr>
        <w:trPr>
          <w:trHeight w:val="223"/>
        </w:trPr>
        <w:tc>
          <w:tcPr>
            <w:tcW w:w="940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(232,295)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(20,142)</w:t>
            </w:r>
          </w:p>
        </w:tc>
        <w:tc>
          <w:tcPr>
            <w:tcW w:w="0" w:type="dxa"/>
            <w:vAlign w:val="bottom"/>
          </w:tcPr>
          <w:p>
            <w:pPr>
              <w:spacing w:after="0"/>
              <w:rPr>
                <w:sz w:val="1"/>
                <w:szCs w:val="1"/>
                <w:color w:val="auto"/>
              </w:rPr>
            </w:pPr>
          </w:p>
        </w:tc>
      </w:tr>
      <w:tr>
        <w:trPr>
          <w:trHeight w:val="20"/>
        </w:trPr>
        <w:tc>
          <w:tcPr>
            <w:tcW w:w="9400" w:type="dxa"/>
            <w:vAlign w:val="bottom"/>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4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(283,447)</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366,785</w:t>
            </w:r>
          </w:p>
        </w:tc>
        <w:tc>
          <w:tcPr>
            <w:tcW w:w="0" w:type="dxa"/>
            <w:vAlign w:val="bottom"/>
          </w:tcPr>
          <w:p>
            <w:pPr>
              <w:spacing w:after="0"/>
              <w:rPr>
                <w:sz w:val="1"/>
                <w:szCs w:val="1"/>
                <w:color w:val="auto"/>
              </w:rPr>
            </w:pPr>
          </w:p>
        </w:tc>
      </w:tr>
      <w:tr>
        <w:trPr>
          <w:trHeight w:val="218"/>
        </w:trPr>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1,210,977</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0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927,530</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1,332,535</w:t>
            </w:r>
          </w:p>
        </w:tc>
        <w:tc>
          <w:tcPr>
            <w:tcW w:w="0" w:type="dxa"/>
            <w:vAlign w:val="bottom"/>
          </w:tcPr>
          <w:p>
            <w:pPr>
              <w:spacing w:after="0"/>
              <w:rPr>
                <w:sz w:val="1"/>
                <w:szCs w:val="1"/>
                <w:color w:val="auto"/>
              </w:rPr>
            </w:pPr>
          </w:p>
        </w:tc>
      </w:tr>
      <w:tr>
        <w:trPr>
          <w:trHeight w:val="20"/>
        </w:trPr>
        <w:tc>
          <w:tcPr>
            <w:tcW w:w="9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Marvell Technology Group Ltd., a Bermuda company, and its subsidiaries (the “Company”), is a fabless semiconductor provider of high-performance application-specific standard products. The Company’s core strength of expertise is the development of complex System-on-a-Chip and System-in-a-Package devices, leveraging its extensive technology portfolio of intellectual property in the areas of analog, mixed-signal, digital signal processing, and embedded and stand alone integrated circuits. The majority of the Company’s product portfolio leverages embedded central processing unit technology. The Company also develops platforms that it defines as integrated hardware along with software that incorporates digital computing technologies designed and configured to provide an optimized computing solution. The Company’s broad product portfolio includes devices for data storage, enterprise-class Ethernet data switching, Ethernet physical-layer transceivers, wireless connectivity, Internet-of-Things devices and multimedia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2016 and 2015 each have a 52-week period.</w:t>
      </w:r>
    </w:p>
    <w:p>
      <w:pPr>
        <w:spacing w:after="0" w:line="14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unaudited condensed consolidated balance sheet as of August 1, 2015, the results of its operations for the three and six months ended August 1, 2015 and August 2, 2014, its comprehensive income for the three and six months ended August 1, 2015 and August 2, 2014, and its cash flows for the six months ended August 1, 2015 and August 2, 2014. The January 31, 2015 condensed consolidated balance sheet data was derived from the audited consolidated financial statements included in the Company’s Annual Report on Form 10-K for the fiscal year ended January 31, 2015, but does not include all disclosures required for annual periods.</w:t>
      </w:r>
    </w:p>
    <w:p>
      <w:pPr>
        <w:spacing w:after="0" w:line="118"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31, 2015 as filed on March 26, 2015 with the Securities and Exchange Commission. The results of operations for the three and six months ended August 1, 2015 are not necessarily indicative of the results that may be expected for any other interim period or for the full fiscal year.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April 2014, the Financial Accounting Standards Board (“FASB”) issued an amendment to its guidance regarding the reporting requirements of discontinued operations, which was effective for the Company beginning in the first quarter of fiscal 2016. Under the amended guidance, a discontinued operation is defined as a disposal of a component or group of components that is disposed of or is classified as held for sale and represents a strategic shift that has (or will have) a major effect on an entity’s operations and financial results. As a result, the Company has adopted and will apply the new guidance for any future dispositions that meet the criteria of a discontinued operation under the amendment.</w:t>
      </w:r>
    </w:p>
    <w:p>
      <w:pPr>
        <w:spacing w:after="0" w:line="116"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November 2015, the FASB issued a new standard to simplify the presentation of deferred income taxes. Currently, deferred income tax assets and liabilities are separately presented as current and non-current amounts on the consolidated balance sheet. The new standard will require that deferred tax assets and liabilities be classified and presented on the balance sheet as non-current. The guidance is effective for annual and interim reporting periods beginning after December 15, 2016, although early adoption is permitted. The Company will adopt the new guidance at the beginning of its fourth quarter of fiscal 2016 on a prospective basis, and will not retrospectively adjust any prior periods. Adoption will have no impact on the Company’s consolidated results of operations and it had no material impact on working capital.</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In May 2014, the FASB issued a new standard on the recognition of revenue from contracts with customers, which will supersede nearly all existing revenue recognition guidance under GAAP. Under the new standard, recognition of revenue occurs when a customer obtains control of promised goods or services in an amount that reflects the consideration to which the entity expects to be entitled in exchange for those goods or services. Additional disclosures regarding the nature, amount, timing, and uncertainty of revenue and cash flows arising from contracts with customers, and assets recognized from costs incurred to obtain or fulfill a contract will also be required. The FASB subsequently issued an update to this standard in August 2015, which provides deferral of the effective date by one year. The standard is now effective for the Company’s first quarter of fiscal 2019 and allows for either full retrospective or modified retrospective adoption. Early adoption is permitted only as of annual reporting periods beginning after December 15, 2016 and including interim reporting periods within such reporting period.</w:t>
      </w:r>
    </w:p>
    <w:p>
      <w:pPr>
        <w:spacing w:after="0" w:line="145"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FASB has since issued additional updates of its new standard on revenue recognition issued in May 2014. In March 2016, an amendment was issued to clarify the implementation guidance on principal versus agent consideration. The guidance requires entities to determine whether the nature of its promise to provide goods or services to a customer is performed in a principal or agent capacity and to recognize revenue in a gross or net manner based on its principal/agent designation. In April 2016, amendments were issued to clarify the identification of performance obligations and the licensing implementation guidance in the initial standard. Amendments were issued in May 2016 related to its guidance on assessing collectability, presentation of sales tax, noncash consideration, and completed contracts and contract modification at transition, which reduce the potential for diversity in practice, and the cost and complexity of application at transition and on an ongoing basis. The Company has been evaluating the effects of the new guidance and has not yet selected a transition method nor has it determined the potential effects of adoption on its consolidated financial statements.</w:t>
      </w:r>
    </w:p>
    <w:p>
      <w:pPr>
        <w:spacing w:after="0" w:line="118"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April 2015, the FASB issued new guidance to help entities evaluate the accounting for fees paid by a customer in a cloud computing arrangement. The guidance provides a basis for evaluating whether a cloud computing arrangement includes a software license or whether the arrangement should be accounted for as a service contract. The guidance is effective for annual and interim reporting periods beginning after December 15, 2015. The newly issued guidance also strikes from previous authoritative guidance, the use by analogy to the accounting for capital leases, which the Company applied in the accounting for certain of its technology license agreements. The Company is currently evaluating the effect this new guidance will have on its consolidated financial statements.</w:t>
      </w:r>
    </w:p>
    <w:p>
      <w:pPr>
        <w:spacing w:after="0" w:line="116" w:lineRule="exact"/>
        <w:rPr>
          <w:sz w:val="20"/>
          <w:szCs w:val="20"/>
          <w:color w:val="auto"/>
        </w:rPr>
      </w:pPr>
    </w:p>
    <w:p>
      <w:pPr>
        <w:ind w:right="200" w:firstLine="456"/>
        <w:spacing w:after="0" w:line="291" w:lineRule="auto"/>
        <w:rPr>
          <w:sz w:val="20"/>
          <w:szCs w:val="20"/>
          <w:color w:val="auto"/>
        </w:rPr>
      </w:pPr>
      <w:r>
        <w:rPr>
          <w:rFonts w:ascii="Arial" w:cs="Arial" w:eastAsia="Arial" w:hAnsi="Arial"/>
          <w:sz w:val="16"/>
          <w:szCs w:val="16"/>
          <w:color w:val="auto"/>
        </w:rPr>
        <w:t>In July 2015, the FASB issued an amendment to its guidance regarding the subsequent measurement of inventory. Currently, inventory is measured at the lower of cost or market. Market could be replacement cost, net realizable value or net realizable value less an approximately normal profit margin. Under this amended guidance, inventory is to be measured at the lower of cost and net realizable value. Net realizable value is the estimated selling prices in the ordinary course of business, less reasonably predictable costs of completion, disposal and transportation. This amendment applies to inventories for which cost is determined by methods other than last-in first-out and the retail inventory method. This standard is effective for annual and interim reporting periods beginning after December 15, 2016. The Company is currently evaluating the effect this new guidance will have on its consolidated financial statements.</w:t>
      </w:r>
    </w:p>
    <w:p>
      <w:pPr>
        <w:spacing w:after="0" w:line="12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January 2016, the FASB issued new guidance which requires entities to measure all investments in equity securities at fair value with changes recognized through net income. This requirement does not apply to investments that qualify for the equity method of accounting, investments that result in consolidation of the investee, or investments for which the entity meets a practicability exception to fair value measurement. The new guidance also changes certain disclosure requirements for financial instruments. This standard is effective for annual and interim reporting periods beginning after December 15, 2017. The Company is currently evaluating the effect this new guidance will have on its consolidated financial statements.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80" w:firstLine="456"/>
        <w:spacing w:after="0" w:line="323" w:lineRule="auto"/>
        <w:rPr>
          <w:sz w:val="20"/>
          <w:szCs w:val="20"/>
          <w:color w:val="auto"/>
        </w:rPr>
      </w:pPr>
      <w:r>
        <w:rPr>
          <w:rFonts w:ascii="Arial" w:cs="Arial" w:eastAsia="Arial" w:hAnsi="Arial"/>
          <w:sz w:val="15"/>
          <w:szCs w:val="15"/>
          <w:color w:val="auto"/>
        </w:rPr>
        <w:t>In March 2016, the FASB issued an amendment to its guidance on the effects of derivative contract novations on existing hedge accounting relationships. The new guidance clarifies that a change in the counterparty to a designated hedging instrument, in and of itself, does not require the de-designation of that hedging relationship, provided that all other hedge accounting criteria continue to be met. The guidance is effective for annual and interim reporting periods beginning after December 15, 2016. The Company is currently evaluating the effect this new guidance will have on its consolidated financial statements.</w:t>
      </w:r>
    </w:p>
    <w:p>
      <w:pPr>
        <w:spacing w:after="0" w:line="9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March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surrounding lease arrangements. The standard is effective for annual and interim reporting periods beginning after December 15, 2018. The Company is currently evaluating the effect this new guidance will have on its consolidated financial statements.</w:t>
      </w:r>
    </w:p>
    <w:p>
      <w:pPr>
        <w:spacing w:after="0" w:line="113"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In March 2016, the FASB issued an amendment to its guidance for investments that eliminates the requirement to retrospectively apply the equity method in previous periods when an investor initially obtains significant influence over an investee. Under the amended guidance, the investor should apply the equity method prospectively from the date the investment qualifies for the equity method. The guidance is effective for annual and interim reporting periods beginning after December 15, 2016. The Company is currently evaluating the effect this new guidance will have on its consolidated financial statements.</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In March 2016, the FASB issued new guidance which simplifies several aspects of the accounting for share-based payment award transactions, including the accounting for income taxes, forfeitures and statutory tax withholding requirements, as well as classification in the statement of cash flows. The guidance is effective for annual and interim reporting periods beginning after December 15, 2016. The Company is currently evaluating the effect this new guidance will have on its consolidated financial statements.</w:t>
      </w:r>
    </w:p>
    <w:p>
      <w:pPr>
        <w:spacing w:after="0" w:line="143"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probable initial recognition in current GAAP and reflects an entity’s current estimate of all expected credit losses. The measurement of expected credit losses is based upon historical experience, current conditions, and reasonable and supportable forecasts that affect the collectability of the financial assets. The standard is effective for annual and interim reporting periods beginning after December 15, 2019. The Company is currently evaluating the effect this new guidance will have on its consolidated financial statements.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720"/>
              <w:spacing w:after="0"/>
              <w:rPr>
                <w:sz w:val="20"/>
                <w:szCs w:val="20"/>
                <w:color w:val="auto"/>
              </w:rPr>
            </w:pPr>
            <w:r>
              <w:rPr>
                <w:rFonts w:ascii="Arial" w:cs="Arial" w:eastAsia="Arial" w:hAnsi="Arial"/>
                <w:sz w:val="14"/>
                <w:szCs w:val="14"/>
                <w:b w:val="1"/>
                <w:bCs w:val="1"/>
                <w:color w:val="auto"/>
              </w:rPr>
              <w:t>August 1, 2015</w:t>
            </w: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10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Amortized</w:t>
            </w:r>
          </w:p>
        </w:tc>
        <w:tc>
          <w:tcPr>
            <w:tcW w:w="2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90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0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3"/>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900" w:type="dxa"/>
            <w:vAlign w:val="bottom"/>
            <w:gridSpan w:val="2"/>
          </w:tcPr>
          <w:p>
            <w:pPr>
              <w:ind w:left="10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4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980" w:type="dxa"/>
            <w:vAlign w:val="bottom"/>
            <w:gridSpan w:val="3"/>
            <w:shd w:val="clear" w:color="auto" w:fill="CCEEFF"/>
          </w:tcPr>
          <w:p>
            <w:pPr>
              <w:jc w:val="center"/>
              <w:ind w:left="1592"/>
              <w:spacing w:after="0"/>
              <w:rPr>
                <w:sz w:val="20"/>
                <w:szCs w:val="20"/>
                <w:color w:val="auto"/>
              </w:rPr>
            </w:pPr>
            <w:r>
              <w:rPr>
                <w:rFonts w:ascii="Arial" w:cs="Arial" w:eastAsia="Arial" w:hAnsi="Arial"/>
                <w:sz w:val="18"/>
                <w:szCs w:val="18"/>
                <w:color w:val="auto"/>
                <w:w w:val="86"/>
              </w:rPr>
              <w:t>$1,024,112</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1,643</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(1,557)</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$1,024,198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2720" w:type="dxa"/>
            <w:vAlign w:val="bottom"/>
            <w:gridSpan w:val="2"/>
          </w:tcPr>
          <w:p>
            <w:pPr>
              <w:jc w:val="right"/>
              <w:spacing w:after="0"/>
              <w:rPr>
                <w:sz w:val="20"/>
                <w:szCs w:val="20"/>
                <w:color w:val="auto"/>
              </w:rPr>
            </w:pPr>
            <w:r>
              <w:rPr>
                <w:rFonts w:ascii="Arial" w:cs="Arial" w:eastAsia="Arial" w:hAnsi="Arial"/>
                <w:sz w:val="18"/>
                <w:szCs w:val="18"/>
                <w:color w:val="auto"/>
              </w:rPr>
              <w:t>229,731</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176</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(19)</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229,888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2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101,216</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101,303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2720" w:type="dxa"/>
            <w:vAlign w:val="bottom"/>
            <w:gridSpan w:val="2"/>
          </w:tcPr>
          <w:p>
            <w:pPr>
              <w:jc w:val="right"/>
              <w:spacing w:after="0"/>
              <w:rPr>
                <w:sz w:val="20"/>
                <w:szCs w:val="20"/>
                <w:color w:val="auto"/>
              </w:rPr>
            </w:pPr>
            <w:r>
              <w:rPr>
                <w:rFonts w:ascii="Arial" w:cs="Arial" w:eastAsia="Arial" w:hAnsi="Arial"/>
                <w:sz w:val="18"/>
                <w:szCs w:val="18"/>
                <w:color w:val="auto"/>
              </w:rPr>
              <w:t>16,945</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7</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(10)</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16,942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9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37,780</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(32)</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37,786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9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194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1,409,784</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1,963</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(1,630)</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1,410,117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9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(2,377)</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9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120" w:type="dxa"/>
            <w:vAlign w:val="bottom"/>
            <w:vMerge w:val="continue"/>
          </w:tcPr>
          <w:p>
            <w:pPr>
              <w:spacing w:after="0"/>
              <w:rPr>
                <w:sz w:val="19"/>
                <w:szCs w:val="19"/>
                <w:color w:val="auto"/>
              </w:rPr>
            </w:pPr>
          </w:p>
        </w:tc>
        <w:tc>
          <w:tcPr>
            <w:tcW w:w="194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12,500</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(2,377)</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10,123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7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1,422,284</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1,963</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(4,007)</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1,420,240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940" w:type="dxa"/>
            <w:vAlign w:val="bottom"/>
            <w:vMerge w:val="restart"/>
          </w:tcPr>
          <w:p>
            <w:pPr>
              <w:jc w:val="right"/>
              <w:ind w:right="692"/>
              <w:spacing w:after="0"/>
              <w:rPr>
                <w:sz w:val="20"/>
                <w:szCs w:val="20"/>
                <w:color w:val="auto"/>
              </w:rPr>
            </w:pPr>
            <w:r>
              <w:rPr>
                <w:rFonts w:ascii="Arial" w:cs="Arial" w:eastAsia="Arial" w:hAnsi="Arial"/>
                <w:sz w:val="18"/>
                <w:szCs w:val="18"/>
                <w:color w:val="auto"/>
              </w:rPr>
              <w:t>8</w:t>
            </w:r>
          </w:p>
        </w:tc>
        <w:tc>
          <w:tcPr>
            <w:tcW w:w="7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940" w:type="dxa"/>
            <w:vAlign w:val="bottom"/>
            <w:vMerge w:val="continue"/>
          </w:tcPr>
          <w:p>
            <w:pPr>
              <w:spacing w:after="0"/>
              <w:rPr>
                <w:sz w:val="24"/>
                <w:szCs w:val="24"/>
                <w:color w:val="auto"/>
              </w:rPr>
            </w:pPr>
          </w:p>
        </w:tc>
        <w:tc>
          <w:tcPr>
            <w:tcW w:w="7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January 31, 2015</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983,008</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3,872</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(563)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178,898</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265</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91,432</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28,051</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61</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33,421</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60" w:type="dxa"/>
            <w:vAlign w:val="bottom"/>
            <w:gridSpan w:val="2"/>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1,314,810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4,353</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(585)</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1,318,578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(2,274)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540" w:type="dxa"/>
            <w:vAlign w:val="bottom"/>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(2,274)</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1,327,310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4,353</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(2,859)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1,328,804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As of August 1, 2015, the Company’s investment portfolio included auction rate securities with an aggregate par value of $12.5 million classified as long-term investments. Although these securities have continued to pay interest, there is currently limited trading volume in the securities. The Company uses a discounted cash flow model to estimate the fair value of the auction rate securities based on estimated timing and amount of future interest and principal payments. In developing the discounted cash flow model, the Company considers the credit quality and liquidity of the underlying securities and related issuer, the collateralization of underlying security investments and other considerations. The fair value of these auction rate securities as of August 1, 2015 was $2.4 million less than their par value. Based on the Company’s balance of approximately $2.3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loss, a component of shareholders’ equity.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 securities are presented in the following tables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06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6"/>
          </w:tcPr>
          <w:p>
            <w:pPr>
              <w:ind w:left="10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1660" w:type="dxa"/>
            <w:vAlign w:val="bottom"/>
            <w:gridSpan w:val="6"/>
          </w:tcPr>
          <w:p>
            <w:pPr>
              <w:jc w:val="right"/>
              <w:ind w:right="4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06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860" w:type="dxa"/>
            <w:vAlign w:val="bottom"/>
            <w:tcBorders>
              <w:top w:val="single" w:sz="8" w:color="auto"/>
            </w:tcBorders>
            <w:gridSpan w:val="3"/>
          </w:tcPr>
          <w:p>
            <w:pPr>
              <w:jc w:val="right"/>
              <w:ind w:right="320"/>
              <w:spacing w:after="0" w:line="129" w:lineRule="exact"/>
              <w:rPr>
                <w:sz w:val="20"/>
                <w:szCs w:val="20"/>
                <w:color w:val="auto"/>
              </w:rPr>
            </w:pPr>
            <w:r>
              <w:rPr>
                <w:rFonts w:ascii="Arial" w:cs="Arial" w:eastAsia="Arial" w:hAnsi="Arial"/>
                <w:sz w:val="14"/>
                <w:szCs w:val="14"/>
                <w:b w:val="1"/>
                <w:bCs w:val="1"/>
                <w:color w:val="auto"/>
                <w:w w:val="81"/>
              </w:rPr>
              <w:t>August 1,</w:t>
            </w:r>
          </w:p>
        </w:tc>
        <w:tc>
          <w:tcPr>
            <w:tcW w:w="24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August 2,</w:t>
            </w:r>
          </w:p>
        </w:tc>
        <w:tc>
          <w:tcPr>
            <w:tcW w:w="54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August 1,</w:t>
            </w:r>
          </w:p>
        </w:tc>
        <w:tc>
          <w:tcPr>
            <w:tcW w:w="24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060" w:type="dxa"/>
            <w:vAlign w:val="bottom"/>
            <w:tcBorders>
              <w:bottom w:val="single" w:sz="8" w:color="CCEEFF"/>
            </w:tcBorders>
          </w:tcPr>
          <w:p>
            <w:pPr>
              <w:spacing w:after="0"/>
              <w:rPr>
                <w:sz w:val="14"/>
                <w:szCs w:val="14"/>
                <w:color w:val="auto"/>
              </w:rPr>
            </w:pPr>
          </w:p>
        </w:tc>
        <w:tc>
          <w:tcPr>
            <w:tcW w:w="24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w w:val="89"/>
              </w:rPr>
              <w:t>2015</w:t>
            </w:r>
          </w:p>
        </w:tc>
        <w:tc>
          <w:tcPr>
            <w:tcW w:w="3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w w:val="83"/>
              </w:rPr>
              <w:t>2014</w:t>
            </w:r>
          </w:p>
        </w:tc>
        <w:tc>
          <w:tcPr>
            <w:tcW w:w="5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w w:val="89"/>
              </w:rPr>
              <w:t>2015</w:t>
            </w:r>
          </w:p>
        </w:tc>
        <w:tc>
          <w:tcPr>
            <w:tcW w:w="3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w w:val="89"/>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0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24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255</w:t>
            </w: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ind w:left="160"/>
              <w:spacing w:after="0"/>
              <w:rPr>
                <w:sz w:val="20"/>
                <w:szCs w:val="20"/>
                <w:color w:val="auto"/>
              </w:rPr>
            </w:pPr>
            <w:r>
              <w:rPr>
                <w:rFonts w:ascii="Arial" w:cs="Arial" w:eastAsia="Arial" w:hAnsi="Arial"/>
                <w:sz w:val="18"/>
                <w:szCs w:val="18"/>
                <w:color w:val="auto"/>
                <w:w w:val="86"/>
              </w:rPr>
              <w:t>480</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698</w:t>
            </w: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tcPr>
          <w:p>
            <w:pPr>
              <w:spacing w:after="0"/>
              <w:rPr>
                <w:sz w:val="20"/>
                <w:szCs w:val="20"/>
                <w:color w:val="auto"/>
              </w:rPr>
            </w:pPr>
            <w:r>
              <w:rPr>
                <w:rFonts w:ascii="Arial" w:cs="Arial" w:eastAsia="Arial" w:hAnsi="Arial"/>
                <w:sz w:val="18"/>
                <w:szCs w:val="18"/>
                <w:color w:val="auto"/>
              </w:rPr>
              <w:t>Gross realized losses</w:t>
            </w:r>
          </w:p>
        </w:tc>
        <w:tc>
          <w:tcPr>
            <w:tcW w:w="2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8"/>
                <w:szCs w:val="18"/>
                <w:color w:val="auto"/>
              </w:rPr>
              <w:t>(230)</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8"/>
                <w:szCs w:val="18"/>
                <w:color w:val="auto"/>
              </w:rPr>
              <w:t>(337)</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060" w:type="dxa"/>
            <w:vAlign w:val="bottom"/>
          </w:tcPr>
          <w:p>
            <w:pPr>
              <w:spacing w:after="0"/>
              <w:rPr>
                <w:sz w:val="2"/>
                <w:szCs w:val="2"/>
                <w:color w:val="auto"/>
              </w:rPr>
            </w:pPr>
          </w:p>
        </w:tc>
        <w:tc>
          <w:tcPr>
            <w:tcW w:w="2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6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w:t>
            </w:r>
          </w:p>
        </w:tc>
        <w:tc>
          <w:tcPr>
            <w:tcW w:w="2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25</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9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480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361</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060" w:type="dxa"/>
            <w:vAlign w:val="bottom"/>
          </w:tcPr>
          <w:p>
            <w:pPr>
              <w:spacing w:after="0" w:line="20" w:lineRule="exact"/>
              <w:rPr>
                <w:sz w:val="1"/>
                <w:szCs w:val="1"/>
                <w:color w:val="auto"/>
              </w:rPr>
            </w:pPr>
          </w:p>
        </w:tc>
        <w:tc>
          <w:tcPr>
            <w:tcW w:w="2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The contractual maturities of available-for-sale securities are presented in the following tables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August 1, 2015</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Arial" w:cs="Arial" w:eastAsia="Arial" w:hAnsi="Arial"/>
                <w:sz w:val="14"/>
                <w:szCs w:val="14"/>
                <w:b w:val="1"/>
                <w:bCs w:val="1"/>
                <w:color w:val="auto"/>
              </w:rPr>
              <w:t>January 31, 2015</w:t>
            </w:r>
          </w:p>
        </w:tc>
        <w:tc>
          <w:tcPr>
            <w:tcW w:w="0" w:type="dxa"/>
            <w:vAlign w:val="bottom"/>
          </w:tcPr>
          <w:p>
            <w:pPr>
              <w:spacing w:after="0"/>
              <w:rPr>
                <w:sz w:val="1"/>
                <w:szCs w:val="1"/>
                <w:color w:val="auto"/>
              </w:rPr>
            </w:pPr>
          </w:p>
        </w:tc>
      </w:tr>
      <w:tr>
        <w:trPr>
          <w:trHeight w:val="129"/>
        </w:trPr>
        <w:tc>
          <w:tcPr>
            <w:tcW w:w="3740" w:type="dxa"/>
            <w:vAlign w:val="bottom"/>
          </w:tcPr>
          <w:p>
            <w:pPr>
              <w:spacing w:after="0"/>
              <w:rPr>
                <w:sz w:val="11"/>
                <w:szCs w:val="11"/>
                <w:color w:val="auto"/>
              </w:rPr>
            </w:pPr>
          </w:p>
        </w:tc>
        <w:tc>
          <w:tcPr>
            <w:tcW w:w="22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84"/>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right"/>
              <w:ind w:right="660"/>
              <w:spacing w:after="0"/>
              <w:rPr>
                <w:sz w:val="20"/>
                <w:szCs w:val="20"/>
                <w:color w:val="auto"/>
              </w:rPr>
            </w:pPr>
            <w:r>
              <w:rPr>
                <w:rFonts w:ascii="Arial" w:cs="Arial" w:eastAsia="Arial" w:hAnsi="Arial"/>
                <w:sz w:val="14"/>
                <w:szCs w:val="14"/>
                <w:b w:val="1"/>
                <w:bCs w:val="1"/>
                <w:color w:val="auto"/>
              </w:rPr>
              <w:t>Cost</w:t>
            </w:r>
          </w:p>
        </w:tc>
        <w:tc>
          <w:tcPr>
            <w:tcW w:w="10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Fair Value</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3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332,385</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332,406</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361,108</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361,396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1,068,461</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1,068,779</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950,702</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954,151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21,438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19,055</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15,500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74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1,422,284</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1,420,240</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1,327,310</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1,328,804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260" w:type="dxa"/>
            <w:vAlign w:val="bottom"/>
            <w:vMerge w:val="restart"/>
          </w:tcPr>
          <w:p>
            <w:pPr>
              <w:jc w:val="right"/>
              <w:ind w:right="612"/>
              <w:spacing w:after="0"/>
              <w:rPr>
                <w:sz w:val="20"/>
                <w:szCs w:val="20"/>
                <w:color w:val="auto"/>
              </w:rPr>
            </w:pPr>
            <w:r>
              <w:rPr>
                <w:rFonts w:ascii="Arial" w:cs="Arial" w:eastAsia="Arial" w:hAnsi="Arial"/>
                <w:sz w:val="18"/>
                <w:szCs w:val="18"/>
                <w:color w:val="auto"/>
              </w:rPr>
              <w:t>9</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40" w:type="dxa"/>
            <w:vAlign w:val="bottom"/>
          </w:tcPr>
          <w:p>
            <w:pPr>
              <w:spacing w:after="0"/>
              <w:rPr>
                <w:sz w:val="24"/>
                <w:szCs w:val="24"/>
                <w:color w:val="auto"/>
              </w:rPr>
            </w:pPr>
          </w:p>
        </w:tc>
        <w:tc>
          <w:tcPr>
            <w:tcW w:w="22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gridSpan w:val="4"/>
          </w:tcPr>
          <w:p>
            <w:pPr>
              <w:jc w:val="center"/>
              <w:ind w:right="40"/>
              <w:spacing w:after="0"/>
              <w:rPr>
                <w:sz w:val="20"/>
                <w:szCs w:val="20"/>
                <w:color w:val="auto"/>
              </w:rPr>
            </w:pPr>
            <w:r>
              <w:rPr>
                <w:rFonts w:ascii="Arial" w:cs="Arial" w:eastAsia="Arial" w:hAnsi="Arial"/>
                <w:sz w:val="14"/>
                <w:szCs w:val="14"/>
                <w:b w:val="1"/>
                <w:bCs w:val="1"/>
                <w:color w:val="auto"/>
                <w:w w:val="84"/>
              </w:rPr>
              <w:t>August 1, 2015</w:t>
            </w: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38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92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20" w:type="dxa"/>
            <w:vAlign w:val="bottom"/>
            <w:gridSpan w:val="8"/>
          </w:tcPr>
          <w:p>
            <w:pPr>
              <w:jc w:val="center"/>
              <w:ind w:right="10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ind w:left="30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3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gridSpan w:val="4"/>
          </w:tcPr>
          <w:p>
            <w:pPr>
              <w:jc w:val="center"/>
              <w:ind w:right="4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6"/>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Borders>
              <w:top w:val="single" w:sz="8" w:color="auto"/>
            </w:tcBorders>
            <w:gridSpan w:val="5"/>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Pr>
          <w:p>
            <w:pPr>
              <w:spacing w:after="0"/>
              <w:rPr>
                <w:sz w:val="14"/>
                <w:szCs w:val="14"/>
                <w:color w:val="auto"/>
              </w:rPr>
            </w:pPr>
          </w:p>
        </w:tc>
        <w:tc>
          <w:tcPr>
            <w:tcW w:w="780" w:type="dxa"/>
            <w:vAlign w:val="bottom"/>
            <w:gridSpan w:val="4"/>
          </w:tcPr>
          <w:p>
            <w:pPr>
              <w:jc w:val="center"/>
              <w:ind w:right="400"/>
              <w:spacing w:after="0"/>
              <w:rPr>
                <w:sz w:val="20"/>
                <w:szCs w:val="20"/>
                <w:color w:val="auto"/>
              </w:rPr>
            </w:pPr>
            <w:r>
              <w:rPr>
                <w:rFonts w:ascii="Arial" w:cs="Arial" w:eastAsia="Arial" w:hAnsi="Arial"/>
                <w:sz w:val="14"/>
                <w:szCs w:val="14"/>
                <w:b w:val="1"/>
                <w:bCs w:val="1"/>
                <w:color w:val="auto"/>
                <w:w w:val="90"/>
              </w:rPr>
              <w:t>Value</w:t>
            </w:r>
          </w:p>
        </w:tc>
        <w:tc>
          <w:tcPr>
            <w:tcW w:w="540" w:type="dxa"/>
            <w:vAlign w:val="bottom"/>
            <w:gridSpan w:val="5"/>
          </w:tcPr>
          <w:p>
            <w:pPr>
              <w:ind w:left="18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80" w:type="dxa"/>
            <w:vAlign w:val="bottom"/>
            <w:gridSpan w:val="5"/>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7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$490,575</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(1,539)</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6,053</w:t>
            </w:r>
          </w:p>
        </w:tc>
        <w:tc>
          <w:tcPr>
            <w:tcW w:w="3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74"/>
              </w:rPr>
              <w:t>(18)</w:t>
            </w:r>
          </w:p>
        </w:tc>
        <w:tc>
          <w:tcPr>
            <w:tcW w:w="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87"/>
              </w:rPr>
              <w:t>$496,628</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(1,557)</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1540" w:type="dxa"/>
            <w:vAlign w:val="bottom"/>
            <w:gridSpan w:val="3"/>
          </w:tcPr>
          <w:p>
            <w:pPr>
              <w:jc w:val="right"/>
              <w:ind w:right="140"/>
              <w:spacing w:after="0"/>
              <w:rPr>
                <w:sz w:val="20"/>
                <w:szCs w:val="20"/>
                <w:color w:val="auto"/>
              </w:rPr>
            </w:pPr>
            <w:r>
              <w:rPr>
                <w:rFonts w:ascii="Arial" w:cs="Arial" w:eastAsia="Arial" w:hAnsi="Arial"/>
                <w:sz w:val="18"/>
                <w:szCs w:val="18"/>
                <w:color w:val="auto"/>
              </w:rPr>
              <w:t>64,067</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(19)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w w:val="77"/>
              </w:rPr>
              <w:t>—</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64,067</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5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30,602</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gridSpan w:val="3"/>
            <w:shd w:val="clear" w:color="auto" w:fill="CCEEFF"/>
          </w:tcPr>
          <w:p>
            <w:pPr>
              <w:spacing w:after="0"/>
              <w:rPr>
                <w:sz w:val="20"/>
                <w:szCs w:val="20"/>
                <w:color w:val="auto"/>
              </w:rPr>
            </w:pPr>
            <w:r>
              <w:rPr>
                <w:rFonts w:ascii="Arial" w:cs="Arial" w:eastAsia="Arial" w:hAnsi="Arial"/>
                <w:sz w:val="18"/>
                <w:szCs w:val="18"/>
                <w:color w:val="auto"/>
                <w:w w:val="77"/>
              </w:rPr>
              <w:t>—</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30,602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1540" w:type="dxa"/>
            <w:vAlign w:val="bottom"/>
            <w:gridSpan w:val="3"/>
          </w:tcPr>
          <w:p>
            <w:pPr>
              <w:jc w:val="right"/>
              <w:ind w:right="140"/>
              <w:spacing w:after="0"/>
              <w:rPr>
                <w:sz w:val="20"/>
                <w:szCs w:val="20"/>
                <w:color w:val="auto"/>
              </w:rPr>
            </w:pPr>
            <w:r>
              <w:rPr>
                <w:rFonts w:ascii="Arial" w:cs="Arial" w:eastAsia="Arial" w:hAnsi="Arial"/>
                <w:sz w:val="18"/>
                <w:szCs w:val="18"/>
                <w:color w:val="auto"/>
              </w:rPr>
              <w:t>13,938</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w w:val="77"/>
              </w:rPr>
              <w:t>—</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13,938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5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10,532</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gridSpan w:val="3"/>
            <w:shd w:val="clear" w:color="auto" w:fill="CCEEFF"/>
          </w:tcPr>
          <w:p>
            <w:pPr>
              <w:spacing w:after="0"/>
              <w:rPr>
                <w:sz w:val="20"/>
                <w:szCs w:val="20"/>
                <w:color w:val="auto"/>
              </w:rPr>
            </w:pPr>
            <w:r>
              <w:rPr>
                <w:rFonts w:ascii="Arial" w:cs="Arial" w:eastAsia="Arial" w:hAnsi="Arial"/>
                <w:sz w:val="18"/>
                <w:szCs w:val="18"/>
                <w:color w:val="auto"/>
                <w:w w:val="77"/>
              </w:rPr>
              <w:t>—</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10,532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720" w:type="dxa"/>
            <w:vAlign w:val="bottom"/>
          </w:tcPr>
          <w:p>
            <w:pPr>
              <w:spacing w:after="0"/>
              <w:rPr>
                <w:sz w:val="18"/>
                <w:szCs w:val="18"/>
                <w:color w:val="auto"/>
              </w:rPr>
            </w:pPr>
          </w:p>
        </w:tc>
        <w:tc>
          <w:tcPr>
            <w:tcW w:w="6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4"/>
          </w:tcPr>
          <w:p>
            <w:pPr>
              <w:jc w:val="right"/>
              <w:ind w:right="300"/>
              <w:spacing w:after="0"/>
              <w:rPr>
                <w:sz w:val="20"/>
                <w:szCs w:val="20"/>
                <w:color w:val="auto"/>
              </w:rPr>
            </w:pPr>
            <w:r>
              <w:rPr>
                <w:rFonts w:ascii="Arial" w:cs="Arial" w:eastAsia="Arial" w:hAnsi="Arial"/>
                <w:sz w:val="18"/>
                <w:szCs w:val="18"/>
                <w:color w:val="auto"/>
                <w:w w:val="83"/>
              </w:rPr>
              <w:t>10,123</w:t>
            </w:r>
          </w:p>
        </w:tc>
        <w:tc>
          <w:tcPr>
            <w:tcW w:w="700" w:type="dxa"/>
            <w:vAlign w:val="bottom"/>
            <w:gridSpan w:val="7"/>
          </w:tcPr>
          <w:p>
            <w:pPr>
              <w:jc w:val="right"/>
              <w:spacing w:after="0"/>
              <w:rPr>
                <w:sz w:val="20"/>
                <w:szCs w:val="20"/>
                <w:color w:val="auto"/>
              </w:rPr>
            </w:pPr>
            <w:r>
              <w:rPr>
                <w:rFonts w:ascii="Arial" w:cs="Arial" w:eastAsia="Arial" w:hAnsi="Arial"/>
                <w:sz w:val="18"/>
                <w:szCs w:val="18"/>
                <w:color w:val="auto"/>
              </w:rPr>
              <w:t>(2,377)</w:t>
            </w: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10,123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(2,377)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360" w:type="dxa"/>
            <w:vAlign w:val="bottom"/>
          </w:tcPr>
          <w:p>
            <w:pPr>
              <w:spacing w:after="0"/>
              <w:rPr>
                <w:sz w:val="2"/>
                <w:szCs w:val="2"/>
                <w:color w:val="auto"/>
              </w:rPr>
            </w:pPr>
          </w:p>
        </w:tc>
        <w:tc>
          <w:tcPr>
            <w:tcW w:w="38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609,714</w:t>
            </w:r>
          </w:p>
        </w:tc>
        <w:tc>
          <w:tcPr>
            <w:tcW w:w="1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1"/>
              </w:rPr>
              <w:t>(1,612)</w:t>
            </w:r>
          </w:p>
        </w:tc>
        <w:tc>
          <w:tcPr>
            <w:tcW w:w="880" w:type="dxa"/>
            <w:vAlign w:val="bottom"/>
            <w:gridSpan w:val="5"/>
            <w:shd w:val="clear" w:color="auto" w:fill="CCEEFF"/>
          </w:tcPr>
          <w:p>
            <w:pPr>
              <w:jc w:val="right"/>
              <w:ind w:right="30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16,176</w:t>
            </w:r>
          </w:p>
        </w:tc>
        <w:tc>
          <w:tcPr>
            <w:tcW w:w="700" w:type="dxa"/>
            <w:vAlign w:val="bottom"/>
            <w:gridSpan w:val="7"/>
            <w:shd w:val="clear" w:color="auto" w:fill="CCEEFF"/>
          </w:tcPr>
          <w:p>
            <w:pPr>
              <w:jc w:val="right"/>
              <w:spacing w:after="0"/>
              <w:rPr>
                <w:sz w:val="20"/>
                <w:szCs w:val="20"/>
                <w:color w:val="auto"/>
              </w:rPr>
            </w:pPr>
            <w:r>
              <w:rPr>
                <w:rFonts w:ascii="Arial" w:cs="Arial" w:eastAsia="Arial" w:hAnsi="Arial"/>
                <w:sz w:val="18"/>
                <w:szCs w:val="18"/>
                <w:color w:val="auto"/>
                <w:w w:val="94"/>
              </w:rPr>
              <w:t>$ (2,395)</w:t>
            </w: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625,890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(4,007)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60" w:type="dxa"/>
            <w:vAlign w:val="bottom"/>
            <w:tcBorders>
              <w:bottom w:val="single" w:sz="8" w:color="auto"/>
            </w:tcBorders>
            <w:gridSpan w:val="5"/>
          </w:tcPr>
          <w:p>
            <w:pPr>
              <w:jc w:val="center"/>
              <w:spacing w:after="0"/>
              <w:rPr>
                <w:sz w:val="20"/>
                <w:szCs w:val="20"/>
                <w:color w:val="auto"/>
              </w:rPr>
            </w:pPr>
            <w:r>
              <w:rPr>
                <w:rFonts w:ascii="Arial" w:cs="Arial" w:eastAsia="Arial" w:hAnsi="Arial"/>
                <w:sz w:val="14"/>
                <w:szCs w:val="14"/>
                <w:b w:val="1"/>
                <w:bCs w:val="1"/>
                <w:color w:val="auto"/>
                <w:w w:val="89"/>
              </w:rPr>
              <w:t>January 31, 2015</w:t>
            </w:r>
          </w:p>
        </w:tc>
        <w:tc>
          <w:tcPr>
            <w:tcW w:w="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38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92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20" w:type="dxa"/>
            <w:vAlign w:val="bottom"/>
            <w:gridSpan w:val="8"/>
          </w:tcPr>
          <w:p>
            <w:pPr>
              <w:jc w:val="center"/>
              <w:ind w:right="10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ind w:left="30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3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gridSpan w:val="4"/>
          </w:tcPr>
          <w:p>
            <w:pPr>
              <w:jc w:val="center"/>
              <w:ind w:right="4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6"/>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Borders>
              <w:top w:val="single" w:sz="8" w:color="auto"/>
            </w:tcBorders>
            <w:gridSpan w:val="5"/>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Borders>
              <w:bottom w:val="single" w:sz="8" w:color="CCEEFF"/>
            </w:tcBorders>
          </w:tcPr>
          <w:p>
            <w:pPr>
              <w:spacing w:after="0"/>
              <w:rPr>
                <w:sz w:val="14"/>
                <w:szCs w:val="14"/>
                <w:color w:val="auto"/>
              </w:rPr>
            </w:pPr>
          </w:p>
        </w:tc>
        <w:tc>
          <w:tcPr>
            <w:tcW w:w="38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Value</w:t>
            </w: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3"/>
          </w:tcPr>
          <w:p>
            <w:pPr>
              <w:jc w:val="center"/>
              <w:ind w:right="15"/>
              <w:spacing w:after="0"/>
              <w:rPr>
                <w:sz w:val="20"/>
                <w:szCs w:val="20"/>
                <w:color w:val="auto"/>
              </w:rPr>
            </w:pPr>
            <w:r>
              <w:rPr>
                <w:rFonts w:ascii="Arial" w:cs="Arial" w:eastAsia="Arial" w:hAnsi="Arial"/>
                <w:sz w:val="14"/>
                <w:szCs w:val="14"/>
                <w:b w:val="1"/>
                <w:bCs w:val="1"/>
                <w:color w:val="auto"/>
                <w:w w:val="90"/>
              </w:rPr>
              <w:t>Value</w:t>
            </w:r>
          </w:p>
        </w:tc>
        <w:tc>
          <w:tcPr>
            <w:tcW w:w="300" w:type="dxa"/>
            <w:vAlign w:val="bottom"/>
            <w:tcBorders>
              <w:bottom w:val="single" w:sz="8" w:color="CCEEFF"/>
            </w:tcBorders>
          </w:tcPr>
          <w:p>
            <w:pPr>
              <w:spacing w:after="0"/>
              <w:rPr>
                <w:sz w:val="14"/>
                <w:szCs w:val="14"/>
                <w:color w:val="auto"/>
              </w:rPr>
            </w:pPr>
          </w:p>
        </w:tc>
        <w:tc>
          <w:tcPr>
            <w:tcW w:w="540" w:type="dxa"/>
            <w:vAlign w:val="bottom"/>
            <w:tcBorders>
              <w:bottom w:val="single" w:sz="8" w:color="auto"/>
            </w:tcBorders>
            <w:gridSpan w:val="5"/>
          </w:tcPr>
          <w:p>
            <w:pPr>
              <w:ind w:left="180"/>
              <w:spacing w:after="0"/>
              <w:rPr>
                <w:sz w:val="20"/>
                <w:szCs w:val="20"/>
                <w:color w:val="auto"/>
              </w:rPr>
            </w:pPr>
            <w:r>
              <w:rPr>
                <w:rFonts w:ascii="Arial" w:cs="Arial" w:eastAsia="Arial" w:hAnsi="Arial"/>
                <w:sz w:val="14"/>
                <w:szCs w:val="14"/>
                <w:b w:val="1"/>
                <w:bCs w:val="1"/>
                <w:color w:val="auto"/>
              </w:rPr>
              <w:t>Loss</w:t>
            </w:r>
          </w:p>
        </w:tc>
        <w:tc>
          <w:tcPr>
            <w:tcW w:w="100" w:type="dxa"/>
            <w:vAlign w:val="bottom"/>
            <w:tcBorders>
              <w:bottom w:val="single" w:sz="8" w:color="auto"/>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$243,699</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2,005</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240" w:type="dxa"/>
            <w:vAlign w:val="bottom"/>
            <w:shd w:val="clear" w:color="auto" w:fill="CCEEFF"/>
          </w:tcPr>
          <w:p>
            <w:pPr>
              <w:spacing w:after="0"/>
              <w:rPr>
                <w:sz w:val="18"/>
                <w:szCs w:val="18"/>
                <w:color w:val="auto"/>
              </w:rPr>
            </w:pPr>
          </w:p>
        </w:tc>
        <w:tc>
          <w:tcPr>
            <w:tcW w:w="6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87"/>
              </w:rPr>
              <w:t>$245,704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1540" w:type="dxa"/>
            <w:vAlign w:val="bottom"/>
            <w:gridSpan w:val="3"/>
          </w:tcPr>
          <w:p>
            <w:pPr>
              <w:jc w:val="right"/>
              <w:ind w:right="140"/>
              <w:spacing w:after="0"/>
              <w:rPr>
                <w:sz w:val="20"/>
                <w:szCs w:val="20"/>
                <w:color w:val="auto"/>
              </w:rPr>
            </w:pPr>
            <w:r>
              <w:rPr>
                <w:rFonts w:ascii="Arial" w:cs="Arial" w:eastAsia="Arial" w:hAnsi="Arial"/>
                <w:sz w:val="18"/>
                <w:szCs w:val="18"/>
                <w:color w:val="auto"/>
              </w:rPr>
              <w:t>32,165</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w w:val="77"/>
              </w:rPr>
              <w:t>—</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32,165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5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25,053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gridSpan w:val="3"/>
            <w:shd w:val="clear" w:color="auto" w:fill="CCEEFF"/>
          </w:tcPr>
          <w:p>
            <w:pPr>
              <w:spacing w:after="0"/>
              <w:rPr>
                <w:sz w:val="20"/>
                <w:szCs w:val="20"/>
                <w:color w:val="auto"/>
              </w:rPr>
            </w:pPr>
            <w:r>
              <w:rPr>
                <w:rFonts w:ascii="Arial" w:cs="Arial" w:eastAsia="Arial" w:hAnsi="Arial"/>
                <w:sz w:val="18"/>
                <w:szCs w:val="18"/>
                <w:color w:val="auto"/>
                <w:w w:val="77"/>
              </w:rPr>
              <w:t>—</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25,053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1540" w:type="dxa"/>
            <w:vAlign w:val="bottom"/>
            <w:gridSpan w:val="3"/>
          </w:tcPr>
          <w:p>
            <w:pPr>
              <w:jc w:val="right"/>
              <w:ind w:right="140"/>
              <w:spacing w:after="0"/>
              <w:rPr>
                <w:sz w:val="20"/>
                <w:szCs w:val="20"/>
                <w:color w:val="auto"/>
              </w:rPr>
            </w:pPr>
            <w:r>
              <w:rPr>
                <w:rFonts w:ascii="Arial" w:cs="Arial" w:eastAsia="Arial" w:hAnsi="Arial"/>
                <w:sz w:val="18"/>
                <w:szCs w:val="18"/>
                <w:color w:val="auto"/>
              </w:rPr>
              <w:t>2,999</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gridSpan w:val="3"/>
          </w:tcPr>
          <w:p>
            <w:pPr>
              <w:spacing w:after="0"/>
              <w:rPr>
                <w:sz w:val="20"/>
                <w:szCs w:val="20"/>
                <w:color w:val="auto"/>
              </w:rPr>
            </w:pPr>
            <w:r>
              <w:rPr>
                <w:rFonts w:ascii="Arial" w:cs="Arial" w:eastAsia="Arial" w:hAnsi="Arial"/>
                <w:sz w:val="18"/>
                <w:szCs w:val="18"/>
                <w:color w:val="auto"/>
                <w:w w:val="77"/>
              </w:rPr>
              <w:t>—</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2,999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5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2,845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gridSpan w:val="3"/>
            <w:shd w:val="clear" w:color="auto" w:fill="CCEEFF"/>
          </w:tcPr>
          <w:p>
            <w:pPr>
              <w:spacing w:after="0"/>
              <w:rPr>
                <w:sz w:val="20"/>
                <w:szCs w:val="20"/>
                <w:color w:val="auto"/>
              </w:rPr>
            </w:pPr>
            <w:r>
              <w:rPr>
                <w:rFonts w:ascii="Arial" w:cs="Arial" w:eastAsia="Arial" w:hAnsi="Arial"/>
                <w:sz w:val="18"/>
                <w:szCs w:val="18"/>
                <w:color w:val="auto"/>
                <w:w w:val="77"/>
              </w:rPr>
              <w:t>—</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2,845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720" w:type="dxa"/>
            <w:vAlign w:val="bottom"/>
          </w:tcPr>
          <w:p>
            <w:pPr>
              <w:spacing w:after="0"/>
              <w:rPr>
                <w:sz w:val="18"/>
                <w:szCs w:val="18"/>
                <w:color w:val="auto"/>
              </w:rPr>
            </w:pPr>
          </w:p>
        </w:tc>
        <w:tc>
          <w:tcPr>
            <w:tcW w:w="6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4"/>
          </w:tcPr>
          <w:p>
            <w:pPr>
              <w:jc w:val="right"/>
              <w:ind w:right="300"/>
              <w:spacing w:after="0"/>
              <w:rPr>
                <w:sz w:val="20"/>
                <w:szCs w:val="20"/>
                <w:color w:val="auto"/>
              </w:rPr>
            </w:pPr>
            <w:r>
              <w:rPr>
                <w:rFonts w:ascii="Arial" w:cs="Arial" w:eastAsia="Arial" w:hAnsi="Arial"/>
                <w:sz w:val="18"/>
                <w:szCs w:val="18"/>
                <w:color w:val="auto"/>
                <w:w w:val="83"/>
              </w:rPr>
              <w:t>10,226</w:t>
            </w:r>
          </w:p>
        </w:tc>
        <w:tc>
          <w:tcPr>
            <w:tcW w:w="700" w:type="dxa"/>
            <w:vAlign w:val="bottom"/>
            <w:gridSpan w:val="7"/>
          </w:tcPr>
          <w:p>
            <w:pPr>
              <w:jc w:val="right"/>
              <w:spacing w:after="0"/>
              <w:rPr>
                <w:sz w:val="20"/>
                <w:szCs w:val="20"/>
                <w:color w:val="auto"/>
              </w:rPr>
            </w:pPr>
            <w:r>
              <w:rPr>
                <w:rFonts w:ascii="Arial" w:cs="Arial" w:eastAsia="Arial" w:hAnsi="Arial"/>
                <w:sz w:val="18"/>
                <w:szCs w:val="18"/>
                <w:color w:val="auto"/>
              </w:rPr>
              <w:t>(2,274)</w:t>
            </w: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10,226</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(2,274)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360" w:type="dxa"/>
            <w:vAlign w:val="bottom"/>
          </w:tcPr>
          <w:p>
            <w:pPr>
              <w:spacing w:after="0"/>
              <w:rPr>
                <w:sz w:val="2"/>
                <w:szCs w:val="2"/>
                <w:color w:val="auto"/>
              </w:rPr>
            </w:pPr>
          </w:p>
        </w:tc>
        <w:tc>
          <w:tcPr>
            <w:tcW w:w="38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306,761</w:t>
            </w:r>
          </w:p>
        </w:tc>
        <w:tc>
          <w:tcPr>
            <w:tcW w:w="1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(580)</w:t>
            </w:r>
          </w:p>
        </w:tc>
        <w:tc>
          <w:tcPr>
            <w:tcW w:w="880" w:type="dxa"/>
            <w:vAlign w:val="bottom"/>
            <w:gridSpan w:val="5"/>
            <w:shd w:val="clear" w:color="auto" w:fill="CCEEFF"/>
          </w:tcPr>
          <w:p>
            <w:pPr>
              <w:jc w:val="right"/>
              <w:ind w:right="30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12,231</w:t>
            </w:r>
          </w:p>
        </w:tc>
        <w:tc>
          <w:tcPr>
            <w:tcW w:w="700" w:type="dxa"/>
            <w:vAlign w:val="bottom"/>
            <w:gridSpan w:val="7"/>
            <w:shd w:val="clear" w:color="auto" w:fill="CCEEFF"/>
          </w:tcPr>
          <w:p>
            <w:pPr>
              <w:jc w:val="right"/>
              <w:spacing w:after="0"/>
              <w:rPr>
                <w:sz w:val="20"/>
                <w:szCs w:val="20"/>
                <w:color w:val="auto"/>
              </w:rPr>
            </w:pPr>
            <w:r>
              <w:rPr>
                <w:rFonts w:ascii="Arial" w:cs="Arial" w:eastAsia="Arial" w:hAnsi="Arial"/>
                <w:sz w:val="18"/>
                <w:szCs w:val="18"/>
                <w:color w:val="auto"/>
                <w:w w:val="94"/>
              </w:rPr>
              <w:t>$ (2,279)</w:t>
            </w: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318,992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(2,859)</w:t>
            </w:r>
          </w:p>
        </w:tc>
        <w:tc>
          <w:tcPr>
            <w:tcW w:w="0" w:type="dxa"/>
            <w:vAlign w:val="bottom"/>
          </w:tcPr>
          <w:p>
            <w:pPr>
              <w:spacing w:after="0"/>
              <w:rPr>
                <w:sz w:val="1"/>
                <w:szCs w:val="1"/>
                <w:color w:val="auto"/>
              </w:rPr>
            </w:pPr>
          </w:p>
        </w:tc>
      </w:tr>
      <w:tr>
        <w:trPr>
          <w:trHeight w:val="20"/>
        </w:trPr>
        <w:tc>
          <w:tcPr>
            <w:tcW w:w="524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Note 4. Supplemental Financial Information (in thousands)</w:t>
            </w: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240" w:type="dxa"/>
            <w:vAlign w:val="bottom"/>
            <w:gridSpan w:val="3"/>
            <w:vMerge w:val="continue"/>
          </w:tcPr>
          <w:p>
            <w:pPr>
              <w:spacing w:after="0"/>
              <w:rPr>
                <w:sz w:val="24"/>
                <w:szCs w:val="24"/>
                <w:color w:val="auto"/>
              </w:rPr>
            </w:pPr>
          </w:p>
        </w:tc>
        <w:tc>
          <w:tcPr>
            <w:tcW w:w="7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5220" w:type="dxa"/>
            <w:vAlign w:val="bottom"/>
            <w:gridSpan w:val="2"/>
          </w:tcPr>
          <w:p>
            <w:pPr>
              <w:ind w:left="220"/>
              <w:spacing w:after="0"/>
              <w:rPr>
                <w:sz w:val="20"/>
                <w:szCs w:val="20"/>
                <w:color w:val="auto"/>
              </w:rPr>
            </w:pPr>
            <w:r>
              <w:rPr>
                <w:rFonts w:ascii="Arial" w:cs="Arial" w:eastAsia="Arial" w:hAnsi="Arial"/>
                <w:sz w:val="18"/>
                <w:szCs w:val="18"/>
                <w:b w:val="1"/>
                <w:bCs w:val="1"/>
                <w:i w:val="1"/>
                <w:iCs w:val="1"/>
                <w:color w:val="auto"/>
              </w:rPr>
              <w:t>Consolidated Balance Sheets</w:t>
            </w:r>
          </w:p>
        </w:tc>
        <w:tc>
          <w:tcPr>
            <w:tcW w:w="7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w w:val="90"/>
              </w:rPr>
              <w:t>August 1,</w:t>
            </w: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520" w:type="dxa"/>
            <w:vAlign w:val="bottom"/>
            <w:gridSpan w:val="10"/>
          </w:tcPr>
          <w:p>
            <w:pPr>
              <w:ind w:left="100"/>
              <w:spacing w:after="0"/>
              <w:rPr>
                <w:sz w:val="20"/>
                <w:szCs w:val="20"/>
                <w:color w:val="auto"/>
              </w:rPr>
            </w:pPr>
            <w:r>
              <w:rPr>
                <w:rFonts w:ascii="Arial" w:cs="Arial" w:eastAsia="Arial" w:hAnsi="Arial"/>
                <w:sz w:val="14"/>
                <w:szCs w:val="14"/>
                <w:b w:val="1"/>
                <w:bCs w:val="1"/>
                <w:color w:val="auto"/>
              </w:rPr>
              <w:t>January 31,</w:t>
            </w: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8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2"/>
          </w:tcPr>
          <w:p>
            <w:pPr>
              <w:ind w:left="100"/>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right"/>
              <w:ind w:right="126"/>
              <w:spacing w:after="0"/>
              <w:rPr>
                <w:sz w:val="20"/>
                <w:szCs w:val="20"/>
                <w:color w:val="auto"/>
              </w:rPr>
            </w:pPr>
            <w:r>
              <w:rPr>
                <w:rFonts w:ascii="Arial" w:cs="Arial" w:eastAsia="Arial" w:hAnsi="Arial"/>
                <w:sz w:val="14"/>
                <w:szCs w:val="14"/>
                <w:b w:val="1"/>
                <w:bCs w:val="1"/>
                <w:color w:val="auto"/>
                <w:w w:val="83"/>
              </w:rPr>
              <w:t>2015</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3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7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Work-in-process</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spacing w:after="0"/>
              <w:rPr>
                <w:sz w:val="20"/>
                <w:szCs w:val="20"/>
                <w:color w:val="auto"/>
              </w:rPr>
            </w:pPr>
            <w:r>
              <w:rPr>
                <w:rFonts w:ascii="Arial" w:cs="Arial" w:eastAsia="Arial" w:hAnsi="Arial"/>
                <w:sz w:val="18"/>
                <w:szCs w:val="18"/>
                <w:color w:val="auto"/>
                <w:w w:val="86"/>
              </w:rPr>
              <w:t>198,158</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8"/>
          </w:tcPr>
          <w:p>
            <w:pPr>
              <w:jc w:val="right"/>
              <w:spacing w:after="0"/>
              <w:rPr>
                <w:sz w:val="20"/>
                <w:szCs w:val="20"/>
                <w:color w:val="auto"/>
              </w:rPr>
            </w:pPr>
            <w:r>
              <w:rPr>
                <w:rFonts w:ascii="Arial" w:cs="Arial" w:eastAsia="Arial" w:hAnsi="Arial"/>
                <w:sz w:val="18"/>
                <w:szCs w:val="18"/>
                <w:color w:val="auto"/>
                <w:w w:val="99"/>
              </w:rPr>
              <w:t>$ 183,869</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w w:val="86"/>
              </w:rPr>
              <w:t>128,945</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w w:val="98"/>
              </w:rPr>
              <w:t>124,293</w:t>
            </w: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gridSpan w:val="2"/>
          </w:tcPr>
          <w:p>
            <w:pPr>
              <w:ind w:left="1360"/>
              <w:spacing w:after="0"/>
              <w:rPr>
                <w:sz w:val="20"/>
                <w:szCs w:val="20"/>
                <w:color w:val="auto"/>
              </w:rPr>
            </w:pPr>
            <w:r>
              <w:rPr>
                <w:rFonts w:ascii="Arial" w:cs="Arial" w:eastAsia="Arial" w:hAnsi="Arial"/>
                <w:sz w:val="18"/>
                <w:szCs w:val="18"/>
                <w:color w:val="auto"/>
              </w:rPr>
              <w:t>Total inventories</w:t>
            </w: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gridSpan w:val="2"/>
          </w:tcPr>
          <w:p>
            <w:pPr>
              <w:spacing w:after="0"/>
              <w:rPr>
                <w:sz w:val="20"/>
                <w:szCs w:val="20"/>
                <w:color w:val="auto"/>
              </w:rPr>
            </w:pPr>
            <w:r>
              <w:rPr>
                <w:rFonts w:ascii="Arial" w:cs="Arial" w:eastAsia="Arial" w:hAnsi="Arial"/>
                <w:sz w:val="18"/>
                <w:szCs w:val="18"/>
                <w:color w:val="auto"/>
                <w:w w:val="86"/>
              </w:rPr>
              <w:t>327,103</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20" w:type="dxa"/>
            <w:vAlign w:val="bottom"/>
            <w:gridSpan w:val="8"/>
          </w:tcPr>
          <w:p>
            <w:pPr>
              <w:jc w:val="right"/>
              <w:spacing w:after="0"/>
              <w:rPr>
                <w:sz w:val="20"/>
                <w:szCs w:val="20"/>
                <w:color w:val="auto"/>
              </w:rPr>
            </w:pPr>
            <w:r>
              <w:rPr>
                <w:rFonts w:ascii="Arial" w:cs="Arial" w:eastAsia="Arial" w:hAnsi="Arial"/>
                <w:sz w:val="18"/>
                <w:szCs w:val="18"/>
                <w:color w:val="auto"/>
                <w:w w:val="99"/>
              </w:rPr>
              <w:t>$ 308,162</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5"/>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gridSpan w:val="3"/>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gridSpan w:val="4"/>
          </w:tcPr>
          <w:p>
            <w:pPr>
              <w:ind w:left="60"/>
              <w:spacing w:after="0"/>
              <w:rPr>
                <w:sz w:val="20"/>
                <w:szCs w:val="20"/>
                <w:color w:val="auto"/>
              </w:rPr>
            </w:pPr>
            <w:r>
              <w:rPr>
                <w:rFonts w:ascii="Arial" w:cs="Arial" w:eastAsia="Arial" w:hAnsi="Arial"/>
                <w:sz w:val="14"/>
                <w:szCs w:val="14"/>
                <w:b w:val="1"/>
                <w:bCs w:val="1"/>
                <w:color w:val="auto"/>
              </w:rPr>
              <w:t>August 1,</w:t>
            </w:r>
          </w:p>
        </w:tc>
        <w:tc>
          <w:tcPr>
            <w:tcW w:w="20" w:type="dxa"/>
            <w:vAlign w:val="bottom"/>
          </w:tcPr>
          <w:p>
            <w:pPr>
              <w:spacing w:after="0"/>
              <w:rPr>
                <w:sz w:val="24"/>
                <w:szCs w:val="24"/>
                <w:color w:val="auto"/>
              </w:rPr>
            </w:pPr>
          </w:p>
        </w:tc>
        <w:tc>
          <w:tcPr>
            <w:tcW w:w="1520" w:type="dxa"/>
            <w:vAlign w:val="bottom"/>
            <w:gridSpan w:val="10"/>
          </w:tcPr>
          <w:p>
            <w:pPr>
              <w:jc w:val="center"/>
              <w:ind w:right="760"/>
              <w:spacing w:after="0"/>
              <w:rPr>
                <w:sz w:val="20"/>
                <w:szCs w:val="20"/>
                <w:color w:val="auto"/>
              </w:rPr>
            </w:pPr>
            <w:r>
              <w:rPr>
                <w:rFonts w:ascii="Arial" w:cs="Arial" w:eastAsia="Arial" w:hAnsi="Arial"/>
                <w:sz w:val="14"/>
                <w:szCs w:val="14"/>
                <w:b w:val="1"/>
                <w:bCs w:val="1"/>
                <w:color w:val="auto"/>
                <w:w w:val="88"/>
              </w:rPr>
              <w:t>January 31,</w:t>
            </w: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8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auto"/>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2015</w:t>
            </w:r>
          </w:p>
        </w:tc>
        <w:tc>
          <w:tcPr>
            <w:tcW w:w="24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3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7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623,191</w:t>
            </w:r>
          </w:p>
        </w:tc>
        <w:tc>
          <w:tcPr>
            <w:tcW w:w="180" w:type="dxa"/>
            <w:vAlign w:val="bottom"/>
          </w:tcPr>
          <w:p>
            <w:pPr>
              <w:spacing w:after="0"/>
              <w:rPr>
                <w:sz w:val="18"/>
                <w:szCs w:val="18"/>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640" w:type="dxa"/>
            <w:vAlign w:val="bottom"/>
            <w:gridSpan w:val="4"/>
          </w:tcPr>
          <w:p>
            <w:pPr>
              <w:jc w:val="right"/>
              <w:spacing w:after="0"/>
              <w:rPr>
                <w:sz w:val="20"/>
                <w:szCs w:val="20"/>
                <w:color w:val="auto"/>
              </w:rPr>
            </w:pPr>
            <w:r>
              <w:rPr>
                <w:rFonts w:ascii="Arial" w:cs="Arial" w:eastAsia="Arial" w:hAnsi="Arial"/>
                <w:sz w:val="18"/>
                <w:szCs w:val="18"/>
                <w:color w:val="auto"/>
                <w:w w:val="95"/>
              </w:rPr>
              <w:t>601,961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5"/>
              </w:rPr>
              <w:t>144,320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Computer software</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102,801</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w w:val="83"/>
              </w:rPr>
              <w:t>99,312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3"/>
              </w:rPr>
              <w:t>53,373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Building improvements</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49,902</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w w:val="83"/>
              </w:rPr>
              <w:t>49,753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50,350</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3"/>
              </w:rPr>
              <w:t>51,434</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Furniture and fixtures</w:t>
            </w: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27,531</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w w:val="83"/>
              </w:rPr>
              <w:t>27,883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4,680</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6,167</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38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w w:val="94"/>
              </w:rPr>
              <w:t>1,056,148</w:t>
            </w:r>
          </w:p>
        </w:tc>
        <w:tc>
          <w:tcPr>
            <w:tcW w:w="180" w:type="dxa"/>
            <w:vAlign w:val="bottom"/>
          </w:tcPr>
          <w:p>
            <w:pPr>
              <w:spacing w:after="0"/>
              <w:rPr>
                <w:sz w:val="19"/>
                <w:szCs w:val="19"/>
                <w:color w:val="auto"/>
              </w:rPr>
            </w:pPr>
          </w:p>
        </w:tc>
        <w:tc>
          <w:tcPr>
            <w:tcW w:w="800" w:type="dxa"/>
            <w:vAlign w:val="bottom"/>
            <w:gridSpan w:val="7"/>
          </w:tcPr>
          <w:p>
            <w:pPr>
              <w:jc w:val="right"/>
              <w:spacing w:after="0"/>
              <w:rPr>
                <w:sz w:val="20"/>
                <w:szCs w:val="20"/>
                <w:color w:val="auto"/>
              </w:rPr>
            </w:pPr>
            <w:r>
              <w:rPr>
                <w:rFonts w:ascii="Arial" w:cs="Arial" w:eastAsia="Arial" w:hAnsi="Arial"/>
                <w:sz w:val="18"/>
                <w:szCs w:val="18"/>
                <w:color w:val="auto"/>
                <w:w w:val="97"/>
              </w:rPr>
              <w:t>1,034,203</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w w:val="97"/>
              </w:rPr>
              <w:t>Less: Accumulated depreciation and amortization</w:t>
            </w:r>
          </w:p>
        </w:tc>
        <w:tc>
          <w:tcPr>
            <w:tcW w:w="7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(733,886)</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760" w:type="dxa"/>
            <w:vAlign w:val="bottom"/>
            <w:gridSpan w:val="6"/>
            <w:shd w:val="clear" w:color="auto" w:fill="CCEEFF"/>
          </w:tcPr>
          <w:p>
            <w:pPr>
              <w:jc w:val="right"/>
              <w:ind w:right="60"/>
              <w:spacing w:after="0"/>
              <w:rPr>
                <w:sz w:val="20"/>
                <w:szCs w:val="20"/>
                <w:color w:val="auto"/>
              </w:rPr>
            </w:pPr>
            <w:r>
              <w:rPr>
                <w:rFonts w:ascii="Arial" w:cs="Arial" w:eastAsia="Arial" w:hAnsi="Arial"/>
                <w:sz w:val="18"/>
                <w:szCs w:val="18"/>
                <w:color w:val="auto"/>
                <w:w w:val="88"/>
              </w:rPr>
              <w:t>(693,564)</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20" w:type="dxa"/>
            <w:vAlign w:val="bottom"/>
            <w:gridSpan w:val="2"/>
            <w:vMerge w:val="restart"/>
          </w:tcPr>
          <w:p>
            <w:pPr>
              <w:ind w:left="1360"/>
              <w:spacing w:after="0"/>
              <w:rPr>
                <w:sz w:val="20"/>
                <w:szCs w:val="20"/>
                <w:color w:val="auto"/>
              </w:rPr>
            </w:pPr>
            <w:r>
              <w:rPr>
                <w:rFonts w:ascii="Arial" w:cs="Arial" w:eastAsia="Arial" w:hAnsi="Arial"/>
                <w:sz w:val="18"/>
                <w:szCs w:val="18"/>
                <w:color w:val="auto"/>
              </w:rPr>
              <w:t>Total property and equipment, net</w:t>
            </w:r>
          </w:p>
        </w:tc>
        <w:tc>
          <w:tcPr>
            <w:tcW w:w="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gridSpan w:val="3"/>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640" w:type="dxa"/>
            <w:vAlign w:val="bottom"/>
            <w:gridSpan w:val="4"/>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5220" w:type="dxa"/>
            <w:vAlign w:val="bottom"/>
            <w:gridSpan w:val="2"/>
            <w:vMerge w:val="continue"/>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322,262</w:t>
            </w:r>
          </w:p>
        </w:tc>
        <w:tc>
          <w:tcPr>
            <w:tcW w:w="180" w:type="dxa"/>
            <w:vAlign w:val="bottom"/>
          </w:tcPr>
          <w:p>
            <w:pPr>
              <w:spacing w:after="0"/>
              <w:rPr>
                <w:sz w:val="19"/>
                <w:szCs w:val="19"/>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640" w:type="dxa"/>
            <w:vAlign w:val="bottom"/>
            <w:gridSpan w:val="4"/>
          </w:tcPr>
          <w:p>
            <w:pPr>
              <w:jc w:val="right"/>
              <w:spacing w:after="0"/>
              <w:rPr>
                <w:sz w:val="20"/>
                <w:szCs w:val="20"/>
                <w:color w:val="auto"/>
              </w:rPr>
            </w:pPr>
            <w:r>
              <w:rPr>
                <w:rFonts w:ascii="Arial" w:cs="Arial" w:eastAsia="Arial" w:hAnsi="Arial"/>
                <w:sz w:val="18"/>
                <w:szCs w:val="18"/>
                <w:color w:val="auto"/>
                <w:w w:val="95"/>
              </w:rPr>
              <w:t>340,639</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720" w:type="dxa"/>
            <w:vAlign w:val="bottom"/>
            <w:vMerge w:val="restart"/>
          </w:tcPr>
          <w:p>
            <w:pPr>
              <w:jc w:val="right"/>
              <w:ind w:right="72"/>
              <w:spacing w:after="0"/>
              <w:rPr>
                <w:sz w:val="20"/>
                <w:szCs w:val="20"/>
                <w:color w:val="auto"/>
              </w:rPr>
            </w:pPr>
            <w:r>
              <w:rPr>
                <w:rFonts w:ascii="Arial" w:cs="Arial" w:eastAsia="Arial" w:hAnsi="Arial"/>
                <w:sz w:val="18"/>
                <w:szCs w:val="18"/>
                <w:color w:val="auto"/>
              </w:rPr>
              <w:t>10</w:t>
            </w: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72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5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2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ind w:right="36"/>
              <w:spacing w:after="0"/>
              <w:rPr>
                <w:sz w:val="20"/>
                <w:szCs w:val="20"/>
                <w:color w:val="auto"/>
              </w:rPr>
            </w:pPr>
            <w:r>
              <w:rPr>
                <w:rFonts w:ascii="Arial" w:cs="Arial" w:eastAsia="Arial" w:hAnsi="Arial"/>
                <w:sz w:val="14"/>
                <w:szCs w:val="14"/>
                <w:b w:val="1"/>
                <w:bCs w:val="1"/>
                <w:color w:val="auto"/>
                <w:w w:val="84"/>
              </w:rPr>
              <w:t>August 1,</w:t>
            </w:r>
          </w:p>
        </w:tc>
        <w:tc>
          <w:tcPr>
            <w:tcW w:w="260" w:type="dxa"/>
            <w:vAlign w:val="bottom"/>
          </w:tcPr>
          <w:p>
            <w:pPr>
              <w:spacing w:after="0"/>
              <w:rPr>
                <w:sz w:val="14"/>
                <w:szCs w:val="14"/>
                <w:color w:val="auto"/>
              </w:rPr>
            </w:pPr>
          </w:p>
        </w:tc>
        <w:tc>
          <w:tcPr>
            <w:tcW w:w="94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0"/>
              </w:rPr>
              <w:t>January 31,</w:t>
            </w:r>
          </w:p>
        </w:tc>
      </w:tr>
      <w:tr>
        <w:trPr>
          <w:trHeight w:val="161"/>
        </w:trPr>
        <w:tc>
          <w:tcPr>
            <w:tcW w:w="20" w:type="dxa"/>
            <w:vAlign w:val="bottom"/>
          </w:tcPr>
          <w:p>
            <w:pPr>
              <w:spacing w:after="0"/>
              <w:rPr>
                <w:sz w:val="14"/>
                <w:szCs w:val="14"/>
                <w:color w:val="auto"/>
              </w:rPr>
            </w:pPr>
          </w:p>
        </w:tc>
        <w:tc>
          <w:tcPr>
            <w:tcW w:w="4720" w:type="dxa"/>
            <w:vAlign w:val="bottom"/>
            <w:tcBorders>
              <w:bottom w:val="single" w:sz="8" w:color="CCEEFF"/>
            </w:tcBorders>
          </w:tcPr>
          <w:p>
            <w:pPr>
              <w:spacing w:after="0"/>
              <w:rPr>
                <w:sz w:val="14"/>
                <w:szCs w:val="14"/>
                <w:color w:val="auto"/>
              </w:rPr>
            </w:pPr>
          </w:p>
        </w:tc>
        <w:tc>
          <w:tcPr>
            <w:tcW w:w="1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9"/>
              </w:rPr>
              <w:t>2015</w:t>
            </w:r>
          </w:p>
        </w:tc>
        <w:tc>
          <w:tcPr>
            <w:tcW w:w="2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95"/>
              <w:spacing w:after="0"/>
              <w:rPr>
                <w:sz w:val="20"/>
                <w:szCs w:val="20"/>
                <w:color w:val="auto"/>
              </w:rPr>
            </w:pPr>
            <w:r>
              <w:rPr>
                <w:rFonts w:ascii="Arial" w:cs="Arial" w:eastAsia="Arial" w:hAnsi="Arial"/>
                <w:sz w:val="14"/>
                <w:szCs w:val="14"/>
                <w:b w:val="1"/>
                <w:bCs w:val="1"/>
                <w:color w:val="auto"/>
                <w:w w:val="83"/>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7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19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20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48,518</w:t>
            </w:r>
          </w:p>
        </w:tc>
        <w:tc>
          <w:tcPr>
            <w:tcW w:w="42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61,217</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19,288</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22,273</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1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8,556</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9,267</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1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13,277</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13,432</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Deposits</w:t>
            </w:r>
          </w:p>
        </w:tc>
        <w:tc>
          <w:tcPr>
            <w:tcW w:w="1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7,649</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7,903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9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13,169</w:t>
            </w:r>
          </w:p>
        </w:tc>
        <w:tc>
          <w:tcPr>
            <w:tcW w:w="26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14,747</w:t>
            </w:r>
          </w:p>
        </w:tc>
        <w:tc>
          <w:tcPr>
            <w:tcW w:w="100" w:type="dxa"/>
            <w:vAlign w:val="bottom"/>
            <w:shd w:val="clear" w:color="auto" w:fill="CCEEFF"/>
          </w:tcPr>
          <w:p>
            <w:pPr>
              <w:spacing w:after="0"/>
              <w:rPr>
                <w:sz w:val="18"/>
                <w:szCs w:val="18"/>
                <w:color w:val="auto"/>
              </w:rPr>
            </w:pPr>
          </w:p>
        </w:tc>
      </w:tr>
      <w:tr>
        <w:trPr>
          <w:trHeight w:val="222"/>
        </w:trPr>
        <w:tc>
          <w:tcPr>
            <w:tcW w:w="4740" w:type="dxa"/>
            <w:vAlign w:val="bottom"/>
            <w:gridSpan w:val="2"/>
          </w:tcPr>
          <w:p>
            <w:pPr>
              <w:spacing w:after="0"/>
              <w:rPr>
                <w:sz w:val="20"/>
                <w:szCs w:val="20"/>
                <w:color w:val="auto"/>
              </w:rPr>
            </w:pPr>
            <w:r>
              <w:rPr>
                <w:rFonts w:ascii="Arial" w:cs="Arial" w:eastAsia="Arial" w:hAnsi="Arial"/>
                <w:sz w:val="18"/>
                <w:szCs w:val="18"/>
                <w:color w:val="auto"/>
              </w:rPr>
              <w:t>Total other non-current assets</w:t>
            </w:r>
          </w:p>
        </w:tc>
        <w:tc>
          <w:tcPr>
            <w:tcW w:w="20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110,457</w:t>
            </w:r>
          </w:p>
        </w:tc>
        <w:tc>
          <w:tcPr>
            <w:tcW w:w="42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128,839</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47"/>
        </w:trPr>
        <w:tc>
          <w:tcPr>
            <w:tcW w:w="20" w:type="dxa"/>
            <w:vAlign w:val="bottom"/>
          </w:tcPr>
          <w:p>
            <w:pPr>
              <w:spacing w:after="0"/>
              <w:rPr>
                <w:sz w:val="24"/>
                <w:szCs w:val="24"/>
                <w:color w:val="auto"/>
              </w:rPr>
            </w:pPr>
          </w:p>
        </w:tc>
        <w:tc>
          <w:tcPr>
            <w:tcW w:w="472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jc w:val="center"/>
              <w:ind w:right="36"/>
              <w:spacing w:after="0"/>
              <w:rPr>
                <w:sz w:val="20"/>
                <w:szCs w:val="20"/>
                <w:color w:val="auto"/>
              </w:rPr>
            </w:pPr>
            <w:r>
              <w:rPr>
                <w:rFonts w:ascii="Arial" w:cs="Arial" w:eastAsia="Arial" w:hAnsi="Arial"/>
                <w:sz w:val="14"/>
                <w:szCs w:val="14"/>
                <w:b w:val="1"/>
                <w:bCs w:val="1"/>
                <w:color w:val="auto"/>
                <w:w w:val="84"/>
              </w:rPr>
              <w:t>August 1,</w:t>
            </w:r>
          </w:p>
        </w:tc>
        <w:tc>
          <w:tcPr>
            <w:tcW w:w="260" w:type="dxa"/>
            <w:vAlign w:val="bottom"/>
          </w:tcPr>
          <w:p>
            <w:pPr>
              <w:spacing w:after="0"/>
              <w:rPr>
                <w:sz w:val="24"/>
                <w:szCs w:val="24"/>
                <w:color w:val="auto"/>
              </w:rPr>
            </w:pPr>
          </w:p>
        </w:tc>
        <w:tc>
          <w:tcPr>
            <w:tcW w:w="94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0"/>
              </w:rPr>
              <w:t>January 31,</w:t>
            </w:r>
          </w:p>
        </w:tc>
      </w:tr>
      <w:tr>
        <w:trPr>
          <w:trHeight w:val="161"/>
        </w:trPr>
        <w:tc>
          <w:tcPr>
            <w:tcW w:w="20" w:type="dxa"/>
            <w:vAlign w:val="bottom"/>
          </w:tcPr>
          <w:p>
            <w:pPr>
              <w:spacing w:after="0"/>
              <w:rPr>
                <w:sz w:val="14"/>
                <w:szCs w:val="14"/>
                <w:color w:val="auto"/>
              </w:rPr>
            </w:pPr>
          </w:p>
        </w:tc>
        <w:tc>
          <w:tcPr>
            <w:tcW w:w="4720" w:type="dxa"/>
            <w:vAlign w:val="bottom"/>
            <w:tcBorders>
              <w:bottom w:val="single" w:sz="8" w:color="CCEEFF"/>
            </w:tcBorders>
          </w:tcPr>
          <w:p>
            <w:pPr>
              <w:spacing w:after="0"/>
              <w:rPr>
                <w:sz w:val="14"/>
                <w:szCs w:val="14"/>
                <w:color w:val="auto"/>
              </w:rPr>
            </w:pPr>
          </w:p>
        </w:tc>
        <w:tc>
          <w:tcPr>
            <w:tcW w:w="1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9"/>
              </w:rPr>
              <w:t>2015</w:t>
            </w:r>
          </w:p>
        </w:tc>
        <w:tc>
          <w:tcPr>
            <w:tcW w:w="2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95"/>
              <w:spacing w:after="0"/>
              <w:rPr>
                <w:sz w:val="20"/>
                <w:szCs w:val="20"/>
                <w:color w:val="auto"/>
              </w:rPr>
            </w:pPr>
            <w:r>
              <w:rPr>
                <w:rFonts w:ascii="Arial" w:cs="Arial" w:eastAsia="Arial" w:hAnsi="Arial"/>
                <w:sz w:val="14"/>
                <w:szCs w:val="14"/>
                <w:b w:val="1"/>
                <w:bCs w:val="1"/>
                <w:color w:val="auto"/>
                <w:w w:val="83"/>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7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9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Accrued rebates</w:t>
            </w:r>
          </w:p>
        </w:tc>
        <w:tc>
          <w:tcPr>
            <w:tcW w:w="20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35,826</w:t>
            </w:r>
          </w:p>
        </w:tc>
        <w:tc>
          <w:tcPr>
            <w:tcW w:w="42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39,105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19,130</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24,680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Accrued share repurchases</w:t>
            </w:r>
          </w:p>
        </w:tc>
        <w:tc>
          <w:tcPr>
            <w:tcW w:w="1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19,672</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2"/>
          </w:tcPr>
          <w:p>
            <w:pPr>
              <w:ind w:left="42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obligations</w:t>
            </w:r>
          </w:p>
        </w:tc>
        <w:tc>
          <w:tcPr>
            <w:tcW w:w="1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10,802</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14,428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Accrued legal expense</w:t>
            </w:r>
          </w:p>
        </w:tc>
        <w:tc>
          <w:tcPr>
            <w:tcW w:w="1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5,460</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8,327</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Accrued litigation</w:t>
            </w:r>
          </w:p>
        </w:tc>
        <w:tc>
          <w:tcPr>
            <w:tcW w:w="1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11,238</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Other</w:t>
            </w:r>
          </w:p>
        </w:tc>
        <w:tc>
          <w:tcPr>
            <w:tcW w:w="19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58,841</w:t>
            </w:r>
          </w:p>
        </w:tc>
        <w:tc>
          <w:tcPr>
            <w:tcW w:w="2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43,148</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Total accrued liabilities</w:t>
            </w:r>
          </w:p>
        </w:tc>
        <w:tc>
          <w:tcPr>
            <w:tcW w:w="20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160,969</w:t>
            </w:r>
          </w:p>
        </w:tc>
        <w:tc>
          <w:tcPr>
            <w:tcW w:w="42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131,388</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Accrued share repurchases represent amounts not yet paid by the Company for repurchases of its common shares made in the final three days of the fiscal quarter. The repurchased shares are retired immediately after the repurchases are completed.</w:t>
      </w:r>
    </w:p>
    <w:p>
      <w:pPr>
        <w:spacing w:after="0" w:line="372"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6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4"/>
              </w:rPr>
              <w:t>August 1,</w:t>
            </w:r>
          </w:p>
        </w:tc>
        <w:tc>
          <w:tcPr>
            <w:tcW w:w="1040" w:type="dxa"/>
            <w:vAlign w:val="bottom"/>
            <w:gridSpan w:val="4"/>
          </w:tcPr>
          <w:p>
            <w:pPr>
              <w:ind w:left="240"/>
              <w:spacing w:after="0"/>
              <w:rPr>
                <w:sz w:val="20"/>
                <w:szCs w:val="20"/>
                <w:color w:val="auto"/>
              </w:rPr>
            </w:pPr>
            <w:r>
              <w:rPr>
                <w:rFonts w:ascii="Arial" w:cs="Arial" w:eastAsia="Arial" w:hAnsi="Arial"/>
                <w:sz w:val="14"/>
                <w:szCs w:val="14"/>
                <w:b w:val="1"/>
                <w:bCs w:val="1"/>
                <w:color w:val="auto"/>
              </w:rPr>
              <w:t>January 31,</w:t>
            </w:r>
          </w:p>
        </w:tc>
      </w:tr>
      <w:tr>
        <w:trPr>
          <w:trHeight w:val="161"/>
        </w:trPr>
        <w:tc>
          <w:tcPr>
            <w:tcW w:w="20" w:type="dxa"/>
            <w:vAlign w:val="bottom"/>
          </w:tcPr>
          <w:p>
            <w:pPr>
              <w:spacing w:after="0"/>
              <w:rPr>
                <w:sz w:val="14"/>
                <w:szCs w:val="14"/>
                <w:color w:val="auto"/>
              </w:rPr>
            </w:pPr>
          </w:p>
        </w:tc>
        <w:tc>
          <w:tcPr>
            <w:tcW w:w="5060" w:type="dxa"/>
            <w:vAlign w:val="bottom"/>
          </w:tcPr>
          <w:p>
            <w:pPr>
              <w:spacing w:after="0"/>
              <w:rPr>
                <w:sz w:val="14"/>
                <w:szCs w:val="14"/>
                <w:color w:val="auto"/>
              </w:rPr>
            </w:pPr>
          </w:p>
        </w:tc>
        <w:tc>
          <w:tcPr>
            <w:tcW w:w="2560" w:type="dxa"/>
            <w:vAlign w:val="bottom"/>
            <w:gridSpan w:val="2"/>
          </w:tcPr>
          <w:p>
            <w:pPr>
              <w:jc w:val="right"/>
              <w:ind w:right="82"/>
              <w:spacing w:after="0"/>
              <w:rPr>
                <w:sz w:val="20"/>
                <w:szCs w:val="20"/>
                <w:color w:val="auto"/>
              </w:rPr>
            </w:pPr>
            <w:r>
              <w:rPr>
                <w:rFonts w:ascii="Arial" w:cs="Arial" w:eastAsia="Arial" w:hAnsi="Arial"/>
                <w:sz w:val="14"/>
                <w:szCs w:val="14"/>
                <w:b w:val="1"/>
                <w:bCs w:val="1"/>
                <w:color w:val="auto"/>
              </w:rPr>
              <w:t>2015</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50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98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560" w:type="dxa"/>
            <w:vAlign w:val="bottom"/>
            <w:gridSpan w:val="2"/>
          </w:tcPr>
          <w:p>
            <w:pPr>
              <w:jc w:val="right"/>
              <w:spacing w:after="0"/>
              <w:rPr>
                <w:sz w:val="20"/>
                <w:szCs w:val="20"/>
                <w:color w:val="auto"/>
              </w:rPr>
            </w:pPr>
            <w:r>
              <w:rPr>
                <w:rFonts w:ascii="Arial" w:cs="Arial" w:eastAsia="Arial" w:hAnsi="Arial"/>
                <w:sz w:val="18"/>
                <w:szCs w:val="18"/>
                <w:color w:val="auto"/>
              </w:rPr>
              <w:t>$12,767</w:t>
            </w:r>
          </w:p>
        </w:tc>
        <w:tc>
          <w:tcPr>
            <w:tcW w:w="4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16,468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2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6,323</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Other</w:t>
            </w:r>
          </w:p>
        </w:tc>
        <w:tc>
          <w:tcPr>
            <w:tcW w:w="198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8,347</w:t>
            </w:r>
          </w:p>
        </w:tc>
        <w:tc>
          <w:tcPr>
            <w:tcW w:w="2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11,115</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27,437</w:t>
            </w:r>
          </w:p>
        </w:tc>
        <w:tc>
          <w:tcPr>
            <w:tcW w:w="4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32,193</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06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Accumulated other comprehensive income (loss)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tables (in thousands):</w:t>
      </w:r>
    </w:p>
    <w:p>
      <w:pPr>
        <w:sectPr>
          <w:pgSz w:w="11900" w:h="16838" w:orient="portrait"/>
          <w:cols w:equalWidth="0" w:num="1">
            <w:col w:w="11280"/>
          </w:cols>
          <w:pgMar w:left="240" w:top="459" w:right="3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January 31, 2015</w:t>
      </w:r>
    </w:p>
    <w:p>
      <w:pPr>
        <w:spacing w:after="0" w:line="23" w:lineRule="exact"/>
        <w:rPr>
          <w:sz w:val="20"/>
          <w:szCs w:val="20"/>
          <w:color w:val="auto"/>
        </w:rPr>
      </w:pPr>
    </w:p>
    <w:p>
      <w:pPr>
        <w:ind w:left="1120" w:right="880" w:hanging="215"/>
        <w:spacing w:after="0" w:line="254" w:lineRule="auto"/>
        <w:rPr>
          <w:sz w:val="20"/>
          <w:szCs w:val="20"/>
          <w:color w:val="auto"/>
        </w:rPr>
      </w:pPr>
      <w:r>
        <w:rPr>
          <w:rFonts w:ascii="Arial" w:cs="Arial" w:eastAsia="Arial" w:hAnsi="Arial"/>
          <w:sz w:val="18"/>
          <w:szCs w:val="18"/>
          <w:color w:val="auto"/>
        </w:rPr>
        <w:t>Other comprehensive income (loss) before reclassifications</w:t>
      </w:r>
    </w:p>
    <w:p>
      <w:pPr>
        <w:ind w:left="1120" w:right="680" w:hanging="215"/>
        <w:spacing w:after="0" w:line="261" w:lineRule="auto"/>
        <w:rPr>
          <w:sz w:val="20"/>
          <w:szCs w:val="20"/>
          <w:color w:val="auto"/>
        </w:rPr>
      </w:pPr>
      <w:r>
        <w:rPr>
          <w:rFonts w:ascii="Arial" w:cs="Arial" w:eastAsia="Arial" w:hAnsi="Arial"/>
          <w:sz w:val="18"/>
          <w:szCs w:val="18"/>
          <w:color w:val="auto"/>
        </w:rPr>
        <w:t>Amounts reclassified from accumulated other comprehensive income (loss)</w:t>
      </w:r>
    </w:p>
    <w:p>
      <w:pPr>
        <w:spacing w:after="0" w:line="20" w:lineRule="exact"/>
        <w:rPr>
          <w:sz w:val="20"/>
          <w:szCs w:val="20"/>
          <w:color w:val="auto"/>
        </w:rPr>
      </w:pPr>
      <w:r>
        <w:rPr>
          <w:sz w:val="20"/>
          <w:szCs w:val="20"/>
          <w:color w:val="auto"/>
        </w:rPr>
        <w:br w:type="column"/>
      </w:r>
    </w:p>
    <w:p>
      <w:pPr>
        <w:spacing w:after="0" w:line="17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58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8"/>
              </w:rPr>
              <w:t>Unrealized Gain</w:t>
            </w:r>
          </w:p>
        </w:tc>
        <w:tc>
          <w:tcPr>
            <w:tcW w:w="162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100" w:type="dxa"/>
            <w:vAlign w:val="bottom"/>
          </w:tcPr>
          <w:p>
            <w:pPr>
              <w:spacing w:after="0"/>
              <w:rPr>
                <w:sz w:val="12"/>
                <w:szCs w:val="12"/>
                <w:color w:val="auto"/>
              </w:rPr>
            </w:pPr>
          </w:p>
        </w:tc>
        <w:tc>
          <w:tcPr>
            <w:tcW w:w="148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5"/>
              </w:rPr>
              <w:t>(Loss) on</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2"/>
              </w:rPr>
              <w:t>(Loss) on</w:t>
            </w:r>
          </w:p>
        </w:tc>
        <w:tc>
          <w:tcPr>
            <w:tcW w:w="130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00" w:type="dxa"/>
            <w:vAlign w:val="bottom"/>
          </w:tcPr>
          <w:p>
            <w:pPr>
              <w:spacing w:after="0"/>
              <w:rPr>
                <w:sz w:val="12"/>
                <w:szCs w:val="12"/>
                <w:color w:val="auto"/>
              </w:rPr>
            </w:pPr>
          </w:p>
        </w:tc>
        <w:tc>
          <w:tcPr>
            <w:tcW w:w="148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0"/>
              </w:rPr>
              <w:t>Marketable</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0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100" w:type="dxa"/>
            <w:vAlign w:val="bottom"/>
          </w:tcPr>
          <w:p>
            <w:pPr>
              <w:spacing w:after="0"/>
              <w:rPr>
                <w:sz w:val="14"/>
                <w:szCs w:val="14"/>
                <w:color w:val="auto"/>
              </w:rPr>
            </w:pPr>
          </w:p>
        </w:tc>
        <w:tc>
          <w:tcPr>
            <w:tcW w:w="148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6"/>
              </w:rPr>
              <w:t>Securities</w:t>
            </w:r>
          </w:p>
        </w:tc>
        <w:tc>
          <w:tcPr>
            <w:tcW w:w="100" w:type="dxa"/>
            <w:vAlign w:val="bottom"/>
          </w:tcPr>
          <w:p>
            <w:pPr>
              <w:spacing w:after="0"/>
              <w:rPr>
                <w:sz w:val="14"/>
                <w:szCs w:val="14"/>
                <w:color w:val="auto"/>
              </w:rPr>
            </w:pPr>
          </w:p>
        </w:tc>
        <w:tc>
          <w:tcPr>
            <w:tcW w:w="152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0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5"/>
              </w:rPr>
              <w:t>Flow Hedges</w:t>
            </w:r>
          </w:p>
        </w:tc>
        <w:tc>
          <w:tcPr>
            <w:tcW w:w="30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16"/>
        </w:trPr>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3,768</w:t>
            </w:r>
          </w:p>
        </w:tc>
        <w:tc>
          <w:tcPr>
            <w:tcW w:w="62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(2,274)</w:t>
            </w:r>
          </w:p>
        </w:tc>
        <w:tc>
          <w:tcPr>
            <w:tcW w:w="66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(1,186)</w:t>
            </w:r>
          </w:p>
        </w:tc>
        <w:tc>
          <w:tcPr>
            <w:tcW w:w="3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   308</w:t>
            </w:r>
          </w:p>
        </w:tc>
        <w:tc>
          <w:tcPr>
            <w:tcW w:w="60" w:type="dxa"/>
            <w:vAlign w:val="bottom"/>
          </w:tcPr>
          <w:p>
            <w:pPr>
              <w:spacing w:after="0"/>
              <w:rPr>
                <w:sz w:val="18"/>
                <w:szCs w:val="18"/>
                <w:color w:val="auto"/>
              </w:rPr>
            </w:pPr>
          </w:p>
        </w:tc>
      </w:tr>
      <w:tr>
        <w:trPr>
          <w:trHeight w:val="424"/>
        </w:trPr>
        <w:tc>
          <w:tcPr>
            <w:tcW w:w="100" w:type="dxa"/>
            <w:vAlign w:val="bottom"/>
          </w:tcPr>
          <w:p>
            <w:pPr>
              <w:spacing w:after="0"/>
              <w:rPr>
                <w:sz w:val="24"/>
                <w:szCs w:val="24"/>
                <w:color w:val="auto"/>
              </w:rPr>
            </w:pPr>
          </w:p>
        </w:tc>
        <w:tc>
          <w:tcPr>
            <w:tcW w:w="1480" w:type="dxa"/>
            <w:vAlign w:val="bottom"/>
            <w:gridSpan w:val="2"/>
          </w:tcPr>
          <w:p>
            <w:pPr>
              <w:jc w:val="right"/>
              <w:ind w:right="580"/>
              <w:spacing w:after="0"/>
              <w:rPr>
                <w:sz w:val="20"/>
                <w:szCs w:val="20"/>
                <w:color w:val="auto"/>
              </w:rPr>
            </w:pPr>
            <w:r>
              <w:rPr>
                <w:rFonts w:ascii="Arial" w:cs="Arial" w:eastAsia="Arial" w:hAnsi="Arial"/>
                <w:sz w:val="18"/>
                <w:szCs w:val="18"/>
                <w:color w:val="auto"/>
              </w:rPr>
              <w:t>(2,865)</w:t>
            </w:r>
          </w:p>
        </w:tc>
        <w:tc>
          <w:tcPr>
            <w:tcW w:w="100" w:type="dxa"/>
            <w:vAlign w:val="bottom"/>
          </w:tcPr>
          <w:p>
            <w:pPr>
              <w:spacing w:after="0"/>
              <w:rPr>
                <w:sz w:val="24"/>
                <w:szCs w:val="24"/>
                <w:color w:val="auto"/>
              </w:rPr>
            </w:pPr>
          </w:p>
        </w:tc>
        <w:tc>
          <w:tcPr>
            <w:tcW w:w="1520" w:type="dxa"/>
            <w:vAlign w:val="bottom"/>
            <w:gridSpan w:val="2"/>
          </w:tcPr>
          <w:p>
            <w:pPr>
              <w:jc w:val="right"/>
              <w:ind w:right="600"/>
              <w:spacing w:after="0"/>
              <w:rPr>
                <w:sz w:val="20"/>
                <w:szCs w:val="20"/>
                <w:color w:val="auto"/>
              </w:rPr>
            </w:pPr>
            <w:r>
              <w:rPr>
                <w:rFonts w:ascii="Arial" w:cs="Arial" w:eastAsia="Arial" w:hAnsi="Arial"/>
                <w:sz w:val="18"/>
                <w:szCs w:val="18"/>
                <w:color w:val="auto"/>
              </w:rPr>
              <w:t>(103)</w:t>
            </w:r>
          </w:p>
        </w:tc>
        <w:tc>
          <w:tcPr>
            <w:tcW w:w="100" w:type="dxa"/>
            <w:vAlign w:val="bottom"/>
          </w:tcPr>
          <w:p>
            <w:pPr>
              <w:spacing w:after="0"/>
              <w:rPr>
                <w:sz w:val="24"/>
                <w:szCs w:val="24"/>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1,166</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(1,802)</w:t>
            </w:r>
          </w:p>
        </w:tc>
      </w:tr>
      <w:tr>
        <w:trPr>
          <w:trHeight w:val="432"/>
        </w:trPr>
        <w:tc>
          <w:tcPr>
            <w:tcW w:w="100" w:type="dxa"/>
            <w:vAlign w:val="bottom"/>
          </w:tcPr>
          <w:p>
            <w:pPr>
              <w:spacing w:after="0"/>
              <w:rPr>
                <w:sz w:val="24"/>
                <w:szCs w:val="24"/>
                <w:color w:val="auto"/>
              </w:rPr>
            </w:pPr>
          </w:p>
        </w:tc>
        <w:tc>
          <w:tcPr>
            <w:tcW w:w="1480" w:type="dxa"/>
            <w:vAlign w:val="bottom"/>
            <w:gridSpan w:val="2"/>
          </w:tcPr>
          <w:p>
            <w:pPr>
              <w:jc w:val="right"/>
              <w:ind w:right="580"/>
              <w:spacing w:after="0"/>
              <w:rPr>
                <w:sz w:val="20"/>
                <w:szCs w:val="20"/>
                <w:color w:val="auto"/>
              </w:rPr>
            </w:pPr>
            <w:r>
              <w:rPr>
                <w:rFonts w:ascii="Arial" w:cs="Arial" w:eastAsia="Arial" w:hAnsi="Arial"/>
                <w:sz w:val="18"/>
                <w:szCs w:val="18"/>
                <w:color w:val="auto"/>
              </w:rPr>
              <w:t>(453)</w:t>
            </w:r>
          </w:p>
        </w:tc>
        <w:tc>
          <w:tcPr>
            <w:tcW w:w="100" w:type="dxa"/>
            <w:vAlign w:val="bottom"/>
          </w:tcPr>
          <w:p>
            <w:pPr>
              <w:spacing w:after="0"/>
              <w:rPr>
                <w:sz w:val="24"/>
                <w:szCs w:val="24"/>
                <w:color w:val="auto"/>
              </w:rPr>
            </w:pPr>
          </w:p>
        </w:tc>
        <w:tc>
          <w:tcPr>
            <w:tcW w:w="1520" w:type="dxa"/>
            <w:vAlign w:val="bottom"/>
            <w:gridSpan w:val="2"/>
          </w:tcPr>
          <w:p>
            <w:pPr>
              <w:jc w:val="right"/>
              <w:ind w:right="7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669</w:t>
            </w:r>
          </w:p>
        </w:tc>
        <w:tc>
          <w:tcPr>
            <w:tcW w:w="920" w:type="dxa"/>
            <w:vAlign w:val="bottom"/>
            <w:gridSpan w:val="3"/>
          </w:tcPr>
          <w:p>
            <w:pPr>
              <w:jc w:val="right"/>
              <w:ind w:right="60"/>
              <w:spacing w:after="0"/>
              <w:rPr>
                <w:sz w:val="20"/>
                <w:szCs w:val="20"/>
                <w:color w:val="auto"/>
              </w:rPr>
            </w:pPr>
            <w:r>
              <w:rPr>
                <w:rFonts w:ascii="Arial" w:cs="Arial" w:eastAsia="Arial" w:hAnsi="Arial"/>
                <w:sz w:val="18"/>
                <w:szCs w:val="18"/>
                <w:color w:val="auto"/>
              </w:rPr>
              <w:t>216</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-3195320</wp:posOffset>
            </wp:positionH>
            <wp:positionV relativeFrom="paragraph">
              <wp:posOffset>-692785</wp:posOffset>
            </wp:positionV>
            <wp:extent cx="6663690" cy="146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-3195320</wp:posOffset>
            </wp:positionH>
            <wp:positionV relativeFrom="paragraph">
              <wp:posOffset>-272415</wp:posOffset>
            </wp:positionV>
            <wp:extent cx="6663690" cy="27432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780" w:space="720"/>
            <w:col w:w="5780"/>
          </w:cols>
          <w:pgMar w:left="240" w:top="459" w:right="37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502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 net of tax</w:t>
            </w:r>
          </w:p>
        </w:tc>
        <w:tc>
          <w:tcPr>
            <w:tcW w:w="100" w:type="dxa"/>
            <w:vAlign w:val="bottom"/>
          </w:tcPr>
          <w:p>
            <w:pPr>
              <w:spacing w:after="0"/>
              <w:rPr>
                <w:sz w:val="17"/>
                <w:szCs w:val="17"/>
                <w:color w:val="auto"/>
              </w:rPr>
            </w:pPr>
          </w:p>
        </w:tc>
        <w:tc>
          <w:tcPr>
            <w:tcW w:w="1480" w:type="dxa"/>
            <w:vAlign w:val="bottom"/>
            <w:gridSpan w:val="2"/>
          </w:tcPr>
          <w:p>
            <w:pPr>
              <w:jc w:val="right"/>
              <w:ind w:right="580"/>
              <w:spacing w:after="0" w:line="204" w:lineRule="exact"/>
              <w:rPr>
                <w:sz w:val="20"/>
                <w:szCs w:val="20"/>
                <w:color w:val="auto"/>
              </w:rPr>
            </w:pPr>
            <w:r>
              <w:rPr>
                <w:rFonts w:ascii="Arial" w:cs="Arial" w:eastAsia="Arial" w:hAnsi="Arial"/>
                <w:sz w:val="18"/>
                <w:szCs w:val="18"/>
                <w:color w:val="auto"/>
              </w:rPr>
              <w:t>(3,318)</w:t>
            </w:r>
          </w:p>
        </w:tc>
        <w:tc>
          <w:tcPr>
            <w:tcW w:w="300" w:type="dxa"/>
            <w:vAlign w:val="bottom"/>
          </w:tcPr>
          <w:p>
            <w:pPr>
              <w:spacing w:after="0"/>
              <w:rPr>
                <w:sz w:val="17"/>
                <w:szCs w:val="17"/>
                <w:color w:val="auto"/>
              </w:rPr>
            </w:pPr>
          </w:p>
        </w:tc>
        <w:tc>
          <w:tcPr>
            <w:tcW w:w="1320" w:type="dxa"/>
            <w:vAlign w:val="bottom"/>
            <w:gridSpan w:val="2"/>
          </w:tcPr>
          <w:p>
            <w:pPr>
              <w:jc w:val="right"/>
              <w:ind w:right="600"/>
              <w:spacing w:after="0" w:line="204" w:lineRule="exact"/>
              <w:rPr>
                <w:sz w:val="20"/>
                <w:szCs w:val="20"/>
                <w:color w:val="auto"/>
              </w:rPr>
            </w:pPr>
            <w:r>
              <w:rPr>
                <w:rFonts w:ascii="Arial" w:cs="Arial" w:eastAsia="Arial" w:hAnsi="Arial"/>
                <w:sz w:val="18"/>
                <w:szCs w:val="18"/>
                <w:color w:val="auto"/>
              </w:rPr>
              <w:t>(103)</w:t>
            </w:r>
          </w:p>
        </w:tc>
        <w:tc>
          <w:tcPr>
            <w:tcW w:w="320" w:type="dxa"/>
            <w:vAlign w:val="bottom"/>
          </w:tcPr>
          <w:p>
            <w:pPr>
              <w:spacing w:after="0"/>
              <w:rPr>
                <w:sz w:val="17"/>
                <w:szCs w:val="17"/>
                <w:color w:val="auto"/>
              </w:rPr>
            </w:pPr>
          </w:p>
        </w:tc>
        <w:tc>
          <w:tcPr>
            <w:tcW w:w="960" w:type="dxa"/>
            <w:vAlign w:val="bottom"/>
            <w:gridSpan w:val="2"/>
          </w:tcPr>
          <w:p>
            <w:pPr>
              <w:jc w:val="right"/>
              <w:ind w:right="320"/>
              <w:spacing w:after="0" w:line="204" w:lineRule="exact"/>
              <w:rPr>
                <w:sz w:val="20"/>
                <w:szCs w:val="20"/>
                <w:color w:val="auto"/>
              </w:rPr>
            </w:pPr>
            <w:r>
              <w:rPr>
                <w:rFonts w:ascii="Arial" w:cs="Arial" w:eastAsia="Arial" w:hAnsi="Arial"/>
                <w:sz w:val="18"/>
                <w:szCs w:val="18"/>
                <w:color w:val="auto"/>
              </w:rPr>
              <w:t>1,835</w:t>
            </w:r>
          </w:p>
        </w:tc>
        <w:tc>
          <w:tcPr>
            <w:tcW w:w="98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(1,586)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0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1, 2015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62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(2,377)</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649</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(1,278)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jc w:val="right"/>
              <w:ind w:right="572"/>
              <w:spacing w:after="0"/>
              <w:rPr>
                <w:sz w:val="20"/>
                <w:szCs w:val="20"/>
                <w:color w:val="auto"/>
              </w:rPr>
            </w:pPr>
            <w:r>
              <w:rPr>
                <w:rFonts w:ascii="Arial" w:cs="Arial" w:eastAsia="Arial" w:hAnsi="Arial"/>
                <w:sz w:val="18"/>
                <w:szCs w:val="18"/>
                <w:color w:val="auto"/>
                <w:w w:val="89"/>
              </w:rPr>
              <w:t>11</w:t>
            </w: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80"/>
          </w:cols>
          <w:pgMar w:left="240" w:top="459" w:right="37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6"/>
          <w:szCs w:val="16"/>
          <w:b w:val="1"/>
          <w:bCs w:val="1"/>
          <w:color w:val="auto"/>
        </w:rPr>
        <w:t>NOTES TO UNAUDITED CONDENSED CONSOLIDATED FINANCIAL STATEMENTS – (Continued)</w:t>
      </w:r>
    </w:p>
    <w:p>
      <w:pPr>
        <w:sectPr>
          <w:pgSz w:w="11900" w:h="16838" w:orient="portrait"/>
          <w:cols w:equalWidth="0" w:num="1">
            <w:col w:w="11340"/>
          </w:cols>
          <w:pgMar w:left="240" w:top="459" w:right="3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1, 2014</w:t>
      </w:r>
    </w:p>
    <w:p>
      <w:pPr>
        <w:spacing w:after="0" w:line="23" w:lineRule="exact"/>
        <w:rPr>
          <w:sz w:val="20"/>
          <w:szCs w:val="20"/>
          <w:color w:val="auto"/>
        </w:rPr>
      </w:pPr>
    </w:p>
    <w:p>
      <w:pPr>
        <w:ind w:left="900" w:right="2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income (loss)</w:t>
      </w:r>
    </w:p>
    <w:p>
      <w:pPr>
        <w:spacing w:after="0" w:line="20" w:lineRule="exact"/>
        <w:rPr>
          <w:sz w:val="20"/>
          <w:szCs w:val="20"/>
          <w:color w:val="auto"/>
        </w:rPr>
      </w:pPr>
      <w:r>
        <w:rPr>
          <w:sz w:val="20"/>
          <w:szCs w:val="20"/>
          <w:color w:val="auto"/>
        </w:rPr>
        <w:br w:type="column"/>
      </w:r>
    </w:p>
    <w:p>
      <w:pPr>
        <w:spacing w:after="0" w:line="13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640" w:type="dxa"/>
            <w:vAlign w:val="bottom"/>
            <w:gridSpan w:val="3"/>
          </w:tcPr>
          <w:p>
            <w:pPr>
              <w:jc w:val="center"/>
              <w:ind w:right="680"/>
              <w:spacing w:after="0"/>
              <w:rPr>
                <w:sz w:val="20"/>
                <w:szCs w:val="20"/>
                <w:color w:val="auto"/>
              </w:rPr>
            </w:pPr>
            <w:r>
              <w:rPr>
                <w:rFonts w:ascii="Arial" w:cs="Arial" w:eastAsia="Arial" w:hAnsi="Arial"/>
                <w:sz w:val="14"/>
                <w:szCs w:val="14"/>
                <w:b w:val="1"/>
                <w:bCs w:val="1"/>
                <w:color w:val="auto"/>
                <w:w w:val="90"/>
              </w:rPr>
              <w:t>Unrealized Gain</w:t>
            </w:r>
          </w:p>
        </w:tc>
        <w:tc>
          <w:tcPr>
            <w:tcW w:w="1640" w:type="dxa"/>
            <w:vAlign w:val="bottom"/>
            <w:gridSpan w:val="3"/>
          </w:tcPr>
          <w:p>
            <w:pPr>
              <w:jc w:val="center"/>
              <w:ind w:right="680"/>
              <w:spacing w:after="0"/>
              <w:rPr>
                <w:sz w:val="20"/>
                <w:szCs w:val="20"/>
                <w:color w:val="auto"/>
              </w:rPr>
            </w:pPr>
            <w:r>
              <w:rPr>
                <w:rFonts w:ascii="Arial" w:cs="Arial" w:eastAsia="Arial" w:hAnsi="Arial"/>
                <w:sz w:val="14"/>
                <w:szCs w:val="14"/>
                <w:b w:val="1"/>
                <w:bCs w:val="1"/>
                <w:color w:val="auto"/>
                <w:w w:val="90"/>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120" w:type="dxa"/>
            <w:vAlign w:val="bottom"/>
          </w:tcPr>
          <w:p>
            <w:pPr>
              <w:spacing w:after="0"/>
              <w:rPr>
                <w:sz w:val="12"/>
                <w:szCs w:val="12"/>
                <w:color w:val="auto"/>
              </w:rPr>
            </w:pPr>
          </w:p>
        </w:tc>
        <w:tc>
          <w:tcPr>
            <w:tcW w:w="152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2"/>
              </w:rPr>
              <w:t>(Loss) on</w:t>
            </w:r>
          </w:p>
        </w:tc>
        <w:tc>
          <w:tcPr>
            <w:tcW w:w="100" w:type="dxa"/>
            <w:vAlign w:val="bottom"/>
          </w:tcPr>
          <w:p>
            <w:pPr>
              <w:spacing w:after="0"/>
              <w:rPr>
                <w:sz w:val="12"/>
                <w:szCs w:val="12"/>
                <w:color w:val="auto"/>
              </w:rPr>
            </w:pPr>
          </w:p>
        </w:tc>
        <w:tc>
          <w:tcPr>
            <w:tcW w:w="15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2"/>
              </w:rPr>
              <w:t>(Loss) on</w:t>
            </w:r>
          </w:p>
        </w:tc>
        <w:tc>
          <w:tcPr>
            <w:tcW w:w="132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3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20" w:type="dxa"/>
            <w:vAlign w:val="bottom"/>
          </w:tcPr>
          <w:p>
            <w:pPr>
              <w:spacing w:after="0"/>
              <w:rPr>
                <w:sz w:val="12"/>
                <w:szCs w:val="12"/>
                <w:color w:val="auto"/>
              </w:rPr>
            </w:pPr>
          </w:p>
        </w:tc>
        <w:tc>
          <w:tcPr>
            <w:tcW w:w="152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92"/>
              </w:rPr>
              <w:t>Marketable</w:t>
            </w:r>
          </w:p>
        </w:tc>
        <w:tc>
          <w:tcPr>
            <w:tcW w:w="100" w:type="dxa"/>
            <w:vAlign w:val="bottom"/>
          </w:tcPr>
          <w:p>
            <w:pPr>
              <w:spacing w:after="0"/>
              <w:rPr>
                <w:sz w:val="12"/>
                <w:szCs w:val="12"/>
                <w:color w:val="auto"/>
              </w:rPr>
            </w:pPr>
          </w:p>
        </w:tc>
        <w:tc>
          <w:tcPr>
            <w:tcW w:w="15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2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3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120" w:type="dxa"/>
            <w:vAlign w:val="bottom"/>
          </w:tcPr>
          <w:p>
            <w:pPr>
              <w:spacing w:after="0"/>
              <w:rPr>
                <w:sz w:val="14"/>
                <w:szCs w:val="14"/>
                <w:color w:val="auto"/>
              </w:rPr>
            </w:pPr>
          </w:p>
        </w:tc>
        <w:tc>
          <w:tcPr>
            <w:tcW w:w="1520" w:type="dxa"/>
            <w:vAlign w:val="bottom"/>
            <w:gridSpan w:val="2"/>
          </w:tcPr>
          <w:p>
            <w:pPr>
              <w:jc w:val="center"/>
              <w:ind w:right="80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54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2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5"/>
              </w:rPr>
              <w:t>Flow Hedges</w:t>
            </w:r>
          </w:p>
        </w:tc>
        <w:tc>
          <w:tcPr>
            <w:tcW w:w="32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1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2,534</w:t>
            </w:r>
          </w:p>
        </w:tc>
        <w:tc>
          <w:tcPr>
            <w:tcW w:w="68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(2,871)</w:t>
            </w:r>
          </w:p>
        </w:tc>
        <w:tc>
          <w:tcPr>
            <w:tcW w:w="68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934</w:t>
            </w:r>
          </w:p>
        </w:tc>
        <w:tc>
          <w:tcPr>
            <w:tcW w:w="3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8"/>
              </w:rPr>
              <w:t>$   597</w:t>
            </w:r>
          </w:p>
        </w:tc>
        <w:tc>
          <w:tcPr>
            <w:tcW w:w="60" w:type="dxa"/>
            <w:vAlign w:val="bottom"/>
          </w:tcPr>
          <w:p>
            <w:pPr>
              <w:spacing w:after="0"/>
              <w:rPr>
                <w:sz w:val="17"/>
                <w:szCs w:val="17"/>
                <w:color w:val="auto"/>
              </w:rPr>
            </w:pPr>
          </w:p>
        </w:tc>
      </w:tr>
      <w:tr>
        <w:trPr>
          <w:trHeight w:val="222"/>
        </w:trPr>
        <w:tc>
          <w:tcPr>
            <w:tcW w:w="120" w:type="dxa"/>
            <w:vAlign w:val="bottom"/>
          </w:tcPr>
          <w:p>
            <w:pPr>
              <w:spacing w:after="0"/>
              <w:rPr>
                <w:sz w:val="19"/>
                <w:szCs w:val="19"/>
                <w:color w:val="auto"/>
              </w:rPr>
            </w:pPr>
          </w:p>
        </w:tc>
        <w:tc>
          <w:tcPr>
            <w:tcW w:w="1520" w:type="dxa"/>
            <w:vAlign w:val="bottom"/>
            <w:gridSpan w:val="2"/>
          </w:tcPr>
          <w:p>
            <w:pPr>
              <w:jc w:val="right"/>
              <w:ind w:right="680"/>
              <w:spacing w:after="0"/>
              <w:rPr>
                <w:sz w:val="20"/>
                <w:szCs w:val="20"/>
                <w:color w:val="auto"/>
              </w:rPr>
            </w:pPr>
            <w:r>
              <w:rPr>
                <w:rFonts w:ascii="Arial" w:cs="Arial" w:eastAsia="Arial" w:hAnsi="Arial"/>
                <w:sz w:val="18"/>
                <w:szCs w:val="18"/>
                <w:color w:val="auto"/>
              </w:rPr>
              <w:t>1,012</w:t>
            </w:r>
          </w:p>
        </w:tc>
        <w:tc>
          <w:tcPr>
            <w:tcW w:w="100" w:type="dxa"/>
            <w:vAlign w:val="bottom"/>
          </w:tcPr>
          <w:p>
            <w:pPr>
              <w:spacing w:after="0"/>
              <w:rPr>
                <w:sz w:val="19"/>
                <w:szCs w:val="19"/>
                <w:color w:val="auto"/>
              </w:rPr>
            </w:pPr>
          </w:p>
        </w:tc>
        <w:tc>
          <w:tcPr>
            <w:tcW w:w="1540" w:type="dxa"/>
            <w:vAlign w:val="bottom"/>
            <w:gridSpan w:val="2"/>
          </w:tcPr>
          <w:p>
            <w:pPr>
              <w:jc w:val="right"/>
              <w:ind w:right="680"/>
              <w:spacing w:after="0"/>
              <w:rPr>
                <w:sz w:val="20"/>
                <w:szCs w:val="20"/>
                <w:color w:val="auto"/>
              </w:rPr>
            </w:pPr>
            <w:r>
              <w:rPr>
                <w:rFonts w:ascii="Arial" w:cs="Arial" w:eastAsia="Arial" w:hAnsi="Arial"/>
                <w:sz w:val="18"/>
                <w:szCs w:val="18"/>
                <w:color w:val="auto"/>
              </w:rPr>
              <w:t>143</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734</w:t>
            </w:r>
          </w:p>
        </w:tc>
        <w:tc>
          <w:tcPr>
            <w:tcW w:w="360" w:type="dxa"/>
            <w:vAlign w:val="bottom"/>
          </w:tcPr>
          <w:p>
            <w:pPr>
              <w:spacing w:after="0"/>
              <w:rPr>
                <w:sz w:val="19"/>
                <w:szCs w:val="19"/>
                <w:color w:val="auto"/>
              </w:rPr>
            </w:pPr>
          </w:p>
        </w:tc>
        <w:tc>
          <w:tcPr>
            <w:tcW w:w="940" w:type="dxa"/>
            <w:vAlign w:val="bottom"/>
            <w:gridSpan w:val="3"/>
          </w:tcPr>
          <w:p>
            <w:pPr>
              <w:jc w:val="right"/>
              <w:ind w:right="60"/>
              <w:spacing w:after="0"/>
              <w:rPr>
                <w:sz w:val="20"/>
                <w:szCs w:val="20"/>
                <w:color w:val="auto"/>
              </w:rPr>
            </w:pPr>
            <w:r>
              <w:rPr>
                <w:rFonts w:ascii="Arial" w:cs="Arial" w:eastAsia="Arial" w:hAnsi="Arial"/>
                <w:sz w:val="18"/>
                <w:szCs w:val="18"/>
                <w:color w:val="auto"/>
              </w:rPr>
              <w:t>1,889</w:t>
            </w:r>
          </w:p>
        </w:tc>
      </w:tr>
      <w:tr>
        <w:trPr>
          <w:trHeight w:val="432"/>
        </w:trPr>
        <w:tc>
          <w:tcPr>
            <w:tcW w:w="120" w:type="dxa"/>
            <w:vAlign w:val="bottom"/>
          </w:tcPr>
          <w:p>
            <w:pPr>
              <w:spacing w:after="0"/>
              <w:rPr>
                <w:sz w:val="24"/>
                <w:szCs w:val="24"/>
                <w:color w:val="auto"/>
              </w:rPr>
            </w:pPr>
          </w:p>
        </w:tc>
        <w:tc>
          <w:tcPr>
            <w:tcW w:w="1520" w:type="dxa"/>
            <w:vAlign w:val="bottom"/>
            <w:gridSpan w:val="2"/>
          </w:tcPr>
          <w:p>
            <w:pPr>
              <w:jc w:val="right"/>
              <w:ind w:right="620"/>
              <w:spacing w:after="0"/>
              <w:rPr>
                <w:sz w:val="20"/>
                <w:szCs w:val="20"/>
                <w:color w:val="auto"/>
              </w:rPr>
            </w:pPr>
            <w:r>
              <w:rPr>
                <w:rFonts w:ascii="Arial" w:cs="Arial" w:eastAsia="Arial" w:hAnsi="Arial"/>
                <w:sz w:val="18"/>
                <w:szCs w:val="18"/>
                <w:color w:val="auto"/>
              </w:rPr>
              <w:t>(855)</w:t>
            </w:r>
          </w:p>
        </w:tc>
        <w:tc>
          <w:tcPr>
            <w:tcW w:w="100" w:type="dxa"/>
            <w:vAlign w:val="bottom"/>
          </w:tcPr>
          <w:p>
            <w:pPr>
              <w:spacing w:after="0"/>
              <w:rPr>
                <w:sz w:val="24"/>
                <w:szCs w:val="24"/>
                <w:color w:val="auto"/>
              </w:rPr>
            </w:pPr>
          </w:p>
        </w:tc>
        <w:tc>
          <w:tcPr>
            <w:tcW w:w="154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220" w:type="dxa"/>
            <w:vAlign w:val="bottom"/>
            <w:gridSpan w:val="2"/>
          </w:tcPr>
          <w:p>
            <w:pPr>
              <w:jc w:val="right"/>
              <w:ind w:right="320"/>
              <w:spacing w:after="0"/>
              <w:rPr>
                <w:sz w:val="20"/>
                <w:szCs w:val="20"/>
                <w:color w:val="auto"/>
              </w:rPr>
            </w:pPr>
            <w:r>
              <w:rPr>
                <w:rFonts w:ascii="Arial" w:cs="Arial" w:eastAsia="Arial" w:hAnsi="Arial"/>
                <w:sz w:val="18"/>
                <w:szCs w:val="18"/>
                <w:color w:val="auto"/>
              </w:rPr>
              <w:t>(1,004)</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(1,859)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-3119120</wp:posOffset>
            </wp:positionH>
            <wp:positionV relativeFrom="paragraph">
              <wp:posOffset>-555625</wp:posOffset>
            </wp:positionV>
            <wp:extent cx="6663690"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-3119120</wp:posOffset>
            </wp:positionH>
            <wp:positionV relativeFrom="paragraph">
              <wp:posOffset>-272415</wp:posOffset>
            </wp:positionV>
            <wp:extent cx="6663690" cy="2743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660" w:space="720"/>
            <w:col w:w="5960"/>
          </w:cols>
          <w:pgMar w:left="240" w:top="459" w:right="31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490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 net of tax</w:t>
            </w:r>
          </w:p>
        </w:tc>
        <w:tc>
          <w:tcPr>
            <w:tcW w:w="320" w:type="dxa"/>
            <w:vAlign w:val="bottom"/>
          </w:tcPr>
          <w:p>
            <w:pPr>
              <w:spacing w:after="0"/>
              <w:rPr>
                <w:sz w:val="17"/>
                <w:szCs w:val="17"/>
                <w:color w:val="auto"/>
              </w:rPr>
            </w:pPr>
          </w:p>
        </w:tc>
        <w:tc>
          <w:tcPr>
            <w:tcW w:w="640" w:type="dxa"/>
            <w:vAlign w:val="bottom"/>
          </w:tcPr>
          <w:p>
            <w:pPr>
              <w:jc w:val="right"/>
              <w:spacing w:after="0" w:line="204" w:lineRule="exact"/>
              <w:rPr>
                <w:sz w:val="20"/>
                <w:szCs w:val="20"/>
                <w:color w:val="auto"/>
              </w:rPr>
            </w:pPr>
            <w:r>
              <w:rPr>
                <w:rFonts w:ascii="Arial" w:cs="Arial" w:eastAsia="Arial" w:hAnsi="Arial"/>
                <w:sz w:val="18"/>
                <w:szCs w:val="18"/>
                <w:color w:val="auto"/>
              </w:rPr>
              <w:t>157</w:t>
            </w:r>
          </w:p>
        </w:tc>
        <w:tc>
          <w:tcPr>
            <w:tcW w:w="6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60" w:type="dxa"/>
            <w:vAlign w:val="bottom"/>
          </w:tcPr>
          <w:p>
            <w:pPr>
              <w:jc w:val="right"/>
              <w:spacing w:after="0" w:line="204" w:lineRule="exact"/>
              <w:rPr>
                <w:sz w:val="20"/>
                <w:szCs w:val="20"/>
                <w:color w:val="auto"/>
              </w:rPr>
            </w:pPr>
            <w:r>
              <w:rPr>
                <w:rFonts w:ascii="Arial" w:cs="Arial" w:eastAsia="Arial" w:hAnsi="Arial"/>
                <w:sz w:val="18"/>
                <w:szCs w:val="18"/>
                <w:color w:val="auto"/>
              </w:rPr>
              <w:t>143</w:t>
            </w:r>
          </w:p>
        </w:tc>
        <w:tc>
          <w:tcPr>
            <w:tcW w:w="6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960" w:type="dxa"/>
            <w:vAlign w:val="bottom"/>
            <w:gridSpan w:val="2"/>
          </w:tcPr>
          <w:p>
            <w:pPr>
              <w:jc w:val="right"/>
              <w:ind w:right="320"/>
              <w:spacing w:after="0" w:line="204" w:lineRule="exact"/>
              <w:rPr>
                <w:sz w:val="20"/>
                <w:szCs w:val="20"/>
                <w:color w:val="auto"/>
              </w:rPr>
            </w:pPr>
            <w:r>
              <w:rPr>
                <w:rFonts w:ascii="Arial" w:cs="Arial" w:eastAsia="Arial" w:hAnsi="Arial"/>
                <w:sz w:val="18"/>
                <w:szCs w:val="18"/>
                <w:color w:val="auto"/>
              </w:rPr>
              <w:t>(270)</w:t>
            </w:r>
          </w:p>
        </w:tc>
        <w:tc>
          <w:tcPr>
            <w:tcW w:w="980" w:type="dxa"/>
            <w:vAlign w:val="bottom"/>
            <w:gridSpan w:val="3"/>
          </w:tcPr>
          <w:p>
            <w:pPr>
              <w:jc w:val="right"/>
              <w:ind w:right="100"/>
              <w:spacing w:after="0" w:line="204"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90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3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2, 2014</w:t>
            </w:r>
          </w:p>
        </w:tc>
        <w:tc>
          <w:tcPr>
            <w:tcW w:w="32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2,691</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(2,728)</w:t>
            </w:r>
          </w:p>
        </w:tc>
        <w:tc>
          <w:tcPr>
            <w:tcW w:w="360" w:type="dxa"/>
            <w:vAlign w:val="bottom"/>
            <w:shd w:val="clear" w:color="auto" w:fill="CCEEFF"/>
          </w:tcPr>
          <w:p>
            <w:pPr>
              <w:jc w:val="right"/>
              <w:ind w:right="203"/>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664</w:t>
            </w:r>
          </w:p>
        </w:tc>
        <w:tc>
          <w:tcPr>
            <w:tcW w:w="36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627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(loss) by components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1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60" w:type="dxa"/>
            <w:vAlign w:val="bottom"/>
            <w:gridSpan w:val="9"/>
          </w:tcPr>
          <w:p>
            <w:pPr>
              <w:jc w:val="right"/>
              <w:ind w:right="740"/>
              <w:spacing w:after="0"/>
              <w:rPr>
                <w:sz w:val="20"/>
                <w:szCs w:val="20"/>
                <w:color w:val="auto"/>
              </w:rPr>
            </w:pPr>
            <w:r>
              <w:rPr>
                <w:rFonts w:ascii="Arial" w:cs="Arial" w:eastAsia="Arial" w:hAnsi="Arial"/>
                <w:sz w:val="14"/>
                <w:szCs w:val="14"/>
                <w:b w:val="1"/>
                <w:bCs w:val="1"/>
                <w:color w:val="auto"/>
                <w:w w:val="93"/>
              </w:rPr>
              <w:t>Three Months Ended</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60" w:type="dxa"/>
            <w:vAlign w:val="bottom"/>
            <w:gridSpan w:val="8"/>
          </w:tcPr>
          <w:p>
            <w:pPr>
              <w:jc w:val="right"/>
              <w:ind w:right="400"/>
              <w:spacing w:after="0"/>
              <w:rPr>
                <w:sz w:val="20"/>
                <w:szCs w:val="20"/>
                <w:color w:val="auto"/>
              </w:rPr>
            </w:pPr>
            <w:r>
              <w:rPr>
                <w:rFonts w:ascii="Arial" w:cs="Arial" w:eastAsia="Arial" w:hAnsi="Arial"/>
                <w:sz w:val="14"/>
                <w:szCs w:val="14"/>
                <w:b w:val="1"/>
                <w:bCs w:val="1"/>
                <w:color w:val="auto"/>
                <w:w w:val="93"/>
              </w:rPr>
              <w:t>Six Months Ended</w:t>
            </w:r>
          </w:p>
        </w:tc>
        <w:tc>
          <w:tcPr>
            <w:tcW w:w="0" w:type="dxa"/>
            <w:vAlign w:val="bottom"/>
          </w:tcPr>
          <w:p>
            <w:pPr>
              <w:spacing w:after="0"/>
              <w:rPr>
                <w:sz w:val="1"/>
                <w:szCs w:val="1"/>
                <w:color w:val="auto"/>
              </w:rPr>
            </w:pPr>
          </w:p>
        </w:tc>
      </w:tr>
      <w:tr>
        <w:trPr>
          <w:trHeight w:val="116"/>
        </w:trPr>
        <w:tc>
          <w:tcPr>
            <w:tcW w:w="4680" w:type="dxa"/>
            <w:vAlign w:val="bottom"/>
            <w:gridSpan w:val="3"/>
            <w:vMerge w:val="continue"/>
          </w:tcPr>
          <w:p>
            <w:pPr>
              <w:spacing w:after="0"/>
              <w:rPr>
                <w:sz w:val="10"/>
                <w:szCs w:val="10"/>
                <w:color w:val="auto"/>
              </w:rPr>
            </w:pPr>
          </w:p>
        </w:tc>
        <w:tc>
          <w:tcPr>
            <w:tcW w:w="1880" w:type="dxa"/>
            <w:vAlign w:val="bottom"/>
          </w:tcPr>
          <w:p>
            <w:pPr>
              <w:spacing w:after="0"/>
              <w:rPr>
                <w:sz w:val="10"/>
                <w:szCs w:val="10"/>
                <w:color w:val="auto"/>
              </w:rPr>
            </w:pPr>
          </w:p>
        </w:tc>
        <w:tc>
          <w:tcPr>
            <w:tcW w:w="1100" w:type="dxa"/>
            <w:vAlign w:val="bottom"/>
            <w:tcBorders>
              <w:top w:val="single" w:sz="8" w:color="auto"/>
            </w:tcBorders>
            <w:gridSpan w:val="5"/>
          </w:tcPr>
          <w:p>
            <w:pPr>
              <w:spacing w:after="0" w:line="116" w:lineRule="exact"/>
              <w:rPr>
                <w:sz w:val="20"/>
                <w:szCs w:val="20"/>
                <w:color w:val="auto"/>
              </w:rPr>
            </w:pPr>
            <w:r>
              <w:rPr>
                <w:rFonts w:ascii="Arial" w:cs="Arial" w:eastAsia="Arial" w:hAnsi="Arial"/>
                <w:sz w:val="12"/>
                <w:szCs w:val="12"/>
                <w:b w:val="1"/>
                <w:bCs w:val="1"/>
                <w:color w:val="auto"/>
              </w:rPr>
              <w:t>August 1,</w:t>
            </w:r>
          </w:p>
        </w:tc>
        <w:tc>
          <w:tcPr>
            <w:tcW w:w="540" w:type="dxa"/>
            <w:vAlign w:val="bottom"/>
            <w:tcBorders>
              <w:top w:val="single" w:sz="8" w:color="auto"/>
            </w:tcBorders>
            <w:gridSpan w:val="3"/>
          </w:tcPr>
          <w:p>
            <w:pPr>
              <w:spacing w:after="0" w:line="116" w:lineRule="exact"/>
              <w:rPr>
                <w:sz w:val="20"/>
                <w:szCs w:val="20"/>
                <w:color w:val="auto"/>
              </w:rPr>
            </w:pPr>
            <w:r>
              <w:rPr>
                <w:rFonts w:ascii="Arial" w:cs="Arial" w:eastAsia="Arial" w:hAnsi="Arial"/>
                <w:sz w:val="12"/>
                <w:szCs w:val="12"/>
                <w:b w:val="1"/>
                <w:bCs w:val="1"/>
                <w:color w:val="auto"/>
                <w:w w:val="95"/>
              </w:rPr>
              <w:t>August 2,</w:t>
            </w:r>
          </w:p>
        </w:tc>
        <w:tc>
          <w:tcPr>
            <w:tcW w:w="2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900" w:type="dxa"/>
            <w:vAlign w:val="bottom"/>
            <w:tcBorders>
              <w:top w:val="single" w:sz="8" w:color="auto"/>
            </w:tcBorders>
            <w:gridSpan w:val="5"/>
          </w:tcPr>
          <w:p>
            <w:pPr>
              <w:spacing w:after="0" w:line="116" w:lineRule="exact"/>
              <w:rPr>
                <w:sz w:val="20"/>
                <w:szCs w:val="20"/>
                <w:color w:val="auto"/>
              </w:rPr>
            </w:pPr>
            <w:r>
              <w:rPr>
                <w:rFonts w:ascii="Arial" w:cs="Arial" w:eastAsia="Arial" w:hAnsi="Arial"/>
                <w:sz w:val="12"/>
                <w:szCs w:val="12"/>
                <w:b w:val="1"/>
                <w:bCs w:val="1"/>
                <w:color w:val="auto"/>
              </w:rPr>
              <w:t>August 1,</w:t>
            </w:r>
          </w:p>
        </w:tc>
        <w:tc>
          <w:tcPr>
            <w:tcW w:w="220" w:type="dxa"/>
            <w:vAlign w:val="bottom"/>
            <w:tcBorders>
              <w:top w:val="single" w:sz="8" w:color="auto"/>
            </w:tcBorders>
          </w:tcPr>
          <w:p>
            <w:pPr>
              <w:spacing w:after="0"/>
              <w:rPr>
                <w:sz w:val="10"/>
                <w:szCs w:val="10"/>
                <w:color w:val="auto"/>
              </w:rPr>
            </w:pPr>
          </w:p>
        </w:tc>
        <w:tc>
          <w:tcPr>
            <w:tcW w:w="560" w:type="dxa"/>
            <w:vAlign w:val="bottom"/>
            <w:tcBorders>
              <w:top w:val="single" w:sz="8" w:color="auto"/>
            </w:tcBorders>
            <w:gridSpan w:val="3"/>
          </w:tcPr>
          <w:p>
            <w:pPr>
              <w:spacing w:after="0" w:line="116" w:lineRule="exact"/>
              <w:rPr>
                <w:sz w:val="20"/>
                <w:szCs w:val="20"/>
                <w:color w:val="auto"/>
              </w:rPr>
            </w:pPr>
            <w:r>
              <w:rPr>
                <w:rFonts w:ascii="Arial" w:cs="Arial" w:eastAsia="Arial" w:hAnsi="Arial"/>
                <w:sz w:val="12"/>
                <w:szCs w:val="12"/>
                <w:b w:val="1"/>
                <w:bCs w:val="1"/>
                <w:color w:val="auto"/>
                <w:w w:val="98"/>
              </w:rPr>
              <w:t>August 2,</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1"/>
        </w:trPr>
        <w:tc>
          <w:tcPr>
            <w:tcW w:w="4680" w:type="dxa"/>
            <w:vAlign w:val="bottom"/>
            <w:gridSpan w:val="3"/>
          </w:tcPr>
          <w:p>
            <w:pPr>
              <w:spacing w:after="0"/>
              <w:rPr>
                <w:sz w:val="20"/>
                <w:szCs w:val="20"/>
                <w:color w:val="auto"/>
              </w:rPr>
            </w:pPr>
            <w:r>
              <w:rPr>
                <w:rFonts w:ascii="Arial" w:cs="Arial" w:eastAsia="Arial" w:hAnsi="Arial"/>
                <w:sz w:val="14"/>
                <w:szCs w:val="14"/>
                <w:b w:val="1"/>
                <w:bCs w:val="1"/>
                <w:color w:val="auto"/>
              </w:rPr>
              <w:t>Statement of Operations</w:t>
            </w:r>
          </w:p>
        </w:tc>
        <w:tc>
          <w:tcPr>
            <w:tcW w:w="1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40" w:type="dxa"/>
            <w:vAlign w:val="bottom"/>
            <w:gridSpan w:val="2"/>
          </w:tcPr>
          <w:p>
            <w:pPr>
              <w:jc w:val="right"/>
              <w:ind w:right="82"/>
              <w:spacing w:after="0"/>
              <w:rPr>
                <w:sz w:val="20"/>
                <w:szCs w:val="20"/>
                <w:color w:val="auto"/>
              </w:rPr>
            </w:pPr>
            <w:r>
              <w:rPr>
                <w:rFonts w:ascii="Arial" w:cs="Arial" w:eastAsia="Arial" w:hAnsi="Arial"/>
                <w:sz w:val="14"/>
                <w:szCs w:val="14"/>
                <w:b w:val="1"/>
                <w:bCs w:val="1"/>
                <w:color w:val="auto"/>
                <w:w w:val="83"/>
              </w:rPr>
              <w:t>2015</w:t>
            </w:r>
          </w:p>
        </w:tc>
        <w:tc>
          <w:tcPr>
            <w:tcW w:w="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gridSpan w:val="3"/>
          </w:tcPr>
          <w:p>
            <w:pPr>
              <w:jc w:val="right"/>
              <w:ind w:right="54"/>
              <w:spacing w:after="0"/>
              <w:rPr>
                <w:sz w:val="20"/>
                <w:szCs w:val="20"/>
                <w:color w:val="auto"/>
              </w:rPr>
            </w:pPr>
            <w:r>
              <w:rPr>
                <w:rFonts w:ascii="Arial" w:cs="Arial" w:eastAsia="Arial" w:hAnsi="Arial"/>
                <w:sz w:val="14"/>
                <w:szCs w:val="14"/>
                <w:b w:val="1"/>
                <w:bCs w:val="1"/>
                <w:color w:val="auto"/>
              </w:rPr>
              <w:t>2014</w:t>
            </w: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60" w:type="dxa"/>
            <w:vAlign w:val="bottom"/>
            <w:gridSpan w:val="3"/>
          </w:tcPr>
          <w:p>
            <w:pPr>
              <w:jc w:val="right"/>
              <w:ind w:right="57"/>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40" w:type="dxa"/>
            <w:vAlign w:val="bottom"/>
          </w:tcPr>
          <w:p>
            <w:pPr>
              <w:jc w:val="right"/>
              <w:ind w:right="56"/>
              <w:spacing w:after="0"/>
              <w:rPr>
                <w:sz w:val="20"/>
                <w:szCs w:val="20"/>
                <w:color w:val="auto"/>
              </w:rPr>
            </w:pPr>
            <w:r>
              <w:rPr>
                <w:rFonts w:ascii="Arial" w:cs="Arial" w:eastAsia="Arial" w:hAnsi="Arial"/>
                <w:sz w:val="14"/>
                <w:szCs w:val="14"/>
                <w:b w:val="1"/>
                <w:bCs w:val="1"/>
                <w:color w:val="auto"/>
                <w:w w:val="89"/>
              </w:rPr>
              <w:t>2014</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20" w:type="dxa"/>
            <w:vAlign w:val="bottom"/>
            <w:tcBorders>
              <w:bottom w:val="single" w:sz="8" w:color="CCEEFF"/>
            </w:tcBorders>
            <w:shd w:val="clear" w:color="auto" w:fill="000000"/>
          </w:tcPr>
          <w:p>
            <w:pPr>
              <w:spacing w:after="0" w:line="20" w:lineRule="exact"/>
              <w:rPr>
                <w:sz w:val="1"/>
                <w:szCs w:val="1"/>
                <w:color w:val="auto"/>
              </w:rPr>
            </w:pPr>
          </w:p>
        </w:tc>
        <w:tc>
          <w:tcPr>
            <w:tcW w:w="3140" w:type="dxa"/>
            <w:vAlign w:val="bottom"/>
            <w:tcBorders>
              <w:bottom w:val="single" w:sz="8" w:color="CCEEFF"/>
            </w:tcBorders>
          </w:tcPr>
          <w:p>
            <w:pPr>
              <w:spacing w:after="0" w:line="20" w:lineRule="exact"/>
              <w:rPr>
                <w:sz w:val="1"/>
                <w:szCs w:val="1"/>
                <w:color w:val="auto"/>
              </w:rPr>
            </w:pPr>
          </w:p>
        </w:tc>
        <w:tc>
          <w:tcPr>
            <w:tcW w:w="188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466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color w:val="auto"/>
              </w:rPr>
              <w:t>Interest and other income, net:</w:t>
            </w:r>
          </w:p>
        </w:tc>
        <w:tc>
          <w:tcPr>
            <w:tcW w:w="18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32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3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3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220" w:type="dxa"/>
            <w:vAlign w:val="bottom"/>
            <w:tcBorders>
              <w:right w:val="single" w:sz="8" w:color="CCEEFF"/>
            </w:tcBorders>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44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ind w:left="420"/>
              <w:spacing w:after="0"/>
              <w:rPr>
                <w:sz w:val="20"/>
                <w:szCs w:val="20"/>
                <w:color w:val="auto"/>
              </w:rPr>
            </w:pPr>
            <w:r>
              <w:rPr>
                <w:rFonts w:ascii="Arial" w:cs="Arial" w:eastAsia="Arial" w:hAnsi="Arial"/>
                <w:sz w:val="18"/>
                <w:szCs w:val="18"/>
                <w:color w:val="auto"/>
              </w:rPr>
              <w:t>Available-for-sale securities:</w:t>
            </w:r>
          </w:p>
        </w:tc>
        <w:tc>
          <w:tcPr>
            <w:tcW w:w="1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Marketable securities</w:t>
            </w:r>
          </w:p>
        </w:tc>
        <w:tc>
          <w:tcPr>
            <w:tcW w:w="2000" w:type="dxa"/>
            <w:vAlign w:val="bottom"/>
            <w:gridSpan w:val="2"/>
            <w:shd w:val="clear" w:color="auto" w:fill="CCEEFF"/>
          </w:tcPr>
          <w:p>
            <w:pPr>
              <w:ind w:left="1880"/>
              <w:spacing w:after="0"/>
              <w:rPr>
                <w:sz w:val="20"/>
                <w:szCs w:val="20"/>
                <w:color w:val="auto"/>
              </w:rPr>
            </w:pPr>
            <w:r>
              <w:rPr>
                <w:rFonts w:ascii="Arial" w:cs="Arial" w:eastAsia="Arial" w:hAnsi="Arial"/>
                <w:sz w:val="18"/>
                <w:szCs w:val="18"/>
                <w:color w:val="auto"/>
                <w:w w:val="99"/>
              </w:rPr>
              <w:t>$</w:t>
            </w:r>
          </w:p>
        </w:tc>
        <w:tc>
          <w:tcPr>
            <w:tcW w:w="7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121</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435</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453</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855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spacing w:after="0"/>
              <w:rPr>
                <w:sz w:val="20"/>
                <w:szCs w:val="20"/>
                <w:color w:val="auto"/>
              </w:rPr>
            </w:pPr>
            <w:r>
              <w:rPr>
                <w:rFonts w:ascii="Arial" w:cs="Arial" w:eastAsia="Arial" w:hAnsi="Arial"/>
                <w:sz w:val="18"/>
                <w:szCs w:val="18"/>
                <w:color w:val="auto"/>
              </w:rPr>
              <w:t>Operating cost and expenses:</w:t>
            </w:r>
          </w:p>
        </w:tc>
        <w:tc>
          <w:tcPr>
            <w:tcW w:w="1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1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ind w:left="420"/>
              <w:spacing w:after="0"/>
              <w:rPr>
                <w:sz w:val="20"/>
                <w:szCs w:val="20"/>
                <w:color w:val="auto"/>
              </w:rPr>
            </w:pPr>
            <w:r>
              <w:rPr>
                <w:rFonts w:ascii="Arial" w:cs="Arial" w:eastAsia="Arial" w:hAnsi="Arial"/>
                <w:sz w:val="18"/>
                <w:szCs w:val="18"/>
                <w:color w:val="auto"/>
              </w:rPr>
              <w:t>Research and development</w:t>
            </w:r>
          </w:p>
        </w:tc>
        <w:tc>
          <w:tcPr>
            <w:tcW w:w="1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3"/>
          </w:tcPr>
          <w:p>
            <w:pPr>
              <w:jc w:val="right"/>
              <w:ind w:right="320"/>
              <w:spacing w:after="0"/>
              <w:rPr>
                <w:sz w:val="20"/>
                <w:szCs w:val="20"/>
                <w:color w:val="auto"/>
              </w:rPr>
            </w:pPr>
            <w:r>
              <w:rPr>
                <w:rFonts w:ascii="Arial" w:cs="Arial" w:eastAsia="Arial" w:hAnsi="Arial"/>
                <w:sz w:val="18"/>
                <w:szCs w:val="18"/>
                <w:color w:val="auto"/>
              </w:rPr>
              <w:t>251</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79"/>
              </w:rPr>
              <w:t>200</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gridSpan w:val="2"/>
          </w:tcPr>
          <w:p>
            <w:pPr>
              <w:jc w:val="right"/>
              <w:ind w:right="40"/>
              <w:spacing w:after="0"/>
              <w:rPr>
                <w:sz w:val="20"/>
                <w:szCs w:val="20"/>
                <w:color w:val="auto"/>
              </w:rPr>
            </w:pPr>
            <w:r>
              <w:rPr>
                <w:rFonts w:ascii="Arial" w:cs="Arial" w:eastAsia="Arial" w:hAnsi="Arial"/>
                <w:sz w:val="18"/>
                <w:szCs w:val="18"/>
                <w:color w:val="auto"/>
                <w:w w:val="95"/>
              </w:rPr>
              <w:t>(613)</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gridSpan w:val="2"/>
          </w:tcPr>
          <w:p>
            <w:pPr>
              <w:jc w:val="right"/>
              <w:ind w:right="20"/>
              <w:spacing w:after="0"/>
              <w:rPr>
                <w:sz w:val="20"/>
                <w:szCs w:val="20"/>
                <w:color w:val="auto"/>
              </w:rPr>
            </w:pPr>
            <w:r>
              <w:rPr>
                <w:rFonts w:ascii="Arial" w:cs="Arial" w:eastAsia="Arial" w:hAnsi="Arial"/>
                <w:sz w:val="18"/>
                <w:szCs w:val="18"/>
                <w:color w:val="auto"/>
              </w:rPr>
              <w:t>921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w:t>
            </w: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gridSpan w:val="2"/>
          </w:tcPr>
          <w:p>
            <w:pPr>
              <w:ind w:left="420"/>
              <w:spacing w:after="0"/>
              <w:rPr>
                <w:sz w:val="20"/>
                <w:szCs w:val="20"/>
                <w:color w:val="auto"/>
              </w:rPr>
            </w:pPr>
            <w:r>
              <w:rPr>
                <w:rFonts w:ascii="Arial" w:cs="Arial" w:eastAsia="Arial" w:hAnsi="Arial"/>
                <w:sz w:val="18"/>
                <w:szCs w:val="18"/>
                <w:color w:val="auto"/>
              </w:rPr>
              <w:t>General and administrative</w:t>
            </w:r>
          </w:p>
        </w:tc>
        <w:tc>
          <w:tcPr>
            <w:tcW w:w="18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20</w:t>
            </w: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8"/>
              </w:rPr>
              <w:t>—</w:t>
            </w:r>
          </w:p>
        </w:tc>
        <w:tc>
          <w:tcPr>
            <w:tcW w:w="540" w:type="dxa"/>
            <w:vAlign w:val="bottom"/>
            <w:gridSpan w:val="2"/>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6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2</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w:t>
            </w:r>
          </w:p>
        </w:tc>
        <w:tc>
          <w:tcPr>
            <w:tcW w:w="2000" w:type="dxa"/>
            <w:vAlign w:val="bottom"/>
            <w:gridSpan w:val="2"/>
            <w:shd w:val="clear" w:color="auto" w:fill="CCEEFF"/>
          </w:tcPr>
          <w:p>
            <w:pPr>
              <w:ind w:left="1880"/>
              <w:spacing w:after="0"/>
              <w:rPr>
                <w:sz w:val="20"/>
                <w:szCs w:val="20"/>
                <w:color w:val="auto"/>
              </w:rPr>
            </w:pPr>
            <w:r>
              <w:rPr>
                <w:rFonts w:ascii="Arial" w:cs="Arial" w:eastAsia="Arial" w:hAnsi="Arial"/>
                <w:sz w:val="18"/>
                <w:szCs w:val="18"/>
                <w:color w:val="auto"/>
                <w:w w:val="99"/>
              </w:rPr>
              <w:t>$</w:t>
            </w:r>
          </w:p>
        </w:tc>
        <w:tc>
          <w:tcPr>
            <w:tcW w:w="7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396</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654</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(216)</w:t>
            </w:r>
          </w:p>
        </w:tc>
        <w:tc>
          <w:tcPr>
            <w:tcW w:w="240" w:type="dxa"/>
            <w:vAlign w:val="bottom"/>
            <w:shd w:val="clear" w:color="auto" w:fill="CCEEFF"/>
          </w:tcPr>
          <w:p>
            <w:pPr>
              <w:spacing w:after="0"/>
              <w:rPr>
                <w:sz w:val="18"/>
                <w:szCs w:val="18"/>
                <w:color w:val="auto"/>
              </w:rPr>
            </w:pPr>
          </w:p>
        </w:tc>
        <w:tc>
          <w:tcPr>
            <w:tcW w:w="78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$ 1,859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80" w:type="dxa"/>
            <w:vAlign w:val="bottom"/>
            <w:gridSpan w:val="3"/>
            <w:vMerge w:val="restart"/>
          </w:tcPr>
          <w:p>
            <w:pPr>
              <w:spacing w:after="0"/>
              <w:rPr>
                <w:sz w:val="20"/>
                <w:szCs w:val="20"/>
                <w:color w:val="auto"/>
              </w:rPr>
            </w:pPr>
            <w:r>
              <w:rPr>
                <w:rFonts w:ascii="Arial" w:cs="Arial" w:eastAsia="Arial" w:hAnsi="Arial"/>
                <w:sz w:val="18"/>
                <w:szCs w:val="18"/>
                <w:b w:val="1"/>
                <w:bCs w:val="1"/>
                <w:i w:val="1"/>
                <w:iCs w:val="1"/>
                <w:color w:val="auto"/>
              </w:rPr>
              <w:t>Consolidated Statements of Operations</w:t>
            </w:r>
          </w:p>
        </w:tc>
        <w:tc>
          <w:tcPr>
            <w:tcW w:w="1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680" w:type="dxa"/>
            <w:vAlign w:val="bottom"/>
            <w:gridSpan w:val="3"/>
            <w:vMerge w:val="continue"/>
          </w:tcPr>
          <w:p>
            <w:pPr>
              <w:spacing w:after="0"/>
              <w:rPr>
                <w:sz w:val="24"/>
                <w:szCs w:val="24"/>
                <w:color w:val="auto"/>
              </w:rPr>
            </w:pPr>
          </w:p>
        </w:tc>
        <w:tc>
          <w:tcPr>
            <w:tcW w:w="18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314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60" w:type="dxa"/>
            <w:vAlign w:val="bottom"/>
            <w:gridSpan w:val="8"/>
          </w:tcPr>
          <w:p>
            <w:pPr>
              <w:jc w:val="right"/>
              <w:ind w:right="480"/>
              <w:spacing w:after="0"/>
              <w:rPr>
                <w:sz w:val="20"/>
                <w:szCs w:val="20"/>
                <w:color w:val="auto"/>
              </w:rPr>
            </w:pPr>
            <w:r>
              <w:rPr>
                <w:rFonts w:ascii="Arial" w:cs="Arial" w:eastAsia="Arial" w:hAnsi="Arial"/>
                <w:sz w:val="14"/>
                <w:szCs w:val="14"/>
                <w:b w:val="1"/>
                <w:bCs w:val="1"/>
                <w:color w:val="auto"/>
                <w:w w:val="98"/>
              </w:rPr>
              <w:t>Three Months Ended</w:t>
            </w: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60" w:type="dxa"/>
            <w:vAlign w:val="bottom"/>
            <w:gridSpan w:val="8"/>
          </w:tcPr>
          <w:p>
            <w:pPr>
              <w:jc w:val="right"/>
              <w:ind w:right="360"/>
              <w:spacing w:after="0"/>
              <w:rPr>
                <w:sz w:val="20"/>
                <w:szCs w:val="20"/>
                <w:color w:val="auto"/>
              </w:rPr>
            </w:pPr>
            <w:r>
              <w:rPr>
                <w:rFonts w:ascii="Arial" w:cs="Arial" w:eastAsia="Arial" w:hAnsi="Arial"/>
                <w:sz w:val="14"/>
                <w:szCs w:val="14"/>
                <w:b w:val="1"/>
                <w:bCs w:val="1"/>
                <w:color w:val="auto"/>
                <w:w w:val="97"/>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314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Borders>
              <w:top w:val="single" w:sz="8" w:color="auto"/>
            </w:tcBorders>
            <w:gridSpan w:val="3"/>
          </w:tcPr>
          <w:p>
            <w:pPr>
              <w:jc w:val="right"/>
              <w:ind w:right="220"/>
              <w:spacing w:after="0" w:line="129" w:lineRule="exact"/>
              <w:rPr>
                <w:sz w:val="20"/>
                <w:szCs w:val="20"/>
                <w:color w:val="auto"/>
              </w:rPr>
            </w:pPr>
            <w:r>
              <w:rPr>
                <w:rFonts w:ascii="Arial" w:cs="Arial" w:eastAsia="Arial" w:hAnsi="Arial"/>
                <w:sz w:val="14"/>
                <w:szCs w:val="14"/>
                <w:b w:val="1"/>
                <w:bCs w:val="1"/>
                <w:color w:val="auto"/>
                <w:w w:val="84"/>
              </w:rPr>
              <w:t>August 1,</w:t>
            </w:r>
          </w:p>
        </w:tc>
        <w:tc>
          <w:tcPr>
            <w:tcW w:w="1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w w:val="84"/>
              </w:rPr>
              <w:t>August 2,</w:t>
            </w:r>
          </w:p>
        </w:tc>
        <w:tc>
          <w:tcPr>
            <w:tcW w:w="3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20" w:type="dxa"/>
            <w:vAlign w:val="bottom"/>
            <w:tcBorders>
              <w:top w:val="single" w:sz="8" w:color="auto"/>
            </w:tcBorders>
            <w:gridSpan w:val="4"/>
          </w:tcPr>
          <w:p>
            <w:pPr>
              <w:ind w:left="20"/>
              <w:spacing w:after="0" w:line="129" w:lineRule="exact"/>
              <w:rPr>
                <w:sz w:val="20"/>
                <w:szCs w:val="20"/>
                <w:color w:val="auto"/>
              </w:rPr>
            </w:pPr>
            <w:r>
              <w:rPr>
                <w:rFonts w:ascii="Arial" w:cs="Arial" w:eastAsia="Arial" w:hAnsi="Arial"/>
                <w:sz w:val="14"/>
                <w:szCs w:val="14"/>
                <w:b w:val="1"/>
                <w:bCs w:val="1"/>
                <w:color w:val="auto"/>
              </w:rPr>
              <w:t>August 1,</w:t>
            </w:r>
          </w:p>
        </w:tc>
        <w:tc>
          <w:tcPr>
            <w:tcW w:w="2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1"/>
              </w:rPr>
              <w:t>August 2,</w:t>
            </w:r>
          </w:p>
        </w:tc>
        <w:tc>
          <w:tcPr>
            <w:tcW w:w="100" w:type="dxa"/>
            <w:vAlign w:val="bottom"/>
            <w:gridSpan w:val="2"/>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31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2015</w:t>
            </w: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w w:val="96"/>
              </w:rPr>
              <w:t>2014</w:t>
            </w:r>
          </w:p>
        </w:tc>
        <w:tc>
          <w:tcPr>
            <w:tcW w:w="3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0" w:type="dxa"/>
            <w:vAlign w:val="bottom"/>
          </w:tcPr>
          <w:p>
            <w:pPr>
              <w:jc w:val="right"/>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40" w:type="dxa"/>
            <w:vAlign w:val="bottom"/>
          </w:tcPr>
          <w:p>
            <w:pPr>
              <w:jc w:val="right"/>
              <w:ind w:right="76"/>
              <w:spacing w:after="0"/>
              <w:rPr>
                <w:sz w:val="20"/>
                <w:szCs w:val="20"/>
                <w:color w:val="auto"/>
              </w:rPr>
            </w:pPr>
            <w:r>
              <w:rPr>
                <w:rFonts w:ascii="Arial" w:cs="Arial" w:eastAsia="Arial" w:hAnsi="Arial"/>
                <w:sz w:val="14"/>
                <w:szCs w:val="14"/>
                <w:b w:val="1"/>
                <w:bCs w:val="1"/>
                <w:color w:val="auto"/>
                <w:w w:val="83"/>
              </w:rPr>
              <w:t>2014</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66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Interest and other income, net:</w:t>
            </w:r>
          </w:p>
        </w:tc>
        <w:tc>
          <w:tcPr>
            <w:tcW w:w="18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right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spacing w:after="0"/>
              <w:rPr>
                <w:sz w:val="20"/>
                <w:szCs w:val="20"/>
                <w:color w:val="auto"/>
              </w:rPr>
            </w:pPr>
            <w:r>
              <w:rPr>
                <w:rFonts w:ascii="Arial" w:cs="Arial" w:eastAsia="Arial" w:hAnsi="Arial"/>
                <w:sz w:val="18"/>
                <w:szCs w:val="18"/>
                <w:color w:val="auto"/>
              </w:rPr>
              <w:t>Interest income</w:t>
            </w:r>
          </w:p>
        </w:tc>
        <w:tc>
          <w:tcPr>
            <w:tcW w:w="1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$ 3,971</w:t>
            </w:r>
          </w:p>
        </w:tc>
        <w:tc>
          <w:tcPr>
            <w:tcW w:w="220" w:type="dxa"/>
            <w:vAlign w:val="bottom"/>
          </w:tcPr>
          <w:p>
            <w:pPr>
              <w:spacing w:after="0"/>
              <w:rPr>
                <w:sz w:val="18"/>
                <w:szCs w:val="18"/>
                <w:color w:val="auto"/>
              </w:rPr>
            </w:pP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800" w:type="dxa"/>
            <w:vAlign w:val="bottom"/>
            <w:gridSpan w:val="3"/>
          </w:tcPr>
          <w:p>
            <w:pPr>
              <w:jc w:val="right"/>
              <w:ind w:right="320"/>
              <w:spacing w:after="0"/>
              <w:rPr>
                <w:sz w:val="20"/>
                <w:szCs w:val="20"/>
                <w:color w:val="auto"/>
              </w:rPr>
            </w:pPr>
            <w:r>
              <w:rPr>
                <w:rFonts w:ascii="Arial" w:cs="Arial" w:eastAsia="Arial" w:hAnsi="Arial"/>
                <w:sz w:val="18"/>
                <w:szCs w:val="18"/>
                <w:color w:val="auto"/>
              </w:rPr>
              <w:t>2,315</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w w:val="97"/>
              </w:rPr>
              <w:t>8,048</w:t>
            </w:r>
          </w:p>
        </w:tc>
        <w:tc>
          <w:tcPr>
            <w:tcW w:w="240" w:type="dxa"/>
            <w:vAlign w:val="bottom"/>
          </w:tcPr>
          <w:p>
            <w:pPr>
              <w:spacing w:after="0"/>
              <w:rPr>
                <w:sz w:val="18"/>
                <w:szCs w:val="18"/>
                <w:color w:val="auto"/>
              </w:rPr>
            </w:pPr>
          </w:p>
        </w:tc>
        <w:tc>
          <w:tcPr>
            <w:tcW w:w="32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460" w:type="dxa"/>
            <w:vAlign w:val="bottom"/>
            <w:gridSpan w:val="2"/>
          </w:tcPr>
          <w:p>
            <w:pPr>
              <w:jc w:val="right"/>
              <w:ind w:right="20"/>
              <w:spacing w:after="0"/>
              <w:rPr>
                <w:sz w:val="20"/>
                <w:szCs w:val="20"/>
                <w:color w:val="auto"/>
              </w:rPr>
            </w:pPr>
            <w:r>
              <w:rPr>
                <w:rFonts w:ascii="Arial" w:cs="Arial" w:eastAsia="Arial" w:hAnsi="Arial"/>
                <w:sz w:val="18"/>
                <w:szCs w:val="18"/>
                <w:color w:val="auto"/>
                <w:w w:val="93"/>
              </w:rPr>
              <w:t>4,924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realized gain on investments</w:t>
            </w:r>
          </w:p>
        </w:tc>
        <w:tc>
          <w:tcPr>
            <w:tcW w:w="1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480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361</w:t>
            </w: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927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spacing w:after="0"/>
              <w:rPr>
                <w:sz w:val="20"/>
                <w:szCs w:val="20"/>
                <w:color w:val="auto"/>
              </w:rPr>
            </w:pPr>
            <w:r>
              <w:rPr>
                <w:rFonts w:ascii="Arial" w:cs="Arial" w:eastAsia="Arial" w:hAnsi="Arial"/>
                <w:sz w:val="18"/>
                <w:szCs w:val="18"/>
                <w:color w:val="auto"/>
              </w:rPr>
              <w:t>Currency translation gain (loss)</w:t>
            </w:r>
          </w:p>
        </w:tc>
        <w:tc>
          <w:tcPr>
            <w:tcW w:w="1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3,494</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3"/>
          </w:tcPr>
          <w:p>
            <w:pPr>
              <w:jc w:val="right"/>
              <w:ind w:right="320"/>
              <w:spacing w:after="0"/>
              <w:rPr>
                <w:sz w:val="20"/>
                <w:szCs w:val="20"/>
                <w:color w:val="auto"/>
              </w:rPr>
            </w:pPr>
            <w:r>
              <w:rPr>
                <w:rFonts w:ascii="Arial" w:cs="Arial" w:eastAsia="Arial" w:hAnsi="Arial"/>
                <w:sz w:val="18"/>
                <w:szCs w:val="18"/>
                <w:color w:val="auto"/>
              </w:rPr>
              <w:t>339</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w w:val="97"/>
              </w:rPr>
              <w:t>3,901</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3"/>
          </w:tcPr>
          <w:p>
            <w:pPr>
              <w:jc w:val="right"/>
              <w:ind w:right="40"/>
              <w:spacing w:after="0"/>
              <w:rPr>
                <w:sz w:val="20"/>
                <w:szCs w:val="20"/>
                <w:color w:val="auto"/>
              </w:rPr>
            </w:pPr>
            <w:r>
              <w:rPr>
                <w:rFonts w:ascii="Arial" w:cs="Arial" w:eastAsia="Arial" w:hAnsi="Arial"/>
                <w:sz w:val="18"/>
                <w:szCs w:val="18"/>
                <w:color w:val="auto"/>
              </w:rPr>
              <w:t>(686)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income (expense)</w:t>
            </w:r>
          </w:p>
        </w:tc>
        <w:tc>
          <w:tcPr>
            <w:tcW w:w="1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4"/>
            <w:shd w:val="clear" w:color="auto" w:fill="CCEEFF"/>
          </w:tcPr>
          <w:p>
            <w:pPr>
              <w:jc w:val="right"/>
              <w:ind w:right="160"/>
              <w:spacing w:after="0"/>
              <w:rPr>
                <w:sz w:val="20"/>
                <w:szCs w:val="20"/>
                <w:color w:val="auto"/>
              </w:rPr>
            </w:pPr>
            <w:r>
              <w:rPr>
                <w:rFonts w:ascii="Arial" w:cs="Arial" w:eastAsia="Arial" w:hAnsi="Arial"/>
                <w:sz w:val="18"/>
                <w:szCs w:val="18"/>
                <w:color w:val="auto"/>
              </w:rPr>
              <w:t>(508)</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9,438</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59</w:t>
            </w: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3"/>
              </w:rPr>
              <w:t>9,657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spacing w:after="0"/>
              <w:rPr>
                <w:sz w:val="20"/>
                <w:szCs w:val="20"/>
                <w:color w:val="auto"/>
              </w:rPr>
            </w:pPr>
            <w:r>
              <w:rPr>
                <w:rFonts w:ascii="Arial" w:cs="Arial" w:eastAsia="Arial" w:hAnsi="Arial"/>
                <w:sz w:val="18"/>
                <w:szCs w:val="18"/>
                <w:color w:val="auto"/>
              </w:rPr>
              <w:t>Interest expense</w:t>
            </w:r>
          </w:p>
        </w:tc>
        <w:tc>
          <w:tcPr>
            <w:tcW w:w="1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gridSpan w:val="3"/>
          </w:tcPr>
          <w:p>
            <w:pPr>
              <w:jc w:val="right"/>
              <w:ind w:right="160"/>
              <w:spacing w:after="0"/>
              <w:rPr>
                <w:sz w:val="20"/>
                <w:szCs w:val="20"/>
                <w:color w:val="auto"/>
              </w:rPr>
            </w:pPr>
            <w:r>
              <w:rPr>
                <w:rFonts w:ascii="Arial" w:cs="Arial" w:eastAsia="Arial" w:hAnsi="Arial"/>
                <w:sz w:val="18"/>
                <w:szCs w:val="18"/>
                <w:color w:val="auto"/>
              </w:rPr>
              <w:t>(192)</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3"/>
          </w:tcPr>
          <w:p>
            <w:pPr>
              <w:jc w:val="right"/>
              <w:ind w:right="260"/>
              <w:spacing w:after="0"/>
              <w:rPr>
                <w:sz w:val="20"/>
                <w:szCs w:val="20"/>
                <w:color w:val="auto"/>
              </w:rPr>
            </w:pPr>
            <w:r>
              <w:rPr>
                <w:rFonts w:ascii="Arial" w:cs="Arial" w:eastAsia="Arial" w:hAnsi="Arial"/>
                <w:sz w:val="18"/>
                <w:szCs w:val="18"/>
                <w:color w:val="auto"/>
              </w:rPr>
              <w:t>(309)</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3"/>
          </w:tcPr>
          <w:p>
            <w:pPr>
              <w:jc w:val="right"/>
              <w:ind w:right="180"/>
              <w:spacing w:after="0"/>
              <w:rPr>
                <w:sz w:val="20"/>
                <w:szCs w:val="20"/>
                <w:color w:val="auto"/>
              </w:rPr>
            </w:pPr>
            <w:r>
              <w:rPr>
                <w:rFonts w:ascii="Arial" w:cs="Arial" w:eastAsia="Arial" w:hAnsi="Arial"/>
                <w:sz w:val="18"/>
                <w:szCs w:val="18"/>
                <w:color w:val="auto"/>
              </w:rPr>
              <w:t>(412)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3"/>
          </w:tcPr>
          <w:p>
            <w:pPr>
              <w:jc w:val="right"/>
              <w:ind w:right="40"/>
              <w:spacing w:after="0"/>
              <w:rPr>
                <w:sz w:val="20"/>
                <w:szCs w:val="20"/>
                <w:color w:val="auto"/>
              </w:rPr>
            </w:pPr>
            <w:r>
              <w:rPr>
                <w:rFonts w:ascii="Arial" w:cs="Arial" w:eastAsia="Arial" w:hAnsi="Arial"/>
                <w:sz w:val="18"/>
                <w:szCs w:val="18"/>
                <w:color w:val="auto"/>
              </w:rPr>
              <w:t>(634)</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3140" w:type="dxa"/>
            <w:vAlign w:val="bottom"/>
          </w:tcPr>
          <w:p>
            <w:pPr>
              <w:spacing w:after="0"/>
              <w:rPr>
                <w:sz w:val="2"/>
                <w:szCs w:val="2"/>
                <w:color w:val="auto"/>
              </w:rPr>
            </w:pPr>
          </w:p>
        </w:tc>
        <w:tc>
          <w:tcPr>
            <w:tcW w:w="18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3140" w:type="dxa"/>
            <w:vAlign w:val="bottom"/>
            <w:shd w:val="clear" w:color="auto" w:fill="CCEEFF"/>
          </w:tcPr>
          <w:p>
            <w:pPr>
              <w:spacing w:after="0"/>
              <w:rPr>
                <w:sz w:val="18"/>
                <w:szCs w:val="18"/>
                <w:color w:val="auto"/>
              </w:rPr>
            </w:pPr>
          </w:p>
        </w:tc>
        <w:tc>
          <w:tcPr>
            <w:tcW w:w="1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$ 6,790</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12,263</w:t>
            </w: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11,957</w:t>
            </w:r>
          </w:p>
        </w:tc>
        <w:tc>
          <w:tcPr>
            <w:tcW w:w="240" w:type="dxa"/>
            <w:vAlign w:val="bottom"/>
            <w:shd w:val="clear" w:color="auto" w:fill="CCEEFF"/>
          </w:tcPr>
          <w:p>
            <w:pPr>
              <w:spacing w:after="0"/>
              <w:rPr>
                <w:sz w:val="18"/>
                <w:szCs w:val="18"/>
                <w:color w:val="auto"/>
              </w:rPr>
            </w:pPr>
          </w:p>
        </w:tc>
        <w:tc>
          <w:tcPr>
            <w:tcW w:w="78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14,188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314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on the weighted average number of common shares outstanding during the period, and diluted net income (loss) per share, which is based on the weighted average number of common shares outstanding and potentially dilutive common shares outstanding during the period. The computations of basic and diluted net income (loss) per share are presented in the following table (in thousands, except per share amounts):</w:t>
      </w:r>
    </w:p>
    <w:p>
      <w:pPr>
        <w:spacing w:after="0" w:line="13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40"/>
          </w:cols>
          <w:pgMar w:left="240" w:top="459" w:right="319" w:bottom="1440" w:gutter="0" w:footer="0" w:header="0"/>
          <w:type w:val="continuous"/>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20" w:type="dxa"/>
            <w:vAlign w:val="bottom"/>
            <w:gridSpan w:val="6"/>
          </w:tcPr>
          <w:p>
            <w:pPr>
              <w:jc w:val="right"/>
              <w:ind w:right="680"/>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4"/>
                <w:szCs w:val="14"/>
                <w:color w:val="auto"/>
              </w:rPr>
            </w:pPr>
          </w:p>
        </w:tc>
        <w:tc>
          <w:tcPr>
            <w:tcW w:w="1820" w:type="dxa"/>
            <w:vAlign w:val="bottom"/>
            <w:gridSpan w:val="5"/>
          </w:tcPr>
          <w:p>
            <w:pPr>
              <w:ind w:left="2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4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84"/>
              </w:rPr>
              <w:t>August 1,</w:t>
            </w:r>
          </w:p>
        </w:tc>
        <w:tc>
          <w:tcPr>
            <w:tcW w:w="1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August 2,</w:t>
            </w:r>
          </w:p>
        </w:tc>
        <w:tc>
          <w:tcPr>
            <w:tcW w:w="4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84"/>
              </w:rPr>
              <w:t>August 1,</w:t>
            </w: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2015</w:t>
            </w:r>
          </w:p>
        </w:tc>
        <w:tc>
          <w:tcPr>
            <w:tcW w:w="2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2015</w:t>
            </w:r>
          </w:p>
        </w:tc>
        <w:tc>
          <w:tcPr>
            <w:tcW w:w="4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4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400" w:type="dxa"/>
            <w:vAlign w:val="bottom"/>
          </w:tcPr>
          <w:p>
            <w:pPr>
              <w:ind w:left="880"/>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w w:val="88"/>
              </w:rPr>
              <w:t>(771,940)</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138,870</w:t>
            </w:r>
          </w:p>
        </w:tc>
        <w:tc>
          <w:tcPr>
            <w:tcW w:w="40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w w:val="88"/>
              </w:rPr>
              <w:t>(757,850)</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238,349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tcPr>
          <w:p>
            <w:pPr>
              <w:ind w:left="440"/>
              <w:spacing w:after="0"/>
              <w:rPr>
                <w:sz w:val="20"/>
                <w:szCs w:val="20"/>
                <w:color w:val="auto"/>
              </w:rPr>
            </w:pPr>
            <w:r>
              <w:rPr>
                <w:rFonts w:ascii="Arial" w:cs="Arial" w:eastAsia="Arial" w:hAnsi="Arial"/>
                <w:sz w:val="18"/>
                <w:szCs w:val="18"/>
                <w:color w:val="auto"/>
              </w:rPr>
              <w:t>Weighted average shares — basic</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516,368</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511,821</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516,298</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508,463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40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80" w:type="dxa"/>
            <w:vAlign w:val="bottom"/>
          </w:tcPr>
          <w:p>
            <w:pPr>
              <w:spacing w:after="0"/>
              <w:rPr>
                <w:sz w:val="19"/>
                <w:szCs w:val="19"/>
                <w:color w:val="auto"/>
              </w:rPr>
            </w:pPr>
          </w:p>
        </w:tc>
        <w:tc>
          <w:tcPr>
            <w:tcW w:w="8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8,448</w:t>
            </w:r>
          </w:p>
        </w:tc>
        <w:tc>
          <w:tcPr>
            <w:tcW w:w="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6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12,047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516,368</w:t>
            </w: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520,269</w:t>
            </w:r>
          </w:p>
        </w:tc>
        <w:tc>
          <w:tcPr>
            <w:tcW w:w="40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516,298</w:t>
            </w:r>
          </w:p>
        </w:tc>
        <w:tc>
          <w:tcPr>
            <w:tcW w:w="4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520,510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40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Basic</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(1.49)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0.27</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(1.47)</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400" w:type="dxa"/>
            <w:vAlign w:val="bottom"/>
          </w:tcPr>
          <w:p>
            <w:pPr>
              <w:ind w:left="880"/>
              <w:spacing w:after="0"/>
              <w:rPr>
                <w:sz w:val="20"/>
                <w:szCs w:val="20"/>
                <w:color w:val="auto"/>
              </w:rPr>
            </w:pPr>
            <w:r>
              <w:rPr>
                <w:rFonts w:ascii="Arial" w:cs="Arial" w:eastAsia="Arial" w:hAnsi="Arial"/>
                <w:sz w:val="18"/>
                <w:szCs w:val="18"/>
                <w:color w:val="auto"/>
              </w:rPr>
              <w:t>Diluted</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(1.49)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0.27</w:t>
            </w:r>
          </w:p>
        </w:tc>
        <w:tc>
          <w:tcPr>
            <w:tcW w:w="40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(1.47)</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7020" w:type="dxa"/>
            <w:vAlign w:val="bottom"/>
          </w:tcPr>
          <w:p>
            <w:pPr>
              <w:spacing w:after="0"/>
              <w:rPr>
                <w:sz w:val="14"/>
                <w:szCs w:val="14"/>
                <w:color w:val="auto"/>
              </w:rPr>
            </w:pPr>
          </w:p>
        </w:tc>
        <w:tc>
          <w:tcPr>
            <w:tcW w:w="1880" w:type="dxa"/>
            <w:vAlign w:val="bottom"/>
            <w:gridSpan w:val="4"/>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1600" w:type="dxa"/>
            <w:vAlign w:val="bottom"/>
            <w:gridSpan w:val="4"/>
          </w:tcPr>
          <w:p>
            <w:pPr>
              <w:ind w:left="22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7020" w:type="dxa"/>
            <w:vAlign w:val="bottom"/>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3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380" w:type="dxa"/>
            <w:vAlign w:val="bottom"/>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4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100" w:type="dxa"/>
            <w:vAlign w:val="bottom"/>
          </w:tcPr>
          <w:p>
            <w:pPr>
              <w:spacing w:after="0"/>
              <w:rPr>
                <w:sz w:val="11"/>
                <w:szCs w:val="11"/>
                <w:color w:val="auto"/>
              </w:rPr>
            </w:pPr>
          </w:p>
        </w:tc>
      </w:tr>
      <w:tr>
        <w:trPr>
          <w:trHeight w:val="161"/>
        </w:trPr>
        <w:tc>
          <w:tcPr>
            <w:tcW w:w="7020" w:type="dxa"/>
            <w:vAlign w:val="bottom"/>
          </w:tcPr>
          <w:p>
            <w:pPr>
              <w:spacing w:after="0"/>
              <w:rPr>
                <w:sz w:val="14"/>
                <w:szCs w:val="14"/>
                <w:color w:val="auto"/>
              </w:rPr>
            </w:pPr>
          </w:p>
        </w:tc>
        <w:tc>
          <w:tcPr>
            <w:tcW w:w="560" w:type="dxa"/>
            <w:vAlign w:val="bottom"/>
          </w:tcPr>
          <w:p>
            <w:pPr>
              <w:ind w:left="140"/>
              <w:spacing w:after="0"/>
              <w:rPr>
                <w:sz w:val="20"/>
                <w:szCs w:val="20"/>
                <w:color w:val="auto"/>
              </w:rPr>
            </w:pPr>
            <w:r>
              <w:rPr>
                <w:rFonts w:ascii="Arial" w:cs="Arial" w:eastAsia="Arial" w:hAnsi="Arial"/>
                <w:sz w:val="14"/>
                <w:szCs w:val="14"/>
                <w:b w:val="1"/>
                <w:bCs w:val="1"/>
                <w:color w:val="auto"/>
              </w:rPr>
              <w:t>2015</w:t>
            </w:r>
          </w:p>
        </w:tc>
        <w:tc>
          <w:tcPr>
            <w:tcW w:w="9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2014</w:t>
            </w:r>
          </w:p>
        </w:tc>
        <w:tc>
          <w:tcPr>
            <w:tcW w:w="380" w:type="dxa"/>
            <w:vAlign w:val="bottom"/>
          </w:tcPr>
          <w:p>
            <w:pPr>
              <w:spacing w:after="0"/>
              <w:rPr>
                <w:sz w:val="14"/>
                <w:szCs w:val="14"/>
                <w:color w:val="auto"/>
              </w:rPr>
            </w:pPr>
          </w:p>
        </w:tc>
        <w:tc>
          <w:tcPr>
            <w:tcW w:w="560" w:type="dxa"/>
            <w:vAlign w:val="bottom"/>
          </w:tcPr>
          <w:p>
            <w:pPr>
              <w:jc w:val="right"/>
              <w:ind w:right="67"/>
              <w:spacing w:after="0"/>
              <w:rPr>
                <w:sz w:val="20"/>
                <w:szCs w:val="20"/>
                <w:color w:val="auto"/>
              </w:rPr>
            </w:pPr>
            <w:r>
              <w:rPr>
                <w:rFonts w:ascii="Arial" w:cs="Arial" w:eastAsia="Arial" w:hAnsi="Arial"/>
                <w:sz w:val="14"/>
                <w:szCs w:val="14"/>
                <w:b w:val="1"/>
                <w:bCs w:val="1"/>
                <w:color w:val="auto"/>
              </w:rPr>
              <w:t>2015</w:t>
            </w:r>
          </w:p>
        </w:tc>
        <w:tc>
          <w:tcPr>
            <w:tcW w:w="9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96"/>
        </w:trPr>
        <w:tc>
          <w:tcPr>
            <w:tcW w:w="70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 outstanding:</w:t>
            </w:r>
          </w:p>
        </w:tc>
        <w:tc>
          <w:tcPr>
            <w:tcW w:w="56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7020" w:type="dxa"/>
            <w:vAlign w:val="bottom"/>
          </w:tcPr>
          <w:p>
            <w:pPr>
              <w:spacing w:after="0"/>
              <w:rPr>
                <w:sz w:val="20"/>
                <w:szCs w:val="20"/>
                <w:color w:val="auto"/>
              </w:rPr>
            </w:pPr>
            <w:r>
              <w:rPr>
                <w:rFonts w:ascii="Arial" w:cs="Arial" w:eastAsia="Arial" w:hAnsi="Arial"/>
                <w:sz w:val="18"/>
                <w:szCs w:val="18"/>
                <w:color w:val="auto"/>
              </w:rPr>
              <w:t>Share-based awards</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57,437</w:t>
            </w:r>
          </w:p>
        </w:tc>
        <w:tc>
          <w:tcPr>
            <w:tcW w:w="1320" w:type="dxa"/>
            <w:vAlign w:val="bottom"/>
            <w:gridSpan w:val="3"/>
          </w:tcPr>
          <w:p>
            <w:pPr>
              <w:jc w:val="right"/>
              <w:ind w:right="380"/>
              <w:spacing w:after="0"/>
              <w:rPr>
                <w:sz w:val="20"/>
                <w:szCs w:val="20"/>
                <w:color w:val="auto"/>
              </w:rPr>
            </w:pPr>
            <w:r>
              <w:rPr>
                <w:rFonts w:ascii="Arial" w:cs="Arial" w:eastAsia="Arial" w:hAnsi="Arial"/>
                <w:sz w:val="18"/>
                <w:szCs w:val="18"/>
                <w:color w:val="auto"/>
              </w:rPr>
              <w:t>26,132</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57,519</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24,341</w:t>
            </w:r>
          </w:p>
        </w:tc>
        <w:tc>
          <w:tcPr>
            <w:tcW w:w="100" w:type="dxa"/>
            <w:vAlign w:val="bottom"/>
          </w:tcPr>
          <w:p>
            <w:pPr>
              <w:spacing w:after="0"/>
              <w:rPr>
                <w:sz w:val="18"/>
                <w:szCs w:val="18"/>
                <w:color w:val="auto"/>
              </w:rPr>
            </w:pPr>
          </w:p>
        </w:tc>
      </w:tr>
      <w:tr>
        <w:trPr>
          <w:trHeight w:val="20"/>
        </w:trPr>
        <w:tc>
          <w:tcPr>
            <w:tcW w:w="70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60" w:firstLine="456"/>
        <w:spacing w:after="0" w:line="298"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the three and six months ended August 1, 2015 due to the net loss reported in those periods. Anti-dilutive potential shares from share-based awards are excluded from the calculation of diluted earnings per share for all other periods reported above because either their exercise price exceeded the average market price during the period or the share-based awards were determined to be anti-dilutive based on applying the treasury stock method.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1880" w:type="dxa"/>
            <w:vAlign w:val="bottom"/>
            <w:gridSpan w:val="4"/>
          </w:tcPr>
          <w:p>
            <w:pPr>
              <w:ind w:left="460"/>
              <w:spacing w:after="0"/>
              <w:rPr>
                <w:sz w:val="20"/>
                <w:szCs w:val="20"/>
                <w:color w:val="auto"/>
              </w:rPr>
            </w:pPr>
            <w:r>
              <w:rPr>
                <w:rFonts w:ascii="Arial" w:cs="Arial" w:eastAsia="Arial" w:hAnsi="Arial"/>
                <w:sz w:val="14"/>
                <w:szCs w:val="14"/>
                <w:b w:val="1"/>
                <w:bCs w:val="1"/>
                <w:color w:val="auto"/>
              </w:rPr>
              <w:t>Buy Contracts</w:t>
            </w:r>
          </w:p>
        </w:tc>
      </w:tr>
      <w:tr>
        <w:trPr>
          <w:trHeight w:val="129"/>
        </w:trPr>
        <w:tc>
          <w:tcPr>
            <w:tcW w:w="386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7"/>
              </w:rPr>
              <w:t>August 1,</w:t>
            </w:r>
          </w:p>
        </w:tc>
        <w:tc>
          <w:tcPr>
            <w:tcW w:w="1200" w:type="dxa"/>
            <w:vAlign w:val="bottom"/>
            <w:tcBorders>
              <w:top w:val="single" w:sz="8" w:color="auto"/>
            </w:tcBorders>
            <w:gridSpan w:val="2"/>
          </w:tcPr>
          <w:p>
            <w:pPr>
              <w:jc w:val="center"/>
              <w:ind w:left="432"/>
              <w:spacing w:after="0" w:line="129" w:lineRule="exact"/>
              <w:rPr>
                <w:sz w:val="20"/>
                <w:szCs w:val="20"/>
                <w:color w:val="auto"/>
              </w:rPr>
            </w:pPr>
            <w:r>
              <w:rPr>
                <w:rFonts w:ascii="Arial" w:cs="Arial" w:eastAsia="Arial" w:hAnsi="Arial"/>
                <w:sz w:val="14"/>
                <w:szCs w:val="14"/>
                <w:b w:val="1"/>
                <w:bCs w:val="1"/>
                <w:color w:val="auto"/>
                <w:w w:val="90"/>
              </w:rPr>
              <w:t>January 31,</w:t>
            </w:r>
          </w:p>
        </w:tc>
        <w:tc>
          <w:tcPr>
            <w:tcW w:w="100" w:type="dxa"/>
            <w:vAlign w:val="bottom"/>
          </w:tcPr>
          <w:p>
            <w:pPr>
              <w:spacing w:after="0"/>
              <w:rPr>
                <w:sz w:val="11"/>
                <w:szCs w:val="11"/>
                <w:color w:val="auto"/>
              </w:rPr>
            </w:pPr>
          </w:p>
        </w:tc>
      </w:tr>
      <w:tr>
        <w:trPr>
          <w:trHeight w:val="161"/>
        </w:trPr>
        <w:tc>
          <w:tcPr>
            <w:tcW w:w="3860" w:type="dxa"/>
            <w:vAlign w:val="bottom"/>
          </w:tcPr>
          <w:p>
            <w:pPr>
              <w:spacing w:after="0"/>
              <w:rPr>
                <w:sz w:val="14"/>
                <w:szCs w:val="14"/>
                <w:color w:val="auto"/>
              </w:rPr>
            </w:pPr>
          </w:p>
        </w:tc>
        <w:tc>
          <w:tcPr>
            <w:tcW w:w="3520" w:type="dxa"/>
            <w:vAlign w:val="bottom"/>
            <w:gridSpan w:val="2"/>
          </w:tcPr>
          <w:p>
            <w:pPr>
              <w:jc w:val="center"/>
              <w:ind w:left="2852"/>
              <w:spacing w:after="0"/>
              <w:rPr>
                <w:sz w:val="20"/>
                <w:szCs w:val="20"/>
                <w:color w:val="auto"/>
              </w:rPr>
            </w:pPr>
            <w:r>
              <w:rPr>
                <w:rFonts w:ascii="Arial" w:cs="Arial" w:eastAsia="Arial" w:hAnsi="Arial"/>
                <w:sz w:val="14"/>
                <w:szCs w:val="14"/>
                <w:b w:val="1"/>
                <w:bCs w:val="1"/>
                <w:color w:val="auto"/>
                <w:w w:val="89"/>
              </w:rPr>
              <w:t>2015</w:t>
            </w:r>
          </w:p>
        </w:tc>
        <w:tc>
          <w:tcPr>
            <w:tcW w:w="1200" w:type="dxa"/>
            <w:vAlign w:val="bottom"/>
            <w:gridSpan w:val="2"/>
          </w:tcPr>
          <w:p>
            <w:pPr>
              <w:jc w:val="center"/>
              <w:ind w:left="432"/>
              <w:spacing w:after="0"/>
              <w:rPr>
                <w:sz w:val="20"/>
                <w:szCs w:val="20"/>
                <w:color w:val="auto"/>
              </w:rPr>
            </w:pPr>
            <w:r>
              <w:rPr>
                <w:rFonts w:ascii="Arial" w:cs="Arial" w:eastAsia="Arial" w:hAnsi="Arial"/>
                <w:sz w:val="14"/>
                <w:szCs w:val="14"/>
                <w:b w:val="1"/>
                <w:bCs w:val="1"/>
                <w:color w:val="auto"/>
                <w:w w:val="83"/>
              </w:rPr>
              <w:t>2015</w:t>
            </w:r>
          </w:p>
        </w:tc>
        <w:tc>
          <w:tcPr>
            <w:tcW w:w="100" w:type="dxa"/>
            <w:vAlign w:val="bottom"/>
          </w:tcPr>
          <w:p>
            <w:pPr>
              <w:spacing w:after="0"/>
              <w:rPr>
                <w:sz w:val="14"/>
                <w:szCs w:val="14"/>
                <w:color w:val="auto"/>
              </w:rPr>
            </w:pPr>
          </w:p>
        </w:tc>
      </w:tr>
      <w:tr>
        <w:trPr>
          <w:trHeight w:val="210"/>
        </w:trPr>
        <w:tc>
          <w:tcPr>
            <w:tcW w:w="38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9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18,749</w:t>
            </w:r>
          </w:p>
        </w:tc>
        <w:tc>
          <w:tcPr>
            <w:tcW w:w="5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51,326</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860" w:type="dxa"/>
            <w:vAlign w:val="bottom"/>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3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40"/>
          </w:cols>
          <w:pgMar w:left="240" w:top="459" w:right="31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provides information about gains (losses) associated with the Company’s derivative financial instruments (in thousands):</w:t>
      </w:r>
    </w:p>
    <w:p>
      <w:pPr>
        <w:spacing w:after="0" w:line="230" w:lineRule="exact"/>
        <w:rPr>
          <w:sz w:val="20"/>
          <w:szCs w:val="20"/>
          <w:color w:val="auto"/>
        </w:rPr>
      </w:pPr>
    </w:p>
    <w:p>
      <w:pPr>
        <w:ind w:left="8840"/>
        <w:spacing w:after="0"/>
        <w:rPr>
          <w:sz w:val="20"/>
          <w:szCs w:val="20"/>
          <w:color w:val="auto"/>
        </w:rPr>
      </w:pPr>
      <w:r>
        <w:rPr>
          <w:rFonts w:ascii="Arial" w:cs="Arial" w:eastAsia="Arial" w:hAnsi="Arial"/>
          <w:sz w:val="14"/>
          <w:szCs w:val="14"/>
          <w:b w:val="1"/>
          <w:bCs w:val="1"/>
          <w:color w:val="auto"/>
        </w:rPr>
        <w:t>Amount of Gains (Losses)</w:t>
      </w:r>
    </w:p>
    <w:p>
      <w:pPr>
        <w:spacing w:after="0" w:line="1" w:lineRule="exact"/>
        <w:rPr>
          <w:sz w:val="20"/>
          <w:szCs w:val="20"/>
          <w:color w:val="auto"/>
        </w:rPr>
      </w:pPr>
    </w:p>
    <w:p>
      <w:pPr>
        <w:ind w:left="8820"/>
        <w:spacing w:after="0"/>
        <w:rPr>
          <w:sz w:val="20"/>
          <w:szCs w:val="20"/>
          <w:color w:val="auto"/>
        </w:rPr>
      </w:pPr>
      <w:r>
        <w:rPr>
          <w:rFonts w:ascii="Arial" w:cs="Arial" w:eastAsia="Arial" w:hAnsi="Arial"/>
          <w:sz w:val="14"/>
          <w:szCs w:val="14"/>
          <w:b w:val="1"/>
          <w:bCs w:val="1"/>
          <w:color w:val="auto"/>
        </w:rPr>
        <w:t>in Statement of Operations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-7620</wp:posOffset>
            </wp:positionV>
            <wp:extent cx="216979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2169795" cy="8890"/>
                    </a:xfrm>
                    <a:prstGeom prst="rect">
                      <a:avLst/>
                    </a:prstGeom>
                    <a:noFill/>
                  </pic:spPr>
                </pic:pic>
              </a:graphicData>
            </a:graphic>
          </wp:anchor>
        </w:drawing>
      </w:r>
    </w:p>
    <w:p>
      <w:pPr>
        <w:spacing w:after="0" w:line="4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00" w:type="dxa"/>
            <w:vAlign w:val="bottom"/>
          </w:tcPr>
          <w:p>
            <w:pPr>
              <w:spacing w:after="0"/>
              <w:rPr>
                <w:sz w:val="14"/>
                <w:szCs w:val="14"/>
                <w:color w:val="auto"/>
              </w:rPr>
            </w:pPr>
          </w:p>
        </w:tc>
        <w:tc>
          <w:tcPr>
            <w:tcW w:w="19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4"/>
              </w:rPr>
              <w:t>Location of Gains (Losses)</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w w:val="89"/>
              </w:rPr>
              <w:t>Three Months Ended</w:t>
            </w:r>
          </w:p>
        </w:tc>
        <w:tc>
          <w:tcPr>
            <w:tcW w:w="120" w:type="dxa"/>
            <w:vAlign w:val="bottom"/>
          </w:tcPr>
          <w:p>
            <w:pPr>
              <w:spacing w:after="0"/>
              <w:rPr>
                <w:sz w:val="14"/>
                <w:szCs w:val="14"/>
                <w:color w:val="auto"/>
              </w:rPr>
            </w:pPr>
          </w:p>
        </w:tc>
        <w:tc>
          <w:tcPr>
            <w:tcW w:w="1500" w:type="dxa"/>
            <w:vAlign w:val="bottom"/>
            <w:gridSpan w:val="6"/>
          </w:tcPr>
          <w:p>
            <w:pPr>
              <w:jc w:val="right"/>
              <w:ind w:right="340"/>
              <w:spacing w:after="0"/>
              <w:rPr>
                <w:sz w:val="20"/>
                <w:szCs w:val="20"/>
                <w:color w:val="auto"/>
              </w:rPr>
            </w:pPr>
            <w:r>
              <w:rPr>
                <w:rFonts w:ascii="Arial" w:cs="Arial" w:eastAsia="Arial" w:hAnsi="Arial"/>
                <w:sz w:val="14"/>
                <w:szCs w:val="14"/>
                <w:b w:val="1"/>
                <w:bCs w:val="1"/>
                <w:color w:val="auto"/>
                <w:w w:val="93"/>
              </w:rPr>
              <w:t>Six Months Ended</w:t>
            </w:r>
          </w:p>
        </w:tc>
        <w:tc>
          <w:tcPr>
            <w:tcW w:w="0" w:type="dxa"/>
            <w:vAlign w:val="bottom"/>
          </w:tcPr>
          <w:p>
            <w:pPr>
              <w:spacing w:after="0"/>
              <w:rPr>
                <w:sz w:val="1"/>
                <w:szCs w:val="1"/>
                <w:color w:val="auto"/>
              </w:rPr>
            </w:pPr>
          </w:p>
        </w:tc>
      </w:tr>
      <w:tr>
        <w:trPr>
          <w:trHeight w:val="129"/>
        </w:trPr>
        <w:tc>
          <w:tcPr>
            <w:tcW w:w="5700" w:type="dxa"/>
            <w:vAlign w:val="bottom"/>
          </w:tcPr>
          <w:p>
            <w:pPr>
              <w:spacing w:after="0"/>
              <w:rPr>
                <w:sz w:val="11"/>
                <w:szCs w:val="11"/>
                <w:color w:val="auto"/>
              </w:rPr>
            </w:pPr>
          </w:p>
        </w:tc>
        <w:tc>
          <w:tcPr>
            <w:tcW w:w="1900" w:type="dxa"/>
            <w:vAlign w:val="bottom"/>
            <w:vMerge w:val="continue"/>
          </w:tcPr>
          <w:p>
            <w:pPr>
              <w:spacing w:after="0"/>
              <w:rPr>
                <w:sz w:val="11"/>
                <w:szCs w:val="11"/>
                <w:color w:val="auto"/>
              </w:rPr>
            </w:pPr>
          </w:p>
        </w:tc>
        <w:tc>
          <w:tcPr>
            <w:tcW w:w="300" w:type="dxa"/>
            <w:vAlign w:val="bottom"/>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1"/>
              </w:rPr>
              <w:t>August 1,</w:t>
            </w:r>
          </w:p>
        </w:tc>
        <w:tc>
          <w:tcPr>
            <w:tcW w:w="4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tcPr>
          <w:p>
            <w:pPr>
              <w:spacing w:after="0"/>
              <w:rPr>
                <w:sz w:val="11"/>
                <w:szCs w:val="11"/>
                <w:color w:val="auto"/>
              </w:rPr>
            </w:pPr>
          </w:p>
        </w:tc>
        <w:tc>
          <w:tcPr>
            <w:tcW w:w="7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August 1,</w:t>
            </w:r>
          </w:p>
        </w:tc>
        <w:tc>
          <w:tcPr>
            <w:tcW w:w="1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700" w:type="dxa"/>
            <w:vAlign w:val="bottom"/>
            <w:tcBorders>
              <w:bottom w:val="single" w:sz="8" w:color="CCEEFF"/>
            </w:tcBorders>
          </w:tcPr>
          <w:p>
            <w:pPr>
              <w:spacing w:after="0"/>
              <w:rPr>
                <w:sz w:val="14"/>
                <w:szCs w:val="14"/>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in Statement of Operations</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w w:val="89"/>
              </w:rPr>
              <w:t>2015</w:t>
            </w:r>
          </w:p>
        </w:tc>
        <w:tc>
          <w:tcPr>
            <w:tcW w:w="4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89"/>
              </w:rPr>
              <w:t>2014</w:t>
            </w:r>
          </w:p>
        </w:tc>
        <w:tc>
          <w:tcPr>
            <w:tcW w:w="4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w w:val="89"/>
              </w:rPr>
              <w:t>2015</w:t>
            </w:r>
          </w:p>
        </w:tc>
        <w:tc>
          <w:tcPr>
            <w:tcW w:w="2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89"/>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7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Derivatives designated as cash flow hedges:</w:t>
            </w:r>
          </w:p>
        </w:tc>
        <w:tc>
          <w:tcPr>
            <w:tcW w:w="19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700" w:type="dxa"/>
            <w:vAlign w:val="bottom"/>
          </w:tcPr>
          <w:p>
            <w:pPr>
              <w:ind w:left="440"/>
              <w:spacing w:after="0"/>
              <w:rPr>
                <w:sz w:val="20"/>
                <w:szCs w:val="20"/>
                <w:color w:val="auto"/>
              </w:rPr>
            </w:pPr>
            <w:r>
              <w:rPr>
                <w:rFonts w:ascii="Arial" w:cs="Arial" w:eastAsia="Arial" w:hAnsi="Arial"/>
                <w:sz w:val="18"/>
                <w:szCs w:val="18"/>
                <w:color w:val="auto"/>
              </w:rPr>
              <w:t>Forward contracts:</w:t>
            </w:r>
          </w:p>
        </w:tc>
        <w:tc>
          <w:tcPr>
            <w:tcW w:w="1900" w:type="dxa"/>
            <w:vAlign w:val="bottom"/>
          </w:tcPr>
          <w:p>
            <w:pPr>
              <w:jc w:val="center"/>
              <w:spacing w:after="0"/>
              <w:rPr>
                <w:sz w:val="20"/>
                <w:szCs w:val="20"/>
                <w:color w:val="auto"/>
              </w:rPr>
            </w:pPr>
            <w:r>
              <w:rPr>
                <w:rFonts w:ascii="Arial" w:cs="Arial" w:eastAsia="Arial" w:hAnsi="Arial"/>
                <w:sz w:val="18"/>
                <w:szCs w:val="18"/>
                <w:color w:val="auto"/>
                <w:w w:val="85"/>
              </w:rPr>
              <w:t>Research and development</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415</w:t>
            </w:r>
          </w:p>
        </w:tc>
        <w:tc>
          <w:tcPr>
            <w:tcW w:w="520" w:type="dxa"/>
            <w:vAlign w:val="bottom"/>
            <w:gridSpan w:val="2"/>
          </w:tcPr>
          <w:p>
            <w:pPr>
              <w:ind w:left="400"/>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400"/>
              <w:spacing w:after="0"/>
              <w:rPr>
                <w:sz w:val="20"/>
                <w:szCs w:val="20"/>
                <w:color w:val="auto"/>
              </w:rPr>
            </w:pPr>
            <w:r>
              <w:rPr>
                <w:rFonts w:ascii="Arial" w:cs="Arial" w:eastAsia="Arial" w:hAnsi="Arial"/>
                <w:sz w:val="18"/>
                <w:szCs w:val="18"/>
                <w:color w:val="auto"/>
              </w:rPr>
              <w:t>311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60" w:type="dxa"/>
            <w:vAlign w:val="bottom"/>
            <w:gridSpan w:val="2"/>
          </w:tcPr>
          <w:p>
            <w:pPr>
              <w:jc w:val="right"/>
              <w:ind w:right="160"/>
              <w:spacing w:after="0"/>
              <w:rPr>
                <w:sz w:val="20"/>
                <w:szCs w:val="20"/>
                <w:color w:val="auto"/>
              </w:rPr>
            </w:pPr>
            <w:r>
              <w:rPr>
                <w:rFonts w:ascii="Arial" w:cs="Arial" w:eastAsia="Arial" w:hAnsi="Arial"/>
                <w:sz w:val="18"/>
                <w:szCs w:val="18"/>
                <w:color w:val="auto"/>
              </w:rPr>
              <w:t>(576)</w:t>
            </w:r>
          </w:p>
        </w:tc>
        <w:tc>
          <w:tcPr>
            <w:tcW w:w="300" w:type="dxa"/>
            <w:vAlign w:val="bottom"/>
            <w:gridSpan w:val="2"/>
          </w:tcPr>
          <w:p>
            <w:pPr>
              <w:ind w:left="180"/>
              <w:spacing w:after="0"/>
              <w:rPr>
                <w:sz w:val="20"/>
                <w:szCs w:val="20"/>
                <w:color w:val="auto"/>
              </w:rPr>
            </w:pPr>
            <w:r>
              <w:rPr>
                <w:rFonts w:ascii="Arial" w:cs="Arial" w:eastAsia="Arial" w:hAnsi="Arial"/>
                <w:sz w:val="18"/>
                <w:szCs w:val="18"/>
                <w:color w:val="auto"/>
                <w:w w:val="99"/>
              </w:rPr>
              <w:t>$</w:t>
            </w:r>
          </w:p>
        </w:tc>
        <w:tc>
          <w:tcPr>
            <w:tcW w:w="540" w:type="dxa"/>
            <w:vAlign w:val="bottom"/>
            <w:gridSpan w:val="2"/>
          </w:tcPr>
          <w:p>
            <w:pPr>
              <w:jc w:val="right"/>
              <w:ind w:right="100"/>
              <w:spacing w:after="0"/>
              <w:rPr>
                <w:sz w:val="20"/>
                <w:szCs w:val="20"/>
                <w:color w:val="auto"/>
              </w:rPr>
            </w:pPr>
            <w:r>
              <w:rPr>
                <w:rFonts w:ascii="Arial" w:cs="Arial" w:eastAsia="Arial" w:hAnsi="Arial"/>
                <w:sz w:val="18"/>
                <w:szCs w:val="18"/>
                <w:color w:val="auto"/>
              </w:rPr>
              <w:t>909</w:t>
            </w:r>
          </w:p>
        </w:tc>
        <w:tc>
          <w:tcPr>
            <w:tcW w:w="0" w:type="dxa"/>
            <w:vAlign w:val="bottom"/>
          </w:tcPr>
          <w:p>
            <w:pPr>
              <w:spacing w:after="0"/>
              <w:rPr>
                <w:sz w:val="1"/>
                <w:szCs w:val="1"/>
                <w:color w:val="auto"/>
              </w:rPr>
            </w:pPr>
          </w:p>
        </w:tc>
      </w:tr>
      <w:tr>
        <w:trPr>
          <w:trHeight w:val="216"/>
        </w:trPr>
        <w:tc>
          <w:tcPr>
            <w:tcW w:w="57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30</w:t>
            </w:r>
          </w:p>
        </w:tc>
        <w:tc>
          <w:tcPr>
            <w:tcW w:w="12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(71)</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16"/>
        </w:trPr>
        <w:tc>
          <w:tcPr>
            <w:tcW w:w="5700" w:type="dxa"/>
            <w:vAlign w:val="bottom"/>
          </w:tcPr>
          <w:p>
            <w:pPr>
              <w:spacing w:after="0"/>
              <w:rPr>
                <w:sz w:val="18"/>
                <w:szCs w:val="18"/>
                <w:color w:val="auto"/>
              </w:rPr>
            </w:pPr>
          </w:p>
        </w:tc>
        <w:tc>
          <w:tcPr>
            <w:tcW w:w="1900" w:type="dxa"/>
            <w:vAlign w:val="bottom"/>
          </w:tcPr>
          <w:p>
            <w:pPr>
              <w:jc w:val="center"/>
              <w:spacing w:after="0"/>
              <w:rPr>
                <w:sz w:val="20"/>
                <w:szCs w:val="20"/>
                <w:color w:val="auto"/>
              </w:rPr>
            </w:pPr>
            <w:r>
              <w:rPr>
                <w:rFonts w:ascii="Arial" w:cs="Arial" w:eastAsia="Arial" w:hAnsi="Arial"/>
                <w:sz w:val="18"/>
                <w:szCs w:val="18"/>
                <w:color w:val="auto"/>
                <w:w w:val="88"/>
              </w:rPr>
              <w:t>General and administrative</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32</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(3)</w:t>
            </w: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18</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7"/>
        </w:trPr>
        <w:tc>
          <w:tcPr>
            <w:tcW w:w="5700" w:type="dxa"/>
            <w:vAlign w:val="bottom"/>
          </w:tcPr>
          <w:p>
            <w:pPr>
              <w:spacing w:after="0"/>
              <w:rPr>
                <w:sz w:val="2"/>
                <w:szCs w:val="2"/>
                <w:color w:val="auto"/>
              </w:rPr>
            </w:pPr>
          </w:p>
        </w:tc>
        <w:tc>
          <w:tcPr>
            <w:tcW w:w="1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7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453</w:t>
            </w:r>
          </w:p>
        </w:tc>
        <w:tc>
          <w:tcPr>
            <w:tcW w:w="5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338</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(629)</w:t>
            </w:r>
          </w:p>
        </w:tc>
        <w:tc>
          <w:tcPr>
            <w:tcW w:w="3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99"/>
              </w:rPr>
              <w:t>$</w:t>
            </w:r>
          </w:p>
        </w:tc>
        <w:tc>
          <w:tcPr>
            <w:tcW w:w="5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990</w:t>
            </w:r>
          </w:p>
        </w:tc>
        <w:tc>
          <w:tcPr>
            <w:tcW w:w="0" w:type="dxa"/>
            <w:vAlign w:val="bottom"/>
          </w:tcPr>
          <w:p>
            <w:pPr>
              <w:spacing w:after="0"/>
              <w:rPr>
                <w:sz w:val="1"/>
                <w:szCs w:val="1"/>
                <w:color w:val="auto"/>
              </w:rPr>
            </w:pPr>
          </w:p>
        </w:tc>
      </w:tr>
      <w:tr>
        <w:trPr>
          <w:trHeight w:val="20"/>
        </w:trPr>
        <w:tc>
          <w:tcPr>
            <w:tcW w:w="570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The portion of gains (losses) excluded from the assessment of hedge effectiveness are included in interest and other income, net, and these amounts were not material in the three and six months ended August 1, 2015 and August 2, 2014. In addition, realized losses from forward contracts that are not designated as hedging instruments that are included in interest and other income, net, were not material in the three and six months ended August 1, 2015 and August 2, 2014. The Company also reports hedge ineffectiveness from derivative financial instruments in current earnings, which was not material in the three and six months ended August 1, 2015 and August 2, 2014. No cash flow hedges were terminated as a result of forecasted transactions that did not occur.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180" w:firstLine="456"/>
        <w:spacing w:after="0" w:line="286"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used to value these instruments consist of market yields, reported trades and broker/dealer quotes, which are corroborated with observable market data. In addition, forward contracts, and the severance pay fund are classified as Level 2 assets as the valuation inputs are based on quoted prices and market observable data of similar instruments. The Company’s investments in auction rate securities are classified as Level 3 assets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discounted cash flow model are unobservable in the market. The Company’s Level 3 assets also include corporate equipment, which it acquired through an early buyout option under an operating lease (see “Note 8 – Restructuring and Other Related Charges”) since it is valued based on market prices of similar assets in a limited market. The total amount of assets measured using Level 3 valuation methodologies represented 0.2% of total assets as of August 1, 2015.</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72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880" w:type="dxa"/>
            <w:vAlign w:val="bottom"/>
            <w:tcBorders>
              <w:bottom w:val="single" w:sz="8" w:color="auto"/>
            </w:tcBorders>
            <w:gridSpan w:val="5"/>
          </w:tcPr>
          <w:p>
            <w:pPr>
              <w:jc w:val="center"/>
              <w:ind w:right="180"/>
              <w:spacing w:after="0"/>
              <w:rPr>
                <w:sz w:val="20"/>
                <w:szCs w:val="20"/>
                <w:color w:val="auto"/>
              </w:rPr>
            </w:pPr>
            <w:r>
              <w:rPr>
                <w:rFonts w:ascii="Arial" w:cs="Arial" w:eastAsia="Arial" w:hAnsi="Arial"/>
                <w:sz w:val="14"/>
                <w:szCs w:val="14"/>
                <w:b w:val="1"/>
                <w:bCs w:val="1"/>
                <w:color w:val="auto"/>
                <w:w w:val="86"/>
              </w:rPr>
              <w:t>August 1, 2015</w:t>
            </w: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472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ind w:left="40"/>
              <w:spacing w:after="0" w:line="142" w:lineRule="exact"/>
              <w:rPr>
                <w:sz w:val="20"/>
                <w:szCs w:val="20"/>
                <w:color w:val="auto"/>
              </w:rPr>
            </w:pPr>
            <w:r>
              <w:rPr>
                <w:rFonts w:ascii="Arial" w:cs="Arial" w:eastAsia="Arial" w:hAnsi="Arial"/>
                <w:sz w:val="14"/>
                <w:szCs w:val="14"/>
                <w:b w:val="1"/>
                <w:bCs w:val="1"/>
                <w:color w:val="auto"/>
              </w:rPr>
              <w:t>Level 1</w:t>
            </w:r>
          </w:p>
        </w:tc>
        <w:tc>
          <w:tcPr>
            <w:tcW w:w="100" w:type="dxa"/>
            <w:vAlign w:val="bottom"/>
          </w:tcPr>
          <w:p>
            <w:pPr>
              <w:spacing w:after="0"/>
              <w:rPr>
                <w:sz w:val="12"/>
                <w:szCs w:val="12"/>
                <w:color w:val="auto"/>
              </w:rPr>
            </w:pPr>
          </w:p>
        </w:tc>
        <w:tc>
          <w:tcPr>
            <w:tcW w:w="700" w:type="dxa"/>
            <w:vAlign w:val="bottom"/>
          </w:tcPr>
          <w:p>
            <w:pPr>
              <w:jc w:val="right"/>
              <w:ind w:right="95"/>
              <w:spacing w:after="0" w:line="142" w:lineRule="exact"/>
              <w:rPr>
                <w:sz w:val="20"/>
                <w:szCs w:val="20"/>
                <w:color w:val="auto"/>
              </w:rPr>
            </w:pPr>
            <w:r>
              <w:rPr>
                <w:rFonts w:ascii="Arial" w:cs="Arial" w:eastAsia="Arial" w:hAnsi="Arial"/>
                <w:sz w:val="14"/>
                <w:szCs w:val="14"/>
                <w:b w:val="1"/>
                <w:bCs w:val="1"/>
                <w:color w:val="auto"/>
              </w:rPr>
              <w:t>Level 2</w:t>
            </w:r>
          </w:p>
        </w:tc>
        <w:tc>
          <w:tcPr>
            <w:tcW w:w="400" w:type="dxa"/>
            <w:vAlign w:val="bottom"/>
          </w:tcPr>
          <w:p>
            <w:pPr>
              <w:spacing w:after="0"/>
              <w:rPr>
                <w:sz w:val="12"/>
                <w:szCs w:val="12"/>
                <w:color w:val="auto"/>
              </w:rPr>
            </w:pPr>
          </w:p>
        </w:tc>
        <w:tc>
          <w:tcPr>
            <w:tcW w:w="780" w:type="dxa"/>
            <w:vAlign w:val="bottom"/>
            <w:gridSpan w:val="3"/>
          </w:tcPr>
          <w:p>
            <w:pPr>
              <w:ind w:left="80"/>
              <w:spacing w:after="0" w:line="142" w:lineRule="exact"/>
              <w:rPr>
                <w:sz w:val="20"/>
                <w:szCs w:val="20"/>
                <w:color w:val="auto"/>
              </w:rPr>
            </w:pPr>
            <w:r>
              <w:rPr>
                <w:rFonts w:ascii="Arial" w:cs="Arial" w:eastAsia="Arial" w:hAnsi="Arial"/>
                <w:sz w:val="14"/>
                <w:szCs w:val="14"/>
                <w:b w:val="1"/>
                <w:bCs w:val="1"/>
                <w:color w:val="auto"/>
              </w:rPr>
              <w:t>Level 3</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ind w:right="154"/>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r>
      <w:tr>
        <w:trPr>
          <w:trHeight w:val="196"/>
        </w:trPr>
        <w:tc>
          <w:tcPr>
            <w:tcW w:w="47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Assets</w:t>
            </w:r>
          </w:p>
        </w:tc>
        <w:tc>
          <w:tcPr>
            <w:tcW w:w="16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Cash equivalents: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Money market funds</w:t>
            </w:r>
          </w:p>
        </w:tc>
        <w:tc>
          <w:tcPr>
            <w:tcW w:w="1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14,819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14,819</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204,358</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204,358</w:t>
            </w: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20,675</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20,675</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Short-term investments: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229,888</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229,888</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1,024,198</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1,024,198</w:t>
            </w: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101,303</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101,303</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ind w:left="440"/>
              <w:spacing w:after="0"/>
              <w:rPr>
                <w:sz w:val="20"/>
                <w:szCs w:val="20"/>
                <w:color w:val="auto"/>
              </w:rPr>
            </w:pPr>
            <w:r>
              <w:rPr>
                <w:rFonts w:ascii="Arial" w:cs="Arial" w:eastAsia="Arial" w:hAnsi="Arial"/>
                <w:sz w:val="18"/>
                <w:szCs w:val="18"/>
                <w:color w:val="auto"/>
              </w:rPr>
              <w:t>Foreign government and agency debt</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16,942</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16,942</w:t>
            </w: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37,786</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37,786</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624</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624</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Long-term investments: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10,123</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10,123</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16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1,925</w:t>
            </w:r>
          </w:p>
        </w:tc>
        <w:tc>
          <w:tcPr>
            <w:tcW w:w="4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1,925</w:t>
            </w:r>
          </w:p>
        </w:tc>
        <w:tc>
          <w:tcPr>
            <w:tcW w:w="100" w:type="dxa"/>
            <w:vAlign w:val="bottom"/>
            <w:shd w:val="clear" w:color="auto" w:fill="CCEEFF"/>
          </w:tcPr>
          <w:p>
            <w:pPr>
              <w:spacing w:after="0"/>
              <w:rPr>
                <w:sz w:val="18"/>
                <w:szCs w:val="18"/>
                <w:color w:val="auto"/>
              </w:rPr>
            </w:pPr>
          </w:p>
        </w:tc>
      </w:tr>
      <w:tr>
        <w:trPr>
          <w:trHeight w:val="222"/>
        </w:trPr>
        <w:tc>
          <w:tcPr>
            <w:tcW w:w="4720" w:type="dxa"/>
            <w:vAlign w:val="bottom"/>
          </w:tcPr>
          <w:p>
            <w:pPr>
              <w:spacing w:after="0"/>
              <w:rPr>
                <w:sz w:val="20"/>
                <w:szCs w:val="20"/>
                <w:color w:val="auto"/>
              </w:rPr>
            </w:pPr>
            <w:r>
              <w:rPr>
                <w:rFonts w:ascii="Arial" w:cs="Arial" w:eastAsia="Arial" w:hAnsi="Arial"/>
                <w:sz w:val="18"/>
                <w:szCs w:val="18"/>
                <w:color w:val="auto"/>
              </w:rPr>
              <w:t>Total assets</w:t>
            </w:r>
          </w:p>
        </w:tc>
        <w:tc>
          <w:tcPr>
            <w:tcW w:w="166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244,707</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1,407,811</w:t>
            </w:r>
          </w:p>
        </w:tc>
        <w:tc>
          <w:tcPr>
            <w:tcW w:w="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2"/>
          </w:tcPr>
          <w:p>
            <w:pPr>
              <w:ind w:left="20"/>
              <w:spacing w:after="0"/>
              <w:rPr>
                <w:sz w:val="20"/>
                <w:szCs w:val="20"/>
                <w:color w:val="auto"/>
              </w:rPr>
            </w:pPr>
            <w:r>
              <w:rPr>
                <w:rFonts w:ascii="Arial" w:cs="Arial" w:eastAsia="Arial" w:hAnsi="Arial"/>
                <w:sz w:val="18"/>
                <w:szCs w:val="18"/>
                <w:color w:val="auto"/>
              </w:rPr>
              <w:t>10,123</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1,662,641</w:t>
            </w:r>
          </w:p>
        </w:tc>
        <w:tc>
          <w:tcPr>
            <w:tcW w:w="100" w:type="dxa"/>
            <w:vAlign w:val="bottom"/>
          </w:tcPr>
          <w:p>
            <w:pPr>
              <w:spacing w:after="0"/>
              <w:rPr>
                <w:sz w:val="19"/>
                <w:szCs w:val="19"/>
                <w:color w:val="auto"/>
              </w:rPr>
            </w:pPr>
          </w:p>
        </w:tc>
      </w:tr>
      <w:tr>
        <w:trPr>
          <w:trHeight w:val="20"/>
        </w:trPr>
        <w:tc>
          <w:tcPr>
            <w:tcW w:w="472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46"/>
        </w:trPr>
        <w:tc>
          <w:tcPr>
            <w:tcW w:w="47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880" w:type="dxa"/>
            <w:vAlign w:val="bottom"/>
            <w:tcBorders>
              <w:bottom w:val="single" w:sz="8" w:color="auto"/>
            </w:tcBorders>
            <w:gridSpan w:val="5"/>
          </w:tcPr>
          <w:p>
            <w:pPr>
              <w:jc w:val="center"/>
              <w:ind w:right="180"/>
              <w:spacing w:after="0"/>
              <w:rPr>
                <w:sz w:val="20"/>
                <w:szCs w:val="20"/>
                <w:color w:val="auto"/>
              </w:rPr>
            </w:pPr>
            <w:r>
              <w:rPr>
                <w:rFonts w:ascii="Arial" w:cs="Arial" w:eastAsia="Arial" w:hAnsi="Arial"/>
                <w:sz w:val="14"/>
                <w:szCs w:val="14"/>
                <w:b w:val="1"/>
                <w:bCs w:val="1"/>
                <w:color w:val="auto"/>
                <w:w w:val="87"/>
              </w:rPr>
              <w:t>January 31, 2015</w:t>
            </w:r>
          </w:p>
        </w:tc>
        <w:tc>
          <w:tcPr>
            <w:tcW w:w="1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r>
      <w:tr>
        <w:trPr>
          <w:trHeight w:val="142"/>
        </w:trPr>
        <w:tc>
          <w:tcPr>
            <w:tcW w:w="472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ind w:left="40"/>
              <w:spacing w:after="0" w:line="142" w:lineRule="exact"/>
              <w:rPr>
                <w:sz w:val="20"/>
                <w:szCs w:val="20"/>
                <w:color w:val="auto"/>
              </w:rPr>
            </w:pPr>
            <w:r>
              <w:rPr>
                <w:rFonts w:ascii="Arial" w:cs="Arial" w:eastAsia="Arial" w:hAnsi="Arial"/>
                <w:sz w:val="14"/>
                <w:szCs w:val="14"/>
                <w:b w:val="1"/>
                <w:bCs w:val="1"/>
                <w:color w:val="auto"/>
              </w:rPr>
              <w:t>Level 1</w:t>
            </w:r>
          </w:p>
        </w:tc>
        <w:tc>
          <w:tcPr>
            <w:tcW w:w="100" w:type="dxa"/>
            <w:vAlign w:val="bottom"/>
          </w:tcPr>
          <w:p>
            <w:pPr>
              <w:spacing w:after="0"/>
              <w:rPr>
                <w:sz w:val="12"/>
                <w:szCs w:val="12"/>
                <w:color w:val="auto"/>
              </w:rPr>
            </w:pPr>
          </w:p>
        </w:tc>
        <w:tc>
          <w:tcPr>
            <w:tcW w:w="700" w:type="dxa"/>
            <w:vAlign w:val="bottom"/>
          </w:tcPr>
          <w:p>
            <w:pPr>
              <w:jc w:val="right"/>
              <w:ind w:right="95"/>
              <w:spacing w:after="0" w:line="142" w:lineRule="exact"/>
              <w:rPr>
                <w:sz w:val="20"/>
                <w:szCs w:val="20"/>
                <w:color w:val="auto"/>
              </w:rPr>
            </w:pPr>
            <w:r>
              <w:rPr>
                <w:rFonts w:ascii="Arial" w:cs="Arial" w:eastAsia="Arial" w:hAnsi="Arial"/>
                <w:sz w:val="14"/>
                <w:szCs w:val="14"/>
                <w:b w:val="1"/>
                <w:bCs w:val="1"/>
                <w:color w:val="auto"/>
              </w:rPr>
              <w:t>Level 2</w:t>
            </w:r>
          </w:p>
        </w:tc>
        <w:tc>
          <w:tcPr>
            <w:tcW w:w="400" w:type="dxa"/>
            <w:vAlign w:val="bottom"/>
          </w:tcPr>
          <w:p>
            <w:pPr>
              <w:spacing w:after="0"/>
              <w:rPr>
                <w:sz w:val="12"/>
                <w:szCs w:val="12"/>
                <w:color w:val="auto"/>
              </w:rPr>
            </w:pPr>
          </w:p>
        </w:tc>
        <w:tc>
          <w:tcPr>
            <w:tcW w:w="780" w:type="dxa"/>
            <w:vAlign w:val="bottom"/>
            <w:gridSpan w:val="3"/>
          </w:tcPr>
          <w:p>
            <w:pPr>
              <w:ind w:left="80"/>
              <w:spacing w:after="0" w:line="142" w:lineRule="exact"/>
              <w:rPr>
                <w:sz w:val="20"/>
                <w:szCs w:val="20"/>
                <w:color w:val="auto"/>
              </w:rPr>
            </w:pPr>
            <w:r>
              <w:rPr>
                <w:rFonts w:ascii="Arial" w:cs="Arial" w:eastAsia="Arial" w:hAnsi="Arial"/>
                <w:sz w:val="14"/>
                <w:szCs w:val="14"/>
                <w:b w:val="1"/>
                <w:bCs w:val="1"/>
                <w:color w:val="auto"/>
              </w:rPr>
              <w:t>Level 3</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ind w:right="154"/>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r>
      <w:tr>
        <w:trPr>
          <w:trHeight w:val="196"/>
        </w:trPr>
        <w:tc>
          <w:tcPr>
            <w:tcW w:w="47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Assets</w:t>
            </w:r>
          </w:p>
        </w:tc>
        <w:tc>
          <w:tcPr>
            <w:tcW w:w="16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Cash equivalents: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Money market funds</w:t>
            </w:r>
          </w:p>
        </w:tc>
        <w:tc>
          <w:tcPr>
            <w:tcW w:w="1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111,286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111,286</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213,012</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213,012</w:t>
            </w: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21,999</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21,999</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Short-term investments: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179,156</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986,317</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91,531</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ind w:left="440"/>
              <w:spacing w:after="0"/>
              <w:rPr>
                <w:sz w:val="20"/>
                <w:szCs w:val="20"/>
                <w:color w:val="auto"/>
              </w:rPr>
            </w:pPr>
            <w:r>
              <w:rPr>
                <w:rFonts w:ascii="Arial" w:cs="Arial" w:eastAsia="Arial" w:hAnsi="Arial"/>
                <w:sz w:val="18"/>
                <w:szCs w:val="18"/>
                <w:color w:val="auto"/>
              </w:rPr>
              <w:t>Foreign government and agency debt</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28,110</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33,464</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Long-term investments: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10,226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16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1,758</w:t>
            </w:r>
          </w:p>
        </w:tc>
        <w:tc>
          <w:tcPr>
            <w:tcW w:w="4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1,758</w:t>
            </w:r>
          </w:p>
        </w:tc>
        <w:tc>
          <w:tcPr>
            <w:tcW w:w="100" w:type="dxa"/>
            <w:vAlign w:val="bottom"/>
            <w:shd w:val="clear" w:color="auto" w:fill="CCEEFF"/>
          </w:tcPr>
          <w:p>
            <w:pPr>
              <w:spacing w:after="0"/>
              <w:rPr>
                <w:sz w:val="18"/>
                <w:szCs w:val="18"/>
                <w:color w:val="auto"/>
              </w:rPr>
            </w:pPr>
          </w:p>
        </w:tc>
      </w:tr>
      <w:tr>
        <w:trPr>
          <w:trHeight w:val="222"/>
        </w:trPr>
        <w:tc>
          <w:tcPr>
            <w:tcW w:w="4720" w:type="dxa"/>
            <w:vAlign w:val="bottom"/>
          </w:tcPr>
          <w:p>
            <w:pPr>
              <w:spacing w:after="0"/>
              <w:rPr>
                <w:sz w:val="20"/>
                <w:szCs w:val="20"/>
                <w:color w:val="auto"/>
              </w:rPr>
            </w:pPr>
            <w:r>
              <w:rPr>
                <w:rFonts w:ascii="Arial" w:cs="Arial" w:eastAsia="Arial" w:hAnsi="Arial"/>
                <w:sz w:val="18"/>
                <w:szCs w:val="18"/>
                <w:color w:val="auto"/>
              </w:rPr>
              <w:t>Total assets</w:t>
            </w:r>
          </w:p>
        </w:tc>
        <w:tc>
          <w:tcPr>
            <w:tcW w:w="17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290,442</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1,376,315</w:t>
            </w:r>
          </w:p>
        </w:tc>
        <w:tc>
          <w:tcPr>
            <w:tcW w:w="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2"/>
          </w:tcPr>
          <w:p>
            <w:pPr>
              <w:ind w:left="20"/>
              <w:spacing w:after="0"/>
              <w:rPr>
                <w:sz w:val="20"/>
                <w:szCs w:val="20"/>
                <w:color w:val="auto"/>
              </w:rPr>
            </w:pPr>
            <w:r>
              <w:rPr>
                <w:rFonts w:ascii="Arial" w:cs="Arial" w:eastAsia="Arial" w:hAnsi="Arial"/>
                <w:sz w:val="18"/>
                <w:szCs w:val="18"/>
                <w:color w:val="auto"/>
              </w:rPr>
              <w:t>10,226</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1,676,983</w:t>
            </w:r>
          </w:p>
        </w:tc>
        <w:tc>
          <w:tcPr>
            <w:tcW w:w="100" w:type="dxa"/>
            <w:vAlign w:val="bottom"/>
          </w:tcPr>
          <w:p>
            <w:pPr>
              <w:spacing w:after="0"/>
              <w:rPr>
                <w:sz w:val="19"/>
                <w:szCs w:val="19"/>
                <w:color w:val="auto"/>
              </w:rPr>
            </w:pPr>
          </w:p>
        </w:tc>
      </w:tr>
      <w:tr>
        <w:trPr>
          <w:trHeight w:val="20"/>
        </w:trPr>
        <w:tc>
          <w:tcPr>
            <w:tcW w:w="472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1"/>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Liabilities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Accrued liabilities: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1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1,379</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1,379</w:t>
            </w:r>
          </w:p>
        </w:tc>
        <w:tc>
          <w:tcPr>
            <w:tcW w:w="100" w:type="dxa"/>
            <w:vAlign w:val="bottom"/>
            <w:shd w:val="clear" w:color="auto" w:fill="CCEEFF"/>
          </w:tcPr>
          <w:p>
            <w:pPr>
              <w:spacing w:after="0"/>
              <w:rPr>
                <w:sz w:val="18"/>
                <w:szCs w:val="18"/>
                <w:color w:val="auto"/>
              </w:rPr>
            </w:pPr>
          </w:p>
        </w:tc>
      </w:tr>
      <w:tr>
        <w:trPr>
          <w:trHeight w:val="20"/>
        </w:trPr>
        <w:tc>
          <w:tcPr>
            <w:tcW w:w="472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Assets measured and recorded at fair value on a non-recurring basis include corporate equipment classified as held for sale, which had a fair value of $9.3 million as of August 1, 2015 (see “Note 8 – Restructuring and Other Related Charges.”</w:t>
      </w:r>
    </w:p>
    <w:p>
      <w:pPr>
        <w:spacing w:after="0" w:line="11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280"/>
          </w:cols>
          <w:pgMar w:left="240" w:top="459" w:right="37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change in fair value for Level 3 assets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700" w:type="dxa"/>
            <w:vAlign w:val="bottom"/>
            <w:gridSpan w:val="5"/>
          </w:tcPr>
          <w:p>
            <w:pPr>
              <w:jc w:val="right"/>
              <w:ind w:right="3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9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20" w:type="dxa"/>
            <w:vAlign w:val="bottom"/>
            <w:tcBorders>
              <w:top w:val="single" w:sz="8" w:color="auto"/>
            </w:tcBorders>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w w:val="84"/>
              </w:rPr>
              <w:t>August 1,</w:t>
            </w:r>
          </w:p>
        </w:tc>
        <w:tc>
          <w:tcPr>
            <w:tcW w:w="1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60" w:type="dxa"/>
            <w:vAlign w:val="bottom"/>
          </w:tcPr>
          <w:p>
            <w:pPr>
              <w:spacing w:after="0"/>
              <w:rPr>
                <w:sz w:val="14"/>
                <w:szCs w:val="14"/>
                <w:color w:val="auto"/>
              </w:rPr>
            </w:pPr>
          </w:p>
        </w:tc>
        <w:tc>
          <w:tcPr>
            <w:tcW w:w="60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rPr>
              <w:t>2015</w:t>
            </w:r>
          </w:p>
        </w:tc>
        <w:tc>
          <w:tcPr>
            <w:tcW w:w="240" w:type="dxa"/>
            <w:vAlign w:val="bottom"/>
          </w:tcPr>
          <w:p>
            <w:pPr>
              <w:spacing w:after="0"/>
              <w:rPr>
                <w:sz w:val="14"/>
                <w:szCs w:val="14"/>
                <w:color w:val="auto"/>
              </w:rPr>
            </w:pPr>
          </w:p>
        </w:tc>
        <w:tc>
          <w:tcPr>
            <w:tcW w:w="760" w:type="dxa"/>
            <w:vAlign w:val="bottom"/>
            <w:gridSpan w:val="2"/>
          </w:tcPr>
          <w:p>
            <w:pPr>
              <w:jc w:val="right"/>
              <w:ind w:right="82"/>
              <w:spacing w:after="0"/>
              <w:rPr>
                <w:sz w:val="20"/>
                <w:szCs w:val="20"/>
                <w:color w:val="auto"/>
              </w:rPr>
            </w:pPr>
            <w:r>
              <w:rPr>
                <w:rFonts w:ascii="Arial" w:cs="Arial" w:eastAsia="Arial" w:hAnsi="Arial"/>
                <w:sz w:val="14"/>
                <w:szCs w:val="14"/>
                <w:b w:val="1"/>
                <w:bCs w:val="1"/>
                <w:color w:val="auto"/>
              </w:rPr>
              <w:t>2014</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9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$10,226</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$16,279</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960" w:type="dxa"/>
            <w:vAlign w:val="bottom"/>
          </w:tcPr>
          <w:p>
            <w:pPr>
              <w:spacing w:after="0"/>
              <w:rPr>
                <w:sz w:val="20"/>
                <w:szCs w:val="20"/>
                <w:color w:val="auto"/>
              </w:rPr>
            </w:pPr>
            <w:r>
              <w:rPr>
                <w:rFonts w:ascii="Arial" w:cs="Arial" w:eastAsia="Arial" w:hAnsi="Arial"/>
                <w:sz w:val="18"/>
                <w:szCs w:val="18"/>
                <w:color w:val="auto"/>
              </w:rPr>
              <w:t>Sales and redemptions</w:t>
            </w:r>
          </w:p>
        </w:tc>
        <w:tc>
          <w:tcPr>
            <w:tcW w:w="20" w:type="dxa"/>
            <w:vAlign w:val="bottom"/>
          </w:tcPr>
          <w:p>
            <w:pPr>
              <w:spacing w:after="0"/>
              <w:rPr>
                <w:sz w:val="18"/>
                <w:szCs w:val="18"/>
                <w:color w:val="auto"/>
              </w:rPr>
            </w:pPr>
          </w:p>
        </w:tc>
        <w:tc>
          <w:tcPr>
            <w:tcW w:w="8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(3,000)</w:t>
            </w:r>
          </w:p>
        </w:tc>
        <w:tc>
          <w:tcPr>
            <w:tcW w:w="0" w:type="dxa"/>
            <w:vAlign w:val="bottom"/>
          </w:tcPr>
          <w:p>
            <w:pPr>
              <w:spacing w:after="0"/>
              <w:rPr>
                <w:sz w:val="1"/>
                <w:szCs w:val="1"/>
                <w:color w:val="auto"/>
              </w:rPr>
            </w:pPr>
          </w:p>
        </w:tc>
      </w:tr>
      <w:tr>
        <w:trPr>
          <w:trHeight w:val="216"/>
        </w:trPr>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losses included in accumulated other comprehensive income</w:t>
            </w:r>
          </w:p>
        </w:tc>
        <w:tc>
          <w:tcPr>
            <w:tcW w:w="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(103)</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60" w:type="dxa"/>
            <w:vAlign w:val="bottom"/>
            <w:vMerge w:val="restart"/>
          </w:tcPr>
          <w:p>
            <w:pPr>
              <w:spacing w:after="0"/>
              <w:rPr>
                <w:sz w:val="20"/>
                <w:szCs w:val="20"/>
                <w:color w:val="auto"/>
              </w:rPr>
            </w:pPr>
            <w:r>
              <w:rPr>
                <w:rFonts w:ascii="Arial" w:cs="Arial" w:eastAsia="Arial" w:hAnsi="Arial"/>
                <w:sz w:val="18"/>
                <w:szCs w:val="18"/>
                <w:color w:val="auto"/>
              </w:rPr>
              <w:t>Ending balance</w:t>
            </w:r>
          </w:p>
        </w:tc>
        <w:tc>
          <w:tcPr>
            <w:tcW w:w="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960" w:type="dxa"/>
            <w:vAlign w:val="bottom"/>
            <w:vMerge w:val="continue"/>
          </w:tcPr>
          <w:p>
            <w:pPr>
              <w:spacing w:after="0"/>
              <w:rPr>
                <w:sz w:val="19"/>
                <w:szCs w:val="19"/>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10,123</w:t>
            </w:r>
          </w:p>
        </w:tc>
        <w:tc>
          <w:tcPr>
            <w:tcW w:w="240" w:type="dxa"/>
            <w:vAlign w:val="bottom"/>
          </w:tcPr>
          <w:p>
            <w:pPr>
              <w:spacing w:after="0"/>
              <w:rPr>
                <w:sz w:val="19"/>
                <w:szCs w:val="19"/>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13,422</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9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amounts of acquired intangible assets, net,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4"/>
          </w:tcPr>
          <w:p>
            <w:pPr>
              <w:jc w:val="center"/>
              <w:ind w:left="72"/>
              <w:spacing w:after="0"/>
              <w:rPr>
                <w:sz w:val="20"/>
                <w:szCs w:val="20"/>
                <w:color w:val="auto"/>
              </w:rPr>
            </w:pPr>
            <w:r>
              <w:rPr>
                <w:rFonts w:ascii="Arial" w:cs="Arial" w:eastAsia="Arial" w:hAnsi="Arial"/>
                <w:sz w:val="14"/>
                <w:szCs w:val="14"/>
                <w:b w:val="1"/>
                <w:bCs w:val="1"/>
                <w:color w:val="auto"/>
                <w:w w:val="84"/>
              </w:rPr>
              <w:t>August 1, 2015</w:t>
            </w: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4"/>
          </w:tcPr>
          <w:p>
            <w:pPr>
              <w:jc w:val="center"/>
              <w:ind w:left="22"/>
              <w:spacing w:after="0"/>
              <w:rPr>
                <w:sz w:val="20"/>
                <w:szCs w:val="20"/>
                <w:color w:val="auto"/>
              </w:rPr>
            </w:pPr>
            <w:r>
              <w:rPr>
                <w:rFonts w:ascii="Arial" w:cs="Arial" w:eastAsia="Arial" w:hAnsi="Arial"/>
                <w:sz w:val="14"/>
                <w:szCs w:val="14"/>
                <w:b w:val="1"/>
                <w:bCs w:val="1"/>
                <w:color w:val="auto"/>
                <w:w w:val="87"/>
              </w:rPr>
              <w:t>January 31, 2015</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9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60" w:type="dxa"/>
            <w:vAlign w:val="bottom"/>
            <w:gridSpan w:val="3"/>
          </w:tcPr>
          <w:p>
            <w:pPr>
              <w:jc w:val="center"/>
              <w:ind w:right="16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80" w:type="dxa"/>
            <w:vAlign w:val="bottom"/>
            <w:gridSpan w:val="3"/>
          </w:tcPr>
          <w:p>
            <w:pPr>
              <w:jc w:val="center"/>
              <w:ind w:right="2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9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tcPr>
          <w:p>
            <w:pPr>
              <w:jc w:val="right"/>
              <w:ind w:right="41"/>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96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40" w:type="dxa"/>
            <w:vAlign w:val="bottom"/>
          </w:tcPr>
          <w:p>
            <w:pPr>
              <w:spacing w:after="0"/>
              <w:rPr>
                <w:sz w:val="12"/>
                <w:szCs w:val="12"/>
                <w:color w:val="auto"/>
              </w:rPr>
            </w:pPr>
          </w:p>
        </w:tc>
        <w:tc>
          <w:tcPr>
            <w:tcW w:w="580" w:type="dxa"/>
            <w:vAlign w:val="bottom"/>
          </w:tcPr>
          <w:p>
            <w:pPr>
              <w:jc w:val="right"/>
              <w:ind w:right="127"/>
              <w:spacing w:after="0" w:line="149" w:lineRule="exact"/>
              <w:rPr>
                <w:sz w:val="20"/>
                <w:szCs w:val="20"/>
                <w:color w:val="auto"/>
              </w:rPr>
            </w:pPr>
            <w:r>
              <w:rPr>
                <w:rFonts w:ascii="Arial" w:cs="Arial" w:eastAsia="Arial" w:hAnsi="Arial"/>
                <w:sz w:val="14"/>
                <w:szCs w:val="14"/>
                <w:b w:val="1"/>
                <w:bCs w:val="1"/>
                <w:color w:val="auto"/>
              </w:rPr>
              <w:t>Net</w:t>
            </w:r>
          </w:p>
        </w:tc>
        <w:tc>
          <w:tcPr>
            <w:tcW w:w="300" w:type="dxa"/>
            <w:vAlign w:val="bottom"/>
          </w:tcPr>
          <w:p>
            <w:pPr>
              <w:spacing w:after="0"/>
              <w:rPr>
                <w:sz w:val="12"/>
                <w:szCs w:val="12"/>
                <w:color w:val="auto"/>
              </w:rPr>
            </w:pPr>
          </w:p>
        </w:tc>
        <w:tc>
          <w:tcPr>
            <w:tcW w:w="580" w:type="dxa"/>
            <w:vAlign w:val="bottom"/>
          </w:tcPr>
          <w:p>
            <w:pPr>
              <w:jc w:val="right"/>
              <w:ind w:right="47"/>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98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4980" w:type="dxa"/>
            <w:vAlign w:val="bottom"/>
          </w:tcPr>
          <w:p>
            <w:pPr>
              <w:spacing w:after="0"/>
              <w:rPr>
                <w:sz w:val="12"/>
                <w:szCs w:val="12"/>
                <w:color w:val="auto"/>
              </w:rPr>
            </w:pPr>
          </w:p>
        </w:tc>
        <w:tc>
          <w:tcPr>
            <w:tcW w:w="9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Range of</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and</w:t>
            </w:r>
          </w:p>
        </w:tc>
        <w:tc>
          <w:tcPr>
            <w:tcW w:w="14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4980" w:type="dxa"/>
            <w:vAlign w:val="bottom"/>
          </w:tcPr>
          <w:p>
            <w:pPr>
              <w:spacing w:after="0"/>
              <w:rPr>
                <w:sz w:val="14"/>
                <w:szCs w:val="14"/>
                <w:color w:val="auto"/>
              </w:rPr>
            </w:pPr>
          </w:p>
        </w:tc>
        <w:tc>
          <w:tcPr>
            <w:tcW w:w="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Useful Lives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8"/>
              </w:rPr>
              <w:t>Amounts</w:t>
            </w:r>
          </w:p>
        </w:tc>
        <w:tc>
          <w:tcPr>
            <w:tcW w:w="300" w:type="dxa"/>
            <w:vAlign w:val="bottom"/>
          </w:tcPr>
          <w:p>
            <w:pPr>
              <w:spacing w:after="0"/>
              <w:rPr>
                <w:sz w:val="14"/>
                <w:szCs w:val="14"/>
                <w:color w:val="auto"/>
              </w:rPr>
            </w:pPr>
          </w:p>
        </w:tc>
        <w:tc>
          <w:tcPr>
            <w:tcW w:w="96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1"/>
              </w:rPr>
              <w:t>Write-Offs</w:t>
            </w:r>
          </w:p>
        </w:tc>
        <w:tc>
          <w:tcPr>
            <w:tcW w:w="14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9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4"/>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0" w:type="dxa"/>
            <w:vAlign w:val="bottom"/>
          </w:tcPr>
          <w:p>
            <w:pPr>
              <w:spacing w:after="0"/>
              <w:rPr>
                <w:sz w:val="1"/>
                <w:szCs w:val="1"/>
                <w:color w:val="auto"/>
              </w:rPr>
            </w:pPr>
          </w:p>
        </w:tc>
      </w:tr>
      <w:tr>
        <w:trPr>
          <w:trHeight w:val="210"/>
        </w:trPr>
        <w:tc>
          <w:tcPr>
            <w:tcW w:w="49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Purchased and core technology</w:t>
            </w: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6"/>
              </w:rPr>
              <w:t>4 - 8 years</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$36,348</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9"/>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(19,303)</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$17,045</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$36,348</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(16,107)</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$20,241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80" w:type="dxa"/>
            <w:vAlign w:val="bottom"/>
          </w:tcPr>
          <w:p>
            <w:pPr>
              <w:spacing w:after="0"/>
              <w:rPr>
                <w:sz w:val="20"/>
                <w:szCs w:val="20"/>
                <w:color w:val="auto"/>
              </w:rPr>
            </w:pPr>
            <w:r>
              <w:rPr>
                <w:rFonts w:ascii="Arial" w:cs="Arial" w:eastAsia="Arial" w:hAnsi="Arial"/>
                <w:sz w:val="18"/>
                <w:szCs w:val="18"/>
                <w:color w:val="auto"/>
              </w:rPr>
              <w:t>Trade names</w:t>
            </w:r>
          </w:p>
        </w:tc>
        <w:tc>
          <w:tcPr>
            <w:tcW w:w="940" w:type="dxa"/>
            <w:vAlign w:val="bottom"/>
            <w:gridSpan w:val="2"/>
          </w:tcPr>
          <w:p>
            <w:pPr>
              <w:jc w:val="center"/>
              <w:ind w:right="200"/>
              <w:spacing w:after="0"/>
              <w:rPr>
                <w:sz w:val="20"/>
                <w:szCs w:val="20"/>
                <w:color w:val="auto"/>
              </w:rPr>
            </w:pPr>
            <w:r>
              <w:rPr>
                <w:rFonts w:ascii="Arial" w:cs="Arial" w:eastAsia="Arial" w:hAnsi="Arial"/>
                <w:sz w:val="18"/>
                <w:szCs w:val="18"/>
                <w:color w:val="auto"/>
                <w:w w:val="84"/>
              </w:rPr>
              <w:t>5 years</w:t>
            </w:r>
          </w:p>
        </w:tc>
        <w:tc>
          <w:tcPr>
            <w:tcW w:w="580" w:type="dxa"/>
            <w:vAlign w:val="bottom"/>
          </w:tcPr>
          <w:p>
            <w:pPr>
              <w:jc w:val="right"/>
              <w:spacing w:after="0"/>
              <w:rPr>
                <w:sz w:val="20"/>
                <w:szCs w:val="20"/>
                <w:color w:val="auto"/>
              </w:rPr>
            </w:pPr>
            <w:r>
              <w:rPr>
                <w:rFonts w:ascii="Arial" w:cs="Arial" w:eastAsia="Arial" w:hAnsi="Arial"/>
                <w:sz w:val="18"/>
                <w:szCs w:val="18"/>
                <w:color w:val="auto"/>
              </w:rPr>
              <w:t>1,300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(958)</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342</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1,300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(828)</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Customer intangibles</w:t>
            </w:r>
          </w:p>
        </w:tc>
        <w:tc>
          <w:tcPr>
            <w:tcW w:w="94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86"/>
              </w:rPr>
              <w:t>5 - 7 years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(21,395)</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7,205</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(18,615)</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9,985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80" w:type="dxa"/>
            <w:vAlign w:val="bottom"/>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7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980" w:type="dxa"/>
            <w:vAlign w:val="bottom"/>
            <w:vMerge w:val="continue"/>
          </w:tcPr>
          <w:p>
            <w:pPr>
              <w:spacing w:after="0"/>
              <w:rPr>
                <w:sz w:val="19"/>
                <w:szCs w:val="19"/>
                <w:color w:val="auto"/>
              </w:rPr>
            </w:pPr>
          </w:p>
        </w:tc>
        <w:tc>
          <w:tcPr>
            <w:tcW w:w="7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66,248</w:t>
            </w:r>
          </w:p>
        </w:tc>
        <w:tc>
          <w:tcPr>
            <w:tcW w:w="300" w:type="dxa"/>
            <w:vAlign w:val="bottom"/>
          </w:tcPr>
          <w:p>
            <w:pPr>
              <w:spacing w:after="0"/>
              <w:rPr>
                <w:sz w:val="19"/>
                <w:szCs w:val="19"/>
                <w:color w:val="auto"/>
              </w:rPr>
            </w:pPr>
          </w:p>
        </w:tc>
        <w:tc>
          <w:tcPr>
            <w:tcW w:w="160" w:type="dxa"/>
            <w:vAlign w:val="bottom"/>
          </w:tcPr>
          <w:p>
            <w:pPr>
              <w:jc w:val="right"/>
              <w:ind w:right="9"/>
              <w:spacing w:after="0"/>
              <w:rPr>
                <w:sz w:val="20"/>
                <w:szCs w:val="20"/>
                <w:color w:val="auto"/>
              </w:rPr>
            </w:pPr>
            <w:r>
              <w:rPr>
                <w:rFonts w:ascii="Arial" w:cs="Arial" w:eastAsia="Arial" w:hAnsi="Arial"/>
                <w:sz w:val="15"/>
                <w:szCs w:val="15"/>
                <w:color w:val="auto"/>
                <w:w w:val="71"/>
              </w:rPr>
              <w:t>$</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(41,656)</w:t>
            </w:r>
          </w:p>
        </w:tc>
        <w:tc>
          <w:tcPr>
            <w:tcW w:w="7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24,592</w:t>
            </w:r>
          </w:p>
        </w:tc>
        <w:tc>
          <w:tcPr>
            <w:tcW w:w="8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66,248</w:t>
            </w:r>
          </w:p>
        </w:tc>
        <w:tc>
          <w:tcPr>
            <w:tcW w:w="46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(35,550)</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30,698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9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700" w:firstLine="456"/>
        <w:spacing w:after="0" w:line="268" w:lineRule="auto"/>
        <w:rPr>
          <w:sz w:val="20"/>
          <w:szCs w:val="20"/>
          <w:color w:val="auto"/>
        </w:rPr>
      </w:pPr>
      <w:r>
        <w:rPr>
          <w:rFonts w:ascii="Arial" w:cs="Arial" w:eastAsia="Arial" w:hAnsi="Arial"/>
          <w:sz w:val="18"/>
          <w:szCs w:val="18"/>
          <w:color w:val="auto"/>
        </w:rPr>
        <w:t>Based on the identified intangible assets recorded at August 1, 2015, the future amortization expense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708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2016</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2017</w:t>
            </w:r>
          </w:p>
        </w:tc>
        <w:tc>
          <w:tcPr>
            <w:tcW w:w="6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11,027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6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2019</w:t>
            </w:r>
          </w:p>
        </w:tc>
        <w:tc>
          <w:tcPr>
            <w:tcW w:w="6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1,860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2020 and thereafter</w:t>
            </w: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40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24,592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 and Other Related Charges</w:t>
      </w:r>
    </w:p>
    <w:p>
      <w:pPr>
        <w:spacing w:after="0" w:line="96" w:lineRule="exact"/>
        <w:rPr>
          <w:sz w:val="20"/>
          <w:szCs w:val="20"/>
          <w:color w:val="auto"/>
        </w:rPr>
      </w:pPr>
    </w:p>
    <w:p>
      <w:pPr>
        <w:ind w:right="140" w:firstLine="913"/>
        <w:spacing w:after="0" w:line="268" w:lineRule="auto"/>
        <w:rPr>
          <w:sz w:val="20"/>
          <w:szCs w:val="20"/>
          <w:color w:val="auto"/>
        </w:rPr>
      </w:pPr>
      <w:r>
        <w:rPr>
          <w:rFonts w:ascii="Arial" w:cs="Arial" w:eastAsia="Arial" w:hAnsi="Arial"/>
          <w:sz w:val="18"/>
          <w:szCs w:val="18"/>
          <w:color w:val="auto"/>
        </w:rPr>
        <w:t>The following table provides a summary of restructuring and other related charges as presented in the unaudited condensed consolidated statements of operations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96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600" w:type="dxa"/>
            <w:vAlign w:val="bottom"/>
            <w:gridSpan w:val="4"/>
          </w:tcPr>
          <w:p>
            <w:pPr>
              <w:ind w:left="180"/>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Pr>
          <w:p>
            <w:pPr>
              <w:spacing w:after="0"/>
              <w:rPr>
                <w:sz w:val="14"/>
                <w:szCs w:val="14"/>
                <w:color w:val="auto"/>
              </w:rPr>
            </w:pPr>
          </w:p>
        </w:tc>
        <w:tc>
          <w:tcPr>
            <w:tcW w:w="1700" w:type="dxa"/>
            <w:vAlign w:val="bottom"/>
            <w:gridSpan w:val="4"/>
          </w:tcPr>
          <w:p>
            <w:pPr>
              <w:ind w:left="2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3960" w:type="dxa"/>
            <w:vAlign w:val="bottom"/>
          </w:tcPr>
          <w:p>
            <w:pPr>
              <w:spacing w:after="0"/>
              <w:rPr>
                <w:sz w:val="11"/>
                <w:szCs w:val="11"/>
                <w:color w:val="auto"/>
              </w:rPr>
            </w:pPr>
          </w:p>
        </w:tc>
        <w:tc>
          <w:tcPr>
            <w:tcW w:w="2760" w:type="dxa"/>
            <w:vAlign w:val="bottom"/>
          </w:tcPr>
          <w:p>
            <w:pPr>
              <w:spacing w:after="0"/>
              <w:rPr>
                <w:sz w:val="11"/>
                <w:szCs w:val="11"/>
                <w:color w:val="auto"/>
              </w:rPr>
            </w:pPr>
          </w:p>
        </w:tc>
        <w:tc>
          <w:tcPr>
            <w:tcW w:w="58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4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4"/>
              </w:rPr>
              <w:t>August 2,</w:t>
            </w:r>
          </w:p>
        </w:tc>
        <w:tc>
          <w:tcPr>
            <w:tcW w:w="480" w:type="dxa"/>
            <w:vAlign w:val="bottom"/>
          </w:tcPr>
          <w:p>
            <w:pPr>
              <w:spacing w:after="0"/>
              <w:rPr>
                <w:sz w:val="11"/>
                <w:szCs w:val="11"/>
                <w:color w:val="auto"/>
              </w:rPr>
            </w:pPr>
          </w:p>
        </w:tc>
        <w:tc>
          <w:tcPr>
            <w:tcW w:w="58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4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960" w:type="dxa"/>
            <w:vAlign w:val="bottom"/>
          </w:tcPr>
          <w:p>
            <w:pPr>
              <w:spacing w:after="0"/>
              <w:rPr>
                <w:sz w:val="14"/>
                <w:szCs w:val="14"/>
                <w:color w:val="auto"/>
              </w:rPr>
            </w:pPr>
          </w:p>
        </w:tc>
        <w:tc>
          <w:tcPr>
            <w:tcW w:w="3340" w:type="dxa"/>
            <w:vAlign w:val="bottom"/>
            <w:gridSpan w:val="2"/>
          </w:tcPr>
          <w:p>
            <w:pPr>
              <w:jc w:val="center"/>
              <w:ind w:left="2679"/>
              <w:spacing w:after="0"/>
              <w:rPr>
                <w:sz w:val="20"/>
                <w:szCs w:val="20"/>
                <w:color w:val="auto"/>
              </w:rPr>
            </w:pPr>
            <w:r>
              <w:rPr>
                <w:rFonts w:ascii="Arial" w:cs="Arial" w:eastAsia="Arial" w:hAnsi="Arial"/>
                <w:sz w:val="14"/>
                <w:szCs w:val="14"/>
                <w:b w:val="1"/>
                <w:bCs w:val="1"/>
                <w:color w:val="auto"/>
                <w:w w:val="83"/>
              </w:rPr>
              <w:t>2015</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40" w:type="dxa"/>
            <w:vAlign w:val="bottom"/>
          </w:tcPr>
          <w:p>
            <w:pPr>
              <w:jc w:val="right"/>
              <w:ind w:right="57"/>
              <w:spacing w:after="0"/>
              <w:rPr>
                <w:sz w:val="20"/>
                <w:szCs w:val="20"/>
                <w:color w:val="auto"/>
              </w:rPr>
            </w:pPr>
            <w:r>
              <w:rPr>
                <w:rFonts w:ascii="Arial" w:cs="Arial" w:eastAsia="Arial" w:hAnsi="Arial"/>
                <w:sz w:val="14"/>
                <w:szCs w:val="14"/>
                <w:b w:val="1"/>
                <w:bCs w:val="1"/>
                <w:color w:val="auto"/>
                <w:w w:val="89"/>
              </w:rPr>
              <w:t>2014</w:t>
            </w:r>
          </w:p>
        </w:tc>
        <w:tc>
          <w:tcPr>
            <w:tcW w:w="1060" w:type="dxa"/>
            <w:vAlign w:val="bottom"/>
            <w:gridSpan w:val="2"/>
          </w:tcPr>
          <w:p>
            <w:pPr>
              <w:jc w:val="center"/>
              <w:ind w:left="402"/>
              <w:spacing w:after="0"/>
              <w:rPr>
                <w:sz w:val="20"/>
                <w:szCs w:val="20"/>
                <w:color w:val="auto"/>
              </w:rPr>
            </w:pPr>
            <w:r>
              <w:rPr>
                <w:rFonts w:ascii="Arial" w:cs="Arial" w:eastAsia="Arial" w:hAnsi="Arial"/>
                <w:sz w:val="14"/>
                <w:szCs w:val="14"/>
                <w:b w:val="1"/>
                <w:bCs w:val="1"/>
                <w:color w:val="auto"/>
                <w:w w:val="83"/>
              </w:rPr>
              <w:t>2015</w:t>
            </w:r>
          </w:p>
        </w:tc>
        <w:tc>
          <w:tcPr>
            <w:tcW w:w="1020" w:type="dxa"/>
            <w:vAlign w:val="bottom"/>
            <w:gridSpan w:val="2"/>
          </w:tcPr>
          <w:p>
            <w:pPr>
              <w:jc w:val="right"/>
              <w:ind w:right="59"/>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9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Restructuring and other related charges</w:t>
            </w:r>
          </w:p>
        </w:tc>
        <w:tc>
          <w:tcPr>
            <w:tcW w:w="27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$13,000</w:t>
            </w:r>
          </w:p>
        </w:tc>
        <w:tc>
          <w:tcPr>
            <w:tcW w:w="4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40" w:type="dxa"/>
            <w:vAlign w:val="bottom"/>
            <w:tcBorders>
              <w:top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w w:val="79"/>
              </w:rPr>
              <w:t>735</w:t>
            </w:r>
          </w:p>
        </w:tc>
        <w:tc>
          <w:tcPr>
            <w:tcW w:w="4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$13,592</w:t>
            </w:r>
          </w:p>
        </w:tc>
        <w:tc>
          <w:tcPr>
            <w:tcW w:w="48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$ 5,823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96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2760" w:type="dxa"/>
            <w:vAlign w:val="bottom"/>
          </w:tcPr>
          <w:p>
            <w:pPr>
              <w:spacing w:after="0"/>
              <w:rPr>
                <w:sz w:val="19"/>
                <w:szCs w:val="19"/>
                <w:color w:val="auto"/>
              </w:rPr>
            </w:pP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ind w:left="18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spacing w:after="0"/>
              <w:rPr>
                <w:sz w:val="18"/>
                <w:szCs w:val="18"/>
                <w:color w:val="auto"/>
              </w:rPr>
            </w:pPr>
          </w:p>
        </w:tc>
        <w:tc>
          <w:tcPr>
            <w:tcW w:w="3340" w:type="dxa"/>
            <w:vAlign w:val="bottom"/>
            <w:gridSpan w:val="2"/>
            <w:shd w:val="clear" w:color="auto" w:fill="CCEEFF"/>
          </w:tcPr>
          <w:p>
            <w:pPr>
              <w:jc w:val="center"/>
              <w:ind w:left="2679"/>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13,000</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735</w:t>
            </w:r>
          </w:p>
        </w:tc>
        <w:tc>
          <w:tcPr>
            <w:tcW w:w="1060" w:type="dxa"/>
            <w:vAlign w:val="bottom"/>
            <w:gridSpan w:val="2"/>
            <w:shd w:val="clear" w:color="auto" w:fill="CCEEFF"/>
          </w:tcPr>
          <w:p>
            <w:pPr>
              <w:jc w:val="center"/>
              <w:ind w:left="402"/>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13,592</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$ 9,209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60" w:type="dxa"/>
            <w:vAlign w:val="bottom"/>
          </w:tcPr>
          <w:p>
            <w:pPr>
              <w:spacing w:after="0" w:line="20" w:lineRule="exact"/>
              <w:rPr>
                <w:sz w:val="1"/>
                <w:szCs w:val="1"/>
                <w:color w:val="auto"/>
              </w:rPr>
            </w:pPr>
          </w:p>
        </w:tc>
        <w:tc>
          <w:tcPr>
            <w:tcW w:w="2760" w:type="dxa"/>
            <w:vAlign w:val="bottom"/>
            <w:vMerge w:val="restart"/>
          </w:tcPr>
          <w:p>
            <w:pPr>
              <w:jc w:val="right"/>
              <w:ind w:right="1299"/>
              <w:spacing w:after="0"/>
              <w:rPr>
                <w:sz w:val="20"/>
                <w:szCs w:val="20"/>
                <w:color w:val="auto"/>
              </w:rPr>
            </w:pPr>
            <w:r>
              <w:rPr>
                <w:rFonts w:ascii="Arial" w:cs="Arial" w:eastAsia="Arial" w:hAnsi="Arial"/>
                <w:sz w:val="18"/>
                <w:szCs w:val="18"/>
                <w:color w:val="auto"/>
              </w:rPr>
              <w:t>16</w:t>
            </w: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960" w:type="dxa"/>
            <w:vAlign w:val="bottom"/>
          </w:tcPr>
          <w:p>
            <w:pPr>
              <w:spacing w:after="0"/>
              <w:rPr>
                <w:sz w:val="24"/>
                <w:szCs w:val="24"/>
                <w:color w:val="auto"/>
              </w:rPr>
            </w:pPr>
          </w:p>
        </w:tc>
        <w:tc>
          <w:tcPr>
            <w:tcW w:w="2760" w:type="dxa"/>
            <w:vAlign w:val="bottom"/>
            <w:vMerge w:val="continue"/>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920"/>
        <w:spacing w:after="0"/>
        <w:rPr>
          <w:sz w:val="20"/>
          <w:szCs w:val="20"/>
          <w:color w:val="auto"/>
        </w:rPr>
      </w:pPr>
      <w:r>
        <w:rPr>
          <w:rFonts w:ascii="Arial" w:cs="Arial" w:eastAsia="Arial" w:hAnsi="Arial"/>
          <w:sz w:val="16"/>
          <w:szCs w:val="16"/>
          <w:color w:val="auto"/>
        </w:rPr>
        <w:t>The following table presents details of charges recorded by the Company related to the restructuring actions described below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720" w:type="dxa"/>
            <w:vAlign w:val="bottom"/>
          </w:tcPr>
          <w:p>
            <w:pPr>
              <w:spacing w:after="0"/>
              <w:rPr>
                <w:sz w:val="14"/>
                <w:szCs w:val="14"/>
                <w:color w:val="auto"/>
              </w:rPr>
            </w:pPr>
          </w:p>
        </w:tc>
        <w:tc>
          <w:tcPr>
            <w:tcW w:w="1600" w:type="dxa"/>
            <w:vAlign w:val="bottom"/>
            <w:gridSpan w:val="4"/>
          </w:tcPr>
          <w:p>
            <w:pPr>
              <w:jc w:val="right"/>
              <w:ind w:right="95"/>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Pr>
          <w:p>
            <w:pPr>
              <w:spacing w:after="0"/>
              <w:rPr>
                <w:sz w:val="14"/>
                <w:szCs w:val="14"/>
                <w:color w:val="auto"/>
              </w:rPr>
            </w:pPr>
          </w:p>
        </w:tc>
        <w:tc>
          <w:tcPr>
            <w:tcW w:w="1700" w:type="dxa"/>
            <w:vAlign w:val="bottom"/>
            <w:gridSpan w:val="4"/>
          </w:tcPr>
          <w:p>
            <w:pPr>
              <w:ind w:left="26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720" w:type="dxa"/>
            <w:vAlign w:val="bottom"/>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4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480" w:type="dxa"/>
            <w:vAlign w:val="bottom"/>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4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100" w:type="dxa"/>
            <w:vAlign w:val="bottom"/>
          </w:tcPr>
          <w:p>
            <w:pPr>
              <w:spacing w:after="0"/>
              <w:rPr>
                <w:sz w:val="11"/>
                <w:szCs w:val="11"/>
                <w:color w:val="auto"/>
              </w:rPr>
            </w:pPr>
          </w:p>
        </w:tc>
      </w:tr>
      <w:tr>
        <w:trPr>
          <w:trHeight w:val="161"/>
        </w:trPr>
        <w:tc>
          <w:tcPr>
            <w:tcW w:w="6720" w:type="dxa"/>
            <w:vAlign w:val="bottom"/>
          </w:tcPr>
          <w:p>
            <w:pPr>
              <w:spacing w:after="0"/>
              <w:rPr>
                <w:sz w:val="14"/>
                <w:szCs w:val="14"/>
                <w:color w:val="auto"/>
              </w:rPr>
            </w:pPr>
          </w:p>
        </w:tc>
        <w:tc>
          <w:tcPr>
            <w:tcW w:w="580" w:type="dxa"/>
            <w:vAlign w:val="bottom"/>
          </w:tcPr>
          <w:p>
            <w:pPr>
              <w:jc w:val="right"/>
              <w:ind w:right="78"/>
              <w:spacing w:after="0"/>
              <w:rPr>
                <w:sz w:val="20"/>
                <w:szCs w:val="20"/>
                <w:color w:val="auto"/>
              </w:rPr>
            </w:pPr>
            <w:r>
              <w:rPr>
                <w:rFonts w:ascii="Arial" w:cs="Arial" w:eastAsia="Arial" w:hAnsi="Arial"/>
                <w:sz w:val="14"/>
                <w:szCs w:val="14"/>
                <w:b w:val="1"/>
                <w:bCs w:val="1"/>
                <w:color w:val="auto"/>
              </w:rPr>
              <w:t>2015</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40" w:type="dxa"/>
            <w:vAlign w:val="bottom"/>
          </w:tcPr>
          <w:p>
            <w:pPr>
              <w:ind w:left="40"/>
              <w:spacing w:after="0"/>
              <w:rPr>
                <w:sz w:val="20"/>
                <w:szCs w:val="20"/>
                <w:color w:val="auto"/>
              </w:rPr>
            </w:pPr>
            <w:r>
              <w:rPr>
                <w:rFonts w:ascii="Arial" w:cs="Arial" w:eastAsia="Arial" w:hAnsi="Arial"/>
                <w:sz w:val="14"/>
                <w:szCs w:val="14"/>
                <w:b w:val="1"/>
                <w:bCs w:val="1"/>
                <w:color w:val="auto"/>
              </w:rPr>
              <w:t>2014</w:t>
            </w:r>
          </w:p>
        </w:tc>
        <w:tc>
          <w:tcPr>
            <w:tcW w:w="106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rPr>
              <w:t>2015</w:t>
            </w:r>
          </w:p>
        </w:tc>
        <w:tc>
          <w:tcPr>
            <w:tcW w:w="1020" w:type="dxa"/>
            <w:vAlign w:val="bottom"/>
            <w:gridSpan w:val="2"/>
          </w:tcPr>
          <w:p>
            <w:pPr>
              <w:jc w:val="right"/>
              <w:ind w:right="57"/>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210"/>
        </w:trPr>
        <w:tc>
          <w:tcPr>
            <w:tcW w:w="67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Severance and related costs</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$11,705</w:t>
            </w:r>
          </w:p>
        </w:tc>
        <w:tc>
          <w:tcPr>
            <w:tcW w:w="4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40" w:type="dxa"/>
            <w:vAlign w:val="bottom"/>
            <w:tcBorders>
              <w:top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w w:val="79"/>
              </w:rPr>
              <w:t>418</w:t>
            </w:r>
          </w:p>
        </w:tc>
        <w:tc>
          <w:tcPr>
            <w:tcW w:w="4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$11,705</w:t>
            </w:r>
          </w:p>
        </w:tc>
        <w:tc>
          <w:tcPr>
            <w:tcW w:w="48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$ 5,035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720" w:type="dxa"/>
            <w:vAlign w:val="bottom"/>
          </w:tcPr>
          <w:p>
            <w:pPr>
              <w:spacing w:after="0"/>
              <w:rPr>
                <w:sz w:val="20"/>
                <w:szCs w:val="20"/>
                <w:color w:val="auto"/>
              </w:rPr>
            </w:pPr>
            <w:r>
              <w:rPr>
                <w:rFonts w:ascii="Arial" w:cs="Arial" w:eastAsia="Arial" w:hAnsi="Arial"/>
                <w:sz w:val="18"/>
                <w:szCs w:val="18"/>
                <w:color w:val="auto"/>
              </w:rPr>
              <w:t>Facilities and related costs</w:t>
            </w:r>
          </w:p>
        </w:tc>
        <w:tc>
          <w:tcPr>
            <w:tcW w:w="580" w:type="dxa"/>
            <w:vAlign w:val="bottom"/>
          </w:tcPr>
          <w:p>
            <w:pPr>
              <w:jc w:val="right"/>
              <w:spacing w:after="0"/>
              <w:rPr>
                <w:sz w:val="20"/>
                <w:szCs w:val="20"/>
                <w:color w:val="auto"/>
              </w:rPr>
            </w:pPr>
            <w:r>
              <w:rPr>
                <w:rFonts w:ascii="Arial" w:cs="Arial" w:eastAsia="Arial" w:hAnsi="Arial"/>
                <w:sz w:val="18"/>
                <w:szCs w:val="18"/>
                <w:color w:val="auto"/>
              </w:rPr>
              <w:t>206</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ind w:left="180"/>
              <w:spacing w:after="0"/>
              <w:rPr>
                <w:sz w:val="20"/>
                <w:szCs w:val="20"/>
                <w:color w:val="auto"/>
              </w:rPr>
            </w:pPr>
            <w:r>
              <w:rPr>
                <w:rFonts w:ascii="Arial" w:cs="Arial" w:eastAsia="Arial" w:hAnsi="Arial"/>
                <w:sz w:val="18"/>
                <w:szCs w:val="18"/>
                <w:color w:val="auto"/>
                <w:w w:val="79"/>
              </w:rPr>
              <w:t>254</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225</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698</w:t>
            </w:r>
          </w:p>
        </w:tc>
        <w:tc>
          <w:tcPr>
            <w:tcW w:w="100" w:type="dxa"/>
            <w:vAlign w:val="bottom"/>
          </w:tcPr>
          <w:p>
            <w:pPr>
              <w:spacing w:after="0"/>
              <w:rPr>
                <w:sz w:val="18"/>
                <w:szCs w:val="18"/>
                <w:color w:val="auto"/>
              </w:rPr>
            </w:pPr>
          </w:p>
        </w:tc>
      </w:t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Other exit-related costs</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48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w:t>
            </w:r>
          </w:p>
        </w:tc>
        <w:tc>
          <w:tcPr>
            <w:tcW w:w="480" w:type="dxa"/>
            <w:vAlign w:val="bottom"/>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100" w:type="dxa"/>
            <w:vAlign w:val="bottom"/>
            <w:shd w:val="clear" w:color="auto" w:fill="CCEEFF"/>
          </w:tcPr>
          <w:p>
            <w:pPr>
              <w:spacing w:after="0"/>
              <w:rPr>
                <w:sz w:val="18"/>
                <w:szCs w:val="18"/>
                <w:color w:val="auto"/>
              </w:rPr>
            </w:pPr>
          </w:p>
        </w:tc>
      </w:tr>
      <w:tr>
        <w:trPr>
          <w:trHeight w:val="221"/>
        </w:trPr>
        <w:tc>
          <w:tcPr>
            <w:tcW w:w="67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12,100</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40" w:type="dxa"/>
            <w:vAlign w:val="bottom"/>
          </w:tcPr>
          <w:p>
            <w:pPr>
              <w:ind w:left="180"/>
              <w:spacing w:after="0"/>
              <w:rPr>
                <w:sz w:val="20"/>
                <w:szCs w:val="20"/>
                <w:color w:val="auto"/>
              </w:rPr>
            </w:pPr>
            <w:r>
              <w:rPr>
                <w:rFonts w:ascii="Arial" w:cs="Arial" w:eastAsia="Arial" w:hAnsi="Arial"/>
                <w:sz w:val="18"/>
                <w:szCs w:val="18"/>
                <w:color w:val="auto"/>
                <w:w w:val="79"/>
              </w:rPr>
              <w:t>735</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12,119</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5,806</w:t>
            </w:r>
          </w:p>
        </w:tc>
        <w:tc>
          <w:tcPr>
            <w:tcW w:w="100" w:type="dxa"/>
            <w:vAlign w:val="bottom"/>
          </w:tcPr>
          <w:p>
            <w:pPr>
              <w:spacing w:after="0"/>
              <w:rPr>
                <w:sz w:val="19"/>
                <w:szCs w:val="19"/>
                <w:color w:val="auto"/>
              </w:rPr>
            </w:pPr>
          </w:p>
        </w:tc>
      </w:tr>
      <w:tr>
        <w:trPr>
          <w:trHeight w:val="218"/>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Impairment and write-off of assets:</w:t>
            </w: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6720" w:type="dxa"/>
            <w:vAlign w:val="bottom"/>
          </w:tcPr>
          <w:p>
            <w:pPr>
              <w:ind w:left="440"/>
              <w:spacing w:after="0"/>
              <w:rPr>
                <w:sz w:val="20"/>
                <w:szCs w:val="20"/>
                <w:color w:val="auto"/>
              </w:rPr>
            </w:pPr>
            <w:r>
              <w:rPr>
                <w:rFonts w:ascii="Arial" w:cs="Arial" w:eastAsia="Arial" w:hAnsi="Arial"/>
                <w:sz w:val="18"/>
                <w:szCs w:val="18"/>
                <w:color w:val="auto"/>
              </w:rPr>
              <w:t>Equipment</w:t>
            </w:r>
          </w:p>
        </w:tc>
        <w:tc>
          <w:tcPr>
            <w:tcW w:w="580" w:type="dxa"/>
            <w:vAlign w:val="bottom"/>
          </w:tcPr>
          <w:p>
            <w:pPr>
              <w:jc w:val="right"/>
              <w:spacing w:after="0"/>
              <w:rPr>
                <w:sz w:val="20"/>
                <w:szCs w:val="20"/>
                <w:color w:val="auto"/>
              </w:rPr>
            </w:pPr>
            <w:r>
              <w:rPr>
                <w:rFonts w:ascii="Arial" w:cs="Arial" w:eastAsia="Arial" w:hAnsi="Arial"/>
                <w:sz w:val="18"/>
                <w:szCs w:val="18"/>
                <w:color w:val="auto"/>
              </w:rPr>
              <w:t>900</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ind w:left="18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1,473</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18"/>
                <w:szCs w:val="18"/>
                <w:color w:val="auto"/>
              </w:rPr>
            </w:pPr>
          </w:p>
        </w:tc>
      </w:tr>
      <w:tr>
        <w:trPr>
          <w:trHeight w:val="216"/>
        </w:trPr>
        <w:tc>
          <w:tcPr>
            <w:tcW w:w="67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Acquired intangible asset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r>
      <w:tr>
        <w:trPr>
          <w:trHeight w:val="222"/>
        </w:trPr>
        <w:tc>
          <w:tcPr>
            <w:tcW w:w="67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13,000</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ind w:left="180"/>
              <w:spacing w:after="0"/>
              <w:rPr>
                <w:sz w:val="20"/>
                <w:szCs w:val="20"/>
                <w:color w:val="auto"/>
              </w:rPr>
            </w:pPr>
            <w:r>
              <w:rPr>
                <w:rFonts w:ascii="Arial" w:cs="Arial" w:eastAsia="Arial" w:hAnsi="Arial"/>
                <w:sz w:val="18"/>
                <w:szCs w:val="18"/>
                <w:color w:val="auto"/>
                <w:w w:val="79"/>
              </w:rPr>
              <w:t>735</w:t>
            </w:r>
          </w:p>
        </w:tc>
        <w:tc>
          <w:tcPr>
            <w:tcW w:w="10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13,592</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$ 9,209</w:t>
            </w:r>
          </w:p>
        </w:tc>
        <w:tc>
          <w:tcPr>
            <w:tcW w:w="100" w:type="dxa"/>
            <w:vAlign w:val="bottom"/>
          </w:tcPr>
          <w:p>
            <w:pPr>
              <w:spacing w:after="0"/>
              <w:rPr>
                <w:sz w:val="19"/>
                <w:szCs w:val="19"/>
                <w:color w:val="auto"/>
              </w:rPr>
            </w:pPr>
          </w:p>
        </w:tc>
      </w:tr>
      <w:tr>
        <w:trPr>
          <w:trHeight w:val="20"/>
        </w:trPr>
        <w:tc>
          <w:tcPr>
            <w:tcW w:w="67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In May 2015, the Company decided to further reduce its research and development operations in Israel and close certain other design centers, primarily located in Europe and the U.S. in connection with its ongoing effort to streamline its business. As a result, the Company recorded a $11.9 million charge that included severance related to the termination of 313 employees and the lease obligation related to a facility that the Company vacated in July 2015. Although the majority of the affected employees departed by the end of the second quarter of fiscal 2016, certain employees remained through the end of calendar 2015 to facilitate the transfer of ongoing operations to other major sites. Before the end of fiscal 2016, substantially all of the activities associated with these actions were completed and all affected employees had departed.</w:t>
      </w:r>
    </w:p>
    <w:p>
      <w:pPr>
        <w:spacing w:after="0" w:line="12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March 2015, the Company exercised the early buyout option under an operating lease for corporate equipment that it had planned to sell as part of a cost reduction action. The Company actively sought a buyer and classified the equipment as held for sale within prepaid and current assets on the unaudited condensed consolidated balance sheet. It also ceased depreciation on these assets and measured the carrying value at the lower of net book value or fair value (less cost to sell). Accordingly, since the fair value of the equipment was lower than its net book value as of August 1, 2015, the Company recorded an impairment charge of $0.9 million resulting in a carrying value of $9.3 million. This charge is included in the total restructuring charges for the three and six months ended August 1, 2015. Subsequently in October 2015, the Company sold the corporate equipment for net proceeds of $9.3 million, which approximated the carrying value and resulted in no gain or loss recognition in the third quarter of fiscal 2016 upon the sale of the asset.</w:t>
      </w:r>
    </w:p>
    <w:p>
      <w:pPr>
        <w:spacing w:after="0" w:line="118"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During the three and six months ended August 1, 2015, the Company also continued to make payments and incur ongoing operating expenses related to vacated facilities under previous restructure actions.</w:t>
      </w:r>
    </w:p>
    <w:p>
      <w:pPr>
        <w:spacing w:after="0" w:line="132"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 September 2015, the Company announced a significant restructuring of its mobile platform business in order to focus the mobile product line on more profitable opportunities and align its expenses with corporate targets. The Company began implementing actions to significantly downsize the mobile platform organization to refocus its technology to other emerging opportunities, but it will continue its commitment to wireless connectivity such as WiFi and other wireless standards. Major activities associated with these actions were expected to take place in the third quarter of fiscal 2016 through the end of the first quarter of fiscal 2017. The Company initially announced it expected to incur a total charge of $100 million to $130 million for severance and employee-related costs, facilities and asset impairment charges, and the write down of mobile-related inventory.</w:t>
      </w:r>
    </w:p>
    <w:p>
      <w:pPr>
        <w:spacing w:after="0" w:line="12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000" w:type="dxa"/>
            <w:vAlign w:val="bottom"/>
            <w:gridSpan w:val="3"/>
          </w:tcPr>
          <w:p>
            <w:pPr>
              <w:ind w:left="60"/>
              <w:spacing w:after="0"/>
              <w:rPr>
                <w:sz w:val="20"/>
                <w:szCs w:val="20"/>
                <w:color w:val="auto"/>
              </w:rPr>
            </w:pPr>
            <w:r>
              <w:rPr>
                <w:rFonts w:ascii="Arial" w:cs="Arial" w:eastAsia="Arial" w:hAnsi="Arial"/>
                <w:sz w:val="14"/>
                <w:szCs w:val="14"/>
                <w:b w:val="1"/>
                <w:bCs w:val="1"/>
                <w:color w:val="auto"/>
              </w:rPr>
              <w:t>Severance</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4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w w:val="83"/>
              </w:rPr>
              <w:t>Facilities</w:t>
            </w:r>
          </w:p>
        </w:tc>
        <w:tc>
          <w:tcPr>
            <w:tcW w:w="140" w:type="dxa"/>
            <w:vAlign w:val="bottom"/>
          </w:tcPr>
          <w:p>
            <w:pPr>
              <w:spacing w:after="0"/>
              <w:rPr>
                <w:sz w:val="14"/>
                <w:szCs w:val="14"/>
                <w:color w:val="auto"/>
              </w:rPr>
            </w:pPr>
          </w:p>
        </w:tc>
        <w:tc>
          <w:tcPr>
            <w:tcW w:w="9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Other</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2360" w:type="dxa"/>
            <w:vAlign w:val="bottom"/>
          </w:tcPr>
          <w:p>
            <w:pPr>
              <w:spacing w:after="0"/>
              <w:rPr>
                <w:sz w:val="12"/>
                <w:szCs w:val="12"/>
                <w:color w:val="auto"/>
              </w:rPr>
            </w:pPr>
          </w:p>
        </w:tc>
        <w:tc>
          <w:tcPr>
            <w:tcW w:w="10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240" w:type="dxa"/>
            <w:vAlign w:val="bottom"/>
          </w:tcPr>
          <w:p>
            <w:pPr>
              <w:spacing w:after="0"/>
              <w:rPr>
                <w:sz w:val="12"/>
                <w:szCs w:val="12"/>
                <w:color w:val="auto"/>
              </w:rPr>
            </w:pPr>
          </w:p>
        </w:tc>
        <w:tc>
          <w:tcPr>
            <w:tcW w:w="12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0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6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7"/>
              </w:rPr>
              <w:t>Costs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40" w:type="dxa"/>
            <w:vAlign w:val="bottom"/>
            <w:gridSpan w:val="2"/>
          </w:tcPr>
          <w:p>
            <w:pPr>
              <w:jc w:val="right"/>
              <w:ind w:right="740"/>
              <w:spacing w:after="0"/>
              <w:rPr>
                <w:sz w:val="20"/>
                <w:szCs w:val="20"/>
                <w:color w:val="auto"/>
              </w:rPr>
            </w:pPr>
            <w:r>
              <w:rPr>
                <w:rFonts w:ascii="Arial" w:cs="Arial" w:eastAsia="Arial" w:hAnsi="Arial"/>
                <w:sz w:val="14"/>
                <w:szCs w:val="14"/>
                <w:b w:val="1"/>
                <w:bCs w:val="1"/>
                <w:color w:val="auto"/>
                <w:w w:val="97"/>
              </w:rPr>
              <w:t>Costs</w:t>
            </w:r>
          </w:p>
        </w:tc>
        <w:tc>
          <w:tcPr>
            <w:tcW w:w="140" w:type="dxa"/>
            <w:vAlign w:val="bottom"/>
          </w:tcPr>
          <w:p>
            <w:pPr>
              <w:spacing w:after="0"/>
              <w:rPr>
                <w:sz w:val="14"/>
                <w:szCs w:val="14"/>
                <w:color w:val="auto"/>
              </w:rPr>
            </w:pPr>
          </w:p>
        </w:tc>
        <w:tc>
          <w:tcPr>
            <w:tcW w:w="90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92"/>
              </w:rPr>
              <w:t>Costs</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6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2015</w:t>
            </w:r>
          </w:p>
        </w:tc>
        <w:tc>
          <w:tcPr>
            <w:tcW w:w="23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1,339</w:t>
            </w:r>
          </w:p>
        </w:tc>
        <w:tc>
          <w:tcPr>
            <w:tcW w:w="5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3,230</w:t>
            </w:r>
          </w:p>
        </w:tc>
        <w:tc>
          <w:tcPr>
            <w:tcW w:w="3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4,569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ind w:left="420"/>
              <w:spacing w:after="0"/>
              <w:rPr>
                <w:sz w:val="20"/>
                <w:szCs w:val="20"/>
                <w:color w:val="auto"/>
              </w:rPr>
            </w:pPr>
            <w:r>
              <w:rPr>
                <w:rFonts w:ascii="Arial" w:cs="Arial" w:eastAsia="Arial" w:hAnsi="Arial"/>
                <w:sz w:val="18"/>
                <w:szCs w:val="18"/>
                <w:color w:val="auto"/>
              </w:rPr>
              <w:t>Restructuring charges</w:t>
            </w:r>
          </w:p>
        </w:tc>
        <w:tc>
          <w:tcPr>
            <w:tcW w:w="2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11,705</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540"/>
              <w:spacing w:after="0"/>
              <w:rPr>
                <w:sz w:val="20"/>
                <w:szCs w:val="20"/>
                <w:color w:val="auto"/>
              </w:rPr>
            </w:pPr>
            <w:r>
              <w:rPr>
                <w:rFonts w:ascii="Arial" w:cs="Arial" w:eastAsia="Arial" w:hAnsi="Arial"/>
                <w:sz w:val="18"/>
                <w:szCs w:val="18"/>
                <w:color w:val="auto"/>
              </w:rPr>
              <w:t>225</w:t>
            </w: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189</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12,119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cash payments</w:t>
            </w:r>
          </w:p>
        </w:tc>
        <w:tc>
          <w:tcPr>
            <w:tcW w:w="2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(2,392)</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(476)</w:t>
            </w:r>
          </w:p>
        </w:tc>
        <w:tc>
          <w:tcPr>
            <w:tcW w:w="1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(3,419)</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(6,287)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ind w:left="420"/>
              <w:spacing w:after="0"/>
              <w:rPr>
                <w:sz w:val="20"/>
                <w:szCs w:val="20"/>
                <w:color w:val="auto"/>
              </w:rPr>
            </w:pPr>
            <w:r>
              <w:rPr>
                <w:rFonts w:ascii="Arial" w:cs="Arial" w:eastAsia="Arial" w:hAnsi="Arial"/>
                <w:sz w:val="18"/>
                <w:szCs w:val="18"/>
                <w:color w:val="auto"/>
              </w:rPr>
              <w:t>Exchange rate adjustment</w:t>
            </w:r>
          </w:p>
        </w:tc>
        <w:tc>
          <w:tcPr>
            <w:tcW w:w="2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(104)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80"/>
              <w:spacing w:after="0"/>
              <w:rPr>
                <w:sz w:val="20"/>
                <w:szCs w:val="20"/>
                <w:color w:val="auto"/>
              </w:rPr>
            </w:pPr>
            <w:r>
              <w:rPr>
                <w:rFonts w:ascii="Arial" w:cs="Arial" w:eastAsia="Arial" w:hAnsi="Arial"/>
                <w:sz w:val="18"/>
                <w:szCs w:val="18"/>
                <w:color w:val="auto"/>
              </w:rPr>
              <w:t>(67)</w:t>
            </w:r>
          </w:p>
        </w:tc>
        <w:tc>
          <w:tcPr>
            <w:tcW w:w="140" w:type="dxa"/>
            <w:vAlign w:val="bottom"/>
          </w:tcPr>
          <w:p>
            <w:pPr>
              <w:spacing w:after="0"/>
              <w:rPr>
                <w:sz w:val="18"/>
                <w:szCs w:val="18"/>
                <w:color w:val="auto"/>
              </w:rPr>
            </w:pPr>
          </w:p>
        </w:tc>
        <w:tc>
          <w:tcPr>
            <w:tcW w:w="9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(171)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680" w:type="dxa"/>
            <w:vAlign w:val="bottom"/>
          </w:tcPr>
          <w:p>
            <w:pPr>
              <w:spacing w:after="0"/>
              <w:rPr>
                <w:sz w:val="2"/>
                <w:szCs w:val="2"/>
                <w:color w:val="auto"/>
              </w:rPr>
            </w:pPr>
          </w:p>
        </w:tc>
        <w:tc>
          <w:tcPr>
            <w:tcW w:w="23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1, 2015</w:t>
            </w:r>
          </w:p>
        </w:tc>
        <w:tc>
          <w:tcPr>
            <w:tcW w:w="2500" w:type="dxa"/>
            <w:vAlign w:val="bottom"/>
            <w:gridSpan w:val="2"/>
            <w:shd w:val="clear" w:color="auto" w:fill="CCEEFF"/>
          </w:tcPr>
          <w:p>
            <w:pPr>
              <w:ind w:left="236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9,209</w:t>
            </w:r>
          </w:p>
        </w:tc>
        <w:tc>
          <w:tcPr>
            <w:tcW w:w="3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1,021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10,230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80" w:type="dxa"/>
            <w:vAlign w:val="bottom"/>
          </w:tcPr>
          <w:p>
            <w:pPr>
              <w:spacing w:after="0" w:line="20" w:lineRule="exact"/>
              <w:rPr>
                <w:sz w:val="1"/>
                <w:szCs w:val="1"/>
                <w:color w:val="auto"/>
              </w:rPr>
            </w:pPr>
          </w:p>
        </w:tc>
        <w:tc>
          <w:tcPr>
            <w:tcW w:w="2360" w:type="dxa"/>
            <w:vAlign w:val="bottom"/>
            <w:vMerge w:val="restart"/>
          </w:tcPr>
          <w:p>
            <w:pPr>
              <w:jc w:val="right"/>
              <w:ind w:right="632"/>
              <w:spacing w:after="0"/>
              <w:rPr>
                <w:sz w:val="20"/>
                <w:szCs w:val="20"/>
                <w:color w:val="auto"/>
              </w:rPr>
            </w:pPr>
            <w:r>
              <w:rPr>
                <w:rFonts w:ascii="Arial" w:cs="Arial" w:eastAsia="Arial" w:hAnsi="Arial"/>
                <w:sz w:val="18"/>
                <w:szCs w:val="18"/>
                <w:color w:val="auto"/>
              </w:rPr>
              <w:t>17</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236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During the six months ended August 1, 2015, the Company paid severance and related costs to 218 employees who departed in the second quarter of fiscal 2016 as part of the recent actions to streamline its business. The remaining severance balance at August 1, 2015 was paid by the end of fiscal 2016. The balance at August 1, 2015 for facility and related costs includes remaining payments under lease obligations related to vacated space that are expected to be paid through fiscal 2018.</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income tax expense for the three months ended August 1, 2015 was primarily due to current income tax liability of $15.2 million and a $6.7 million provision to record a valuation allowance against certain deferred tax assets in a non-U.S. jurisdiction. These tax expenses for the three months ended August 1, 2015 were partially offset by a tax benefit of $11.7 million from a net reduction in unrecognized tax benefits, which primarily arose from the expiration of statutes of limitation and the settlement of audits in non-U.S. jurisdictions, and true-up adjustments of $4.8 million, primarily related to the filing of tax returns. The income tax expense for the six months ended August 1, 2015 was primarily due to current income tax liability of $19.5 million, a $6.7 million provision to record a valuation allowance against certain deferred tax assets in a non-U.S. jurisdiction and an additional provision of $3.1 million related to a $15.4 million payment to the Company’s former Chief Executive Officer (see “Note 13 – Related Party Transaction”). These tax expenses for the six months ended August 1, 2015 were partially offset by tax benefits of $14.8 million from a net reduction in unrecognized tax benefits, which primarily arose from the expiration of statutes of limitation and the settlement of tax audits in non-U.S. jurisdictions, and true-up adjustments of $4.8 million, primarily related to the filing of tax returns.</w:t>
      </w:r>
    </w:p>
    <w:p>
      <w:pPr>
        <w:spacing w:after="0" w:line="120"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The income tax benefit for the three months ended August 2, 2014 included the current income tax liability of $4.9 million, which was more than offset by tax benefits of $7.3 million from a net reduction in unrecognized tax benefits and $3.7 million from an increase in the net deferred tax assets because of a tax rate change in Singapore. The Company finalized its agreement with the Singapore Economic Development Board for the remaining portion of pre-tax income subject to the Development and Expansion Incentive, which was extended through June 2019. The net reduction in unrecognized tax benefits primarily arose from the release of the expiration of statutes of limitation in non-U.S. jurisdictions. The income tax benefit for the six months ended August 2, 2014 included the current income tax liability of $10.6 million which was offset by a net reduction in unrecognized tax benefits of $9.8 million and $11.5 million from an increase in the net deferred tax assets because of the tax rate change in Singapore. The net reduction in unrecognized tax benefits arose from the release of $13.2 million due to the expiration of statutes of limitation, which was reduced by a $3.4 million increase in current unrecognized tax benefit estimates in various non-U.S. jurisdictions.</w:t>
      </w:r>
    </w:p>
    <w:p>
      <w:pPr>
        <w:spacing w:after="0" w:line="108"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$18.7 million from the lapse of statutes of limitation in various jurisdictions during the next 12 months. Government tax authorities from several non-U.S. jurisdictions are also examining returns. The Company believes that it has adequately provided for any reasonably foreseeable outcomes related to its tax audits and that any settlement will not have a material effect on its results at this time.</w:t>
      </w:r>
    </w:p>
    <w:p>
      <w:pPr>
        <w:spacing w:after="0" w:line="116"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The Company operates under tax incentives in certain countries, which may be extended if certain additional requirements are satisfied. The tax incentives are conditional upon meeting certain employment and investment thresholds. The impact of these tax incentives decreased foreign taxes by $1.6 million and $4.9 million for the three and six months ended August 1, 2015, respectively, and $7.1 million and $10.4 million for the three and six months ended August 2, 2014, respectively. The benefit of the tax incentives on net loss per share was less than $0.01 per share for the three months ended August 1, 2015 and $0.01 per share for the six months ended August 1, 2015, compared to a benefit on net income of $0.01 per share for the three months ended August 2, 2014 and $0.02 per share for the six months ended August 2, 2014.</w:t>
      </w:r>
    </w:p>
    <w:p>
      <w:pPr>
        <w:spacing w:after="0" w:line="12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Company’s principal source of liquidity as of August 1, 2015 consisted of approximately $2.3 billion of cash, cash equivalents and short-term investments, of which approximately $800 million was held by foreign subsidiaries (outside Bermuda). Approximately $550 million of this amount held by foreign subsidiaries is related to undistributed earnings, most of which have been indefinitely reinvested outside of Bermuda. These funds are primarily held in China, Israel, the United States and Switzerland. The Company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$160 million.</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requires payment of all costs and expenses incurred through the date of cancellation. As of August 1, 2015, these foundries had incurred approximately $215.2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vigorously defend against the allegations in these matters. However, there can be no assurance that these matters will be resolved in a manner that is not adverse to the Company’s business, financial condition, results of operations or cash flows.</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As of August 1, 2015, the Company has an accrued litigation balance of $744.8 million related to certain legal proceedings described below. Unless otherwise stated, the Company is currently unable to predict the final outcome of these lawsuits and therefore cannot determine the likelihood of loss or estimate a range of possible loss.</w:t>
      </w:r>
    </w:p>
    <w:p>
      <w:pPr>
        <w:spacing w:after="0" w:line="14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i w:val="1"/>
          <w:iCs w:val="1"/>
          <w:color w:val="auto"/>
        </w:rPr>
        <w:t>Carnegie Mellon University Litigation</w:t>
      </w:r>
      <w:r>
        <w:rPr>
          <w:rFonts w:ascii="Arial" w:cs="Arial" w:eastAsia="Arial" w:hAnsi="Arial"/>
          <w:sz w:val="16"/>
          <w:szCs w:val="16"/>
          <w:color w:val="auto"/>
        </w:rPr>
        <w:t>. On March 6, 2009, CMU filed a complaint in the U.S. District Court for the Western District of Pennsylvania</w:t>
      </w:r>
      <w:r>
        <w:rPr>
          <w:rFonts w:ascii="Arial" w:cs="Arial" w:eastAsia="Arial" w:hAnsi="Arial"/>
          <w:sz w:val="16"/>
          <w:szCs w:val="16"/>
          <w:i w:val="1"/>
          <w:iCs w:val="1"/>
          <w:color w:val="auto"/>
        </w:rPr>
        <w:t xml:space="preserve"> </w:t>
      </w:r>
      <w:r>
        <w:rPr>
          <w:rFonts w:ascii="Arial" w:cs="Arial" w:eastAsia="Arial" w:hAnsi="Arial"/>
          <w:sz w:val="16"/>
          <w:szCs w:val="16"/>
          <w:color w:val="auto"/>
        </w:rPr>
        <w:t>(“W.D. of Pennsylvania”).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Based on post-trial motions and decisions, the W.D. of Pennsylvania calculated the damages including enhancement to total approximately $1.54 billion, and held that, under its decision, CMU is entitled to post judgment interest and an ongoing royalty. On May 7, 2014, the W.D. of Pennsylvania entered final judgment, from which the Company filed a notice of appeal on May 14, 2014. On August 4, 2015, the W.D. of Pennsylvania in a three-judge panel issued an opinion affirming in part, reversing in part, and vacating and remanding in part. On February 16, 2016, the Company and CMU entered into a Settlement Agreement and Patent License pursuant to which the Company has agreed to pay an aggregate of $750 million, without any ongoing royalty payments, to CMU and the parties have agreed to mutually acceptable release, license and covenant not to sue provisions. Please see “Note 14 – Subsequent Events” for additional information on the effect of the settlement in the Company’s unaudited condensed consolidated financial statements for fiscal 2016.The Company expects the action to be finally dismissed in the third quarter of fiscal 2017, approximately 6 months after payment of the full amount of the settlement payment. In connection with the settlement, the primary supersedeas bond that the Company entered into in connection with this litigation was reduced to $439 million and the secondary bond, which is secured, was adjusted to $311 million. All of the Company’s obligations under both bonds were discharged pursuant to an order releasing supersedeas bonds on April 21, 2016. Any bond specific indemnity agreement will be terminated and released upon final dismissal of the action.</w:t>
      </w:r>
    </w:p>
    <w:p>
      <w:pPr>
        <w:spacing w:after="0" w:line="126"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(“E.D. of Texas”), in which USEI accused a number of system manufacturers, including the Company’s customers, of patent infringement (the “USEI litigation”). Specifically, USEI asserted that these customers infringe U.S. Patent Nos. 5,307,459, 5,434,872, 5,732,094 and 5,299,313, which relate to Ethernet technologies. The complaint seeks unspecified damages and an injunction.</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E.D. of Texas issued an order granting the defendants’ motion to transfer the action to the U.S. District Court for the Northern District of California (“N.D. of California”); the case was formally transferred on August 23, 2010. On September 14, 2011, USEI withdrew its allegations against MSI for the ‘459 patent. The N.D. of California issued a first claim construction ruling on January 31, 2012 and a supplemental claim construction ruling on August 29, 2012. On August 16, 2013, the N.D. of California granted defendants’ summary judgment motion to preclude the plaintiff from recovering certain pre-suit damages. On November 7, 2014, on summary judgment, the N.D. of California found that all the patents-in-suit were either invalid or not infringed. On December 1, 2014, the N.D. of California entered a judgment in favor of defendants and awarded defendants’ costs. On December 29, 2014, USEI filed a motion to alter or amend the N.D. of California’s summary judgment order, which the N.D. of California denied on March 31, 2015. On April 24, 2015, USEI filed its notice of appeal. On April 25, 2016, the Federal Circuit affirmed the N.D. of California’s judgment in favor of MSI. On June 29, 2016, the Federal Circuit denied USEI’s petition for rehearing.</w:t>
      </w:r>
    </w:p>
    <w:p>
      <w:pPr>
        <w:spacing w:after="0" w:line="12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Azure Networks Litigation</w:t>
      </w:r>
      <w:r>
        <w:rPr>
          <w:rFonts w:ascii="Arial" w:cs="Arial" w:eastAsia="Arial" w:hAnsi="Arial"/>
          <w:sz w:val="16"/>
          <w:szCs w:val="16"/>
          <w:color w:val="auto"/>
        </w:rPr>
        <w:t>. On March 22, 2011, Azure Networks, LLC (“Azure”) and Tri-County Excelsior Foundation filed suit in the E.D.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against MSI and eight other companies. The Complaint asserts U.S. Patent No. 7,756,129 against MSI’s Bluetooth products. MSI filed its answer and counterclaims on July 20, 2011. On November 2, 2012, MSI and the other defendants filed a motion for summary judgment of invalidity, which was denied. A claim construction hearing was held on December 20, 2012. On January 15, 2013, the magistrate judge issued a claim construction ruling. On May 20, 2013, the E.D. of Texas issued an order denying plaintiff’s motion for reconsideration and adopted the magistrate judge’s claim construction ruling. On May 30, 2013, the E.D. of Texas entered a judgment of non-infringement. On June 24, 2013, Azure appealed. On November 6, 2014, the Federal Circuit issued an order vacating the judgment of non-infringement and remanding for further proceedings. MSI filed a petition for writ of certiorari to the United States Supreme Court on February 4, 2015. On February 10, 2015, the E.D. of Texas stayed all proceedings pending the Supreme Court’s ruling on the Company’s petition. On April 20, 2015, the United States Supreme Court granted MSI’s petition, vacating the Federal Circuit’s judgment and remanding the case for further consideration. The case was dismissed with prejudice on October 14, 2015 with no significant impact on the Company’s unaudited condensed consolidated financial statements.</w:t>
      </w:r>
    </w:p>
    <w:p>
      <w:pPr>
        <w:spacing w:after="0" w:line="123"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On January 13, 2015, Azure filed a second suit against MSI in the E.D. of Texas, alleging infringement of U.S. Patent Nos. 8,582,570; 8,582,571; 8,588,196; 8,588,231; 8,589,599; 8,675,590; 8,683,092; 8,700,815; 8,732,347; and 8,732,361, purportedly related to certain Wi-Fi and near field communication (“NFC”) technologies. The complaint seeks unspecified damages. On April 6, 2015, MSI filed an amended answer and counterclaims. The case was dismissed with prejudice on January 4, 2016 with no significant impact on the Company’s unaudited condensed consolidated financial statements.</w:t>
      </w:r>
    </w:p>
    <w:p>
      <w:pPr>
        <w:spacing w:after="0" w:line="11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i w:val="1"/>
          <w:iCs w:val="1"/>
          <w:color w:val="auto"/>
        </w:rPr>
        <w:t>France Telecom Litigation</w:t>
      </w:r>
      <w:r>
        <w:rPr>
          <w:rFonts w:ascii="Arial" w:cs="Arial" w:eastAsia="Arial" w:hAnsi="Arial"/>
          <w:sz w:val="16"/>
          <w:szCs w:val="16"/>
          <w:color w:val="auto"/>
        </w:rPr>
        <w:t>. On June 26, 2012, France Telecom S.A. filed a complaint against MSI in the U.S. District Court for the Southern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New York. The complaint asserts U.S. Patent No. 5,446,747 against MSI’s communications processors and thin modems. The complaint sought unspecified damages as well as injunctive relief. MSI answered the complaint on July 18, 2012 and August 1, 2012. On July 30, 2012, MSI filed a motion to transfer the lawsuit to the N.D. of California. On September 17, 2012, the Court granted MSI’s motion and transferred the case to the N.D. of California. A claim construction hearing was held on December 13, 2013. On April 14, 2014, the Court denied MSI’s motion for summary judgment of invalidity, and granted MSI’s summary judgment motion concerning certain damages preclusion. A jury trial began on September 17, 2014. On September 30, 2014, a jury delivered a verdict that found the patent in suit was literally, but not willfully, infringed and valid, and awarded damages. The award did not have a significant impact on the Company’s unaudited condensed consolidated financial statements. A hearing for post-trial motions and non-jury issues took place on January 14, 2015. On March 2, 2015, the N.D. of California issued an order on post-trial briefs finding no direct infringement by Marvell as a matter of law and entered judgment in favor of Marvell. On March 30, 2015, France Telecom filed a notice of appeal. On April 10, 2015, MSI filed a notice of cross appeal. On July 15, 2015, the Federal Circuit granted the parties’ joint stipulation to dismiss both parties’ appeals.</w:t>
      </w:r>
    </w:p>
    <w:p>
      <w:pPr>
        <w:spacing w:after="0" w:line="127"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i w:val="1"/>
          <w:iCs w:val="1"/>
          <w:color w:val="auto"/>
        </w:rPr>
        <w:t>Vantage Point Technology Patent Litigation</w:t>
      </w:r>
      <w:r>
        <w:rPr>
          <w:rFonts w:ascii="Arial" w:cs="Arial" w:eastAsia="Arial" w:hAnsi="Arial"/>
          <w:sz w:val="16"/>
          <w:szCs w:val="16"/>
          <w:color w:val="auto"/>
        </w:rPr>
        <w:t>. On November 21, 2013, Vantage Point Technology, Inc. (“VPT”) filed suit against a third-party defendant in</w:t>
      </w:r>
      <w:r>
        <w:rPr>
          <w:rFonts w:ascii="Arial" w:cs="Arial" w:eastAsia="Arial" w:hAnsi="Arial"/>
          <w:sz w:val="16"/>
          <w:szCs w:val="16"/>
          <w:i w:val="1"/>
          <w:iCs w:val="1"/>
          <w:color w:val="auto"/>
        </w:rPr>
        <w:t xml:space="preserve"> </w:t>
      </w:r>
      <w:r>
        <w:rPr>
          <w:rFonts w:ascii="Arial" w:cs="Arial" w:eastAsia="Arial" w:hAnsi="Arial"/>
          <w:sz w:val="16"/>
          <w:szCs w:val="16"/>
          <w:color w:val="auto"/>
        </w:rPr>
        <w:t>the E.D. of Texas for patent infringement relating to processor technology. On February 3, 2014, VPT filed an amended complaint against the third party and added MSI as an additional defendant. The complaint sought unspecified damages. On December 8, 2014, the case was transferred to the N.D. of California. The case was dismissed with prejudice in March, 2015 with no significant impact on the Company’s unaudited condensed consolidated financial statements.</w:t>
      </w:r>
    </w:p>
    <w:p>
      <w:pPr>
        <w:spacing w:after="0" w:line="113"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i w:val="1"/>
          <w:iCs w:val="1"/>
          <w:color w:val="auto"/>
        </w:rPr>
        <w:t xml:space="preserve">Bandspeed Litigation. </w:t>
      </w:r>
      <w:r>
        <w:rPr>
          <w:rFonts w:ascii="Arial" w:cs="Arial" w:eastAsia="Arial" w:hAnsi="Arial"/>
          <w:sz w:val="18"/>
          <w:szCs w:val="18"/>
          <w:color w:val="auto"/>
        </w:rPr>
        <w:t>On May 9, 2014, Bandspeed, Inc. filed suit against MSI in the U.S. District Court for the Western District of Texas, alleging</w:t>
      </w:r>
      <w:r>
        <w:rPr>
          <w:rFonts w:ascii="Arial" w:cs="Arial" w:eastAsia="Arial" w:hAnsi="Arial"/>
          <w:sz w:val="18"/>
          <w:szCs w:val="18"/>
          <w:i w:val="1"/>
          <w:iCs w:val="1"/>
          <w:color w:val="auto"/>
        </w:rPr>
        <w:t xml:space="preserve"> </w:t>
      </w:r>
      <w:r>
        <w:rPr>
          <w:rFonts w:ascii="Arial" w:cs="Arial" w:eastAsia="Arial" w:hAnsi="Arial"/>
          <w:sz w:val="18"/>
          <w:szCs w:val="18"/>
          <w:color w:val="auto"/>
        </w:rPr>
        <w:t>infringement of U.S. Patent Nos. 7,027,418; 7,570,614; 7,477,624; 7,903,608; and 8,542,643, purportedly related to certain Bluetooth technology. The complaint sought unspecified damages. On February 13, 2015, Bandspeed amended its complaint and</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60"/>
        <w:spacing w:after="0" w:line="332" w:lineRule="auto"/>
        <w:rPr>
          <w:sz w:val="20"/>
          <w:szCs w:val="20"/>
          <w:color w:val="auto"/>
        </w:rPr>
      </w:pPr>
      <w:r>
        <w:rPr>
          <w:rFonts w:ascii="Arial" w:cs="Arial" w:eastAsia="Arial" w:hAnsi="Arial"/>
          <w:sz w:val="16"/>
          <w:szCs w:val="16"/>
          <w:color w:val="auto"/>
        </w:rPr>
        <w:t>added allegations of infringement of U.S. Patent No. 8,873,500. On April 29, 2015, the parties filed a joint motion to dismiss the case with prejudice. The case was dismissed with prejudice on May 7, 2015 with no significant impact on the Company’s unaudited condensed consolidated financial statements.</w:t>
      </w:r>
    </w:p>
    <w:p>
      <w:pPr>
        <w:spacing w:after="0" w:line="85"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NXP Litigation. </w:t>
      </w:r>
      <w:r>
        <w:rPr>
          <w:rFonts w:ascii="Arial" w:cs="Arial" w:eastAsia="Arial" w:hAnsi="Arial"/>
          <w:sz w:val="18"/>
          <w:szCs w:val="18"/>
          <w:color w:val="auto"/>
        </w:rPr>
        <w:t>On January 22, 2015, NXP Semiconductors N.V. filed suit against MSI in the N.D. of California, alleging infringement of U.S. Patent Nos.</w:t>
      </w:r>
      <w:r>
        <w:rPr>
          <w:rFonts w:ascii="Arial" w:cs="Arial" w:eastAsia="Arial" w:hAnsi="Arial"/>
          <w:sz w:val="18"/>
          <w:szCs w:val="18"/>
          <w:i w:val="1"/>
          <w:iCs w:val="1"/>
          <w:color w:val="auto"/>
        </w:rPr>
        <w:t xml:space="preserve"> </w:t>
      </w:r>
      <w:r>
        <w:rPr>
          <w:rFonts w:ascii="Arial" w:cs="Arial" w:eastAsia="Arial" w:hAnsi="Arial"/>
          <w:sz w:val="18"/>
          <w:szCs w:val="18"/>
          <w:color w:val="auto"/>
        </w:rPr>
        <w:t>5,939,791; 7,039,133; 8,185,050; and 8,203,432, purportedly related to certain NFC technology. The complaint sought unspecified damages. MSI filed its response and counterclaims on February 26, 2015. Marvell International Limited (“MIL”) also filed counterclaims against NXP Semiconductors U.S.A. (“NXP USA”), alleging infringement of U.S. Patent Nos. 7,047,393; 7,555,065; and 7,302,600. On February 2, 2015, MIL filed suit against NXP USA in the U.S. District Court for the Central District of California, alleging patent infringement of U.S. Patent Nos. 8,171,309; 7,957,777; 7,454,634; and 6,903,448, related to certain NFC and automotive technologies. On April 15, 2015, the parties filed stipulations to dismiss without prejudice their claims and counterclaims in both cases.</w:t>
      </w:r>
    </w:p>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Paone Litigation. </w:t>
      </w:r>
      <w:r>
        <w:rPr>
          <w:rFonts w:ascii="Arial" w:cs="Arial" w:eastAsia="Arial" w:hAnsi="Arial"/>
          <w:sz w:val="18"/>
          <w:szCs w:val="18"/>
          <w:color w:val="auto"/>
        </w:rPr>
        <w:t>On February 6, 2015, Luciano F. Paone filed suit against MSI in the U.S. District Court for the Eastern District of New York, alleging</w:t>
      </w:r>
      <w:r>
        <w:rPr>
          <w:rFonts w:ascii="Arial" w:cs="Arial" w:eastAsia="Arial" w:hAnsi="Arial"/>
          <w:sz w:val="18"/>
          <w:szCs w:val="18"/>
          <w:i w:val="1"/>
          <w:iCs w:val="1"/>
          <w:color w:val="auto"/>
        </w:rPr>
        <w:t xml:space="preserve"> </w:t>
      </w:r>
      <w:r>
        <w:rPr>
          <w:rFonts w:ascii="Arial" w:cs="Arial" w:eastAsia="Arial" w:hAnsi="Arial"/>
          <w:sz w:val="18"/>
          <w:szCs w:val="18"/>
          <w:color w:val="auto"/>
        </w:rPr>
        <w:t>infringement of U.S. Patent No. 6,259,789, purportedly related to certain encryption technology. The complaint seeks unspecified damages. MSI filed its response on May 22, 2015. The case was dismissed with prejudice on December 31, 2015 with no significant impact on the Company’s unaudited condensed consolidated financial statements.</w:t>
      </w:r>
    </w:p>
    <w:p>
      <w:pPr>
        <w:spacing w:after="0" w:line="143"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i w:val="1"/>
          <w:iCs w:val="1"/>
          <w:color w:val="auto"/>
        </w:rPr>
        <w:t>Innovatio Litigation</w:t>
      </w:r>
      <w:r>
        <w:rPr>
          <w:rFonts w:ascii="Arial" w:cs="Arial" w:eastAsia="Arial" w:hAnsi="Arial"/>
          <w:sz w:val="16"/>
          <w:szCs w:val="16"/>
          <w:color w:val="auto"/>
        </w:rPr>
        <w:t>. On March 16, 2015, Innovatio IP Ventures, LLC filed suit against MSI in the U.S. District Court for the Northern District of Illinois,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U.S. Patent Nos. 6,697,415; 5,844,893; 5,740,366; 7,916,747; 6,665,536; 7,013,138; 7,107,052; 5,546,397; 7,710,907; 7,710,935; 6,714,559; 7,457,646; and 6,374,311, purportedly related to certain wireless technology. The complaint seeks unspecified damages.</w:t>
      </w:r>
    </w:p>
    <w:p>
      <w:pPr>
        <w:spacing w:after="0" w:line="107"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i w:val="1"/>
          <w:iCs w:val="1"/>
          <w:color w:val="auto"/>
        </w:rPr>
        <w:t>Visual Memory Litigation</w:t>
      </w:r>
      <w:r>
        <w:rPr>
          <w:rFonts w:ascii="Arial" w:cs="Arial" w:eastAsia="Arial" w:hAnsi="Arial"/>
          <w:sz w:val="15"/>
          <w:szCs w:val="15"/>
          <w:color w:val="auto"/>
        </w:rPr>
        <w:t>. On May 8, 2015, Visual Memory LLC (“Visual Memory”) filed suit against MSI in the District of Delaware, alleging</w:t>
      </w:r>
      <w:r>
        <w:rPr>
          <w:rFonts w:ascii="Arial" w:cs="Arial" w:eastAsia="Arial" w:hAnsi="Arial"/>
          <w:sz w:val="15"/>
          <w:szCs w:val="15"/>
          <w:i w:val="1"/>
          <w:iCs w:val="1"/>
          <w:color w:val="auto"/>
        </w:rPr>
        <w:t xml:space="preserve"> </w:t>
      </w:r>
      <w:r>
        <w:rPr>
          <w:rFonts w:ascii="Arial" w:cs="Arial" w:eastAsia="Arial" w:hAnsi="Arial"/>
          <w:sz w:val="15"/>
          <w:szCs w:val="15"/>
          <w:color w:val="auto"/>
        </w:rPr>
        <w:t>infringement of U.S. Patent Nos. 5,654,932 and 6,026,027, purportedly related to certain memory technology. The complaint seeks unspecified damages. The case was dismissed with prejudice on September 4, 2015 with no significant impact on the Company’s unaudited condensed consolidated financial statements.</w:t>
      </w:r>
    </w:p>
    <w:p>
      <w:pPr>
        <w:spacing w:after="0" w:line="88"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i w:val="1"/>
          <w:iCs w:val="1"/>
          <w:color w:val="auto"/>
        </w:rPr>
        <w:t>Luna Litigation and Consolidated Cases</w:t>
      </w:r>
      <w:r>
        <w:rPr>
          <w:rFonts w:ascii="Arial" w:cs="Arial" w:eastAsia="Arial" w:hAnsi="Arial"/>
          <w:sz w:val="16"/>
          <w:szCs w:val="16"/>
          <w:color w:val="auto"/>
        </w:rPr>
        <w:t>. On September 11, 2015, Daniel Luna filed an action asserting putative class action claims on behalf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20"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On November 18, 2015, the S.D. of New York granted the Company’s motion to transfer the consolidated cases to the N.D. of California. On December 21, 2015, the N.D. of California granted the Company’s motion to deem the consolidated cases related to the Saratoga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Lead Plaintiff’s oppositions were filed on June 10, 2016; and defendants’ replies are due by July 15, 2016. The hearing on the motions to dismiss is set for July 29, 2016.</w:t>
      </w:r>
    </w:p>
    <w:p>
      <w:pPr>
        <w:spacing w:after="0" w:line="100"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Saratoga Litigation</w:t>
      </w:r>
      <w:r>
        <w:rPr>
          <w:rFonts w:ascii="Arial" w:cs="Arial" w:eastAsia="Arial" w:hAnsi="Arial"/>
          <w:sz w:val="16"/>
          <w:szCs w:val="16"/>
          <w:color w:val="auto"/>
        </w:rPr>
        <w:t>. On October 16, 2015, Saratoga Advantage Trust Technology &amp; Communications Portfolio (“Saratoga”) filed an action asserting</w:t>
      </w:r>
      <w:r>
        <w:rPr>
          <w:rFonts w:ascii="Arial" w:cs="Arial" w:eastAsia="Arial" w:hAnsi="Arial"/>
          <w:sz w:val="16"/>
          <w:szCs w:val="16"/>
          <w:i w:val="1"/>
          <w:iCs w:val="1"/>
          <w:color w:val="auto"/>
        </w:rPr>
        <w:t xml:space="preserve"> </w:t>
      </w:r>
      <w:r>
        <w:rPr>
          <w:rFonts w:ascii="Arial" w:cs="Arial" w:eastAsia="Arial" w:hAnsi="Arial"/>
          <w:sz w:val="16"/>
          <w:szCs w:val="16"/>
          <w:color w:val="auto"/>
        </w:rPr>
        <w:t>shareholder derivative claims ostensibly on behalf of the Company in the Superior Court of the State of California, County of Santa Clara. The complaint names eight current or former officers and/or directors (Sehat Sutardja, Weili Dai, Juergen Gromer, Arturo Krueger, John Kassakian, Randhir Thakur, Michael Rashkin, and Sukhi Nagesh) as defendants and asserts various California state law causes of action based on allegations that the Company and the named officers and directors made, caused to be made, or failed to correct false and/or misleading statements in the Company’s press releases and public filings, leading to the filing of securities class actions that allegedly damaged the Company. The Company was named as a nominal defendant. The complaint requests damages and restitution in unspecified amounts, equitable and/or injunctive relief, costs and fees of bringing the action, and other unspecified relief.</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On October 23, 2015, the Company removed the action to the N.D. of California. On December 21, 2015, the N.D. of California denied Saratoga’s motion to remand. On December 21, 2015, the N.D. of California granted the Company’s motion to deem the action related to the consolidated Luna actions, discussed above. On January 22, 2016, the Company filed a motion to dismiss the complaint; on February 19, 2016, Saratoga filed an opposition; and on March 4, 2016, the Company filed a reply. On March 25, 2016, the N.D. of California held a hearing on the motion and took the matter under submission. To the Company’s knowledge, none of the individual defendants has yet been served.</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On May 14, 2014, the Company filed a Notice of Appeal to appeal the final judgment issued by the W.D. of Pennsylvania in the CMU litigation. In order to stay the execution of the final judgment pending its appeal, the Company filed a supersedeas bond for $1.54 billion with the W.D. of Pennsylvania in the event the Company did not fully satisfy a final judgment as affirmed after the completion of all appellate proceedings. The bond was issued by a consortium of sureties authorized by the U.S. Treasury.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w:t>
      </w:r>
    </w:p>
    <w:p>
      <w:pPr>
        <w:spacing w:after="0" w:line="118"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On November 14, 2014, the Company filed a second surety bond for $216 million and filed a commitment letter from the sureties to issue up to an additional $95 million in bonding under certain conditions. The second bond and commitment are secured by the Company’s campus located in Santa Clara, California, which has a carrying value of $136.2 million at August 1, 2015.</w:t>
      </w:r>
    </w:p>
    <w:p>
      <w:pPr>
        <w:spacing w:after="0" w:line="14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In connection with the settlement that was reached with CMU for a total $750 million in February 2016, the primary supersedeas bond that the Company entered into was reduced to $439 million and the secondary bond was adjusted to $311 million and both were discharged pursuant to an order releasing supersedeas bonds on April 21, 2016. The underlying indemnity agreements will terminate upon the final dismissal of the case in the third quarter of fiscal 2017. For additional information, see CMU litigation under “Contingencies” above.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1980" w:type="dxa"/>
            <w:vAlign w:val="bottom"/>
            <w:gridSpan w:val="4"/>
          </w:tcPr>
          <w:p>
            <w:pPr>
              <w:ind w:left="200"/>
              <w:spacing w:after="0"/>
              <w:rPr>
                <w:sz w:val="20"/>
                <w:szCs w:val="20"/>
                <w:color w:val="auto"/>
              </w:rPr>
            </w:pPr>
            <w:r>
              <w:rPr>
                <w:rFonts w:ascii="Arial" w:cs="Arial" w:eastAsia="Arial" w:hAnsi="Arial"/>
                <w:sz w:val="14"/>
                <w:szCs w:val="14"/>
                <w:b w:val="1"/>
                <w:bCs w:val="1"/>
                <w:color w:val="auto"/>
              </w:rPr>
              <w:t>Time-Based Options</w:t>
            </w:r>
          </w:p>
        </w:tc>
        <w:tc>
          <w:tcPr>
            <w:tcW w:w="2000" w:type="dxa"/>
            <w:vAlign w:val="bottom"/>
            <w:gridSpan w:val="5"/>
          </w:tcPr>
          <w:p>
            <w:pPr>
              <w:ind w:left="140"/>
              <w:spacing w:after="0"/>
              <w:rPr>
                <w:sz w:val="20"/>
                <w:szCs w:val="20"/>
                <w:color w:val="auto"/>
              </w:rPr>
            </w:pPr>
            <w:r>
              <w:rPr>
                <w:rFonts w:ascii="Arial" w:cs="Arial" w:eastAsia="Arial" w:hAnsi="Arial"/>
                <w:sz w:val="14"/>
                <w:szCs w:val="14"/>
                <w:b w:val="1"/>
                <w:bCs w:val="1"/>
                <w:color w:val="auto"/>
              </w:rPr>
              <w:t>Market-Based Options</w:t>
            </w: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2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44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4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2"/>
              </w:rPr>
              <w:t>Weighted</w:t>
            </w:r>
          </w:p>
        </w:tc>
        <w:tc>
          <w:tcPr>
            <w:tcW w:w="4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94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6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104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w w:val="85"/>
              </w:rPr>
              <w:t>Number of</w:t>
            </w:r>
          </w:p>
        </w:tc>
        <w:tc>
          <w:tcPr>
            <w:tcW w:w="94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Exercise</w:t>
            </w:r>
          </w:p>
        </w:tc>
        <w:tc>
          <w:tcPr>
            <w:tcW w:w="104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w w:val="88"/>
              </w:rPr>
              <w:t>Number of</w:t>
            </w:r>
          </w:p>
        </w:tc>
        <w:tc>
          <w:tcPr>
            <w:tcW w:w="96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Exercise</w:t>
            </w:r>
          </w:p>
        </w:tc>
        <w:tc>
          <w:tcPr>
            <w:tcW w:w="760" w:type="dxa"/>
            <w:vAlign w:val="bottom"/>
            <w:gridSpan w:val="2"/>
          </w:tcPr>
          <w:p>
            <w:pPr>
              <w:jc w:val="right"/>
              <w:ind w:right="120"/>
              <w:spacing w:after="0" w:line="149" w:lineRule="exact"/>
              <w:rPr>
                <w:sz w:val="20"/>
                <w:szCs w:val="20"/>
                <w:color w:val="auto"/>
              </w:rPr>
            </w:pPr>
            <w:r>
              <w:rPr>
                <w:rFonts w:ascii="Arial" w:cs="Arial" w:eastAsia="Arial" w:hAnsi="Arial"/>
                <w:sz w:val="14"/>
                <w:szCs w:val="14"/>
                <w:b w:val="1"/>
                <w:bCs w:val="1"/>
                <w:color w:val="auto"/>
                <w:w w:val="88"/>
              </w:rPr>
              <w:t>Number of</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10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Shares</w:t>
            </w:r>
          </w:p>
        </w:tc>
        <w:tc>
          <w:tcPr>
            <w:tcW w:w="9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7"/>
              </w:rPr>
              <w:t>Price</w:t>
            </w:r>
          </w:p>
        </w:tc>
        <w:tc>
          <w:tcPr>
            <w:tcW w:w="10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4"/>
                <w:szCs w:val="14"/>
                <w:color w:val="auto"/>
              </w:rPr>
            </w:pPr>
          </w:p>
        </w:tc>
        <w:tc>
          <w:tcPr>
            <w:tcW w:w="84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87"/>
              </w:rPr>
              <w:t>Price</w:t>
            </w:r>
          </w:p>
        </w:tc>
        <w:tc>
          <w:tcPr>
            <w:tcW w:w="7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Shares</w:t>
            </w:r>
          </w:p>
        </w:tc>
        <w:tc>
          <w:tcPr>
            <w:tcW w:w="30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2015</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47,140</w:t>
            </w:r>
          </w:p>
        </w:tc>
        <w:tc>
          <w:tcPr>
            <w:tcW w:w="42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$ 13.79</w:t>
            </w:r>
          </w:p>
        </w:tc>
        <w:tc>
          <w:tcPr>
            <w:tcW w:w="4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2,232</w:t>
            </w:r>
          </w:p>
        </w:tc>
        <w:tc>
          <w:tcPr>
            <w:tcW w:w="4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15.43</w:t>
            </w:r>
          </w:p>
        </w:tc>
        <w:tc>
          <w:tcPr>
            <w:tcW w:w="4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49,372</w:t>
            </w:r>
          </w:p>
        </w:tc>
        <w:tc>
          <w:tcPr>
            <w:tcW w:w="1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5,872</w:t>
            </w: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$ 14.37</w:t>
            </w:r>
          </w:p>
        </w:tc>
        <w:tc>
          <w:tcPr>
            <w:tcW w:w="400" w:type="dxa"/>
            <w:vAlign w:val="bottom"/>
          </w:tcPr>
          <w:p>
            <w:pPr>
              <w:spacing w:after="0"/>
              <w:rPr>
                <w:sz w:val="18"/>
                <w:szCs w:val="18"/>
                <w:color w:val="auto"/>
              </w:rPr>
            </w:pPr>
          </w:p>
        </w:tc>
        <w:tc>
          <w:tcPr>
            <w:tcW w:w="10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5,872</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14.37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(1,829)</w:t>
            </w: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$ 10.24</w:t>
            </w:r>
          </w:p>
        </w:tc>
        <w:tc>
          <w:tcPr>
            <w:tcW w:w="4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(1,829)</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rPr>
              <w:t>(3,718)</w:t>
            </w: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$ 16.80</w:t>
            </w:r>
          </w:p>
        </w:tc>
        <w:tc>
          <w:tcPr>
            <w:tcW w:w="40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(8)</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15.43</w:t>
            </w:r>
          </w:p>
        </w:tc>
        <w:tc>
          <w:tcPr>
            <w:tcW w:w="40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(3,726)</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4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540" w:type="dxa"/>
            <w:vAlign w:val="bottom"/>
          </w:tcPr>
          <w:p>
            <w:pPr>
              <w:spacing w:after="0"/>
              <w:rPr>
                <w:sz w:val="2"/>
                <w:szCs w:val="2"/>
                <w:color w:val="auto"/>
              </w:rPr>
            </w:pPr>
          </w:p>
        </w:tc>
        <w:tc>
          <w:tcPr>
            <w:tcW w:w="4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4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1, 2015</w:t>
            </w: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47,465</w:t>
            </w: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$ 13.77</w:t>
            </w:r>
          </w:p>
        </w:tc>
        <w:tc>
          <w:tcPr>
            <w:tcW w:w="4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2,224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15.43</w:t>
            </w:r>
          </w:p>
        </w:tc>
        <w:tc>
          <w:tcPr>
            <w:tcW w:w="4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49,689</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August 1, 2015</w:t>
            </w: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40" w:type="dxa"/>
            <w:vAlign w:val="bottom"/>
            <w:vMerge w:val="restart"/>
          </w:tcPr>
          <w:p>
            <w:pPr>
              <w:jc w:val="center"/>
              <w:spacing w:after="0"/>
              <w:rPr>
                <w:sz w:val="20"/>
                <w:szCs w:val="20"/>
                <w:color w:val="auto"/>
              </w:rPr>
            </w:pPr>
            <w:r>
              <w:rPr>
                <w:rFonts w:ascii="Arial" w:cs="Arial" w:eastAsia="Arial" w:hAnsi="Arial"/>
                <w:sz w:val="18"/>
                <w:szCs w:val="18"/>
                <w:color w:val="auto"/>
                <w:w w:val="89"/>
              </w:rPr>
              <w:t>$ 13.77</w:t>
            </w:r>
          </w:p>
        </w:tc>
        <w:tc>
          <w:tcPr>
            <w:tcW w:w="4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460" w:type="dxa"/>
            <w:vAlign w:val="bottom"/>
            <w:gridSpan w:val="2"/>
            <w:vMerge w:val="continue"/>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44,264</w:t>
            </w:r>
          </w:p>
        </w:tc>
        <w:tc>
          <w:tcPr>
            <w:tcW w:w="540" w:type="dxa"/>
            <w:vAlign w:val="bottom"/>
            <w:vMerge w:val="continue"/>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4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August 1, 2015</w:t>
            </w: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24,586</w:t>
            </w: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$ 14.44</w:t>
            </w:r>
          </w:p>
        </w:tc>
        <w:tc>
          <w:tcPr>
            <w:tcW w:w="4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4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For time-based stock options vested and expected to vest at August 1, 2015, the aggregate intrinsic value was $45.8 million and the weighted average remaining contractual term was 6.0 years. For time-based stock options exercisable at August 1, 2015, the aggregate intrinsic value was $30.6 million and the weighted average remaining contractual term was 4.2 years. The aggregate intrinsic value of stock options exercised during the three months ended August 1, 2015 and August 2, 2014 was $2.5 million and $4.2 million, respectively. The aggregate intrinsic value of stock options exercised during the six months ended August 1, 2015 and August 2, 2014 was $8.8 million and $13.6 million, respectively. There was no aggregate intrinsic value for market-based stock options at August 1, 2015 and the weighted average remaining contractual term of market-based stock options expected to reach the end of the vesting period at August 1, 2015 was 5.7 years. The Company’s closing stock price of $12.44 as reported on the NASDAQ Global Select Market for all in-the-money options as of July 31, 2015 was used to calculate the aggregate intrinsic value.</w:t>
      </w:r>
    </w:p>
    <w:p>
      <w:pPr>
        <w:spacing w:after="0" w:line="118"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As of August 1, 2015, the unamortized compensation expense for time-based stock options was $57.0 million and market-based stock options were fully amortized in fiscal 2015. The unamortized compensation expense for time-based stock options will be amortized on a straight-line basis and is expected to be recognized over a weighted average period of 2.4 years.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related to the non-vested portion of the restricted stock units is included in the following table (in thousands, except for share prices):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00" w:type="dxa"/>
            <w:vAlign w:val="bottom"/>
          </w:tcPr>
          <w:p>
            <w:pPr>
              <w:spacing w:after="0"/>
              <w:rPr>
                <w:sz w:val="14"/>
                <w:szCs w:val="14"/>
                <w:color w:val="auto"/>
              </w:rPr>
            </w:pPr>
          </w:p>
        </w:tc>
        <w:tc>
          <w:tcPr>
            <w:tcW w:w="1760" w:type="dxa"/>
            <w:vAlign w:val="bottom"/>
            <w:gridSpan w:val="5"/>
          </w:tcPr>
          <w:p>
            <w:pPr>
              <w:jc w:val="right"/>
              <w:ind w:right="680"/>
              <w:spacing w:after="0"/>
              <w:rPr>
                <w:sz w:val="20"/>
                <w:szCs w:val="20"/>
                <w:color w:val="auto"/>
              </w:rPr>
            </w:pPr>
            <w:r>
              <w:rPr>
                <w:rFonts w:ascii="Arial" w:cs="Arial" w:eastAsia="Arial" w:hAnsi="Arial"/>
                <w:sz w:val="14"/>
                <w:szCs w:val="14"/>
                <w:b w:val="1"/>
                <w:bCs w:val="1"/>
                <w:color w:val="auto"/>
              </w:rPr>
              <w:t>Time-Based</w:t>
            </w:r>
          </w:p>
        </w:tc>
        <w:tc>
          <w:tcPr>
            <w:tcW w:w="1780" w:type="dxa"/>
            <w:vAlign w:val="bottom"/>
            <w:gridSpan w:val="5"/>
          </w:tcPr>
          <w:p>
            <w:pPr>
              <w:ind w:left="180"/>
              <w:spacing w:after="0"/>
              <w:rPr>
                <w:sz w:val="20"/>
                <w:szCs w:val="20"/>
                <w:color w:val="auto"/>
              </w:rPr>
            </w:pPr>
            <w:r>
              <w:rPr>
                <w:rFonts w:ascii="Arial" w:cs="Arial" w:eastAsia="Arial" w:hAnsi="Arial"/>
                <w:sz w:val="14"/>
                <w:szCs w:val="14"/>
                <w:b w:val="1"/>
                <w:bCs w:val="1"/>
                <w:color w:val="auto"/>
              </w:rPr>
              <w:t>Performance-Based</w:t>
            </w:r>
          </w:p>
        </w:tc>
        <w:tc>
          <w:tcPr>
            <w:tcW w:w="1780" w:type="dxa"/>
            <w:vAlign w:val="bottom"/>
            <w:gridSpan w:val="6"/>
          </w:tcPr>
          <w:p>
            <w:pPr>
              <w:ind w:left="320"/>
              <w:spacing w:after="0"/>
              <w:rPr>
                <w:sz w:val="20"/>
                <w:szCs w:val="20"/>
                <w:color w:val="auto"/>
              </w:rPr>
            </w:pPr>
            <w:r>
              <w:rPr>
                <w:rFonts w:ascii="Arial" w:cs="Arial" w:eastAsia="Arial" w:hAnsi="Arial"/>
                <w:sz w:val="14"/>
                <w:szCs w:val="14"/>
                <w:b w:val="1"/>
                <w:bCs w:val="1"/>
                <w:color w:val="auto"/>
              </w:rPr>
              <w:t>Market-Based</w:t>
            </w:r>
          </w:p>
        </w:tc>
        <w:tc>
          <w:tcPr>
            <w:tcW w:w="940" w:type="dxa"/>
            <w:vAlign w:val="bottom"/>
            <w:gridSpan w:val="2"/>
          </w:tcPr>
          <w:p>
            <w:pPr>
              <w:jc w:val="right"/>
              <w:ind w:right="40"/>
              <w:spacing w:after="0"/>
              <w:rPr>
                <w:sz w:val="20"/>
                <w:szCs w:val="20"/>
                <w:color w:val="auto"/>
              </w:rPr>
            </w:pPr>
            <w:r>
              <w:rPr>
                <w:rFonts w:ascii="Arial" w:cs="Arial" w:eastAsia="Arial" w:hAnsi="Arial"/>
                <w:sz w:val="14"/>
                <w:szCs w:val="14"/>
                <w:b w:val="1"/>
                <w:bCs w:val="1"/>
                <w:color w:val="auto"/>
              </w:rPr>
              <w:t>Total</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2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Weighted</w:t>
            </w:r>
          </w:p>
        </w:tc>
        <w:tc>
          <w:tcPr>
            <w:tcW w:w="2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2"/>
              </w:rPr>
              <w:t>Weighted</w:t>
            </w:r>
          </w:p>
        </w:tc>
        <w:tc>
          <w:tcPr>
            <w:tcW w:w="3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Grant</w:t>
            </w: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6"/>
              </w:rPr>
              <w:t>Grant</w:t>
            </w: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Grant</w:t>
            </w:r>
          </w:p>
        </w:tc>
        <w:tc>
          <w:tcPr>
            <w:tcW w:w="6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5"/>
              </w:rPr>
              <w:t>Date</w:t>
            </w: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2"/>
              </w:rPr>
              <w:t>Date</w:t>
            </w: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Date</w:t>
            </w:r>
          </w:p>
        </w:tc>
        <w:tc>
          <w:tcPr>
            <w:tcW w:w="6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Date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b w:val="1"/>
                <w:bCs w:val="1"/>
                <w:color w:val="auto"/>
                <w:w w:val="85"/>
              </w:rPr>
              <w:t>Number of</w:t>
            </w:r>
          </w:p>
        </w:tc>
        <w:tc>
          <w:tcPr>
            <w:tcW w:w="120" w:type="dxa"/>
            <w:vAlign w:val="bottom"/>
          </w:tcPr>
          <w:p>
            <w:pPr>
              <w:spacing w:after="0"/>
              <w:rPr>
                <w:sz w:val="12"/>
                <w:szCs w:val="12"/>
                <w:color w:val="auto"/>
              </w:rPr>
            </w:pPr>
          </w:p>
        </w:tc>
        <w:tc>
          <w:tcPr>
            <w:tcW w:w="8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rPr>
              <w:t>Fair</w:t>
            </w:r>
          </w:p>
        </w:tc>
        <w:tc>
          <w:tcPr>
            <w:tcW w:w="820" w:type="dxa"/>
            <w:vAlign w:val="bottom"/>
            <w:gridSpan w:val="2"/>
          </w:tcPr>
          <w:p>
            <w:pPr>
              <w:jc w:val="right"/>
              <w:ind w:right="1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0" w:type="dxa"/>
            <w:vAlign w:val="bottom"/>
          </w:tcPr>
          <w:p>
            <w:pPr>
              <w:spacing w:after="0"/>
              <w:rPr>
                <w:sz w:val="12"/>
                <w:szCs w:val="12"/>
                <w:color w:val="auto"/>
              </w:rPr>
            </w:pPr>
          </w:p>
        </w:tc>
        <w:tc>
          <w:tcPr>
            <w:tcW w:w="8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3"/>
              </w:rPr>
              <w:t>Fair</w:t>
            </w:r>
          </w:p>
        </w:tc>
        <w:tc>
          <w:tcPr>
            <w:tcW w:w="800" w:type="dxa"/>
            <w:vAlign w:val="bottom"/>
            <w:gridSpan w:val="2"/>
          </w:tcPr>
          <w:p>
            <w:pPr>
              <w:jc w:val="right"/>
              <w:ind w:right="1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Fair</w:t>
            </w:r>
          </w:p>
        </w:tc>
        <w:tc>
          <w:tcPr>
            <w:tcW w:w="94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85"/>
              </w:rPr>
              <w:t>Number of</w:t>
            </w:r>
          </w:p>
        </w:tc>
        <w:tc>
          <w:tcPr>
            <w:tcW w:w="6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0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4"/>
                <w:szCs w:val="14"/>
                <w:color w:val="auto"/>
              </w:rPr>
            </w:pPr>
          </w:p>
        </w:tc>
        <w:tc>
          <w:tcPr>
            <w:tcW w:w="8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Value</w:t>
            </w: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4"/>
                <w:szCs w:val="14"/>
                <w:color w:val="auto"/>
              </w:rPr>
            </w:pPr>
          </w:p>
        </w:tc>
        <w:tc>
          <w:tcPr>
            <w:tcW w:w="8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5"/>
              </w:rPr>
              <w:t>Value</w:t>
            </w:r>
          </w:p>
        </w:tc>
        <w:tc>
          <w:tcPr>
            <w:tcW w:w="8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5"/>
              </w:rPr>
              <w:t>Value</w:t>
            </w:r>
          </w:p>
        </w:tc>
        <w:tc>
          <w:tcPr>
            <w:tcW w:w="94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Shares</w:t>
            </w:r>
          </w:p>
        </w:tc>
        <w:tc>
          <w:tcPr>
            <w:tcW w:w="6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5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2015</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9,748</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$ 14.84</w:t>
            </w:r>
          </w:p>
        </w:tc>
        <w:tc>
          <w:tcPr>
            <w:tcW w:w="2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1,254</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3"/>
              </w:rPr>
              <w:t>$ 14.99</w:t>
            </w:r>
          </w:p>
        </w:tc>
        <w:tc>
          <w:tcPr>
            <w:tcW w:w="2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11,002</w:t>
            </w:r>
          </w:p>
        </w:tc>
        <w:tc>
          <w:tcPr>
            <w:tcW w:w="30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$ 14.85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Granted</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4,873</w:t>
            </w:r>
          </w:p>
        </w:tc>
        <w:tc>
          <w:tcPr>
            <w:tcW w:w="940" w:type="dxa"/>
            <w:vAlign w:val="bottom"/>
            <w:gridSpan w:val="3"/>
          </w:tcPr>
          <w:p>
            <w:pPr>
              <w:jc w:val="right"/>
              <w:ind w:right="280"/>
              <w:spacing w:after="0"/>
              <w:rPr>
                <w:sz w:val="20"/>
                <w:szCs w:val="20"/>
                <w:color w:val="auto"/>
              </w:rPr>
            </w:pPr>
            <w:r>
              <w:rPr>
                <w:rFonts w:ascii="Arial" w:cs="Arial" w:eastAsia="Arial" w:hAnsi="Arial"/>
                <w:sz w:val="18"/>
                <w:szCs w:val="18"/>
                <w:color w:val="auto"/>
              </w:rPr>
              <w:t>$ 13.66</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669</w:t>
            </w:r>
          </w:p>
        </w:tc>
        <w:tc>
          <w:tcPr>
            <w:tcW w:w="960" w:type="dxa"/>
            <w:vAlign w:val="bottom"/>
            <w:gridSpan w:val="3"/>
          </w:tcPr>
          <w:p>
            <w:pPr>
              <w:jc w:val="center"/>
              <w:ind w:right="160"/>
              <w:spacing w:after="0"/>
              <w:rPr>
                <w:sz w:val="20"/>
                <w:szCs w:val="20"/>
                <w:color w:val="auto"/>
              </w:rPr>
            </w:pPr>
            <w:r>
              <w:rPr>
                <w:rFonts w:ascii="Arial" w:cs="Arial" w:eastAsia="Arial" w:hAnsi="Arial"/>
                <w:sz w:val="18"/>
                <w:szCs w:val="18"/>
                <w:color w:val="auto"/>
                <w:w w:val="93"/>
              </w:rPr>
              <w:t>$ 14.08</w:t>
            </w: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407</w:t>
            </w:r>
          </w:p>
        </w:tc>
        <w:tc>
          <w:tcPr>
            <w:tcW w:w="240" w:type="dxa"/>
            <w:vAlign w:val="bottom"/>
            <w:gridSpan w:val="2"/>
          </w:tcPr>
          <w:p>
            <w:pPr>
              <w:ind w:left="120"/>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ind w:left="40"/>
              <w:spacing w:after="0"/>
              <w:rPr>
                <w:sz w:val="20"/>
                <w:szCs w:val="20"/>
                <w:color w:val="auto"/>
              </w:rPr>
            </w:pPr>
            <w:r>
              <w:rPr>
                <w:rFonts w:ascii="Arial" w:cs="Arial" w:eastAsia="Arial" w:hAnsi="Arial"/>
                <w:sz w:val="18"/>
                <w:szCs w:val="18"/>
                <w:color w:val="auto"/>
              </w:rPr>
              <w:t>12.24</w:t>
            </w: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5,949</w:t>
            </w: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$ 13.61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(4,601)</w:t>
            </w:r>
          </w:p>
        </w:tc>
        <w:tc>
          <w:tcPr>
            <w:tcW w:w="9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$ 15.30</w:t>
            </w: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(658)</w:t>
            </w:r>
          </w:p>
        </w:tc>
        <w:tc>
          <w:tcPr>
            <w:tcW w:w="960" w:type="dxa"/>
            <w:vAlign w:val="bottom"/>
            <w:gridSpan w:val="3"/>
            <w:shd w:val="clear" w:color="auto" w:fill="CCEEFF"/>
          </w:tcPr>
          <w:p>
            <w:pPr>
              <w:jc w:val="center"/>
              <w:ind w:right="160"/>
              <w:spacing w:after="0"/>
              <w:rPr>
                <w:sz w:val="20"/>
                <w:szCs w:val="20"/>
                <w:color w:val="auto"/>
              </w:rPr>
            </w:pPr>
            <w:r>
              <w:rPr>
                <w:rFonts w:ascii="Arial" w:cs="Arial" w:eastAsia="Arial" w:hAnsi="Arial"/>
                <w:sz w:val="18"/>
                <w:szCs w:val="18"/>
                <w:color w:val="auto"/>
                <w:w w:val="93"/>
              </w:rPr>
              <w:t>$ 15.15</w:t>
            </w: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(5,259)</w:t>
            </w: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$ 15.28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(409)</w:t>
            </w:r>
          </w:p>
        </w:tc>
        <w:tc>
          <w:tcPr>
            <w:tcW w:w="940" w:type="dxa"/>
            <w:vAlign w:val="bottom"/>
            <w:gridSpan w:val="3"/>
          </w:tcPr>
          <w:p>
            <w:pPr>
              <w:jc w:val="right"/>
              <w:ind w:right="280"/>
              <w:spacing w:after="0"/>
              <w:rPr>
                <w:sz w:val="20"/>
                <w:szCs w:val="20"/>
                <w:color w:val="auto"/>
              </w:rPr>
            </w:pPr>
            <w:r>
              <w:rPr>
                <w:rFonts w:ascii="Arial" w:cs="Arial" w:eastAsia="Arial" w:hAnsi="Arial"/>
                <w:sz w:val="18"/>
                <w:szCs w:val="18"/>
                <w:color w:val="auto"/>
              </w:rPr>
              <w:t>$ 14.06</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(227)</w:t>
            </w:r>
          </w:p>
        </w:tc>
        <w:tc>
          <w:tcPr>
            <w:tcW w:w="960" w:type="dxa"/>
            <w:vAlign w:val="bottom"/>
            <w:gridSpan w:val="3"/>
          </w:tcPr>
          <w:p>
            <w:pPr>
              <w:jc w:val="center"/>
              <w:ind w:right="160"/>
              <w:spacing w:after="0"/>
              <w:rPr>
                <w:sz w:val="20"/>
                <w:szCs w:val="20"/>
                <w:color w:val="auto"/>
              </w:rPr>
            </w:pPr>
            <w:r>
              <w:rPr>
                <w:rFonts w:ascii="Arial" w:cs="Arial" w:eastAsia="Arial" w:hAnsi="Arial"/>
                <w:sz w:val="18"/>
                <w:szCs w:val="18"/>
                <w:color w:val="auto"/>
                <w:w w:val="93"/>
              </w:rPr>
              <w:t>$ 14.43</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(54)</w:t>
            </w:r>
          </w:p>
        </w:tc>
        <w:tc>
          <w:tcPr>
            <w:tcW w:w="240" w:type="dxa"/>
            <w:vAlign w:val="bottom"/>
            <w:gridSpan w:val="2"/>
          </w:tcPr>
          <w:p>
            <w:pPr>
              <w:ind w:left="120"/>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ind w:left="40"/>
              <w:spacing w:after="0"/>
              <w:rPr>
                <w:sz w:val="20"/>
                <w:szCs w:val="20"/>
                <w:color w:val="auto"/>
              </w:rPr>
            </w:pPr>
            <w:r>
              <w:rPr>
                <w:rFonts w:ascii="Arial" w:cs="Arial" w:eastAsia="Arial" w:hAnsi="Arial"/>
                <w:sz w:val="18"/>
                <w:szCs w:val="18"/>
                <w:color w:val="auto"/>
              </w:rPr>
              <w:t>12.24</w:t>
            </w: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(690)</w:t>
            </w: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$ 13.09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540" w:type="dxa"/>
            <w:vAlign w:val="bottom"/>
          </w:tcPr>
          <w:p>
            <w:pPr>
              <w:spacing w:after="0"/>
              <w:rPr>
                <w:sz w:val="2"/>
                <w:szCs w:val="2"/>
                <w:color w:val="auto"/>
              </w:rPr>
            </w:pPr>
          </w:p>
        </w:tc>
        <w:tc>
          <w:tcPr>
            <w:tcW w:w="28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560" w:type="dxa"/>
            <w:vAlign w:val="bottom"/>
          </w:tcPr>
          <w:p>
            <w:pPr>
              <w:spacing w:after="0"/>
              <w:rPr>
                <w:sz w:val="2"/>
                <w:szCs w:val="2"/>
                <w:color w:val="auto"/>
              </w:rPr>
            </w:pPr>
          </w:p>
        </w:tc>
        <w:tc>
          <w:tcPr>
            <w:tcW w:w="28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1, 2015</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9,611</w:t>
            </w:r>
          </w:p>
        </w:tc>
        <w:tc>
          <w:tcPr>
            <w:tcW w:w="18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$ 14.05</w:t>
            </w: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1,038</w:t>
            </w:r>
          </w:p>
        </w:tc>
        <w:tc>
          <w:tcPr>
            <w:tcW w:w="960" w:type="dxa"/>
            <w:vAlign w:val="bottom"/>
            <w:gridSpan w:val="3"/>
            <w:shd w:val="clear" w:color="auto" w:fill="CCEEFF"/>
          </w:tcPr>
          <w:p>
            <w:pPr>
              <w:jc w:val="center"/>
              <w:ind w:right="160"/>
              <w:spacing w:after="0"/>
              <w:rPr>
                <w:sz w:val="20"/>
                <w:szCs w:val="20"/>
                <w:color w:val="auto"/>
              </w:rPr>
            </w:pPr>
            <w:r>
              <w:rPr>
                <w:rFonts w:ascii="Arial" w:cs="Arial" w:eastAsia="Arial" w:hAnsi="Arial"/>
                <w:sz w:val="18"/>
                <w:szCs w:val="18"/>
                <w:color w:val="auto"/>
                <w:w w:val="93"/>
              </w:rPr>
              <w:t>$ 14.42</w:t>
            </w: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353</w:t>
            </w: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12.24</w:t>
            </w: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11,002</w:t>
            </w: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$ 14.03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306" w:lineRule="auto"/>
        <w:rPr>
          <w:sz w:val="20"/>
          <w:szCs w:val="20"/>
          <w:color w:val="auto"/>
        </w:rPr>
      </w:pPr>
      <w:r>
        <w:rPr>
          <w:rFonts w:ascii="Arial" w:cs="Arial" w:eastAsia="Arial" w:hAnsi="Arial"/>
          <w:sz w:val="15"/>
          <w:szCs w:val="15"/>
          <w:color w:val="auto"/>
        </w:rPr>
        <w:t>In April 2015, the Company granted performance-based equity awards to each of its executive officers, which are based on their achievement of certain performance goals for a new performance period beginning in fiscal 2016. These equity awards include restricted stock units which vest based on the achievement of certain financial goals (each a “Financial Performance RSU”), and performance awards for which a portion shall vest based on the achievement of individual strategic objectives (each a “Strategic Objective Award”) and a portion shall vest based on total shareholder return (each a “Total Shareholder Return Award”). These awards are reported in the above table as “Performance-Based,” except for the Total Shareholder Return Award which is reported as “Market-Based.” The Financial Performance RSUs will be earned based on the achievement of revenue and modified non-GAAP operating income that have been established at “threshold,” “target” and “maximum” levels and will vest on the first anniversary of the commencement date. The Strategic Objective Awards will vest on the first anniversary of the vest commencement date at the target level based on the achievement of individual strategic goals and, with respect to a portion of each Strategic Objective Award, the further achievement of either the revenue or modified non-GAAP operating income objective established for the Financial Performance RSU. The Total Shareholder Return Awards will vest on the second anniversary of the commencement date based on the Company’s stock price performance in comparison to the Philadelphia Semiconductor Sector Index. Share-based compensation for the Total Shareholder Return Award is measured using the Monte Carlo valuation method since the award is indexed to the price of the Company’s common stock as set forth under the terms of the award.</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connection with the performance-based equity awards granted in fiscal 2016 to each of the Company’s executive officers, a total of 33,616 shares vested on April 1, 2016 based on achieving certain individual strategic goals as evaluated by the Executive Compensation Committee of the Company’s Board of Directors. No shares vested for the achievement of financial performance goals since the financial performance criteria were below the threshold level. The amount of canceled shares reported in the table above includes the unvested shares that were not earned.</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connection with the performance-based equity awards granted in fiscal 2015 to each of the Company’s executive officers, a total of 478,001 shares vested on April 1, 2015 in connection with the first performance period completed at the end of fiscal 2015. Of this amount, an additional 107,954 shares are included as granted in the table above for the six months ended August 1, 2015 since each executive officer achieved greater than their target shares for one of the financial performance goals. The amount of canceled shares reported in the table above includes the portion of unvested shares that were not earned since performance objectives for each executive officer’s other financial and strategic performance goals were not fully achieved. During the first quarter of fiscal 2016, the Company determined the performance goals established for the second performance period to be completed at the end of fiscal 2016 would not be achieved and adjusted the related share-based compensation expense accordingly. As of August 1, 2015, the Company determined it was still not probable these performance goals would be achieved.</w:t>
      </w:r>
    </w:p>
    <w:p>
      <w:pPr>
        <w:spacing w:after="0" w:line="118" w:lineRule="exact"/>
        <w:rPr>
          <w:sz w:val="20"/>
          <w:szCs w:val="20"/>
          <w:color w:val="auto"/>
        </w:rPr>
      </w:pPr>
    </w:p>
    <w:p>
      <w:pPr>
        <w:jc w:val="both"/>
        <w:ind w:right="120" w:firstLine="456"/>
        <w:spacing w:after="0" w:line="255" w:lineRule="auto"/>
        <w:rPr>
          <w:sz w:val="20"/>
          <w:szCs w:val="20"/>
          <w:color w:val="auto"/>
        </w:rPr>
      </w:pPr>
      <w:r>
        <w:rPr>
          <w:rFonts w:ascii="Arial" w:cs="Arial" w:eastAsia="Arial" w:hAnsi="Arial"/>
          <w:sz w:val="18"/>
          <w:szCs w:val="18"/>
          <w:color w:val="auto"/>
        </w:rPr>
        <w:t>In connection with the performance-based restricted stock units granted in fiscal 2015 to certain members of senior management, final evaluation for each individual’s achievement of their performance was measured in the first quarter of fiscal 2016. As a result, a total of 360,723 shares vested on April 1, 2015 and are included in the above table. There was no material adjustment to share-based compensation expense related to these performance-based restricted stock units in fiscal 2016. The amount of canceled shares reported in the table above includes the portion of unvested shares that were not earned since certain performance achievements were not fully achieved.</w:t>
      </w:r>
    </w:p>
    <w:p>
      <w:pPr>
        <w:spacing w:after="0" w:line="14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The Company recognizes expense from performance-based equity awards when it becomes probable that the performance conditions will be met. Once it becomes probable that a performance-based award will vest, the Company recognizes share-based compensation expense equal to the number of shares expected to vest multiplied by the fair value of the award at the grant date, which is amortized using the accelerated method.</w:t>
      </w:r>
    </w:p>
    <w:p>
      <w:pPr>
        <w:spacing w:after="0" w:line="107"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The aggregate intrinsic value of restricted stock units expected to vest as of August 1, 2015 was $126.1 million. The number of restricted stock units that are expected to vest is 10.1 million shares. As of August 1, 2015, unamortized compensation expense related to restricted stock units was $103.6 million. The unamortized compensation expense for restricted stock units will be amortized on a straight-line basis and is expected to be recognized over a weighted average period of 1.4 years.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During the three and six months ended August 1, 2015, a total of 3.2 million shares were issued at a weighted-average price of $11.88 per share under the 2000 Employee Stock Purchase Plan, as amended and restated (the “ESPP”). During the three and six months ended August 2, 2014, a total of 5.2 million shares were issued at a weighted-average price of $7.58 per share under the ESPP. As of August 1, 2015, there was $44.2 million of unrecognized compensation cost related to the ESPP.</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Company repurchased 14.6 million of its common shares for $193.2 million in cash during the three months ended August 1, 2015 and 16.0 million of its common shares for $215.3 million during the six months ended August 1, 2015. The Company had no repurchases of its common shares during the three and six months ended August 2, 2014. The repurchased shares are retired immediately after the repurchases are completed. The Company records all repurchases, as well as investment purchases and sales, based on their trade date. Approximately $19.7 million of repurchases for the six months ended August 2, 2015 were made in the final three days of the period and is included in accrued liabilities in the unaudited condensed consolidated balance sheet due to the standard three-day settlement period. As of August 1, 2015, a total of 237.9 million cumulative shares have been repurchased under the Company’s share repurchase program for a total $3.0 billion in cash and there was $228.2 million remaining available for future share repurchases.</w:t>
      </w:r>
    </w:p>
    <w:p>
      <w:pPr>
        <w:spacing w:after="0" w:line="118"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Subsequent to the end of the quarter through August 24, 2015, the Company repurchased an additional 3.7 million of its common shares for $45.6 million at an average price per share of $12.39. The Company has made no subsequent share repurchases since August 24, 2015.</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paid the following cash dividends (in thousands, except per share amounts):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5"/>
          </w:tcPr>
          <w:p>
            <w:pPr>
              <w:jc w:val="right"/>
              <w:ind w:right="79"/>
              <w:spacing w:after="0"/>
              <w:rPr>
                <w:sz w:val="20"/>
                <w:szCs w:val="20"/>
                <w:color w:val="auto"/>
              </w:rPr>
            </w:pPr>
            <w:r>
              <w:rPr>
                <w:rFonts w:ascii="Arial" w:cs="Arial" w:eastAsia="Arial" w:hAnsi="Arial"/>
                <w:sz w:val="14"/>
                <w:szCs w:val="14"/>
                <w:b w:val="1"/>
                <w:bCs w:val="1"/>
                <w:color w:val="auto"/>
                <w:w w:val="92"/>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900" w:type="dxa"/>
            <w:vAlign w:val="bottom"/>
          </w:tcPr>
          <w:p>
            <w:pPr>
              <w:spacing w:after="0"/>
              <w:rPr>
                <w:sz w:val="11"/>
                <w:szCs w:val="11"/>
                <w:color w:val="auto"/>
              </w:rPr>
            </w:pPr>
          </w:p>
        </w:tc>
        <w:tc>
          <w:tcPr>
            <w:tcW w:w="980" w:type="dxa"/>
            <w:vAlign w:val="bottom"/>
            <w:tcBorders>
              <w:top w:val="single" w:sz="8" w:color="auto"/>
            </w:tcBorders>
            <w:gridSpan w:val="4"/>
          </w:tcPr>
          <w:p>
            <w:pPr>
              <w:ind w:left="20"/>
              <w:spacing w:after="0" w:line="129" w:lineRule="exact"/>
              <w:rPr>
                <w:sz w:val="20"/>
                <w:szCs w:val="20"/>
                <w:color w:val="auto"/>
              </w:rPr>
            </w:pPr>
            <w:r>
              <w:rPr>
                <w:rFonts w:ascii="Arial" w:cs="Arial" w:eastAsia="Arial" w:hAnsi="Arial"/>
                <w:sz w:val="14"/>
                <w:szCs w:val="14"/>
                <w:b w:val="1"/>
                <w:bCs w:val="1"/>
                <w:color w:val="auto"/>
              </w:rPr>
              <w:t>August 1,</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August 1,</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9"/>
              <w:spacing w:after="0"/>
              <w:rPr>
                <w:sz w:val="20"/>
                <w:szCs w:val="20"/>
                <w:color w:val="auto"/>
              </w:rPr>
            </w:pPr>
            <w:r>
              <w:rPr>
                <w:rFonts w:ascii="Arial" w:cs="Arial" w:eastAsia="Arial" w:hAnsi="Arial"/>
                <w:sz w:val="14"/>
                <w:szCs w:val="14"/>
                <w:b w:val="1"/>
                <w:bCs w:val="1"/>
                <w:color w:val="auto"/>
                <w:w w:val="96"/>
              </w:rPr>
              <w:t>2014</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82"/>
              <w:spacing w:after="0"/>
              <w:rPr>
                <w:sz w:val="20"/>
                <w:szCs w:val="20"/>
                <w:color w:val="auto"/>
              </w:rPr>
            </w:pPr>
            <w:r>
              <w:rPr>
                <w:rFonts w:ascii="Arial" w:cs="Arial" w:eastAsia="Arial" w:hAnsi="Arial"/>
                <w:sz w:val="14"/>
                <w:szCs w:val="14"/>
                <w:b w:val="1"/>
                <w:bCs w:val="1"/>
                <w:color w:val="auto"/>
              </w:rPr>
              <w:t>2015</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00" w:type="dxa"/>
            <w:vAlign w:val="bottom"/>
            <w:vMerge w:val="restart"/>
          </w:tcPr>
          <w:p>
            <w:pPr>
              <w:spacing w:after="0"/>
              <w:rPr>
                <w:sz w:val="20"/>
                <w:szCs w:val="20"/>
                <w:color w:val="auto"/>
              </w:rPr>
            </w:pPr>
            <w:r>
              <w:rPr>
                <w:rFonts w:ascii="Arial" w:cs="Arial" w:eastAsia="Arial" w:hAnsi="Arial"/>
                <w:sz w:val="18"/>
                <w:szCs w:val="18"/>
                <w:color w:val="auto"/>
              </w:rPr>
              <w:t>Total payment to shareholders</w:t>
            </w: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900" w:type="dxa"/>
            <w:vAlign w:val="bottom"/>
            <w:vMerge w:val="continue"/>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w w:val="83"/>
              </w:rPr>
              <w:t>31,194</w:t>
            </w:r>
          </w:p>
        </w:tc>
        <w:tc>
          <w:tcPr>
            <w:tcW w:w="38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30,820</w:t>
            </w:r>
          </w:p>
        </w:tc>
        <w:tc>
          <w:tcPr>
            <w:tcW w:w="480" w:type="dxa"/>
            <w:vAlign w:val="bottom"/>
            <w:gridSpan w:val="2"/>
          </w:tcPr>
          <w:p>
            <w:pPr>
              <w:ind w:left="400"/>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62,104</w:t>
            </w:r>
          </w:p>
        </w:tc>
        <w:tc>
          <w:tcPr>
            <w:tcW w:w="480" w:type="dxa"/>
            <w:vAlign w:val="bottom"/>
            <w:gridSpan w:val="2"/>
          </w:tcPr>
          <w:p>
            <w:pPr>
              <w:ind w:left="380"/>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60,992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color w:val="auto"/>
        </w:rPr>
        <w:t>On September 28, 2015, the Company announced that its board of directors declared a cash dividend of $0.06 per share that was paid on October 22, 2015 to shareholders of record as of October 8, 2015. The Company subsequently announced that its board of directors declared a quarterly cash dividends of $0.06 per share that were paid in December 2015 and April 2016. The Company has since announced that its board of directors declared a cash dividend of $0.06 per share paid on July 12, 2016 to shareholders of record as of June 14, 2016.</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ind w:left="80"/>
              <w:spacing w:after="0"/>
              <w:rPr>
                <w:sz w:val="20"/>
                <w:szCs w:val="20"/>
                <w:color w:val="auto"/>
              </w:rPr>
            </w:pPr>
            <w:r>
              <w:rPr>
                <w:rFonts w:ascii="Arial" w:cs="Arial" w:eastAsia="Arial" w:hAnsi="Arial"/>
                <w:sz w:val="14"/>
                <w:szCs w:val="14"/>
                <w:b w:val="1"/>
                <w:bCs w:val="1"/>
                <w:color w:val="auto"/>
                <w:w w:val="98"/>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900" w:type="dxa"/>
            <w:vAlign w:val="bottom"/>
          </w:tcPr>
          <w:p>
            <w:pPr>
              <w:spacing w:after="0"/>
              <w:rPr>
                <w:sz w:val="11"/>
                <w:szCs w:val="11"/>
                <w:color w:val="auto"/>
              </w:rPr>
            </w:pPr>
          </w:p>
        </w:tc>
        <w:tc>
          <w:tcPr>
            <w:tcW w:w="9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August 1,</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August 1,</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2,</w:t>
            </w:r>
          </w:p>
        </w:tc>
        <w:tc>
          <w:tcPr>
            <w:tcW w:w="100" w:type="dxa"/>
            <w:vAlign w:val="bottom"/>
          </w:tcPr>
          <w:p>
            <w:pPr>
              <w:spacing w:after="0"/>
              <w:rPr>
                <w:sz w:val="11"/>
                <w:szCs w:val="11"/>
                <w:color w:val="auto"/>
              </w:rPr>
            </w:pPr>
          </w:p>
        </w:tc>
      </w:tr>
      <w:tr>
        <w:trPr>
          <w:trHeight w:val="161"/>
        </w:trPr>
        <w:tc>
          <w:tcPr>
            <w:tcW w:w="6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2015</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2014</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2015</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6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2,012</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1,733</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4,032</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w w:val="83"/>
              </w:rPr>
              <w:t>27,808</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24,276</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52,589</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44,644</w:t>
            </w:r>
          </w:p>
        </w:tc>
        <w:tc>
          <w:tcPr>
            <w:tcW w:w="100" w:type="dxa"/>
            <w:vAlign w:val="bottom"/>
          </w:tcPr>
          <w:p>
            <w:pPr>
              <w:spacing w:after="0"/>
              <w:rPr>
                <w:sz w:val="18"/>
                <w:szCs w:val="18"/>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2,707</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2,617</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5,545</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4,147</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6,394</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8,463</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10,768</w:t>
            </w:r>
          </w:p>
        </w:tc>
        <w:tc>
          <w:tcPr>
            <w:tcW w:w="100" w:type="dxa"/>
            <w:vAlign w:val="bottom"/>
          </w:tcPr>
          <w:p>
            <w:pPr>
              <w:spacing w:after="0"/>
              <w:rPr>
                <w:sz w:val="18"/>
                <w:szCs w:val="18"/>
                <w:color w:val="auto"/>
              </w:rPr>
            </w:pPr>
          </w:p>
        </w:tc>
      </w:tr>
      <w:tr>
        <w:trPr>
          <w:trHeight w:val="27"/>
        </w:trPr>
        <w:tc>
          <w:tcPr>
            <w:tcW w:w="6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3"/>
              </w:rPr>
              <w:t>36,674</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35,020</w:t>
            </w:r>
          </w:p>
        </w:tc>
        <w:tc>
          <w:tcPr>
            <w:tcW w:w="480" w:type="dxa"/>
            <w:vAlign w:val="bottom"/>
            <w:gridSpan w:val="2"/>
            <w:shd w:val="clear" w:color="auto" w:fill="CCEEFF"/>
          </w:tcPr>
          <w:p>
            <w:pPr>
              <w:ind w:left="400"/>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69,895</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64,989</w:t>
            </w:r>
          </w:p>
        </w:tc>
        <w:tc>
          <w:tcPr>
            <w:tcW w:w="100" w:type="dxa"/>
            <w:vAlign w:val="bottom"/>
            <w:shd w:val="clear" w:color="auto" w:fill="CCEEFF"/>
          </w:tcPr>
          <w:p>
            <w:pPr>
              <w:spacing w:after="0"/>
              <w:rPr>
                <w:sz w:val="18"/>
                <w:szCs w:val="18"/>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$2.0 million at August 1, 2015 and $1.5 million at January 31, 2015.</w:t>
      </w:r>
    </w:p>
    <w:p>
      <w:pPr>
        <w:spacing w:after="0" w:line="17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Upon the termination of certain members of our executive management in April 2016, it was determined that the vesting in certain of their unvested stock awards was not probable. As a result, the Company recorded a reversal of the previously recognized related share-based compensation expense in the first quarter of fiscal 2017.</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stock option award on the date of grant using the Black-Scholes valuation model and of each market-based equity award using a Monte Carlo simulation model:</w:t>
      </w:r>
    </w:p>
    <w:p>
      <w:pPr>
        <w:spacing w:after="0" w:line="12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198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184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3600" w:type="dxa"/>
            <w:vAlign w:val="bottom"/>
          </w:tcPr>
          <w:p>
            <w:pPr>
              <w:spacing w:after="0"/>
              <w:rPr>
                <w:sz w:val="11"/>
                <w:szCs w:val="11"/>
                <w:color w:val="auto"/>
              </w:rPr>
            </w:pPr>
          </w:p>
        </w:tc>
        <w:tc>
          <w:tcPr>
            <w:tcW w:w="2900" w:type="dxa"/>
            <w:vAlign w:val="bottom"/>
          </w:tcPr>
          <w:p>
            <w:pPr>
              <w:spacing w:after="0"/>
              <w:rPr>
                <w:sz w:val="11"/>
                <w:szCs w:val="11"/>
                <w:color w:val="auto"/>
              </w:rPr>
            </w:pPr>
          </w:p>
        </w:tc>
        <w:tc>
          <w:tcPr>
            <w:tcW w:w="90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84"/>
              </w:rPr>
              <w:t>August 1,</w:t>
            </w:r>
          </w:p>
        </w:tc>
        <w:tc>
          <w:tcPr>
            <w:tcW w:w="1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0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84"/>
              </w:rPr>
              <w:t>August 1,</w:t>
            </w:r>
          </w:p>
        </w:tc>
        <w:tc>
          <w:tcPr>
            <w:tcW w:w="1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200" w:type="dxa"/>
            <w:vAlign w:val="bottom"/>
          </w:tcPr>
          <w:p>
            <w:pPr>
              <w:spacing w:after="0"/>
              <w:rPr>
                <w:sz w:val="11"/>
                <w:szCs w:val="11"/>
                <w:color w:val="auto"/>
              </w:rPr>
            </w:pPr>
          </w:p>
        </w:tc>
      </w:tr>
      <w:tr>
        <w:trPr>
          <w:trHeight w:val="161"/>
        </w:trPr>
        <w:tc>
          <w:tcPr>
            <w:tcW w:w="3600" w:type="dxa"/>
            <w:vAlign w:val="bottom"/>
          </w:tcPr>
          <w:p>
            <w:pPr>
              <w:spacing w:after="0"/>
              <w:rPr>
                <w:sz w:val="14"/>
                <w:szCs w:val="14"/>
                <w:color w:val="auto"/>
              </w:rPr>
            </w:pPr>
          </w:p>
        </w:tc>
        <w:tc>
          <w:tcPr>
            <w:tcW w:w="346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2015</w:t>
            </w:r>
          </w:p>
        </w:tc>
        <w:tc>
          <w:tcPr>
            <w:tcW w:w="340" w:type="dxa"/>
            <w:vAlign w:val="bottom"/>
          </w:tcPr>
          <w:p>
            <w:pPr>
              <w:spacing w:after="0"/>
              <w:rPr>
                <w:sz w:val="14"/>
                <w:szCs w:val="14"/>
                <w:color w:val="auto"/>
              </w:rPr>
            </w:pPr>
          </w:p>
        </w:tc>
        <w:tc>
          <w:tcPr>
            <w:tcW w:w="7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2014</w:t>
            </w:r>
          </w:p>
        </w:tc>
        <w:tc>
          <w:tcPr>
            <w:tcW w:w="340" w:type="dxa"/>
            <w:vAlign w:val="bottom"/>
          </w:tcPr>
          <w:p>
            <w:pPr>
              <w:spacing w:after="0"/>
              <w:rPr>
                <w:sz w:val="14"/>
                <w:szCs w:val="14"/>
                <w:color w:val="auto"/>
              </w:rPr>
            </w:pPr>
          </w:p>
        </w:tc>
        <w:tc>
          <w:tcPr>
            <w:tcW w:w="7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2015</w:t>
            </w:r>
          </w:p>
        </w:tc>
        <w:tc>
          <w:tcPr>
            <w:tcW w:w="340" w:type="dxa"/>
            <w:vAlign w:val="bottom"/>
          </w:tcPr>
          <w:p>
            <w:pPr>
              <w:spacing w:after="0"/>
              <w:rPr>
                <w:sz w:val="14"/>
                <w:szCs w:val="14"/>
                <w:color w:val="auto"/>
              </w:rPr>
            </w:pPr>
          </w:p>
        </w:tc>
        <w:tc>
          <w:tcPr>
            <w:tcW w:w="7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2014</w:t>
            </w:r>
          </w:p>
        </w:tc>
        <w:tc>
          <w:tcPr>
            <w:tcW w:w="200" w:type="dxa"/>
            <w:vAlign w:val="bottom"/>
          </w:tcPr>
          <w:p>
            <w:pPr>
              <w:spacing w:after="0"/>
              <w:rPr>
                <w:sz w:val="14"/>
                <w:szCs w:val="14"/>
                <w:color w:val="auto"/>
              </w:rPr>
            </w:pPr>
          </w:p>
        </w:tc>
      </w:tr>
      <w:tr>
        <w:trPr>
          <w:trHeight w:val="196"/>
        </w:trPr>
        <w:tc>
          <w:tcPr>
            <w:tcW w:w="36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290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360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3800" w:type="dxa"/>
            <w:vAlign w:val="bottom"/>
            <w:gridSpan w:val="3"/>
          </w:tcPr>
          <w:p>
            <w:pPr>
              <w:jc w:val="right"/>
              <w:ind w:right="340"/>
              <w:spacing w:after="0"/>
              <w:rPr>
                <w:sz w:val="20"/>
                <w:szCs w:val="20"/>
                <w:color w:val="auto"/>
              </w:rPr>
            </w:pPr>
            <w:r>
              <w:rPr>
                <w:rFonts w:ascii="Arial" w:cs="Arial" w:eastAsia="Arial" w:hAnsi="Arial"/>
                <w:sz w:val="18"/>
                <w:szCs w:val="18"/>
                <w:color w:val="auto"/>
              </w:rPr>
              <w:t>$  3.97</w:t>
            </w:r>
          </w:p>
        </w:tc>
        <w:tc>
          <w:tcPr>
            <w:tcW w:w="1080" w:type="dxa"/>
            <w:vAlign w:val="bottom"/>
            <w:gridSpan w:val="3"/>
          </w:tcPr>
          <w:p>
            <w:pPr>
              <w:jc w:val="right"/>
              <w:ind w:right="340"/>
              <w:spacing w:after="0"/>
              <w:rPr>
                <w:sz w:val="20"/>
                <w:szCs w:val="20"/>
                <w:color w:val="auto"/>
              </w:rPr>
            </w:pPr>
            <w:r>
              <w:rPr>
                <w:rFonts w:ascii="Arial" w:cs="Arial" w:eastAsia="Arial" w:hAnsi="Arial"/>
                <w:sz w:val="18"/>
                <w:szCs w:val="18"/>
                <w:color w:val="auto"/>
              </w:rPr>
              <w:t>$  3.98</w:t>
            </w:r>
          </w:p>
        </w:tc>
        <w:tc>
          <w:tcPr>
            <w:tcW w:w="1080" w:type="dxa"/>
            <w:vAlign w:val="bottom"/>
            <w:gridSpan w:val="3"/>
          </w:tcPr>
          <w:p>
            <w:pPr>
              <w:jc w:val="right"/>
              <w:ind w:right="340"/>
              <w:spacing w:after="0"/>
              <w:rPr>
                <w:sz w:val="20"/>
                <w:szCs w:val="20"/>
                <w:color w:val="auto"/>
              </w:rPr>
            </w:pPr>
            <w:r>
              <w:rPr>
                <w:rFonts w:ascii="Arial" w:cs="Arial" w:eastAsia="Arial" w:hAnsi="Arial"/>
                <w:sz w:val="18"/>
                <w:szCs w:val="18"/>
                <w:color w:val="auto"/>
              </w:rPr>
              <w:t>$  3.98</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  4.37</w:t>
            </w:r>
          </w:p>
        </w:tc>
        <w:tc>
          <w:tcPr>
            <w:tcW w:w="200" w:type="dxa"/>
            <w:vAlign w:val="bottom"/>
          </w:tcPr>
          <w:p>
            <w:pPr>
              <w:spacing w:after="0"/>
              <w:rPr>
                <w:sz w:val="18"/>
                <w:szCs w:val="18"/>
                <w:color w:val="auto"/>
              </w:rPr>
            </w:pPr>
          </w:p>
        </w:tc>
      </w:tr>
      <w:tr>
        <w:trPr>
          <w:trHeight w:val="216"/>
        </w:trPr>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38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34%</w:t>
            </w:r>
          </w:p>
        </w:tc>
        <w:tc>
          <w:tcPr>
            <w:tcW w:w="10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34%</w:t>
            </w:r>
          </w:p>
        </w:tc>
        <w:tc>
          <w:tcPr>
            <w:tcW w:w="10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34%</w:t>
            </w:r>
          </w:p>
        </w:tc>
        <w:tc>
          <w:tcPr>
            <w:tcW w:w="9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35%</w:t>
            </w:r>
          </w:p>
        </w:tc>
      </w:tr>
      <w:tr>
        <w:trPr>
          <w:trHeight w:val="216"/>
        </w:trPr>
        <w:tc>
          <w:tcPr>
            <w:tcW w:w="3600" w:type="dxa"/>
            <w:vAlign w:val="bottom"/>
          </w:tcPr>
          <w:p>
            <w:pPr>
              <w:spacing w:after="0"/>
              <w:rPr>
                <w:sz w:val="20"/>
                <w:szCs w:val="20"/>
                <w:color w:val="auto"/>
              </w:rPr>
            </w:pPr>
            <w:r>
              <w:rPr>
                <w:rFonts w:ascii="Arial" w:cs="Arial" w:eastAsia="Arial" w:hAnsi="Arial"/>
                <w:sz w:val="18"/>
                <w:szCs w:val="18"/>
                <w:color w:val="auto"/>
              </w:rPr>
              <w:t>Expected term (in years)</w:t>
            </w:r>
          </w:p>
        </w:tc>
        <w:tc>
          <w:tcPr>
            <w:tcW w:w="3800" w:type="dxa"/>
            <w:vAlign w:val="bottom"/>
            <w:gridSpan w:val="3"/>
          </w:tcPr>
          <w:p>
            <w:pPr>
              <w:jc w:val="right"/>
              <w:ind w:right="340"/>
              <w:spacing w:after="0"/>
              <w:rPr>
                <w:sz w:val="20"/>
                <w:szCs w:val="20"/>
                <w:color w:val="auto"/>
              </w:rPr>
            </w:pPr>
            <w:r>
              <w:rPr>
                <w:rFonts w:ascii="Arial" w:cs="Arial" w:eastAsia="Arial" w:hAnsi="Arial"/>
                <w:sz w:val="18"/>
                <w:szCs w:val="18"/>
                <w:color w:val="auto"/>
              </w:rPr>
              <w:t>5.4</w:t>
            </w:r>
          </w:p>
        </w:tc>
        <w:tc>
          <w:tcPr>
            <w:tcW w:w="1080" w:type="dxa"/>
            <w:vAlign w:val="bottom"/>
            <w:gridSpan w:val="3"/>
          </w:tcPr>
          <w:p>
            <w:pPr>
              <w:jc w:val="right"/>
              <w:ind w:right="340"/>
              <w:spacing w:after="0"/>
              <w:rPr>
                <w:sz w:val="20"/>
                <w:szCs w:val="20"/>
                <w:color w:val="auto"/>
              </w:rPr>
            </w:pPr>
            <w:r>
              <w:rPr>
                <w:rFonts w:ascii="Arial" w:cs="Arial" w:eastAsia="Arial" w:hAnsi="Arial"/>
                <w:sz w:val="18"/>
                <w:szCs w:val="18"/>
                <w:color w:val="auto"/>
              </w:rPr>
              <w:t>5.0</w:t>
            </w:r>
          </w:p>
        </w:tc>
        <w:tc>
          <w:tcPr>
            <w:tcW w:w="1080" w:type="dxa"/>
            <w:vAlign w:val="bottom"/>
            <w:gridSpan w:val="3"/>
          </w:tcPr>
          <w:p>
            <w:pPr>
              <w:jc w:val="right"/>
              <w:ind w:right="340"/>
              <w:spacing w:after="0"/>
              <w:rPr>
                <w:sz w:val="20"/>
                <w:szCs w:val="20"/>
                <w:color w:val="auto"/>
              </w:rPr>
            </w:pPr>
            <w:r>
              <w:rPr>
                <w:rFonts w:ascii="Arial" w:cs="Arial" w:eastAsia="Arial" w:hAnsi="Arial"/>
                <w:sz w:val="18"/>
                <w:szCs w:val="18"/>
                <w:color w:val="auto"/>
              </w:rPr>
              <w:t>5.4</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18"/>
                <w:szCs w:val="18"/>
                <w:color w:val="auto"/>
              </w:rPr>
            </w:pPr>
          </w:p>
        </w:tc>
      </w:tr>
      <w:tr>
        <w:trPr>
          <w:trHeight w:val="216"/>
        </w:trPr>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38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1.6%</w:t>
            </w:r>
          </w:p>
        </w:tc>
        <w:tc>
          <w:tcPr>
            <w:tcW w:w="10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1.7%</w:t>
            </w:r>
          </w:p>
        </w:tc>
        <w:tc>
          <w:tcPr>
            <w:tcW w:w="10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1.6%</w:t>
            </w:r>
          </w:p>
        </w:tc>
        <w:tc>
          <w:tcPr>
            <w:tcW w:w="9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1.6%</w:t>
            </w:r>
          </w:p>
        </w:tc>
      </w:tr>
      <w:tr>
        <w:trPr>
          <w:trHeight w:val="222"/>
        </w:trPr>
        <w:tc>
          <w:tcPr>
            <w:tcW w:w="360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3800" w:type="dxa"/>
            <w:vAlign w:val="bottom"/>
            <w:gridSpan w:val="3"/>
          </w:tcPr>
          <w:p>
            <w:pPr>
              <w:jc w:val="right"/>
              <w:ind w:right="200"/>
              <w:spacing w:after="0"/>
              <w:rPr>
                <w:sz w:val="20"/>
                <w:szCs w:val="20"/>
                <w:color w:val="auto"/>
              </w:rPr>
            </w:pPr>
            <w:r>
              <w:rPr>
                <w:rFonts w:ascii="Arial" w:cs="Arial" w:eastAsia="Arial" w:hAnsi="Arial"/>
                <w:sz w:val="18"/>
                <w:szCs w:val="18"/>
                <w:color w:val="auto"/>
              </w:rPr>
              <w:t>1.7%</w:t>
            </w:r>
          </w:p>
        </w:tc>
        <w:tc>
          <w:tcPr>
            <w:tcW w:w="1080" w:type="dxa"/>
            <w:vAlign w:val="bottom"/>
            <w:gridSpan w:val="3"/>
          </w:tcPr>
          <w:p>
            <w:pPr>
              <w:jc w:val="right"/>
              <w:ind w:right="200"/>
              <w:spacing w:after="0"/>
              <w:rPr>
                <w:sz w:val="20"/>
                <w:szCs w:val="20"/>
                <w:color w:val="auto"/>
              </w:rPr>
            </w:pPr>
            <w:r>
              <w:rPr>
                <w:rFonts w:ascii="Arial" w:cs="Arial" w:eastAsia="Arial" w:hAnsi="Arial"/>
                <w:sz w:val="18"/>
                <w:szCs w:val="18"/>
                <w:color w:val="auto"/>
              </w:rPr>
              <w:t>1.6%</w:t>
            </w:r>
          </w:p>
        </w:tc>
        <w:tc>
          <w:tcPr>
            <w:tcW w:w="1080" w:type="dxa"/>
            <w:vAlign w:val="bottom"/>
            <w:gridSpan w:val="3"/>
          </w:tcPr>
          <w:p>
            <w:pPr>
              <w:jc w:val="right"/>
              <w:ind w:right="200"/>
              <w:spacing w:after="0"/>
              <w:rPr>
                <w:sz w:val="20"/>
                <w:szCs w:val="20"/>
                <w:color w:val="auto"/>
              </w:rPr>
            </w:pPr>
            <w:r>
              <w:rPr>
                <w:rFonts w:ascii="Arial" w:cs="Arial" w:eastAsia="Arial" w:hAnsi="Arial"/>
                <w:sz w:val="18"/>
                <w:szCs w:val="18"/>
                <w:color w:val="auto"/>
              </w:rPr>
              <w:t>1.7%</w:t>
            </w:r>
          </w:p>
        </w:tc>
        <w:tc>
          <w:tcPr>
            <w:tcW w:w="940" w:type="dxa"/>
            <w:vAlign w:val="bottom"/>
            <w:gridSpan w:val="3"/>
          </w:tcPr>
          <w:p>
            <w:pPr>
              <w:jc w:val="right"/>
              <w:ind w:right="60"/>
              <w:spacing w:after="0"/>
              <w:rPr>
                <w:sz w:val="20"/>
                <w:szCs w:val="20"/>
                <w:color w:val="auto"/>
              </w:rPr>
            </w:pPr>
            <w:r>
              <w:rPr>
                <w:rFonts w:ascii="Arial" w:cs="Arial" w:eastAsia="Arial" w:hAnsi="Arial"/>
                <w:sz w:val="18"/>
                <w:szCs w:val="18"/>
                <w:color w:val="auto"/>
              </w:rPr>
              <w:t>1.6%</w:t>
            </w:r>
          </w:p>
        </w:tc>
      </w:tr>
      <w:tr>
        <w:trPr>
          <w:trHeight w:val="356"/>
        </w:trPr>
        <w:tc>
          <w:tcPr>
            <w:tcW w:w="3600" w:type="dxa"/>
            <w:vAlign w:val="bottom"/>
          </w:tcPr>
          <w:p>
            <w:pPr>
              <w:spacing w:after="0"/>
              <w:rPr>
                <w:sz w:val="24"/>
                <w:szCs w:val="24"/>
                <w:color w:val="auto"/>
              </w:rPr>
            </w:pPr>
          </w:p>
        </w:tc>
        <w:tc>
          <w:tcPr>
            <w:tcW w:w="2900" w:type="dxa"/>
            <w:vAlign w:val="bottom"/>
          </w:tcPr>
          <w:p>
            <w:pPr>
              <w:jc w:val="right"/>
              <w:ind w:right="1075"/>
              <w:spacing w:after="0"/>
              <w:rPr>
                <w:sz w:val="20"/>
                <w:szCs w:val="20"/>
                <w:color w:val="auto"/>
              </w:rPr>
            </w:pPr>
            <w:r>
              <w:rPr>
                <w:rFonts w:ascii="Arial" w:cs="Arial" w:eastAsia="Arial" w:hAnsi="Arial"/>
                <w:sz w:val="18"/>
                <w:szCs w:val="18"/>
                <w:color w:val="auto"/>
              </w:rPr>
              <w:t>25</w:t>
            </w:r>
          </w:p>
        </w:tc>
        <w:tc>
          <w:tcPr>
            <w:tcW w:w="5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040" w:type="dxa"/>
            <w:vAlign w:val="bottom"/>
            <w:tcBorders>
              <w:bottom w:val="single" w:sz="8" w:color="auto"/>
            </w:tcBorders>
            <w:gridSpan w:val="6"/>
          </w:tcPr>
          <w:p>
            <w:pPr>
              <w:jc w:val="right"/>
              <w:ind w:right="120"/>
              <w:spacing w:after="0"/>
              <w:rPr>
                <w:sz w:val="20"/>
                <w:szCs w:val="20"/>
                <w:color w:val="auto"/>
              </w:rPr>
            </w:pPr>
            <w:r>
              <w:rPr>
                <w:rFonts w:ascii="Arial" w:cs="Arial" w:eastAsia="Arial" w:hAnsi="Arial"/>
                <w:sz w:val="14"/>
                <w:szCs w:val="14"/>
                <w:b w:val="1"/>
                <w:bCs w:val="1"/>
                <w:color w:val="auto"/>
                <w:w w:val="98"/>
              </w:rPr>
              <w:t>Three and Six Months Ended</w:t>
            </w:r>
          </w:p>
        </w:tc>
        <w:tc>
          <w:tcPr>
            <w:tcW w:w="26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46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860" w:type="dxa"/>
            <w:vAlign w:val="bottom"/>
            <w:gridSpan w:val="3"/>
          </w:tcPr>
          <w:p>
            <w:pPr>
              <w:jc w:val="right"/>
              <w:ind w:right="240"/>
              <w:spacing w:after="0" w:line="129" w:lineRule="exact"/>
              <w:rPr>
                <w:sz w:val="20"/>
                <w:szCs w:val="20"/>
                <w:color w:val="auto"/>
              </w:rPr>
            </w:pPr>
            <w:r>
              <w:rPr>
                <w:rFonts w:ascii="Arial" w:cs="Arial" w:eastAsia="Arial" w:hAnsi="Arial"/>
                <w:sz w:val="14"/>
                <w:szCs w:val="14"/>
                <w:b w:val="1"/>
                <w:bCs w:val="1"/>
                <w:color w:val="auto"/>
                <w:w w:val="93"/>
              </w:rPr>
              <w:t>August 1,</w:t>
            </w:r>
          </w:p>
        </w:tc>
        <w:tc>
          <w:tcPr>
            <w:tcW w:w="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20" w:type="dxa"/>
            <w:vAlign w:val="bottom"/>
            <w:gridSpan w:val="3"/>
          </w:tcPr>
          <w:p>
            <w:pPr>
              <w:jc w:val="right"/>
              <w:ind w:right="13"/>
              <w:spacing w:after="0" w:line="129" w:lineRule="exact"/>
              <w:rPr>
                <w:sz w:val="20"/>
                <w:szCs w:val="20"/>
                <w:color w:val="auto"/>
              </w:rPr>
            </w:pPr>
            <w:r>
              <w:rPr>
                <w:rFonts w:ascii="Arial" w:cs="Arial" w:eastAsia="Arial" w:hAnsi="Arial"/>
                <w:sz w:val="14"/>
                <w:szCs w:val="14"/>
                <w:b w:val="1"/>
                <w:bCs w:val="1"/>
                <w:color w:val="auto"/>
                <w:w w:val="93"/>
              </w:rPr>
              <w:t>August 2,</w:t>
            </w:r>
          </w:p>
        </w:tc>
        <w:tc>
          <w:tcPr>
            <w:tcW w:w="200" w:type="dxa"/>
            <w:vAlign w:val="bottom"/>
          </w:tcPr>
          <w:p>
            <w:pPr>
              <w:spacing w:after="0"/>
              <w:rPr>
                <w:sz w:val="11"/>
                <w:szCs w:val="11"/>
                <w:color w:val="auto"/>
              </w:rPr>
            </w:pPr>
          </w:p>
        </w:tc>
      </w:tr>
      <w:tr>
        <w:trPr>
          <w:trHeight w:val="161"/>
        </w:trPr>
        <w:tc>
          <w:tcPr>
            <w:tcW w:w="46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60" w:type="dxa"/>
            <w:vAlign w:val="bottom"/>
          </w:tcPr>
          <w:p>
            <w:pPr>
              <w:jc w:val="right"/>
              <w:ind w:right="138"/>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1580" w:type="dxa"/>
            <w:vAlign w:val="bottom"/>
            <w:gridSpan w:val="5"/>
          </w:tcPr>
          <w:p>
            <w:pPr>
              <w:jc w:val="right"/>
              <w:ind w:right="153"/>
              <w:spacing w:after="0"/>
              <w:rPr>
                <w:sz w:val="20"/>
                <w:szCs w:val="20"/>
                <w:color w:val="auto"/>
              </w:rPr>
            </w:pPr>
            <w:r>
              <w:rPr>
                <w:rFonts w:ascii="Arial" w:cs="Arial" w:eastAsia="Arial" w:hAnsi="Arial"/>
                <w:sz w:val="14"/>
                <w:szCs w:val="14"/>
                <w:b w:val="1"/>
                <w:bCs w:val="1"/>
                <w:color w:val="auto"/>
              </w:rPr>
              <w:t>2014</w:t>
            </w:r>
          </w:p>
        </w:tc>
        <w:tc>
          <w:tcPr>
            <w:tcW w:w="200" w:type="dxa"/>
            <w:vAlign w:val="bottom"/>
          </w:tcPr>
          <w:p>
            <w:pPr>
              <w:spacing w:after="0"/>
              <w:rPr>
                <w:sz w:val="14"/>
                <w:szCs w:val="14"/>
                <w:color w:val="auto"/>
              </w:rPr>
            </w:pPr>
          </w:p>
        </w:tc>
      </w:tr>
      <w:tr>
        <w:trPr>
          <w:trHeight w:val="196"/>
        </w:trPr>
        <w:tc>
          <w:tcPr>
            <w:tcW w:w="500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10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right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5000" w:type="dxa"/>
            <w:vAlign w:val="bottom"/>
            <w:gridSpan w:val="2"/>
          </w:tcPr>
          <w:p>
            <w:pPr>
              <w:spacing w:after="0"/>
              <w:rPr>
                <w:sz w:val="20"/>
                <w:szCs w:val="20"/>
                <w:color w:val="auto"/>
              </w:rPr>
            </w:pPr>
            <w:r>
              <w:rPr>
                <w:rFonts w:ascii="Arial" w:cs="Arial" w:eastAsia="Arial" w:hAnsi="Arial"/>
                <w:sz w:val="18"/>
                <w:szCs w:val="18"/>
                <w:color w:val="auto"/>
              </w:rPr>
              <w:t>Estimated fair value</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3.78</w:t>
            </w:r>
          </w:p>
        </w:tc>
        <w:tc>
          <w:tcPr>
            <w:tcW w:w="160" w:type="dxa"/>
            <w:vAlign w:val="bottom"/>
          </w:tcPr>
          <w:p>
            <w:pPr>
              <w:spacing w:after="0"/>
              <w:rPr>
                <w:sz w:val="18"/>
                <w:szCs w:val="18"/>
                <w:color w:val="auto"/>
              </w:rPr>
            </w:pPr>
          </w:p>
        </w:tc>
        <w:tc>
          <w:tcPr>
            <w:tcW w:w="1120" w:type="dxa"/>
            <w:vAlign w:val="bottom"/>
            <w:gridSpan w:val="3"/>
          </w:tcPr>
          <w:p>
            <w:pPr>
              <w:jc w:val="right"/>
              <w:ind w:right="11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6"/>
                <w:szCs w:val="16"/>
                <w:color w:val="auto"/>
                <w:w w:val="70"/>
              </w:rPr>
              <w:t>4.13</w:t>
            </w:r>
          </w:p>
        </w:tc>
        <w:tc>
          <w:tcPr>
            <w:tcW w:w="200" w:type="dxa"/>
            <w:vAlign w:val="bottom"/>
          </w:tcPr>
          <w:p>
            <w:pPr>
              <w:spacing w:after="0"/>
              <w:rPr>
                <w:sz w:val="18"/>
                <w:szCs w:val="18"/>
                <w:color w:val="auto"/>
              </w:rPr>
            </w:pPr>
          </w:p>
        </w:tc>
      </w:tr>
      <w:tr>
        <w:trPr>
          <w:trHeight w:val="216"/>
        </w:trPr>
        <w:tc>
          <w:tcPr>
            <w:tcW w:w="5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Volatility</w:t>
            </w:r>
          </w:p>
        </w:tc>
        <w:tc>
          <w:tcPr>
            <w:tcW w:w="10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w:t>
            </w:r>
          </w:p>
        </w:tc>
        <w:tc>
          <w:tcPr>
            <w:tcW w:w="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32%</w:t>
            </w:r>
          </w:p>
        </w:tc>
      </w:tr>
      <w:tr>
        <w:trPr>
          <w:trHeight w:val="216"/>
        </w:trPr>
        <w:tc>
          <w:tcPr>
            <w:tcW w:w="5000" w:type="dxa"/>
            <w:vAlign w:val="bottom"/>
            <w:gridSpan w:val="2"/>
          </w:tcPr>
          <w:p>
            <w:pPr>
              <w:spacing w:after="0"/>
              <w:rPr>
                <w:sz w:val="20"/>
                <w:szCs w:val="20"/>
                <w:color w:val="auto"/>
              </w:rPr>
            </w:pPr>
            <w:r>
              <w:rPr>
                <w:rFonts w:ascii="Arial" w:cs="Arial" w:eastAsia="Arial" w:hAnsi="Arial"/>
                <w:sz w:val="18"/>
                <w:szCs w:val="18"/>
                <w:color w:val="auto"/>
              </w:rPr>
              <w:t>Expected term (in years)</w:t>
            </w: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87"/>
              </w:rPr>
              <w:t>1.3</w:t>
            </w:r>
          </w:p>
        </w:tc>
        <w:tc>
          <w:tcPr>
            <w:tcW w:w="200" w:type="dxa"/>
            <w:vAlign w:val="bottom"/>
          </w:tcPr>
          <w:p>
            <w:pPr>
              <w:spacing w:after="0"/>
              <w:rPr>
                <w:sz w:val="18"/>
                <w:szCs w:val="18"/>
                <w:color w:val="auto"/>
              </w:rPr>
            </w:pPr>
          </w:p>
        </w:tc>
      </w:tr>
      <w:tr>
        <w:trPr>
          <w:trHeight w:val="216"/>
        </w:trPr>
        <w:tc>
          <w:tcPr>
            <w:tcW w:w="5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0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0.4%</w:t>
            </w:r>
          </w:p>
        </w:tc>
        <w:tc>
          <w:tcPr>
            <w:tcW w:w="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2"/>
              </w:rPr>
              <w:t>0.2%</w:t>
            </w:r>
          </w:p>
        </w:tc>
      </w:tr>
      <w:tr>
        <w:trPr>
          <w:trHeight w:val="222"/>
        </w:trPr>
        <w:tc>
          <w:tcPr>
            <w:tcW w:w="5000" w:type="dxa"/>
            <w:vAlign w:val="bottom"/>
            <w:gridSpan w:val="2"/>
          </w:tcPr>
          <w:p>
            <w:pPr>
              <w:spacing w:after="0"/>
              <w:rPr>
                <w:sz w:val="20"/>
                <w:szCs w:val="20"/>
                <w:color w:val="auto"/>
              </w:rPr>
            </w:pPr>
            <w:r>
              <w:rPr>
                <w:rFonts w:ascii="Arial" w:cs="Arial" w:eastAsia="Arial" w:hAnsi="Arial"/>
                <w:sz w:val="18"/>
                <w:szCs w:val="18"/>
                <w:color w:val="auto"/>
              </w:rPr>
              <w:t>Dividend yield</w:t>
            </w:r>
          </w:p>
        </w:tc>
        <w:tc>
          <w:tcPr>
            <w:tcW w:w="10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1.7%</w:t>
            </w:r>
          </w:p>
        </w:tc>
        <w:tc>
          <w:tcPr>
            <w:tcW w:w="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60" w:type="dxa"/>
            <w:vAlign w:val="bottom"/>
            <w:gridSpan w:val="2"/>
          </w:tcPr>
          <w:p>
            <w:pPr>
              <w:jc w:val="right"/>
              <w:ind w:right="60"/>
              <w:spacing w:after="0"/>
              <w:rPr>
                <w:sz w:val="20"/>
                <w:szCs w:val="20"/>
                <w:color w:val="auto"/>
              </w:rPr>
            </w:pPr>
            <w:r>
              <w:rPr>
                <w:rFonts w:ascii="Arial" w:cs="Arial" w:eastAsia="Arial" w:hAnsi="Arial"/>
                <w:sz w:val="18"/>
                <w:szCs w:val="18"/>
                <w:color w:val="auto"/>
                <w:w w:val="92"/>
              </w:rPr>
              <w:t>1.6%</w:t>
            </w:r>
          </w:p>
        </w:tc>
      </w:tr>
      <w:tr>
        <w:trPr>
          <w:trHeight w:val="345"/>
        </w:trPr>
        <w:tc>
          <w:tcPr>
            <w:tcW w:w="460" w:type="dxa"/>
            <w:vAlign w:val="bottom"/>
          </w:tcPr>
          <w:p>
            <w:pPr>
              <w:spacing w:after="0"/>
              <w:rPr>
                <w:sz w:val="24"/>
                <w:szCs w:val="24"/>
                <w:color w:val="auto"/>
              </w:rPr>
            </w:pPr>
          </w:p>
        </w:tc>
        <w:tc>
          <w:tcPr>
            <w:tcW w:w="45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320" w:type="dxa"/>
            <w:vAlign w:val="bottom"/>
            <w:gridSpan w:val="4"/>
          </w:tcPr>
          <w:p>
            <w:pPr>
              <w:jc w:val="center"/>
              <w:ind w:right="180"/>
              <w:spacing w:after="0"/>
              <w:rPr>
                <w:sz w:val="20"/>
                <w:szCs w:val="20"/>
                <w:color w:val="auto"/>
              </w:rPr>
            </w:pPr>
            <w:r>
              <w:rPr>
                <w:rFonts w:ascii="Arial" w:cs="Arial" w:eastAsia="Arial" w:hAnsi="Arial"/>
                <w:sz w:val="14"/>
                <w:szCs w:val="14"/>
                <w:b w:val="1"/>
                <w:bCs w:val="1"/>
                <w:color w:val="auto"/>
                <w:w w:val="87"/>
              </w:rPr>
              <w:t>Six Months Ended</w:t>
            </w: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29"/>
        </w:trPr>
        <w:tc>
          <w:tcPr>
            <w:tcW w:w="46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8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4"/>
              </w:rPr>
              <w:t>August 1,</w:t>
            </w:r>
          </w:p>
        </w:tc>
        <w:tc>
          <w:tcPr>
            <w:tcW w:w="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46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60" w:type="dxa"/>
            <w:vAlign w:val="bottom"/>
            <w:gridSpan w:val="2"/>
          </w:tcPr>
          <w:p>
            <w:pPr>
              <w:jc w:val="center"/>
              <w:ind w:left="199"/>
              <w:spacing w:after="0"/>
              <w:rPr>
                <w:sz w:val="20"/>
                <w:szCs w:val="20"/>
                <w:color w:val="auto"/>
              </w:rPr>
            </w:pPr>
            <w:r>
              <w:rPr>
                <w:rFonts w:ascii="Arial" w:cs="Arial" w:eastAsia="Arial" w:hAnsi="Arial"/>
                <w:sz w:val="14"/>
                <w:szCs w:val="14"/>
                <w:b w:val="1"/>
                <w:bCs w:val="1"/>
                <w:color w:val="auto"/>
                <w:w w:val="83"/>
              </w:rPr>
              <w:t>2015</w:t>
            </w: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96"/>
        </w:trPr>
        <w:tc>
          <w:tcPr>
            <w:tcW w:w="46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Total Shareholder Return Awards:</w:t>
            </w:r>
          </w:p>
        </w:tc>
        <w:tc>
          <w:tcPr>
            <w:tcW w:w="10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right w:val="single" w:sz="8" w:color="CCEEFF"/>
            </w:tcBorders>
            <w:shd w:val="clear" w:color="auto" w:fill="CCEEFF"/>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16"/>
        </w:trPr>
        <w:tc>
          <w:tcPr>
            <w:tcW w:w="46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2.0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0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20" w:type="dxa"/>
            <w:vAlign w:val="bottom"/>
            <w:tcBorders>
              <w:right w:val="single" w:sz="8" w:color="CCEEFF"/>
            </w:tcBorders>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27%</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Average correlation coefficient of peer companies</w:t>
            </w: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20" w:type="dxa"/>
            <w:vAlign w:val="bottom"/>
            <w:gridSpan w:val="4"/>
          </w:tcPr>
          <w:p>
            <w:pPr>
              <w:jc w:val="right"/>
              <w:ind w:right="60"/>
              <w:spacing w:after="0"/>
              <w:rPr>
                <w:sz w:val="20"/>
                <w:szCs w:val="20"/>
                <w:color w:val="auto"/>
              </w:rPr>
            </w:pPr>
            <w:r>
              <w:rPr>
                <w:rFonts w:ascii="Arial" w:cs="Arial" w:eastAsia="Arial" w:hAnsi="Arial"/>
                <w:sz w:val="18"/>
                <w:szCs w:val="18"/>
                <w:color w:val="auto"/>
              </w:rPr>
              <w:t>0.4%</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0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20" w:type="dxa"/>
            <w:vAlign w:val="bottom"/>
            <w:tcBorders>
              <w:right w:val="single" w:sz="8" w:color="CCEEFF"/>
            </w:tcBorders>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0.5%</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460" w:type="dxa"/>
            <w:vAlign w:val="bottom"/>
          </w:tcPr>
          <w:p>
            <w:pPr>
              <w:spacing w:after="0"/>
              <w:rPr>
                <w:sz w:val="19"/>
                <w:szCs w:val="19"/>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0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20" w:type="dxa"/>
            <w:vAlign w:val="bottom"/>
            <w:gridSpan w:val="4"/>
          </w:tcPr>
          <w:p>
            <w:pPr>
              <w:jc w:val="right"/>
              <w:ind w:right="60"/>
              <w:spacing w:after="0"/>
              <w:rPr>
                <w:sz w:val="20"/>
                <w:szCs w:val="20"/>
                <w:color w:val="auto"/>
              </w:rPr>
            </w:pPr>
            <w:r>
              <w:rPr>
                <w:rFonts w:ascii="Arial" w:cs="Arial" w:eastAsia="Arial" w:hAnsi="Arial"/>
                <w:sz w:val="18"/>
                <w:szCs w:val="18"/>
                <w:color w:val="auto"/>
              </w:rPr>
              <w:t>1.7%</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correlation coefficients are calculated based upon the price date used to calculate the historical volatilities and is used to model the way in which each entity tends to move in relation to its peers.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Related Party Transaction</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In February 2015, the Executive Compensation Committee (“Committee”) of the Company’s Board of Directors approved a cash payment of approximately $15.4 million to Dr. Sehat Sutardja, the Company’s former Chief Executive Officer, which was recorded in the first quarter of fiscal 2016 and is included in general and administrative expense for the six months ended August 1, 2015. The U.S. Court of Federal Claims ruled against Dr. Sutardja in his legal challenge with the Internal Revenue Service and the California Franchise Tax Board related to the tax treatment of several stock options granted in fiscal 2004. After discussing and evaluating the alternatives to a continuing legal challenge of the court’s determination, the likelihood of success of further appeal by Dr. Sutardja and the potential negative impact on the Company of a continuation of the case regardless of the outcome, the Committee determined to provide Dr. Sutardja with relief from the financial effects of the penalty taxes. Accordingly, the Committee approved the cash payment to Dr. Sutardja equal to the amount of his penalty taxes owed under the Tax Codes, plus accrued interest owed with respect to such liabilities, all grossed-up for income taxes that will be owed by Dr. Sutardja on receipt of such cash payment. The Company paid $8.4 million to Dr. Sutardja in the six months ended August 1, 2015 representing reimbursement for the U.S. federal tax portion. As of August 1, 2015, the Company had a remaining $7.0 million liability to Dr. Sutardja.</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Subsequent Events</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In April 2016, the employment of Dr. Sehat Sutardja as Chief Executive Officer and Weili Dai as President was terminated by the Company’s Board of Directors. Dr. Sutardja and Ms. Dai remain on the Board of Directors at this time. The Board of Directors then formed an Interim Office of the Chief Executive and appointed Maya Strelar-Migotti, Executive Vice President of the Smart Networked Devices and Solutions Business Group, and Dr. Pantelis Alexopoulos, Executive Vice President of the Storage Business Group, as Interim Co-Chief Executive Officers, each having the authority to exercise all powers of the Chief Executive Officer. In June 2016, the Board of Directors appointed Matthew J. Murphy to serve as the Company’s President and Chief Executive Officer, effective July 11, 2016. Upon the commencement of Mr. Murphy’s employment, Ms. Strelar-Migotti and Dr. Alexopoulos returned to their roles as Executive Vice Presidents of the Company. The Board subsequently appointed Richard S. Hill, the Chairman of the Board, as the Company’s Interim Principal Executive Officer, to serve in that capacity until the Company files its Quarterly Report on Form 10-Q for the second quarter of fiscal 2017 (“Q217 Form 10-Q”). Mr. Murphy will assume the role of the Company’s principal executive officer immediately following the filing of the Q217 Form 10-Q. Mr. Murphy also joined the Board of Directors on July 11, 2016.</w:t>
      </w:r>
    </w:p>
    <w:p>
      <w:pPr>
        <w:spacing w:after="0" w:line="123"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Also in April 2016, the Company announced that it entered into an agreement with Starboard Value LP (“Starboard”), regarding the composition of its Board of Directors. Under the terms of the agreement, the Company elected Peter A. Feld, Richard S. Hill, Oleg Khaykin, Michael Strachan and Robert Switz to serve on its board. Mr. Hill replaced Dr. Sutardja as the Chairman of the Board in May 2016. The agreement specifies that the Board will recommend and the Company will support and solicit proxies only for the election at the 2016 annual general meeting of Messrs. Feld, Hill, Khaykin, Murphy, Strachan and Switz and the four independent directors serving on the Board immediately prior to the execution of the agreement, Dr. Gromer, Dr. Kassakian, Mr. Krueger and Dr. Thakur.</w:t>
      </w:r>
    </w:p>
    <w:p>
      <w:pPr>
        <w:spacing w:after="0" w:line="1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In February 2016, the Company and CMU settled their patent infringement lawsuit pursuant to a court-ordered mediation and entered into a Settlement Agreement and Patent License (the “Agreement”). The parties agreed to mutual release of claims, license and covenant not to sue provisions for which the Company will pay an aggregate of $750 million to CMU. See CMU litigation under “Note 10 – Commitments and Contingencies” for further information about the lawsuit.</w:t>
      </w:r>
    </w:p>
    <w:p>
      <w:pPr>
        <w:spacing w:after="0" w:line="143"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The Agreement was accounted for as a multiple-element arrangement and accordingly, a valuation was completed to determine the estimated fair value of each identifiable element. As a result, the Company allocated $654.7 million to the mutual release of claims and covenant not to sue provisions; $81.3 million to the licensing of intellectual property in fiscal 2016; and the remaining $14.0 million representing the future use of the license through April 2018.</w:t>
      </w:r>
    </w:p>
    <w:p>
      <w:pPr>
        <w:spacing w:after="0" w:line="107"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The $654.7 million for the mutual release of claims and covenant not to sue was recorded in three and six months ended August 1, 2015 as a settlement charge reported separately in operating expenses since there is no future benefit. Of the $81.3 million license fee, $78.9 million was recorded in the three and six months ended August 1, 2015 as a charge in cost of goods sold for past use of the license with the remaining $2.4 million to be charged to cost of goods sold for the remainder of fiscal 2016. Due to the contingent status of the litigation at August 1, 2015, these charges were recorded in the three and six months ended August 1, 2015 since those unaudited condensed consolidated financial statements had not been filed with the Securities and Exchange Commission at the time the settlement was reached.</w:t>
      </w:r>
    </w:p>
    <w:p>
      <w:pPr>
        <w:spacing w:after="0" w:line="144"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Company considers its existing cash, cash equivalents and short-term investments to be sufficient to cover payment of the $750 million settlement, and in April 2016, the Company completed full payment of the $750 million to CMU.</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“will” and similar expressions identify such forward-looking statements.</w:t>
      </w:r>
    </w:p>
    <w:p>
      <w:pPr>
        <w:spacing w:after="0" w:line="143"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hard disk drive and wireless markets, which are highly cyclical and intensely competitive;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6"/>
          <w:szCs w:val="16"/>
          <w:i w:val="1"/>
          <w:iCs w:val="1"/>
          <w:color w:val="auto"/>
        </w:rPr>
      </w:pPr>
      <w:r>
        <w:rPr>
          <w:rFonts w:ascii="Arial" w:cs="Arial" w:eastAsia="Arial" w:hAnsi="Arial"/>
          <w:sz w:val="16"/>
          <w:szCs w:val="16"/>
          <w:i w:val="1"/>
          <w:iCs w:val="1"/>
          <w:color w:val="auto"/>
        </w:rPr>
        <w:t>the risks associated with manufacturing and selling a majority of our products and our customers’ products outside of the United States;</w:t>
      </w:r>
    </w:p>
    <w:p>
      <w:pPr>
        <w:spacing w:after="0" w:line="113" w:lineRule="exact"/>
        <w:rPr>
          <w:rFonts w:ascii="Arial" w:cs="Arial" w:eastAsia="Arial" w:hAnsi="Arial"/>
          <w:sz w:val="16"/>
          <w:szCs w:val="16"/>
          <w:i w:val="1"/>
          <w:iCs w:val="1"/>
          <w:color w:val="auto"/>
        </w:rPr>
      </w:pPr>
    </w:p>
    <w:p>
      <w:pPr>
        <w:ind w:left="900" w:hanging="325"/>
        <w:spacing w:after="0" w:line="268" w:lineRule="auto"/>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acquisitions or investments;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(“SoC”) and System-in-a-Package devices, leveraging our extensive technology portfolio of intellectual property in the areas of analog, mixed-signal, digital signal processing, and embedded and standalone integrated circuits. The majority of our product portfolio leverages embedded central processing unit technology.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wireless connectivity, Internet-of-Things (“IoT”) devices and multimedia solutions. We were incorporated in Bermuda in January 1995.</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the first half of fiscal 2016, we experienced an overall slowdown in demand from the storage end market, as well as from emerging markets, as we saw business conditions weaken overall in the semiconductor industry. As a result, net revenue in the six months ended August 1, 2015 of $1.4 billion was down 25% compared to net revenue of $1.9 billion in the six months ended August 2, 2014. Revenue from products for the storage end market declined 23% in the six months ended August 1, 2015 compared to the six months ended August 2, 2014. In addition, we saw lower revenue from products for the mobile and wireless end markets, which declined 36% in the six months ended August 1, 2015 compared to the six months ended August 2, 2014. In the three and six months ended August 1, 2015, we reported a net loss of $768.1 million and $754.0 million, respectively, primarily due to a $733.6 million charge in connection with the settlement that we reached with CMU in February 2016 (see “Note 10 – Commitments and Contingencies” and “Note 14 – Subsequent Events” in the Notes to the Unaudited Condensed Consolidated Financial Statements set forth in Part I, Item 1 of this Quarterly Report on Form 10-Q), and the inclusion of restructuring and other related charges of $13.0 million and $13.6 million in the three and six months ended August 1, 2015, respectively. In connection with the settlement, we expect to incur additional charges in cost of goods sold over the remaining term of the license through April 2018 for the remaining portion of the settlement allocated to the licensing of intellectual property.</w:t>
      </w:r>
    </w:p>
    <w:p>
      <w:pPr>
        <w:spacing w:after="0" w:line="12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continue to invest in new and innovative technologies as we believe this will enable us to emerge even stronger as the economic situation improves. We continue to focus on operational execution and effectively controlling our costs.</w:t>
      </w:r>
    </w:p>
    <w:p>
      <w:pPr>
        <w:spacing w:after="0" w:line="51" w:lineRule="exact"/>
        <w:rPr>
          <w:sz w:val="20"/>
          <w:szCs w:val="20"/>
          <w:color w:val="auto"/>
        </w:rPr>
      </w:pPr>
    </w:p>
    <w:p>
      <w:pPr>
        <w:ind w:left="900" w:right="100" w:hanging="325"/>
        <w:spacing w:after="0" w:line="291"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storage market, as a result of a weaker global economy and a slowdown in the PC market, we saw weaker than expected demand for HDD products as the overall total available market (“TAM”) declined. Due to this decline in overall HDD TAM, we saw our customers defer shipments at the end of their calendar quarters into and beyond the end of our fiscal second quarter. Our results for our fiscal second quarter were affected by “pull-in” activity as described below under the discussion of net revenue for the three and six months ended August 1, 2015 and August 2, 2014, which had the effect of shifting orders and the associated revenue from our fiscal third quarter to our fiscal second quarter. Such activity was an increase over our prior four quarters and is indicative of softening demand for our products.</w:t>
      </w:r>
    </w:p>
    <w:p>
      <w:pPr>
        <w:spacing w:after="0" w:line="39" w:lineRule="exact"/>
        <w:rPr>
          <w:rFonts w:ascii="Arial" w:cs="Arial" w:eastAsia="Arial" w:hAnsi="Arial"/>
          <w:sz w:val="16"/>
          <w:szCs w:val="16"/>
          <w:color w:val="auto"/>
        </w:rPr>
      </w:pPr>
    </w:p>
    <w:p>
      <w:pPr>
        <w:jc w:val="both"/>
        <w:ind w:left="900" w:right="24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the mobile market, slower demand, competition and fierce pricing competition negatively affected our operating results in the first half of fiscal 2016. We saw weaker than normal demand due to an overall slowdown in smartphone production in China. In September 2015, we announced we would commence a significant restructuring of our mobile platform business.</w:t>
      </w:r>
    </w:p>
    <w:p>
      <w:pPr>
        <w:spacing w:after="0" w:line="59" w:lineRule="exact"/>
        <w:rPr>
          <w:rFonts w:ascii="Arial" w:cs="Arial" w:eastAsia="Arial" w:hAnsi="Arial"/>
          <w:sz w:val="18"/>
          <w:szCs w:val="18"/>
          <w:color w:val="auto"/>
        </w:rPr>
      </w:pPr>
    </w:p>
    <w:p>
      <w:pPr>
        <w:ind w:left="900" w:right="80" w:hanging="325"/>
        <w:spacing w:after="0" w:line="294"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wireless connectivity market, revenue was lower than expectations primarily due to weaker mobile shipments in China. In the first half of fiscal 2016, we introduced the 4x4 11ac Wave-2 Wi-Fi and SoC platform for enterprise access point and smart home gateway solutions. The Wave-2 technology significantly increases bandwidth available over the Wi-Fi link and network capacity for densely populated environments, extending wireless capabilities to a variety of new use cases such as real-time video streaming and wireless back-up. We also introduced one of the industry’s first 28nm 2x2 11ac Wave-2 products targeting the mobile, computing and consumer electronics markets.</w:t>
      </w:r>
    </w:p>
    <w:p>
      <w:pPr>
        <w:spacing w:after="0" w:line="34" w:lineRule="exact"/>
        <w:rPr>
          <w:rFonts w:ascii="Arial" w:cs="Arial" w:eastAsia="Arial" w:hAnsi="Arial"/>
          <w:sz w:val="16"/>
          <w:szCs w:val="16"/>
          <w:color w:val="auto"/>
        </w:rPr>
      </w:pPr>
    </w:p>
    <w:p>
      <w:pPr>
        <w:ind w:left="900" w:right="20" w:hanging="325"/>
        <w:spacing w:after="0" w:line="294"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networking market, demand in the quarter was weaker than expected. However, we received initial design wins for our new 2.5Gb and 5Gb Ethernet solutions, which we believe will create new refresh cycles in the market over the next few years. We made progress in design wins for our new 10G Ethernet Switch Product family, which started sampling in the third quarter of fiscal 2016. Our 10G solutions offer power and performance advantages for this rapidly increasing 10G Ethernet market. We also started sampling our 25G and 100G gear box and Retimer solutions targeting the public cloud networking market in the first half of fiscal 2016.</w:t>
      </w:r>
    </w:p>
    <w:p>
      <w:pPr>
        <w:spacing w:after="0" w:line="1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Our cost of goods sold was lower in the first half of fiscal 2016 compared to the first half of fiscal 2015, mainly due to lower revenues, particularly reflecting a decline in revenue from our storage products, as well as our mobile and wireless products. Our cost of goods sold as a percentage of revenue was higher in the first half of fiscal 2016 compared to the first half of fiscal 2015, which was primarily due to a $78.9 million charge related to the litigation settlement reached with CMU in February 2016 (see “Note 14 – Subsequent Events” in the Notes to the Unaudited Condensed Consolidated Financial Statements set forth in Part I, Item 1 of this Quarterly Report on Form 10-Q) and higher inventory write downs.</w:t>
      </w:r>
    </w:p>
    <w:p>
      <w:pPr>
        <w:spacing w:after="0" w:line="116"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As a result of our restructuring of the mobile platform business, we expect continued decline in revenues from our mobile and wireless products and a corresponding reduction in cost of goods sold as a percentage of revenue as the mobile and wireless end markets generally have lower average gross margins than the rest of our business. Changes in the revenue mix between end markets will affect cost of goods sold as a percentage of net revenue.</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our financial position is strong and we remain committed to deliver shareholder value through our share repurchase and dividend programs.</w:t>
      </w:r>
    </w:p>
    <w:p>
      <w:pPr>
        <w:spacing w:after="0" w:line="113"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Our cash, cash equivalents and short-term investments were $2.3 billion at August 1, 2015 (prior to giving effect to the settlement with CMU).</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generated cash flow from operations of $85.5 million through the second quarter of fiscal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paid cash dividends of $0.06 per share for a total of $31.2 million during the second quarter of fiscal.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repurchased 14.6 million of our common shares for $193.2 million in the second quarter of fiscal 2016.</w:t>
      </w:r>
    </w:p>
    <w:p>
      <w:pPr>
        <w:spacing w:after="0" w:line="171"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consumer electronics sales are heavily dependent on new product launch timelines and product refreshes. For example, our sales of wireless connectivity products may increase significantly during a period when one of our customers launches a new gaming console, and these sales may taper significantly after the initial launch period.</w:t>
      </w:r>
    </w:p>
    <w:p>
      <w:pPr>
        <w:spacing w:after="0" w:line="1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Net revenue from one customer was 18% and 19% for the three and six months ended August 1, 2015, respectively, compared to 20% and 19% for the three and six months ended August 2, 2014. Net revenue from a second customer was 14% for both the three and six months ended August 1, 2015, compared to 12% and 11% for the three and six months ended August 2, 2014. Although no revenue from a single distributor represented 10% or more of total net revenue for the three months ended August 1, 2015, we had revenue from one distributor that represented 17% of total net revenue for the three months ended August 2, 2014. We also had revenue from one distributor representing 10% of total net revenue for the six months ended August 1, 2015 compared to 12% of total net revenue from the same distributor for the six months ended August 2, 2014. We continuously monitor the creditworthiness of our distributors and believe these distributors’ sales to diverse end customers and geographies further serve to mitigate our exposure to credit risk.</w:t>
      </w:r>
    </w:p>
    <w:p>
      <w:pPr>
        <w:spacing w:after="0" w:line="118"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Most of our sales are made to customers located outside of the United States, primarily in Asia. Sales to customers located in Asia represented 95% of our net revenue for both the three and six months ended August 1, 2015, compared to 97% and 96% of our net revenue for the three and six months ended August 2, 2014. Because many manufacturers and manufacturing subcontractors of our customers are located in Asia, we expect that most of our net revenue will continue to be represented by sales to our customers in that region.</w:t>
      </w:r>
    </w:p>
    <w:p>
      <w:pPr>
        <w:spacing w:after="0" w:line="14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2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31, 2015.</w:t>
      </w:r>
    </w:p>
    <w:p>
      <w:pPr>
        <w:spacing w:after="0" w:line="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80"/>
          </w:cols>
          <w:pgMar w:left="240" w:top="459" w:right="2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360" w:type="dxa"/>
            <w:vAlign w:val="bottom"/>
            <w:gridSpan w:val="5"/>
          </w:tcPr>
          <w:p>
            <w:pPr>
              <w:jc w:val="right"/>
              <w:ind w:right="792"/>
              <w:spacing w:after="0"/>
              <w:rPr>
                <w:sz w:val="20"/>
                <w:szCs w:val="20"/>
                <w:color w:val="auto"/>
              </w:rPr>
            </w:pPr>
            <w:r>
              <w:rPr>
                <w:rFonts w:ascii="Arial" w:cs="Arial" w:eastAsia="Arial" w:hAnsi="Arial"/>
                <w:sz w:val="14"/>
                <w:szCs w:val="14"/>
                <w:b w:val="1"/>
                <w:bCs w:val="1"/>
                <w:color w:val="auto"/>
              </w:rPr>
              <w:t>Three Months Ended</w:t>
            </w:r>
          </w:p>
        </w:tc>
        <w:tc>
          <w:tcPr>
            <w:tcW w:w="2440" w:type="dxa"/>
            <w:vAlign w:val="bottom"/>
            <w:gridSpan w:val="7"/>
          </w:tcPr>
          <w:p>
            <w:pPr>
              <w:jc w:val="right"/>
              <w:ind w:right="10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0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Borders>
              <w:top w:val="single" w:sz="8" w:color="auto"/>
            </w:tcBorders>
            <w:gridSpan w:val="2"/>
          </w:tcPr>
          <w:p>
            <w:pPr>
              <w:jc w:val="right"/>
              <w:ind w:right="660"/>
              <w:spacing w:after="0" w:line="129" w:lineRule="exact"/>
              <w:rPr>
                <w:sz w:val="20"/>
                <w:szCs w:val="20"/>
                <w:color w:val="auto"/>
              </w:rPr>
            </w:pPr>
            <w:r>
              <w:rPr>
                <w:rFonts w:ascii="Arial" w:cs="Arial" w:eastAsia="Arial" w:hAnsi="Arial"/>
                <w:sz w:val="14"/>
                <w:szCs w:val="14"/>
                <w:b w:val="1"/>
                <w:bCs w:val="1"/>
                <w:color w:val="auto"/>
                <w:w w:val="81"/>
              </w:rPr>
              <w:t>August 1,</w:t>
            </w:r>
          </w:p>
        </w:tc>
        <w:tc>
          <w:tcPr>
            <w:tcW w:w="5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600" w:type="dxa"/>
            <w:vAlign w:val="bottom"/>
          </w:tcPr>
          <w:p>
            <w:pPr>
              <w:spacing w:after="0"/>
              <w:rPr>
                <w:sz w:val="11"/>
                <w:szCs w:val="11"/>
                <w:color w:val="auto"/>
              </w:rPr>
            </w:pPr>
          </w:p>
        </w:tc>
        <w:tc>
          <w:tcPr>
            <w:tcW w:w="1220" w:type="dxa"/>
            <w:vAlign w:val="bottom"/>
            <w:tcBorders>
              <w:top w:val="single" w:sz="8" w:color="auto"/>
            </w:tcBorders>
            <w:gridSpan w:val="3"/>
          </w:tcPr>
          <w:p>
            <w:pPr>
              <w:jc w:val="center"/>
              <w:ind w:right="640"/>
              <w:spacing w:after="0" w:line="129" w:lineRule="exact"/>
              <w:rPr>
                <w:sz w:val="20"/>
                <w:szCs w:val="20"/>
                <w:color w:val="auto"/>
              </w:rPr>
            </w:pPr>
            <w:r>
              <w:rPr>
                <w:rFonts w:ascii="Arial" w:cs="Arial" w:eastAsia="Arial" w:hAnsi="Arial"/>
                <w:sz w:val="14"/>
                <w:szCs w:val="14"/>
                <w:b w:val="1"/>
                <w:bCs w:val="1"/>
                <w:color w:val="auto"/>
                <w:w w:val="84"/>
              </w:rPr>
              <w:t>August 1,</w:t>
            </w: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gridSpan w:val="2"/>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0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980" w:type="dxa"/>
            <w:vAlign w:val="bottom"/>
            <w:tcBorders>
              <w:bottom w:val="single" w:sz="8" w:color="CCEEFF"/>
            </w:tcBorders>
          </w:tcPr>
          <w:p>
            <w:pPr>
              <w:spacing w:after="0"/>
              <w:rPr>
                <w:sz w:val="14"/>
                <w:szCs w:val="14"/>
                <w:color w:val="auto"/>
              </w:rPr>
            </w:pPr>
          </w:p>
        </w:tc>
        <w:tc>
          <w:tcPr>
            <w:tcW w:w="980" w:type="dxa"/>
            <w:vAlign w:val="bottom"/>
            <w:tcBorders>
              <w:bottom w:val="single" w:sz="8" w:color="CCEEFF"/>
            </w:tcBorders>
          </w:tcPr>
          <w:p>
            <w:pPr>
              <w:spacing w:after="0"/>
              <w:rPr>
                <w:sz w:val="14"/>
                <w:szCs w:val="14"/>
                <w:color w:val="auto"/>
              </w:rPr>
            </w:pPr>
          </w:p>
        </w:tc>
        <w:tc>
          <w:tcPr>
            <w:tcW w:w="54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2015</w:t>
            </w:r>
          </w:p>
        </w:tc>
        <w:tc>
          <w:tcPr>
            <w:tcW w:w="66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gridSpan w:val="2"/>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60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2014</w:t>
            </w:r>
          </w:p>
        </w:tc>
        <w:tc>
          <w:tcPr>
            <w:tcW w:w="200" w:type="dxa"/>
            <w:vAlign w:val="bottom"/>
            <w:tcBorders>
              <w:bottom w:val="single" w:sz="8" w:color="CCEEFF"/>
            </w:tcBorders>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0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100.0%</w:t>
            </w:r>
          </w:p>
        </w:tc>
        <w:tc>
          <w:tcPr>
            <w:tcW w:w="1160" w:type="dxa"/>
            <w:vAlign w:val="bottom"/>
            <w:gridSpan w:val="3"/>
            <w:shd w:val="clear" w:color="auto" w:fill="CCEEFF"/>
          </w:tcPr>
          <w:p>
            <w:pPr>
              <w:jc w:val="right"/>
              <w:ind w:right="392"/>
              <w:spacing w:after="0"/>
              <w:rPr>
                <w:sz w:val="20"/>
                <w:szCs w:val="20"/>
                <w:color w:val="auto"/>
              </w:rPr>
            </w:pPr>
            <w:r>
              <w:rPr>
                <w:rFonts w:ascii="Arial" w:cs="Arial" w:eastAsia="Arial" w:hAnsi="Arial"/>
                <w:sz w:val="18"/>
                <w:szCs w:val="18"/>
                <w:color w:val="auto"/>
              </w:rPr>
              <w:t>100.0%</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100.0%</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0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65.0</w:t>
            </w:r>
          </w:p>
        </w:tc>
        <w:tc>
          <w:tcPr>
            <w:tcW w:w="66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49.7</w:t>
            </w:r>
          </w:p>
        </w:tc>
        <w:tc>
          <w:tcPr>
            <w:tcW w:w="6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56.7</w:t>
            </w: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50.6</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02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40.2</w:t>
            </w:r>
          </w:p>
        </w:tc>
        <w:tc>
          <w:tcPr>
            <w:tcW w:w="6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30.7</w:t>
            </w:r>
          </w:p>
        </w:tc>
        <w:tc>
          <w:tcPr>
            <w:tcW w:w="600" w:type="dxa"/>
            <w:vAlign w:val="bottom"/>
          </w:tcPr>
          <w:p>
            <w:pPr>
              <w:spacing w:after="0"/>
              <w:rPr>
                <w:sz w:val="18"/>
                <w:szCs w:val="18"/>
                <w:color w:val="auto"/>
              </w:rPr>
            </w:pPr>
          </w:p>
        </w:tc>
        <w:tc>
          <w:tcPr>
            <w:tcW w:w="1100" w:type="dxa"/>
            <w:vAlign w:val="bottom"/>
            <w:gridSpan w:val="2"/>
          </w:tcPr>
          <w:p>
            <w:pPr>
              <w:jc w:val="right"/>
              <w:ind w:right="540"/>
              <w:spacing w:after="0"/>
              <w:rPr>
                <w:sz w:val="20"/>
                <w:szCs w:val="20"/>
                <w:color w:val="auto"/>
              </w:rPr>
            </w:pPr>
            <w:r>
              <w:rPr>
                <w:rFonts w:ascii="Arial" w:cs="Arial" w:eastAsia="Arial" w:hAnsi="Arial"/>
                <w:sz w:val="18"/>
                <w:szCs w:val="18"/>
                <w:color w:val="auto"/>
              </w:rPr>
              <w:t>39.4</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30.5</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66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6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4.7</w:t>
            </w: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02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5.0</w:t>
            </w:r>
          </w:p>
        </w:tc>
        <w:tc>
          <w:tcPr>
            <w:tcW w:w="6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3.2</w:t>
            </w:r>
          </w:p>
        </w:tc>
        <w:tc>
          <w:tcPr>
            <w:tcW w:w="600" w:type="dxa"/>
            <w:vAlign w:val="bottom"/>
          </w:tcPr>
          <w:p>
            <w:pPr>
              <w:spacing w:after="0"/>
              <w:rPr>
                <w:sz w:val="18"/>
                <w:szCs w:val="18"/>
                <w:color w:val="auto"/>
              </w:rPr>
            </w:pPr>
          </w:p>
        </w:tc>
        <w:tc>
          <w:tcPr>
            <w:tcW w:w="1100" w:type="dxa"/>
            <w:vAlign w:val="bottom"/>
            <w:gridSpan w:val="2"/>
          </w:tcPr>
          <w:p>
            <w:pPr>
              <w:jc w:val="right"/>
              <w:ind w:right="540"/>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3.2</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02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5"/>
              </w:rPr>
              <w:t>Carnegie Mellon University litigation settlement</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6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12"/>
              <w:spacing w:after="0"/>
              <w:rPr>
                <w:sz w:val="20"/>
                <w:szCs w:val="20"/>
                <w:color w:val="auto"/>
              </w:rPr>
            </w:pPr>
            <w:r>
              <w:rPr>
                <w:rFonts w:ascii="Arial" w:cs="Arial" w:eastAsia="Arial" w:hAnsi="Arial"/>
                <w:sz w:val="18"/>
                <w:szCs w:val="18"/>
                <w:color w:val="auto"/>
                <w:w w:val="88"/>
              </w:rPr>
              <w:t>—</w:t>
            </w:r>
          </w:p>
        </w:tc>
        <w:tc>
          <w:tcPr>
            <w:tcW w:w="110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45.6</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020" w:type="dxa"/>
            <w:vAlign w:val="bottom"/>
          </w:tcPr>
          <w:p>
            <w:pPr>
              <w:ind w:left="440"/>
              <w:spacing w:after="0"/>
              <w:rPr>
                <w:sz w:val="20"/>
                <w:szCs w:val="20"/>
                <w:color w:val="auto"/>
              </w:rPr>
            </w:pPr>
            <w:r>
              <w:rPr>
                <w:rFonts w:ascii="Arial" w:cs="Arial" w:eastAsia="Arial" w:hAnsi="Arial"/>
                <w:sz w:val="18"/>
                <w:szCs w:val="18"/>
                <w:color w:val="auto"/>
              </w:rPr>
              <w:t>Restructuring and other related charges</w:t>
            </w: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1.8</w:t>
            </w:r>
          </w:p>
        </w:tc>
        <w:tc>
          <w:tcPr>
            <w:tcW w:w="6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0.1</w:t>
            </w:r>
          </w:p>
        </w:tc>
        <w:tc>
          <w:tcPr>
            <w:tcW w:w="600" w:type="dxa"/>
            <w:vAlign w:val="bottom"/>
          </w:tcPr>
          <w:p>
            <w:pPr>
              <w:spacing w:after="0"/>
              <w:rPr>
                <w:sz w:val="18"/>
                <w:szCs w:val="18"/>
                <w:color w:val="auto"/>
              </w:rPr>
            </w:pPr>
          </w:p>
        </w:tc>
        <w:tc>
          <w:tcPr>
            <w:tcW w:w="1100" w:type="dxa"/>
            <w:vAlign w:val="bottom"/>
            <w:gridSpan w:val="2"/>
          </w:tcPr>
          <w:p>
            <w:pPr>
              <w:jc w:val="right"/>
              <w:ind w:right="540"/>
              <w:spacing w:after="0"/>
              <w:rPr>
                <w:sz w:val="20"/>
                <w:szCs w:val="20"/>
                <w:color w:val="auto"/>
              </w:rPr>
            </w:pPr>
            <w:r>
              <w:rPr>
                <w:rFonts w:ascii="Arial" w:cs="Arial" w:eastAsia="Arial" w:hAnsi="Arial"/>
                <w:sz w:val="18"/>
                <w:szCs w:val="18"/>
                <w:color w:val="auto"/>
              </w:rPr>
              <w:t>0.9</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0.3</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180" w:type="dxa"/>
            <w:vAlign w:val="bottom"/>
            <w:gridSpan w:val="3"/>
            <w:shd w:val="clear" w:color="auto" w:fill="CCEEFF"/>
          </w:tcPr>
          <w:p>
            <w:pPr>
              <w:ind w:left="440"/>
              <w:spacing w:after="0"/>
              <w:rPr>
                <w:sz w:val="20"/>
                <w:szCs w:val="20"/>
                <w:color w:val="auto"/>
              </w:rPr>
            </w:pPr>
            <w:r>
              <w:rPr>
                <w:rFonts w:ascii="Arial" w:cs="Arial" w:eastAsia="Arial" w:hAnsi="Arial"/>
                <w:sz w:val="18"/>
                <w:szCs w:val="18"/>
                <w:color w:val="auto"/>
              </w:rPr>
              <w:t>Amortization and write-off of acquired intangible assets</w:t>
            </w:r>
          </w:p>
        </w:tc>
        <w:tc>
          <w:tcPr>
            <w:tcW w:w="98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66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6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0.4</w:t>
            </w: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020" w:type="dxa"/>
            <w:vAlign w:val="bottom"/>
            <w:vMerge w:val="restart"/>
          </w:tcPr>
          <w:p>
            <w:pPr>
              <w:ind w:left="880"/>
              <w:spacing w:after="0"/>
              <w:rPr>
                <w:sz w:val="20"/>
                <w:szCs w:val="20"/>
                <w:color w:val="auto"/>
              </w:rPr>
            </w:pPr>
            <w:r>
              <w:rPr>
                <w:rFonts w:ascii="Arial" w:cs="Arial" w:eastAsia="Arial" w:hAnsi="Arial"/>
                <w:sz w:val="18"/>
                <w:szCs w:val="18"/>
                <w:color w:val="auto"/>
              </w:rPr>
              <w:t>Total operating costs and expenses</w:t>
            </w:r>
          </w:p>
        </w:tc>
        <w:tc>
          <w:tcPr>
            <w:tcW w:w="1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402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208.8</w:t>
            </w:r>
          </w:p>
        </w:tc>
        <w:tc>
          <w:tcPr>
            <w:tcW w:w="660" w:type="dxa"/>
            <w:vAlign w:val="bottom"/>
          </w:tcPr>
          <w:p>
            <w:pPr>
              <w:spacing w:after="0"/>
              <w:rPr>
                <w:sz w:val="19"/>
                <w:szCs w:val="19"/>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87.5</w:t>
            </w:r>
          </w:p>
        </w:tc>
        <w:tc>
          <w:tcPr>
            <w:tcW w:w="600" w:type="dxa"/>
            <w:vAlign w:val="bottom"/>
          </w:tcPr>
          <w:p>
            <w:pPr>
              <w:spacing w:after="0"/>
              <w:rPr>
                <w:sz w:val="19"/>
                <w:szCs w:val="19"/>
                <w:color w:val="auto"/>
              </w:rPr>
            </w:pPr>
          </w:p>
        </w:tc>
        <w:tc>
          <w:tcPr>
            <w:tcW w:w="1100" w:type="dxa"/>
            <w:vAlign w:val="bottom"/>
            <w:gridSpan w:val="2"/>
          </w:tcPr>
          <w:p>
            <w:pPr>
              <w:jc w:val="right"/>
              <w:ind w:right="540"/>
              <w:spacing w:after="0"/>
              <w:rPr>
                <w:sz w:val="20"/>
                <w:szCs w:val="20"/>
                <w:color w:val="auto"/>
              </w:rPr>
            </w:pPr>
            <w:r>
              <w:rPr>
                <w:rFonts w:ascii="Arial" w:cs="Arial" w:eastAsia="Arial" w:hAnsi="Arial"/>
                <w:sz w:val="18"/>
                <w:szCs w:val="18"/>
                <w:color w:val="auto"/>
              </w:rPr>
              <w:t>153.0</w:t>
            </w:r>
          </w:p>
        </w:tc>
        <w:tc>
          <w:tcPr>
            <w:tcW w:w="12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88.9</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460" w:type="dxa"/>
            <w:vAlign w:val="bottom"/>
            <w:vMerge w:val="restart"/>
          </w:tcPr>
          <w:p>
            <w:pPr>
              <w:spacing w:after="0"/>
              <w:rPr>
                <w:sz w:val="2"/>
                <w:szCs w:val="2"/>
                <w:color w:val="auto"/>
              </w:rPr>
            </w:pPr>
          </w:p>
        </w:tc>
        <w:tc>
          <w:tcPr>
            <w:tcW w:w="4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98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(108.8)</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12.5</w:t>
            </w:r>
          </w:p>
        </w:tc>
        <w:tc>
          <w:tcPr>
            <w:tcW w:w="6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(53.0)</w:t>
            </w: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0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1.0</w:t>
            </w:r>
          </w:p>
        </w:tc>
        <w:tc>
          <w:tcPr>
            <w:tcW w:w="6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600" w:type="dxa"/>
            <w:vAlign w:val="bottom"/>
          </w:tcPr>
          <w:p>
            <w:pPr>
              <w:spacing w:after="0"/>
              <w:rPr>
                <w:sz w:val="18"/>
                <w:szCs w:val="18"/>
                <w:color w:val="auto"/>
              </w:rPr>
            </w:pPr>
          </w:p>
        </w:tc>
        <w:tc>
          <w:tcPr>
            <w:tcW w:w="1100" w:type="dxa"/>
            <w:vAlign w:val="bottom"/>
            <w:gridSpan w:val="2"/>
          </w:tcPr>
          <w:p>
            <w:pPr>
              <w:jc w:val="right"/>
              <w:ind w:right="540"/>
              <w:spacing w:after="0"/>
              <w:rPr>
                <w:sz w:val="20"/>
                <w:szCs w:val="20"/>
                <w:color w:val="auto"/>
              </w:rPr>
            </w:pPr>
            <w:r>
              <w:rPr>
                <w:rFonts w:ascii="Arial" w:cs="Arial" w:eastAsia="Arial" w:hAnsi="Arial"/>
                <w:sz w:val="18"/>
                <w:szCs w:val="18"/>
                <w:color w:val="auto"/>
              </w:rPr>
              <w:t>0.9</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0.6</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4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98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(107.8)</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13.8</w:t>
            </w:r>
          </w:p>
        </w:tc>
        <w:tc>
          <w:tcPr>
            <w:tcW w:w="6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(52.1)</w:t>
            </w: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02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0.8</w:t>
            </w:r>
          </w:p>
        </w:tc>
        <w:tc>
          <w:tcPr>
            <w:tcW w:w="660" w:type="dxa"/>
            <w:vAlign w:val="bottom"/>
          </w:tcPr>
          <w:p>
            <w:pPr>
              <w:spacing w:after="0"/>
              <w:rPr>
                <w:sz w:val="18"/>
                <w:szCs w:val="18"/>
                <w:color w:val="auto"/>
              </w:rPr>
            </w:pPr>
          </w:p>
        </w:tc>
        <w:tc>
          <w:tcPr>
            <w:tcW w:w="1160" w:type="dxa"/>
            <w:vAlign w:val="bottom"/>
            <w:gridSpan w:val="3"/>
          </w:tcPr>
          <w:p>
            <w:pPr>
              <w:jc w:val="right"/>
              <w:ind w:right="472"/>
              <w:spacing w:after="0"/>
              <w:rPr>
                <w:sz w:val="20"/>
                <w:szCs w:val="20"/>
                <w:color w:val="auto"/>
              </w:rPr>
            </w:pPr>
            <w:r>
              <w:rPr>
                <w:rFonts w:ascii="Arial" w:cs="Arial" w:eastAsia="Arial" w:hAnsi="Arial"/>
                <w:sz w:val="18"/>
                <w:szCs w:val="18"/>
                <w:color w:val="auto"/>
              </w:rPr>
              <w:t>(0.6)</w:t>
            </w:r>
          </w:p>
        </w:tc>
        <w:tc>
          <w:tcPr>
            <w:tcW w:w="1100" w:type="dxa"/>
            <w:vAlign w:val="bottom"/>
            <w:gridSpan w:val="2"/>
          </w:tcPr>
          <w:p>
            <w:pPr>
              <w:jc w:val="right"/>
              <w:ind w:right="540"/>
              <w:spacing w:after="0"/>
              <w:rPr>
                <w:sz w:val="20"/>
                <w:szCs w:val="20"/>
                <w:color w:val="auto"/>
              </w:rPr>
            </w:pPr>
            <w:r>
              <w:rPr>
                <w:rFonts w:ascii="Arial" w:cs="Arial" w:eastAsia="Arial" w:hAnsi="Arial"/>
                <w:sz w:val="18"/>
                <w:szCs w:val="18"/>
                <w:color w:val="auto"/>
              </w:rPr>
              <w:t>0.7</w:t>
            </w:r>
          </w:p>
        </w:tc>
        <w:tc>
          <w:tcPr>
            <w:tcW w:w="120" w:type="dxa"/>
            <w:vAlign w:val="bottom"/>
          </w:tcPr>
          <w:p>
            <w:pPr>
              <w:spacing w:after="0"/>
              <w:rPr>
                <w:sz w:val="18"/>
                <w:szCs w:val="18"/>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(0.7)</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4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98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(108.6)%</w:t>
            </w:r>
          </w:p>
        </w:tc>
        <w:tc>
          <w:tcPr>
            <w:tcW w:w="1160" w:type="dxa"/>
            <w:vAlign w:val="bottom"/>
            <w:gridSpan w:val="3"/>
            <w:shd w:val="clear" w:color="auto" w:fill="CCEEFF"/>
          </w:tcPr>
          <w:p>
            <w:pPr>
              <w:jc w:val="right"/>
              <w:ind w:right="392"/>
              <w:spacing w:after="0"/>
              <w:rPr>
                <w:sz w:val="20"/>
                <w:szCs w:val="20"/>
                <w:color w:val="auto"/>
              </w:rPr>
            </w:pPr>
            <w:r>
              <w:rPr>
                <w:rFonts w:ascii="Arial" w:cs="Arial" w:eastAsia="Arial" w:hAnsi="Arial"/>
                <w:sz w:val="18"/>
                <w:szCs w:val="18"/>
                <w:color w:val="auto"/>
              </w:rPr>
              <w:t>14.4%</w:t>
            </w:r>
          </w:p>
        </w:tc>
        <w:tc>
          <w:tcPr>
            <w:tcW w:w="11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(52.8)%</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12.4%</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640" w:type="dxa"/>
            <w:vAlign w:val="bottom"/>
            <w:gridSpan w:val="4"/>
            <w:vMerge w:val="restart"/>
          </w:tcPr>
          <w:p>
            <w:pPr>
              <w:spacing w:after="0"/>
              <w:rPr>
                <w:sz w:val="20"/>
                <w:szCs w:val="20"/>
                <w:color w:val="auto"/>
              </w:rPr>
            </w:pPr>
            <w:r>
              <w:rPr>
                <w:rFonts w:ascii="Arial" w:cs="Arial" w:eastAsia="Arial" w:hAnsi="Arial"/>
                <w:sz w:val="18"/>
                <w:szCs w:val="18"/>
                <w:b w:val="1"/>
                <w:bCs w:val="1"/>
                <w:color w:val="auto"/>
              </w:rPr>
              <w:t>Three and six months ended August 1, 2015 and August 2, 2014</w:t>
            </w:r>
          </w:p>
        </w:tc>
        <w:tc>
          <w:tcPr>
            <w:tcW w:w="98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640" w:type="dxa"/>
            <w:vAlign w:val="bottom"/>
            <w:gridSpan w:val="4"/>
            <w:vMerge w:val="continue"/>
          </w:tcPr>
          <w:p>
            <w:pPr>
              <w:spacing w:after="0"/>
              <w:rPr>
                <w:sz w:val="24"/>
                <w:szCs w:val="24"/>
                <w:color w:val="auto"/>
              </w:rPr>
            </w:pPr>
          </w:p>
        </w:tc>
        <w:tc>
          <w:tcPr>
            <w:tcW w:w="9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4480" w:type="dxa"/>
            <w:vAlign w:val="bottom"/>
            <w:gridSpan w:val="2"/>
          </w:tcPr>
          <w:p>
            <w:pPr>
              <w:ind w:left="460"/>
              <w:spacing w:after="0"/>
              <w:rPr>
                <w:sz w:val="20"/>
                <w:szCs w:val="20"/>
                <w:color w:val="auto"/>
              </w:rPr>
            </w:pPr>
            <w:r>
              <w:rPr>
                <w:rFonts w:ascii="Arial" w:cs="Arial" w:eastAsia="Arial" w:hAnsi="Arial"/>
                <w:sz w:val="18"/>
                <w:szCs w:val="18"/>
                <w:i w:val="1"/>
                <w:iCs w:val="1"/>
                <w:color w:val="auto"/>
              </w:rPr>
              <w:t>Net Revenue</w:t>
            </w:r>
          </w:p>
        </w:tc>
        <w:tc>
          <w:tcPr>
            <w:tcW w:w="1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7"/>
        </w:trPr>
        <w:tc>
          <w:tcPr>
            <w:tcW w:w="460" w:type="dxa"/>
            <w:vAlign w:val="bottom"/>
          </w:tcPr>
          <w:p>
            <w:pPr>
              <w:spacing w:after="0"/>
              <w:rPr>
                <w:sz w:val="24"/>
                <w:szCs w:val="24"/>
                <w:color w:val="auto"/>
              </w:rPr>
            </w:pPr>
          </w:p>
        </w:tc>
        <w:tc>
          <w:tcPr>
            <w:tcW w:w="40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960" w:type="dxa"/>
            <w:vAlign w:val="bottom"/>
            <w:gridSpan w:val="2"/>
          </w:tcPr>
          <w:p>
            <w:pPr>
              <w:ind w:left="360"/>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gridSpan w:val="2"/>
            <w:vMerge w:val="restart"/>
          </w:tcPr>
          <w:p>
            <w:pPr>
              <w:jc w:val="right"/>
              <w:ind w:right="460"/>
              <w:spacing w:after="0"/>
              <w:rPr>
                <w:sz w:val="20"/>
                <w:szCs w:val="20"/>
                <w:color w:val="auto"/>
              </w:rPr>
            </w:pPr>
            <w:r>
              <w:rPr>
                <w:rFonts w:ascii="Arial" w:cs="Arial" w:eastAsia="Arial" w:hAnsi="Arial"/>
                <w:sz w:val="14"/>
                <w:szCs w:val="14"/>
                <w:b w:val="1"/>
                <w:bCs w:val="1"/>
                <w:color w:val="auto"/>
              </w:rPr>
              <w:t>%</w:t>
            </w: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20" w:type="dxa"/>
            <w:vAlign w:val="bottom"/>
            <w:gridSpan w:val="4"/>
          </w:tcPr>
          <w:p>
            <w:pPr>
              <w:ind w:left="180"/>
              <w:spacing w:after="0"/>
              <w:rPr>
                <w:sz w:val="20"/>
                <w:szCs w:val="20"/>
                <w:color w:val="auto"/>
              </w:rPr>
            </w:pPr>
            <w:r>
              <w:rPr>
                <w:rFonts w:ascii="Arial" w:cs="Arial" w:eastAsia="Arial" w:hAnsi="Arial"/>
                <w:sz w:val="14"/>
                <w:szCs w:val="14"/>
                <w:b w:val="1"/>
                <w:bCs w:val="1"/>
                <w:color w:val="auto"/>
              </w:rPr>
              <w:t>Six Months Ended</w:t>
            </w:r>
          </w:p>
        </w:tc>
        <w:tc>
          <w:tcPr>
            <w:tcW w:w="760" w:type="dxa"/>
            <w:vAlign w:val="bottom"/>
            <w:gridSpan w:val="2"/>
            <w:vMerge w:val="restart"/>
          </w:tcPr>
          <w:p>
            <w:pPr>
              <w:jc w:val="right"/>
              <w:ind w:righ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0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80" w:type="dxa"/>
            <w:vAlign w:val="bottom"/>
            <w:tcBorders>
              <w:top w:val="single" w:sz="8" w:color="auto"/>
            </w:tcBorders>
          </w:tcPr>
          <w:p>
            <w:pPr>
              <w:ind w:left="140"/>
              <w:spacing w:after="0" w:line="129" w:lineRule="exact"/>
              <w:rPr>
                <w:sz w:val="20"/>
                <w:szCs w:val="20"/>
                <w:color w:val="auto"/>
              </w:rPr>
            </w:pPr>
            <w:r>
              <w:rPr>
                <w:rFonts w:ascii="Arial" w:cs="Arial" w:eastAsia="Arial" w:hAnsi="Arial"/>
                <w:sz w:val="14"/>
                <w:szCs w:val="14"/>
                <w:b w:val="1"/>
                <w:bCs w:val="1"/>
                <w:color w:val="auto"/>
              </w:rPr>
              <w:t>August 1,</w:t>
            </w:r>
          </w:p>
        </w:tc>
        <w:tc>
          <w:tcPr>
            <w:tcW w:w="980" w:type="dxa"/>
            <w:vAlign w:val="bottom"/>
            <w:tcBorders>
              <w:top w:val="single" w:sz="8" w:color="auto"/>
            </w:tcBorders>
          </w:tcPr>
          <w:p>
            <w:pPr>
              <w:ind w:left="280"/>
              <w:spacing w:after="0" w:line="129" w:lineRule="exact"/>
              <w:rPr>
                <w:sz w:val="20"/>
                <w:szCs w:val="20"/>
                <w:color w:val="auto"/>
              </w:rPr>
            </w:pPr>
            <w:r>
              <w:rPr>
                <w:rFonts w:ascii="Arial" w:cs="Arial" w:eastAsia="Arial" w:hAnsi="Arial"/>
                <w:sz w:val="14"/>
                <w:szCs w:val="14"/>
                <w:b w:val="1"/>
                <w:bCs w:val="1"/>
                <w:color w:val="auto"/>
              </w:rPr>
              <w:t>August 2,</w:t>
            </w:r>
          </w:p>
        </w:tc>
        <w:tc>
          <w:tcPr>
            <w:tcW w:w="1200" w:type="dxa"/>
            <w:vAlign w:val="bottom"/>
            <w:gridSpan w:val="2"/>
            <w:vMerge w:val="continue"/>
          </w:tcPr>
          <w:p>
            <w:pPr>
              <w:spacing w:after="0"/>
              <w:rPr>
                <w:sz w:val="11"/>
                <w:szCs w:val="11"/>
                <w:color w:val="auto"/>
              </w:rPr>
            </w:pPr>
          </w:p>
        </w:tc>
        <w:tc>
          <w:tcPr>
            <w:tcW w:w="30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92"/>
              <w:spacing w:after="0" w:line="129" w:lineRule="exact"/>
              <w:rPr>
                <w:sz w:val="20"/>
                <w:szCs w:val="20"/>
                <w:color w:val="auto"/>
              </w:rPr>
            </w:pPr>
            <w:r>
              <w:rPr>
                <w:rFonts w:ascii="Arial" w:cs="Arial" w:eastAsia="Arial" w:hAnsi="Arial"/>
                <w:sz w:val="14"/>
                <w:szCs w:val="14"/>
                <w:b w:val="1"/>
                <w:bCs w:val="1"/>
                <w:color w:val="auto"/>
              </w:rPr>
              <w:t>August 1,</w:t>
            </w:r>
          </w:p>
        </w:tc>
        <w:tc>
          <w:tcPr>
            <w:tcW w:w="1100" w:type="dxa"/>
            <w:vAlign w:val="bottom"/>
            <w:tcBorders>
              <w:top w:val="single" w:sz="8" w:color="auto"/>
            </w:tcBorders>
            <w:gridSpan w:val="2"/>
          </w:tcPr>
          <w:p>
            <w:pPr>
              <w:jc w:val="right"/>
              <w:ind w:right="140"/>
              <w:spacing w:after="0" w:line="129" w:lineRule="exact"/>
              <w:rPr>
                <w:sz w:val="20"/>
                <w:szCs w:val="20"/>
                <w:color w:val="auto"/>
              </w:rPr>
            </w:pPr>
            <w:r>
              <w:rPr>
                <w:rFonts w:ascii="Arial" w:cs="Arial" w:eastAsia="Arial" w:hAnsi="Arial"/>
                <w:sz w:val="14"/>
                <w:szCs w:val="14"/>
                <w:b w:val="1"/>
                <w:bCs w:val="1"/>
                <w:color w:val="auto"/>
              </w:rPr>
              <w:t>August 2,</w:t>
            </w:r>
          </w:p>
        </w:tc>
        <w:tc>
          <w:tcPr>
            <w:tcW w:w="12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116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2015</w:t>
            </w:r>
          </w:p>
        </w:tc>
        <w:tc>
          <w:tcPr>
            <w:tcW w:w="980" w:type="dxa"/>
            <w:vAlign w:val="bottom"/>
          </w:tcPr>
          <w:p>
            <w:pPr>
              <w:jc w:val="right"/>
              <w:ind w:right="226"/>
              <w:spacing w:after="0"/>
              <w:rPr>
                <w:sz w:val="20"/>
                <w:szCs w:val="20"/>
                <w:color w:val="auto"/>
              </w:rPr>
            </w:pPr>
            <w:r>
              <w:rPr>
                <w:rFonts w:ascii="Arial" w:cs="Arial" w:eastAsia="Arial" w:hAnsi="Arial"/>
                <w:sz w:val="14"/>
                <w:szCs w:val="14"/>
                <w:b w:val="1"/>
                <w:bCs w:val="1"/>
                <w:color w:val="auto"/>
              </w:rPr>
              <w:t>2014</w:t>
            </w:r>
          </w:p>
        </w:tc>
        <w:tc>
          <w:tcPr>
            <w:tcW w:w="12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Change</w:t>
            </w:r>
          </w:p>
        </w:tc>
        <w:tc>
          <w:tcPr>
            <w:tcW w:w="1160" w:type="dxa"/>
            <w:vAlign w:val="bottom"/>
            <w:gridSpan w:val="3"/>
          </w:tcPr>
          <w:p>
            <w:pPr>
              <w:jc w:val="right"/>
              <w:ind w:right="232"/>
              <w:spacing w:after="0"/>
              <w:rPr>
                <w:sz w:val="20"/>
                <w:szCs w:val="20"/>
                <w:color w:val="auto"/>
              </w:rPr>
            </w:pPr>
            <w:r>
              <w:rPr>
                <w:rFonts w:ascii="Arial" w:cs="Arial" w:eastAsia="Arial" w:hAnsi="Arial"/>
                <w:sz w:val="14"/>
                <w:szCs w:val="14"/>
                <w:b w:val="1"/>
                <w:bCs w:val="1"/>
                <w:color w:val="auto"/>
              </w:rPr>
              <w:t>2015</w:t>
            </w:r>
          </w:p>
        </w:tc>
        <w:tc>
          <w:tcPr>
            <w:tcW w:w="110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2014</w:t>
            </w:r>
          </w:p>
        </w:tc>
        <w:tc>
          <w:tcPr>
            <w:tcW w:w="120" w:type="dxa"/>
            <w:vAlign w:val="bottom"/>
          </w:tcPr>
          <w:p>
            <w:pPr>
              <w:spacing w:after="0"/>
              <w:rPr>
                <w:sz w:val="14"/>
                <w:szCs w:val="14"/>
                <w:color w:val="auto"/>
              </w:rPr>
            </w:pPr>
          </w:p>
        </w:tc>
        <w:tc>
          <w:tcPr>
            <w:tcW w:w="1220" w:type="dxa"/>
            <w:vAlign w:val="bottom"/>
            <w:gridSpan w:val="4"/>
          </w:tcPr>
          <w:p>
            <w:pPr>
              <w:jc w:val="right"/>
              <w:ind w:right="4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40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2360" w:type="dxa"/>
            <w:vAlign w:val="bottom"/>
            <w:tcBorders>
              <w:top w:val="single" w:sz="8" w:color="auto"/>
            </w:tcBorders>
            <w:gridSpan w:val="5"/>
          </w:tcPr>
          <w:p>
            <w:pPr>
              <w:jc w:val="right"/>
              <w:ind w:right="52"/>
              <w:spacing w:after="0" w:line="142" w:lineRule="exact"/>
              <w:rPr>
                <w:sz w:val="20"/>
                <w:szCs w:val="20"/>
                <w:color w:val="auto"/>
              </w:rPr>
            </w:pPr>
            <w:r>
              <w:rPr>
                <w:rFonts w:ascii="Arial" w:cs="Arial" w:eastAsia="Arial" w:hAnsi="Arial"/>
                <w:sz w:val="14"/>
                <w:szCs w:val="14"/>
                <w:b w:val="1"/>
                <w:bCs w:val="1"/>
                <w:color w:val="auto"/>
                <w:w w:val="97"/>
              </w:rPr>
              <w:t>(in thousands, except percentage)</w:t>
            </w:r>
          </w:p>
        </w:tc>
        <w:tc>
          <w:tcPr>
            <w:tcW w:w="56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160" w:type="dxa"/>
            <w:vAlign w:val="bottom"/>
            <w:gridSpan w:val="2"/>
            <w:shd w:val="clear" w:color="auto" w:fill="CCEEFF"/>
          </w:tcPr>
          <w:p>
            <w:pPr>
              <w:jc w:val="right"/>
              <w:ind w:right="72"/>
              <w:spacing w:after="0"/>
              <w:rPr>
                <w:sz w:val="20"/>
                <w:szCs w:val="20"/>
                <w:color w:val="auto"/>
              </w:rPr>
            </w:pPr>
            <w:r>
              <w:rPr>
                <w:rFonts w:ascii="Arial" w:cs="Arial" w:eastAsia="Arial" w:hAnsi="Arial"/>
                <w:sz w:val="18"/>
                <w:szCs w:val="18"/>
                <w:color w:val="auto"/>
              </w:rPr>
              <w:t>$  710,492</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961,545</w:t>
            </w:r>
          </w:p>
        </w:tc>
        <w:tc>
          <w:tcPr>
            <w:tcW w:w="236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(26.1)%   $ 1,434,780</w:t>
            </w:r>
          </w:p>
        </w:tc>
        <w:tc>
          <w:tcPr>
            <w:tcW w:w="12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$ 1,919,375</w:t>
            </w:r>
          </w:p>
        </w:tc>
        <w:tc>
          <w:tcPr>
            <w:tcW w:w="122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(25.2)%</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Net revenue for the three and six months ended August 1, 2015 decreased by $251.1 million and $484.6 million, respectively, compared to the three and six months ended August 2, 2014 mainly due to lower sales of our storage products, as well as our mobile and wireless products. Lower sales of products in our storage business primarily resulted from overall lower demand for HDD’s used in PC’s and notebook computers, and lower demand in the mobile and wireless area was primarily due to market share decline in our mobile business in China.</w:t>
      </w:r>
    </w:p>
    <w:p>
      <w:pPr>
        <w:spacing w:after="0" w:line="14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From time to time, our customers agreed to take shipments in an earlier fiscal quarter than the fiscal quarter they originally requested delivery. When such agreement would not have occurred but for the request made by Marvell, we refer to such transactions internally as “pull-ins.” Pull-in sales increased compared to historical levels beginning in the fourth quarter of fiscal 2015 and returned to historical levels in the third quarter of fiscal 2016. Net revenue in fiscal 2016 related to pull-in sales for shipments taken early by our customers were approximately 9% and 11% of net revenue in the first and second quarters of fiscal 2016, respectively, and declined to less than 1% of net revenue in the third quarter of fiscal 2016. This compares to net revenue in fiscal 2015 related to pull-in sales for shipments taken early by our customers, which were less than 1% in each of the first and second quarters and 1% in the third quarter of fiscal 2015. Customer concessions related to these pull-in transactions, if any, were recorded in the same period in which the revenue was recognized. Beginning in fiscal 2017, our policy is not to engage in pull-in transactions and we therefore do not expect them to have any meaningful impact on our net revenue in future periods.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6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20" w:type="dxa"/>
            <w:vAlign w:val="bottom"/>
          </w:tcPr>
          <w:p>
            <w:pPr>
              <w:spacing w:after="0"/>
              <w:rPr>
                <w:sz w:val="14"/>
                <w:szCs w:val="14"/>
                <w:color w:val="auto"/>
              </w:rPr>
            </w:pPr>
          </w:p>
        </w:tc>
        <w:tc>
          <w:tcPr>
            <w:tcW w:w="234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Three Months Ended</w:t>
            </w:r>
          </w:p>
        </w:tc>
        <w:tc>
          <w:tcPr>
            <w:tcW w:w="1280" w:type="dxa"/>
            <w:vAlign w:val="bottom"/>
            <w:vMerge w:val="restart"/>
          </w:tcPr>
          <w:p>
            <w:pPr>
              <w:jc w:val="right"/>
              <w:ind w:right="664"/>
              <w:spacing w:after="0"/>
              <w:rPr>
                <w:sz w:val="20"/>
                <w:szCs w:val="20"/>
                <w:color w:val="auto"/>
              </w:rPr>
            </w:pPr>
            <w:r>
              <w:rPr>
                <w:rFonts w:ascii="Arial" w:cs="Arial" w:eastAsia="Arial" w:hAnsi="Arial"/>
                <w:sz w:val="14"/>
                <w:szCs w:val="14"/>
                <w:b w:val="1"/>
                <w:bCs w:val="1"/>
                <w:color w:val="auto"/>
              </w:rPr>
              <w:t>%</w:t>
            </w:r>
          </w:p>
        </w:tc>
        <w:tc>
          <w:tcPr>
            <w:tcW w:w="2400" w:type="dxa"/>
            <w:vAlign w:val="bottom"/>
            <w:gridSpan w:val="3"/>
          </w:tcPr>
          <w:p>
            <w:pPr>
              <w:jc w:val="right"/>
              <w:ind w:right="840"/>
              <w:spacing w:after="0"/>
              <w:rPr>
                <w:sz w:val="20"/>
                <w:szCs w:val="20"/>
                <w:color w:val="auto"/>
              </w:rPr>
            </w:pPr>
            <w:r>
              <w:rPr>
                <w:rFonts w:ascii="Arial" w:cs="Arial" w:eastAsia="Arial" w:hAnsi="Arial"/>
                <w:sz w:val="14"/>
                <w:szCs w:val="14"/>
                <w:b w:val="1"/>
                <w:bCs w:val="1"/>
                <w:color w:val="auto"/>
              </w:rPr>
              <w:t>Six Months Ended</w:t>
            </w:r>
          </w:p>
        </w:tc>
        <w:tc>
          <w:tcPr>
            <w:tcW w:w="820" w:type="dxa"/>
            <w:vAlign w:val="bottom"/>
            <w:vMerge w:val="restart"/>
          </w:tcPr>
          <w:p>
            <w:pPr>
              <w:jc w:val="right"/>
              <w:ind w:right="262"/>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20" w:type="dxa"/>
            <w:vAlign w:val="bottom"/>
          </w:tcPr>
          <w:p>
            <w:pPr>
              <w:spacing w:after="0"/>
              <w:rPr>
                <w:sz w:val="11"/>
                <w:szCs w:val="11"/>
                <w:color w:val="auto"/>
              </w:rPr>
            </w:pPr>
          </w:p>
        </w:tc>
        <w:tc>
          <w:tcPr>
            <w:tcW w:w="1100" w:type="dxa"/>
            <w:vAlign w:val="bottom"/>
            <w:tcBorders>
              <w:top w:val="single" w:sz="8" w:color="auto"/>
            </w:tcBorders>
          </w:tcPr>
          <w:p>
            <w:pPr>
              <w:jc w:val="right"/>
              <w:ind w:right="324"/>
              <w:spacing w:after="0" w:line="129" w:lineRule="exact"/>
              <w:rPr>
                <w:sz w:val="20"/>
                <w:szCs w:val="20"/>
                <w:color w:val="auto"/>
              </w:rPr>
            </w:pPr>
            <w:r>
              <w:rPr>
                <w:rFonts w:ascii="Arial" w:cs="Arial" w:eastAsia="Arial" w:hAnsi="Arial"/>
                <w:sz w:val="14"/>
                <w:szCs w:val="14"/>
                <w:b w:val="1"/>
                <w:bCs w:val="1"/>
                <w:color w:val="auto"/>
              </w:rPr>
              <w:t>August 1,</w:t>
            </w:r>
          </w:p>
        </w:tc>
        <w:tc>
          <w:tcPr>
            <w:tcW w:w="960" w:type="dxa"/>
            <w:vAlign w:val="bottom"/>
            <w:tcBorders>
              <w:top w:val="single" w:sz="8" w:color="auto"/>
            </w:tcBorders>
          </w:tcPr>
          <w:p>
            <w:pPr>
              <w:jc w:val="right"/>
              <w:ind w:right="60"/>
              <w:spacing w:after="0" w:line="129" w:lineRule="exact"/>
              <w:rPr>
                <w:sz w:val="20"/>
                <w:szCs w:val="20"/>
                <w:color w:val="auto"/>
              </w:rPr>
            </w:pPr>
            <w:r>
              <w:rPr>
                <w:rFonts w:ascii="Arial" w:cs="Arial" w:eastAsia="Arial" w:hAnsi="Arial"/>
                <w:sz w:val="14"/>
                <w:szCs w:val="14"/>
                <w:b w:val="1"/>
                <w:bCs w:val="1"/>
                <w:color w:val="auto"/>
              </w:rPr>
              <w:t>August 2,</w:t>
            </w:r>
          </w:p>
        </w:tc>
        <w:tc>
          <w:tcPr>
            <w:tcW w:w="280" w:type="dxa"/>
            <w:vAlign w:val="bottom"/>
          </w:tcPr>
          <w:p>
            <w:pPr>
              <w:spacing w:after="0"/>
              <w:rPr>
                <w:sz w:val="11"/>
                <w:szCs w:val="11"/>
                <w:color w:val="auto"/>
              </w:rPr>
            </w:pPr>
          </w:p>
        </w:tc>
        <w:tc>
          <w:tcPr>
            <w:tcW w:w="1280" w:type="dxa"/>
            <w:vAlign w:val="bottom"/>
            <w:vMerge w:val="continue"/>
          </w:tcPr>
          <w:p>
            <w:pPr>
              <w:spacing w:after="0"/>
              <w:rPr>
                <w:sz w:val="11"/>
                <w:szCs w:val="11"/>
                <w:color w:val="auto"/>
              </w:rPr>
            </w:pPr>
          </w:p>
        </w:tc>
        <w:tc>
          <w:tcPr>
            <w:tcW w:w="1100" w:type="dxa"/>
            <w:vAlign w:val="bottom"/>
            <w:tcBorders>
              <w:top w:val="single" w:sz="8" w:color="auto"/>
            </w:tcBorders>
          </w:tcPr>
          <w:p>
            <w:pPr>
              <w:jc w:val="right"/>
              <w:ind w:right="324"/>
              <w:spacing w:after="0" w:line="129" w:lineRule="exact"/>
              <w:rPr>
                <w:sz w:val="20"/>
                <w:szCs w:val="20"/>
                <w:color w:val="auto"/>
              </w:rPr>
            </w:pPr>
            <w:r>
              <w:rPr>
                <w:rFonts w:ascii="Arial" w:cs="Arial" w:eastAsia="Arial" w:hAnsi="Arial"/>
                <w:sz w:val="14"/>
                <w:szCs w:val="14"/>
                <w:b w:val="1"/>
                <w:bCs w:val="1"/>
                <w:color w:val="auto"/>
              </w:rPr>
              <w:t>August 1,</w:t>
            </w:r>
          </w:p>
        </w:tc>
        <w:tc>
          <w:tcPr>
            <w:tcW w:w="960" w:type="dxa"/>
            <w:vAlign w:val="bottom"/>
            <w:tcBorders>
              <w:top w:val="single" w:sz="8" w:color="auto"/>
            </w:tcBorders>
          </w:tcPr>
          <w:p>
            <w:pPr>
              <w:jc w:val="right"/>
              <w:ind w:right="62"/>
              <w:spacing w:after="0" w:line="129" w:lineRule="exact"/>
              <w:rPr>
                <w:sz w:val="20"/>
                <w:szCs w:val="20"/>
                <w:color w:val="auto"/>
              </w:rPr>
            </w:pPr>
            <w:r>
              <w:rPr>
                <w:rFonts w:ascii="Arial" w:cs="Arial" w:eastAsia="Arial" w:hAnsi="Arial"/>
                <w:sz w:val="14"/>
                <w:szCs w:val="14"/>
                <w:b w:val="1"/>
                <w:bCs w:val="1"/>
                <w:color w:val="auto"/>
              </w:rPr>
              <w:t>August 2,</w:t>
            </w:r>
          </w:p>
        </w:tc>
        <w:tc>
          <w:tcPr>
            <w:tcW w:w="3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20" w:type="dxa"/>
            <w:vAlign w:val="bottom"/>
          </w:tcPr>
          <w:p>
            <w:pPr>
              <w:spacing w:after="0"/>
              <w:rPr>
                <w:sz w:val="14"/>
                <w:szCs w:val="14"/>
                <w:color w:val="auto"/>
              </w:rPr>
            </w:pPr>
          </w:p>
        </w:tc>
        <w:tc>
          <w:tcPr>
            <w:tcW w:w="1100" w:type="dxa"/>
            <w:vAlign w:val="bottom"/>
          </w:tcPr>
          <w:p>
            <w:pPr>
              <w:jc w:val="right"/>
              <w:ind w:right="444"/>
              <w:spacing w:after="0"/>
              <w:rPr>
                <w:sz w:val="20"/>
                <w:szCs w:val="20"/>
                <w:color w:val="auto"/>
              </w:rPr>
            </w:pPr>
            <w:r>
              <w:rPr>
                <w:rFonts w:ascii="Arial" w:cs="Arial" w:eastAsia="Arial" w:hAnsi="Arial"/>
                <w:sz w:val="14"/>
                <w:szCs w:val="14"/>
                <w:b w:val="1"/>
                <w:bCs w:val="1"/>
                <w:color w:val="auto"/>
              </w:rPr>
              <w:t>2015</w:t>
            </w:r>
          </w:p>
        </w:tc>
        <w:tc>
          <w:tcPr>
            <w:tcW w:w="960" w:type="dxa"/>
            <w:vAlign w:val="bottom"/>
          </w:tcPr>
          <w:p>
            <w:pPr>
              <w:jc w:val="right"/>
              <w:ind w:right="200"/>
              <w:spacing w:after="0"/>
              <w:rPr>
                <w:sz w:val="20"/>
                <w:szCs w:val="20"/>
                <w:color w:val="auto"/>
              </w:rPr>
            </w:pPr>
            <w:r>
              <w:rPr>
                <w:rFonts w:ascii="Arial" w:cs="Arial" w:eastAsia="Arial" w:hAnsi="Arial"/>
                <w:sz w:val="14"/>
                <w:szCs w:val="14"/>
                <w:b w:val="1"/>
                <w:bCs w:val="1"/>
                <w:color w:val="auto"/>
              </w:rPr>
              <w:t>2014</w:t>
            </w:r>
          </w:p>
        </w:tc>
        <w:tc>
          <w:tcPr>
            <w:tcW w:w="280" w:type="dxa"/>
            <w:vAlign w:val="bottom"/>
          </w:tcPr>
          <w:p>
            <w:pPr>
              <w:spacing w:after="0"/>
              <w:rPr>
                <w:sz w:val="14"/>
                <w:szCs w:val="14"/>
                <w:color w:val="auto"/>
              </w:rPr>
            </w:pPr>
          </w:p>
        </w:tc>
        <w:tc>
          <w:tcPr>
            <w:tcW w:w="1280" w:type="dxa"/>
            <w:vAlign w:val="bottom"/>
          </w:tcPr>
          <w:p>
            <w:pPr>
              <w:jc w:val="center"/>
              <w:ind w:right="244"/>
              <w:spacing w:after="0"/>
              <w:rPr>
                <w:sz w:val="20"/>
                <w:szCs w:val="20"/>
                <w:color w:val="auto"/>
              </w:rPr>
            </w:pPr>
            <w:r>
              <w:rPr>
                <w:rFonts w:ascii="Arial" w:cs="Arial" w:eastAsia="Arial" w:hAnsi="Arial"/>
                <w:sz w:val="14"/>
                <w:szCs w:val="14"/>
                <w:b w:val="1"/>
                <w:bCs w:val="1"/>
                <w:color w:val="auto"/>
                <w:w w:val="85"/>
              </w:rPr>
              <w:t>Change</w:t>
            </w:r>
          </w:p>
        </w:tc>
        <w:tc>
          <w:tcPr>
            <w:tcW w:w="1100" w:type="dxa"/>
            <w:vAlign w:val="bottom"/>
          </w:tcPr>
          <w:p>
            <w:pPr>
              <w:jc w:val="right"/>
              <w:ind w:right="464"/>
              <w:spacing w:after="0"/>
              <w:rPr>
                <w:sz w:val="20"/>
                <w:szCs w:val="20"/>
                <w:color w:val="auto"/>
              </w:rPr>
            </w:pPr>
            <w:r>
              <w:rPr>
                <w:rFonts w:ascii="Arial" w:cs="Arial" w:eastAsia="Arial" w:hAnsi="Arial"/>
                <w:sz w:val="14"/>
                <w:szCs w:val="14"/>
                <w:b w:val="1"/>
                <w:bCs w:val="1"/>
                <w:color w:val="auto"/>
              </w:rPr>
              <w:t>2015</w:t>
            </w:r>
          </w:p>
        </w:tc>
        <w:tc>
          <w:tcPr>
            <w:tcW w:w="960" w:type="dxa"/>
            <w:vAlign w:val="bottom"/>
          </w:tcPr>
          <w:p>
            <w:pPr>
              <w:jc w:val="right"/>
              <w:ind w:right="202"/>
              <w:spacing w:after="0"/>
              <w:rPr>
                <w:sz w:val="20"/>
                <w:szCs w:val="20"/>
                <w:color w:val="auto"/>
              </w:rPr>
            </w:pPr>
            <w:r>
              <w:rPr>
                <w:rFonts w:ascii="Arial" w:cs="Arial" w:eastAsia="Arial" w:hAnsi="Arial"/>
                <w:sz w:val="14"/>
                <w:szCs w:val="14"/>
                <w:b w:val="1"/>
                <w:bCs w:val="1"/>
                <w:color w:val="auto"/>
              </w:rPr>
              <w:t>2014</w:t>
            </w:r>
          </w:p>
        </w:tc>
        <w:tc>
          <w:tcPr>
            <w:tcW w:w="340" w:type="dxa"/>
            <w:vAlign w:val="bottom"/>
          </w:tcPr>
          <w:p>
            <w:pPr>
              <w:spacing w:after="0"/>
              <w:rPr>
                <w:sz w:val="14"/>
                <w:szCs w:val="14"/>
                <w:color w:val="auto"/>
              </w:rPr>
            </w:pPr>
          </w:p>
        </w:tc>
        <w:tc>
          <w:tcPr>
            <w:tcW w:w="10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320" w:type="dxa"/>
            <w:vAlign w:val="bottom"/>
          </w:tcPr>
          <w:p>
            <w:pPr>
              <w:spacing w:after="0"/>
              <w:rPr>
                <w:sz w:val="12"/>
                <w:szCs w:val="12"/>
                <w:color w:val="auto"/>
              </w:rPr>
            </w:pPr>
          </w:p>
        </w:tc>
        <w:tc>
          <w:tcPr>
            <w:tcW w:w="1100" w:type="dxa"/>
            <w:vAlign w:val="bottom"/>
            <w:tcBorders>
              <w:top w:val="single" w:sz="8" w:color="auto"/>
            </w:tcBorders>
          </w:tcPr>
          <w:p>
            <w:pPr>
              <w:spacing w:after="0"/>
              <w:rPr>
                <w:sz w:val="12"/>
                <w:szCs w:val="12"/>
                <w:color w:val="auto"/>
              </w:rPr>
            </w:pPr>
          </w:p>
        </w:tc>
        <w:tc>
          <w:tcPr>
            <w:tcW w:w="96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2380" w:type="dxa"/>
            <w:vAlign w:val="bottom"/>
            <w:tcBorders>
              <w:top w:val="single" w:sz="8" w:color="auto"/>
            </w:tcBorders>
            <w:gridSpan w:val="2"/>
          </w:tcPr>
          <w:p>
            <w:pPr>
              <w:jc w:val="right"/>
              <w:ind w:right="264"/>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96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100" w:type="dxa"/>
            <w:vAlign w:val="bottom"/>
            <w:shd w:val="clear" w:color="auto" w:fill="CCEEFF"/>
          </w:tcPr>
          <w:p>
            <w:pPr>
              <w:jc w:val="right"/>
              <w:ind w:right="164"/>
              <w:spacing w:after="0"/>
              <w:rPr>
                <w:sz w:val="20"/>
                <w:szCs w:val="20"/>
                <w:color w:val="auto"/>
              </w:rPr>
            </w:pPr>
            <w:r>
              <w:rPr>
                <w:rFonts w:ascii="Arial" w:cs="Arial" w:eastAsia="Arial" w:hAnsi="Arial"/>
                <w:sz w:val="18"/>
                <w:szCs w:val="18"/>
                <w:color w:val="auto"/>
                <w:w w:val="98"/>
              </w:rPr>
              <w:t>$  461,719</w:t>
            </w: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  477,741</w:t>
            </w:r>
          </w:p>
        </w:tc>
        <w:tc>
          <w:tcPr>
            <w:tcW w:w="1280" w:type="dxa"/>
            <w:vAlign w:val="bottom"/>
            <w:shd w:val="clear" w:color="auto" w:fill="CCEEFF"/>
          </w:tcPr>
          <w:p>
            <w:pPr>
              <w:ind w:left="600"/>
              <w:spacing w:after="0"/>
              <w:rPr>
                <w:sz w:val="20"/>
                <w:szCs w:val="20"/>
                <w:color w:val="auto"/>
              </w:rPr>
            </w:pPr>
            <w:r>
              <w:rPr>
                <w:rFonts w:ascii="Arial" w:cs="Arial" w:eastAsia="Arial" w:hAnsi="Arial"/>
                <w:sz w:val="18"/>
                <w:szCs w:val="18"/>
                <w:color w:val="auto"/>
              </w:rPr>
              <w:t>(3.4)%</w:t>
            </w:r>
          </w:p>
        </w:tc>
        <w:tc>
          <w:tcPr>
            <w:tcW w:w="1100" w:type="dxa"/>
            <w:vAlign w:val="bottom"/>
            <w:shd w:val="clear" w:color="auto" w:fill="CCEEFF"/>
          </w:tcPr>
          <w:p>
            <w:pPr>
              <w:jc w:val="right"/>
              <w:ind w:right="164"/>
              <w:spacing w:after="0"/>
              <w:rPr>
                <w:sz w:val="20"/>
                <w:szCs w:val="20"/>
                <w:color w:val="auto"/>
              </w:rPr>
            </w:pPr>
            <w:r>
              <w:rPr>
                <w:rFonts w:ascii="Arial" w:cs="Arial" w:eastAsia="Arial" w:hAnsi="Arial"/>
                <w:sz w:val="18"/>
                <w:szCs w:val="18"/>
                <w:color w:val="auto"/>
                <w:w w:val="98"/>
              </w:rPr>
              <w:t>$  812,872</w:t>
            </w:r>
          </w:p>
        </w:tc>
        <w:tc>
          <w:tcPr>
            <w:tcW w:w="13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  971,601</w:t>
            </w: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(16.3)%</w:t>
            </w:r>
          </w:p>
        </w:tc>
        <w:tc>
          <w:tcPr>
            <w:tcW w:w="0" w:type="dxa"/>
            <w:vAlign w:val="bottom"/>
          </w:tcPr>
          <w:p>
            <w:pPr>
              <w:spacing w:after="0"/>
              <w:rPr>
                <w:sz w:val="1"/>
                <w:szCs w:val="1"/>
                <w:color w:val="auto"/>
              </w:rPr>
            </w:pPr>
          </w:p>
        </w:tc>
      </w:tr>
      <w:tr>
        <w:trPr>
          <w:trHeight w:val="222"/>
        </w:trPr>
        <w:tc>
          <w:tcPr>
            <w:tcW w:w="4320" w:type="dxa"/>
            <w:vAlign w:val="bottom"/>
          </w:tcPr>
          <w:p>
            <w:pPr>
              <w:spacing w:after="0"/>
              <w:rPr>
                <w:sz w:val="20"/>
                <w:szCs w:val="20"/>
                <w:color w:val="auto"/>
              </w:rPr>
            </w:pPr>
            <w:r>
              <w:rPr>
                <w:rFonts w:ascii="Arial" w:cs="Arial" w:eastAsia="Arial" w:hAnsi="Arial"/>
                <w:sz w:val="18"/>
                <w:szCs w:val="18"/>
                <w:color w:val="auto"/>
              </w:rPr>
              <w:t>% of net revenue</w:t>
            </w:r>
          </w:p>
        </w:tc>
        <w:tc>
          <w:tcPr>
            <w:tcW w:w="1100" w:type="dxa"/>
            <w:vAlign w:val="bottom"/>
          </w:tcPr>
          <w:p>
            <w:pPr>
              <w:jc w:val="right"/>
              <w:ind w:right="24"/>
              <w:spacing w:after="0"/>
              <w:rPr>
                <w:sz w:val="20"/>
                <w:szCs w:val="20"/>
                <w:color w:val="auto"/>
              </w:rPr>
            </w:pPr>
            <w:r>
              <w:rPr>
                <w:rFonts w:ascii="Arial" w:cs="Arial" w:eastAsia="Arial" w:hAnsi="Arial"/>
                <w:sz w:val="18"/>
                <w:szCs w:val="18"/>
                <w:color w:val="auto"/>
              </w:rPr>
              <w:t>65.0%</w:t>
            </w:r>
          </w:p>
        </w:tc>
        <w:tc>
          <w:tcPr>
            <w:tcW w:w="1240" w:type="dxa"/>
            <w:vAlign w:val="bottom"/>
            <w:gridSpan w:val="2"/>
          </w:tcPr>
          <w:p>
            <w:pPr>
              <w:jc w:val="right"/>
              <w:ind w:right="140"/>
              <w:spacing w:after="0"/>
              <w:rPr>
                <w:sz w:val="20"/>
                <w:szCs w:val="20"/>
                <w:color w:val="auto"/>
              </w:rPr>
            </w:pPr>
            <w:r>
              <w:rPr>
                <w:rFonts w:ascii="Arial" w:cs="Arial" w:eastAsia="Arial" w:hAnsi="Arial"/>
                <w:sz w:val="18"/>
                <w:szCs w:val="18"/>
                <w:color w:val="auto"/>
              </w:rPr>
              <w:t>49.7%</w:t>
            </w:r>
          </w:p>
        </w:tc>
        <w:tc>
          <w:tcPr>
            <w:tcW w:w="1280" w:type="dxa"/>
            <w:vAlign w:val="bottom"/>
          </w:tcPr>
          <w:p>
            <w:pPr>
              <w:ind w:left="62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24"/>
              <w:spacing w:after="0"/>
              <w:rPr>
                <w:sz w:val="20"/>
                <w:szCs w:val="20"/>
                <w:color w:val="auto"/>
              </w:rPr>
            </w:pPr>
            <w:r>
              <w:rPr>
                <w:rFonts w:ascii="Arial" w:cs="Arial" w:eastAsia="Arial" w:hAnsi="Arial"/>
                <w:sz w:val="18"/>
                <w:szCs w:val="18"/>
                <w:color w:val="auto"/>
              </w:rPr>
              <w:t>56.7%</w:t>
            </w: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50.6%</w:t>
            </w:r>
          </w:p>
        </w:tc>
        <w:tc>
          <w:tcPr>
            <w:tcW w:w="10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56"/>
        </w:trPr>
        <w:tc>
          <w:tcPr>
            <w:tcW w:w="43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960" w:type="dxa"/>
            <w:vAlign w:val="bottom"/>
          </w:tcPr>
          <w:p>
            <w:pPr>
              <w:jc w:val="right"/>
              <w:ind w:right="500"/>
              <w:spacing w:after="0"/>
              <w:rPr>
                <w:sz w:val="20"/>
                <w:szCs w:val="20"/>
                <w:color w:val="auto"/>
              </w:rPr>
            </w:pPr>
            <w:r>
              <w:rPr>
                <w:rFonts w:ascii="Arial" w:cs="Arial" w:eastAsia="Arial" w:hAnsi="Arial"/>
                <w:sz w:val="18"/>
                <w:szCs w:val="18"/>
                <w:color w:val="auto"/>
              </w:rPr>
              <w:t>31</w:t>
            </w:r>
          </w:p>
        </w:tc>
        <w:tc>
          <w:tcPr>
            <w:tcW w:w="2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Cost of goods sold was lower in the three and six months ended August 1, 2015 mainly due to lower revenues, particularly reflecting a decline in revenue from our storage products, as well as our mobile and wireless products. Our cost of goods sold as a percentage of revenue was higher in the three and six months ended August 1, 2015 compared to the three and six months ended August 2, 2014, which was primarily due to a $78.9 million charge related to the litigation settlement reached with CMU in February 2016 (see “Note 14 – Subsequent Events” in the Notes to the Unaudited Condensed Consolidated Financial Statements set forth in Part I, Item 1 of this Quarterly Report on Form 10-Q) and higher inventory write downs due to lower than expected demand from our mobile related product.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30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ind w:left="80"/>
              <w:spacing w:after="0"/>
              <w:rPr>
                <w:sz w:val="20"/>
                <w:szCs w:val="20"/>
                <w:color w:val="auto"/>
              </w:rPr>
            </w:pPr>
            <w:r>
              <w:rPr>
                <w:rFonts w:ascii="Arial" w:cs="Arial" w:eastAsia="Arial" w:hAnsi="Arial"/>
                <w:sz w:val="14"/>
                <w:szCs w:val="14"/>
                <w:b w:val="1"/>
                <w:bCs w:val="1"/>
                <w:color w:val="auto"/>
                <w:w w:val="98"/>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900" w:type="dxa"/>
            <w:vAlign w:val="bottom"/>
          </w:tcPr>
          <w:p>
            <w:pPr>
              <w:spacing w:after="0"/>
              <w:rPr>
                <w:sz w:val="11"/>
                <w:szCs w:val="11"/>
                <w:color w:val="auto"/>
              </w:rPr>
            </w:pPr>
          </w:p>
        </w:tc>
        <w:tc>
          <w:tcPr>
            <w:tcW w:w="9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August 1,</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August 1,</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2,</w:t>
            </w:r>
          </w:p>
        </w:tc>
        <w:tc>
          <w:tcPr>
            <w:tcW w:w="100" w:type="dxa"/>
            <w:vAlign w:val="bottom"/>
          </w:tcPr>
          <w:p>
            <w:pPr>
              <w:spacing w:after="0"/>
              <w:rPr>
                <w:sz w:val="11"/>
                <w:szCs w:val="11"/>
                <w:color w:val="auto"/>
              </w:rPr>
            </w:pPr>
          </w:p>
        </w:tc>
      </w:tr>
      <w:tr>
        <w:trPr>
          <w:trHeight w:val="161"/>
        </w:trPr>
        <w:tc>
          <w:tcPr>
            <w:tcW w:w="6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2015</w:t>
            </w:r>
          </w:p>
        </w:tc>
        <w:tc>
          <w:tcPr>
            <w:tcW w:w="4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96"/>
              </w:rPr>
              <w:t>2014</w:t>
            </w:r>
          </w:p>
        </w:tc>
        <w:tc>
          <w:tcPr>
            <w:tcW w:w="4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2015</w:t>
            </w:r>
          </w:p>
        </w:tc>
        <w:tc>
          <w:tcPr>
            <w:tcW w:w="3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42"/>
        </w:trPr>
        <w:tc>
          <w:tcPr>
            <w:tcW w:w="6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60" w:type="dxa"/>
            <w:vAlign w:val="bottom"/>
            <w:gridSpan w:val="4"/>
          </w:tcPr>
          <w:p>
            <w:pPr>
              <w:jc w:val="right"/>
              <w:ind w:right="298"/>
              <w:spacing w:after="0" w:line="142" w:lineRule="exact"/>
              <w:rPr>
                <w:sz w:val="20"/>
                <w:szCs w:val="20"/>
                <w:color w:val="auto"/>
              </w:rPr>
            </w:pPr>
            <w:r>
              <w:rPr>
                <w:rFonts w:ascii="Arial" w:cs="Arial" w:eastAsia="Arial" w:hAnsi="Arial"/>
                <w:sz w:val="14"/>
                <w:szCs w:val="14"/>
                <w:b w:val="1"/>
                <w:bCs w:val="1"/>
                <w:color w:val="auto"/>
              </w:rPr>
              <w:t>(in thousands)</w:t>
            </w: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2,012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1,733</w:t>
            </w:r>
          </w:p>
        </w:tc>
        <w:tc>
          <w:tcPr>
            <w:tcW w:w="480" w:type="dxa"/>
            <w:vAlign w:val="bottom"/>
            <w:gridSpan w:val="2"/>
            <w:shd w:val="clear" w:color="auto" w:fill="CCEEFF"/>
          </w:tcPr>
          <w:p>
            <w:pPr>
              <w:ind w:left="400"/>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3,559</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4,032</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w w:val="83"/>
              </w:rPr>
              <w:t>27,808</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24,276</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52,589</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44,644</w:t>
            </w:r>
          </w:p>
        </w:tc>
        <w:tc>
          <w:tcPr>
            <w:tcW w:w="100" w:type="dxa"/>
            <w:vAlign w:val="bottom"/>
          </w:tcPr>
          <w:p>
            <w:pPr>
              <w:spacing w:after="0"/>
              <w:rPr>
                <w:sz w:val="18"/>
                <w:szCs w:val="18"/>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2,707</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2,617</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5,545</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4,147</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6,394</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8,463</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10,768</w:t>
            </w:r>
          </w:p>
        </w:tc>
        <w:tc>
          <w:tcPr>
            <w:tcW w:w="100" w:type="dxa"/>
            <w:vAlign w:val="bottom"/>
          </w:tcPr>
          <w:p>
            <w:pPr>
              <w:spacing w:after="0"/>
              <w:rPr>
                <w:sz w:val="18"/>
                <w:szCs w:val="18"/>
                <w:color w:val="auto"/>
              </w:rPr>
            </w:pPr>
          </w:p>
        </w:tc>
      </w:tr>
      <w:tr>
        <w:trPr>
          <w:trHeight w:val="27"/>
        </w:trPr>
        <w:tc>
          <w:tcPr>
            <w:tcW w:w="6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3"/>
              </w:rPr>
              <w:t>36,674</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35,020</w:t>
            </w:r>
          </w:p>
        </w:tc>
        <w:tc>
          <w:tcPr>
            <w:tcW w:w="480" w:type="dxa"/>
            <w:vAlign w:val="bottom"/>
            <w:gridSpan w:val="2"/>
            <w:shd w:val="clear" w:color="auto" w:fill="CCEEFF"/>
          </w:tcPr>
          <w:p>
            <w:pPr>
              <w:ind w:left="400"/>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69,895</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64,989</w:t>
            </w:r>
          </w:p>
        </w:tc>
        <w:tc>
          <w:tcPr>
            <w:tcW w:w="100" w:type="dxa"/>
            <w:vAlign w:val="bottom"/>
            <w:shd w:val="clear" w:color="auto" w:fill="CCEEFF"/>
          </w:tcPr>
          <w:p>
            <w:pPr>
              <w:spacing w:after="0"/>
              <w:rPr>
                <w:sz w:val="18"/>
                <w:szCs w:val="18"/>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Share-based compensation expense increased by $1.7 million and $4.9 million for the three and six months ended August 1, 2015, respectively, compared to the three and six months ended August 2, 2014. The increases in the three and six months ended August 1, 2015 primarily reflect the effect of lower share-based compensation in fiscal 2015 from the drop-off of expense for the fiscal 2014 annual equity awards that fully vested in April 2014. The fiscal 2015 share-based compensation expense was also lower since the fiscal 2015 annual equity awards were not granted until April 2014. In addition, lower share-based compensation expense for the six months ended August 2, 2014 included the reversal of previously recognized expense associated with unvested equity awards that were cancelled as a result of the resignation in February 2014 of our former Chief Technology Officer. No such credit is reflected in the share-based compensation expense for the six months ended August 1, 2015.</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26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4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960" w:type="dxa"/>
            <w:vAlign w:val="bottom"/>
            <w:gridSpan w:val="5"/>
          </w:tcPr>
          <w:p>
            <w:pPr>
              <w:ind w:left="24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4"/>
                <w:szCs w:val="14"/>
                <w:color w:val="auto"/>
              </w:rPr>
            </w:pPr>
          </w:p>
        </w:tc>
        <w:tc>
          <w:tcPr>
            <w:tcW w:w="1800" w:type="dxa"/>
            <w:vAlign w:val="bottom"/>
            <w:gridSpan w:val="6"/>
          </w:tcPr>
          <w:p>
            <w:pPr>
              <w:ind w:left="32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464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620" w:type="dxa"/>
            <w:vAlign w:val="bottom"/>
            <w:tcBorders>
              <w:top w:val="single" w:sz="8" w:color="auto"/>
            </w:tcBorders>
          </w:tcPr>
          <w:p>
            <w:pPr>
              <w:ind w:left="40"/>
              <w:spacing w:after="0" w:line="129" w:lineRule="exact"/>
              <w:rPr>
                <w:sz w:val="20"/>
                <w:szCs w:val="20"/>
                <w:color w:val="auto"/>
              </w:rPr>
            </w:pPr>
            <w:r>
              <w:rPr>
                <w:rFonts w:ascii="Arial" w:cs="Arial" w:eastAsia="Arial" w:hAnsi="Arial"/>
                <w:sz w:val="14"/>
                <w:szCs w:val="14"/>
                <w:b w:val="1"/>
                <w:bCs w:val="1"/>
                <w:color w:val="auto"/>
                <w:w w:val="87"/>
              </w:rPr>
              <w:t>August 1,</w:t>
            </w:r>
          </w:p>
        </w:tc>
        <w:tc>
          <w:tcPr>
            <w:tcW w:w="48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4"/>
              </w:rPr>
              <w:t>August 2,</w:t>
            </w:r>
          </w:p>
        </w:tc>
        <w:tc>
          <w:tcPr>
            <w:tcW w:w="2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rPr>
              <w:t>August 1,</w:t>
            </w:r>
          </w:p>
        </w:tc>
        <w:tc>
          <w:tcPr>
            <w:tcW w:w="24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7"/>
              </w:rPr>
              <w:t>August 2,</w:t>
            </w:r>
          </w:p>
        </w:tc>
        <w:tc>
          <w:tcPr>
            <w:tcW w:w="100" w:type="dxa"/>
            <w:vAlign w:val="bottom"/>
          </w:tcPr>
          <w:p>
            <w:pPr>
              <w:spacing w:after="0"/>
              <w:rPr>
                <w:sz w:val="11"/>
                <w:szCs w:val="11"/>
                <w:color w:val="auto"/>
              </w:rPr>
            </w:pPr>
          </w:p>
        </w:tc>
      </w:tr>
      <w:tr>
        <w:trPr>
          <w:trHeight w:val="161"/>
        </w:trPr>
        <w:tc>
          <w:tcPr>
            <w:tcW w:w="4640" w:type="dxa"/>
            <w:vAlign w:val="bottom"/>
          </w:tcPr>
          <w:p>
            <w:pPr>
              <w:spacing w:after="0"/>
              <w:rPr>
                <w:sz w:val="14"/>
                <w:szCs w:val="14"/>
                <w:color w:val="auto"/>
              </w:rPr>
            </w:pPr>
          </w:p>
        </w:tc>
        <w:tc>
          <w:tcPr>
            <w:tcW w:w="2480" w:type="dxa"/>
            <w:vAlign w:val="bottom"/>
            <w:gridSpan w:val="2"/>
          </w:tcPr>
          <w:p>
            <w:pPr>
              <w:jc w:val="center"/>
              <w:ind w:left="1779"/>
              <w:spacing w:after="0"/>
              <w:rPr>
                <w:sz w:val="20"/>
                <w:szCs w:val="20"/>
                <w:color w:val="auto"/>
              </w:rPr>
            </w:pPr>
            <w:r>
              <w:rPr>
                <w:rFonts w:ascii="Arial" w:cs="Arial" w:eastAsia="Arial" w:hAnsi="Arial"/>
                <w:sz w:val="14"/>
                <w:szCs w:val="14"/>
                <w:b w:val="1"/>
                <w:bCs w:val="1"/>
                <w:color w:val="auto"/>
                <w:w w:val="83"/>
              </w:rPr>
              <w:t>2015</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100"/>
              <w:spacing w:after="0"/>
              <w:rPr>
                <w:sz w:val="20"/>
                <w:szCs w:val="20"/>
                <w:color w:val="auto"/>
              </w:rPr>
            </w:pPr>
            <w:r>
              <w:rPr>
                <w:rFonts w:ascii="Arial" w:cs="Arial" w:eastAsia="Arial" w:hAnsi="Arial"/>
                <w:sz w:val="14"/>
                <w:szCs w:val="14"/>
                <w:b w:val="1"/>
                <w:bCs w:val="1"/>
                <w:color w:val="auto"/>
                <w:w w:val="96"/>
              </w:rPr>
              <w:t>2014</w:t>
            </w:r>
          </w:p>
        </w:tc>
        <w:tc>
          <w:tcPr>
            <w:tcW w:w="240" w:type="dxa"/>
            <w:vAlign w:val="bottom"/>
          </w:tcPr>
          <w:p>
            <w:pPr>
              <w:spacing w:after="0"/>
              <w:rPr>
                <w:sz w:val="14"/>
                <w:szCs w:val="14"/>
                <w:color w:val="auto"/>
              </w:rPr>
            </w:pPr>
          </w:p>
        </w:tc>
        <w:tc>
          <w:tcPr>
            <w:tcW w:w="860" w:type="dxa"/>
            <w:vAlign w:val="bottom"/>
            <w:gridSpan w:val="2"/>
          </w:tcPr>
          <w:p>
            <w:pPr>
              <w:jc w:val="center"/>
              <w:ind w:left="139"/>
              <w:spacing w:after="0"/>
              <w:rPr>
                <w:sz w:val="20"/>
                <w:szCs w:val="20"/>
                <w:color w:val="auto"/>
              </w:rPr>
            </w:pPr>
            <w:r>
              <w:rPr>
                <w:rFonts w:ascii="Arial" w:cs="Arial" w:eastAsia="Arial" w:hAnsi="Arial"/>
                <w:sz w:val="14"/>
                <w:szCs w:val="14"/>
                <w:b w:val="1"/>
                <w:bCs w:val="1"/>
                <w:color w:val="auto"/>
                <w:w w:val="89"/>
              </w:rPr>
              <w:t>2015</w:t>
            </w: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80" w:type="dxa"/>
            <w:vAlign w:val="bottom"/>
          </w:tcPr>
          <w:p>
            <w:pPr>
              <w:jc w:val="right"/>
              <w:ind w:right="77"/>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Pr>
          <w:p>
            <w:pPr>
              <w:spacing w:after="0"/>
              <w:rPr>
                <w:sz w:val="14"/>
                <w:szCs w:val="14"/>
                <w:color w:val="auto"/>
              </w:rPr>
            </w:pPr>
          </w:p>
        </w:tc>
      </w:tr>
      <w:tr>
        <w:trPr>
          <w:trHeight w:val="142"/>
        </w:trPr>
        <w:tc>
          <w:tcPr>
            <w:tcW w:w="464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820" w:type="dxa"/>
            <w:vAlign w:val="bottom"/>
            <w:tcBorders>
              <w:top w:val="single" w:sz="8" w:color="auto"/>
            </w:tcBorders>
            <w:gridSpan w:val="5"/>
          </w:tcPr>
          <w:p>
            <w:pPr>
              <w:ind w:left="320"/>
              <w:spacing w:after="0" w:line="142" w:lineRule="exact"/>
              <w:rPr>
                <w:sz w:val="20"/>
                <w:szCs w:val="20"/>
                <w:color w:val="auto"/>
              </w:rPr>
            </w:pPr>
            <w:r>
              <w:rPr>
                <w:rFonts w:ascii="Arial" w:cs="Arial" w:eastAsia="Arial" w:hAnsi="Arial"/>
                <w:sz w:val="14"/>
                <w:szCs w:val="14"/>
                <w:b w:val="1"/>
                <w:bCs w:val="1"/>
                <w:color w:val="auto"/>
              </w:rPr>
              <w:t>(in thousands)</w:t>
            </w:r>
          </w:p>
        </w:tc>
        <w:tc>
          <w:tcPr>
            <w:tcW w:w="24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Restructuring and other related charges</w:t>
            </w:r>
          </w:p>
        </w:tc>
        <w:tc>
          <w:tcPr>
            <w:tcW w:w="2480" w:type="dxa"/>
            <w:vAlign w:val="bottom"/>
            <w:gridSpan w:val="2"/>
            <w:shd w:val="clear" w:color="auto" w:fill="CCEEFF"/>
          </w:tcPr>
          <w:p>
            <w:pPr>
              <w:jc w:val="center"/>
              <w:ind w:left="1779"/>
              <w:spacing w:after="0"/>
              <w:rPr>
                <w:sz w:val="20"/>
                <w:szCs w:val="20"/>
                <w:color w:val="auto"/>
              </w:rPr>
            </w:pPr>
            <w:r>
              <w:rPr>
                <w:rFonts w:ascii="Arial" w:cs="Arial" w:eastAsia="Arial" w:hAnsi="Arial"/>
                <w:sz w:val="18"/>
                <w:szCs w:val="18"/>
                <w:color w:val="auto"/>
                <w:w w:val="88"/>
              </w:rPr>
              <w:t>$ 13,000</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735</w:t>
            </w:r>
          </w:p>
        </w:tc>
        <w:tc>
          <w:tcPr>
            <w:tcW w:w="10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8"/>
              </w:rPr>
              <w:t>$ 13,592</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5,823</w:t>
            </w:r>
          </w:p>
        </w:tc>
        <w:tc>
          <w:tcPr>
            <w:tcW w:w="100" w:type="dxa"/>
            <w:vAlign w:val="bottom"/>
            <w:shd w:val="clear" w:color="auto" w:fill="CCEEFF"/>
          </w:tcPr>
          <w:p>
            <w:pPr>
              <w:spacing w:after="0"/>
              <w:rPr>
                <w:sz w:val="18"/>
                <w:szCs w:val="18"/>
                <w:color w:val="auto"/>
              </w:rPr>
            </w:pPr>
          </w:p>
        </w:tc>
      </w:tr>
      <w:tr>
        <w:trPr>
          <w:trHeight w:val="223"/>
        </w:trPr>
        <w:tc>
          <w:tcPr>
            <w:tcW w:w="464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1860" w:type="dxa"/>
            <w:vAlign w:val="bottom"/>
          </w:tcPr>
          <w:p>
            <w:pPr>
              <w:spacing w:after="0"/>
              <w:rPr>
                <w:sz w:val="19"/>
                <w:szCs w:val="19"/>
                <w:color w:val="auto"/>
              </w:rPr>
            </w:pPr>
          </w:p>
        </w:tc>
        <w:tc>
          <w:tcPr>
            <w:tcW w:w="620" w:type="dxa"/>
            <w:vAlign w:val="bottom"/>
            <w:tcBorders>
              <w:bottom w:val="single" w:sz="8" w:color="auto"/>
            </w:tcBorders>
          </w:tcPr>
          <w:p>
            <w:pPr>
              <w:ind w:left="36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20" w:type="dxa"/>
            <w:vAlign w:val="bottom"/>
            <w:tcBorders>
              <w:bottom w:val="single" w:sz="8" w:color="auto"/>
            </w:tcBorders>
          </w:tcPr>
          <w:p>
            <w:pPr>
              <w:ind w:left="3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100" w:type="dxa"/>
            <w:vAlign w:val="bottom"/>
          </w:tcPr>
          <w:p>
            <w:pPr>
              <w:spacing w:after="0"/>
              <w:rPr>
                <w:sz w:val="19"/>
                <w:szCs w:val="19"/>
                <w:color w:val="auto"/>
              </w:rPr>
            </w:pPr>
          </w:p>
        </w:tc>
      </w:tr>
      <w:tr>
        <w:trPr>
          <w:trHeight w:val="216"/>
        </w:trPr>
        <w:tc>
          <w:tcPr>
            <w:tcW w:w="4640" w:type="dxa"/>
            <w:vAlign w:val="bottom"/>
            <w:shd w:val="clear" w:color="auto" w:fill="CCEEFF"/>
          </w:tcPr>
          <w:p>
            <w:pPr>
              <w:spacing w:after="0"/>
              <w:rPr>
                <w:sz w:val="18"/>
                <w:szCs w:val="18"/>
                <w:color w:val="auto"/>
              </w:rPr>
            </w:pPr>
          </w:p>
        </w:tc>
        <w:tc>
          <w:tcPr>
            <w:tcW w:w="2480" w:type="dxa"/>
            <w:vAlign w:val="bottom"/>
            <w:gridSpan w:val="2"/>
            <w:shd w:val="clear" w:color="auto" w:fill="CCEEFF"/>
          </w:tcPr>
          <w:p>
            <w:pPr>
              <w:jc w:val="center"/>
              <w:ind w:left="1779"/>
              <w:spacing w:after="0"/>
              <w:rPr>
                <w:sz w:val="20"/>
                <w:szCs w:val="20"/>
                <w:color w:val="auto"/>
              </w:rPr>
            </w:pPr>
            <w:r>
              <w:rPr>
                <w:rFonts w:ascii="Arial" w:cs="Arial" w:eastAsia="Arial" w:hAnsi="Arial"/>
                <w:sz w:val="18"/>
                <w:szCs w:val="18"/>
                <w:color w:val="auto"/>
                <w:w w:val="88"/>
              </w:rPr>
              <w:t>$ 13,000</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735</w:t>
            </w:r>
          </w:p>
        </w:tc>
        <w:tc>
          <w:tcPr>
            <w:tcW w:w="10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8"/>
              </w:rPr>
              <w:t>$ 13,592</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9,209</w:t>
            </w:r>
          </w:p>
        </w:tc>
        <w:tc>
          <w:tcPr>
            <w:tcW w:w="100" w:type="dxa"/>
            <w:vAlign w:val="bottom"/>
            <w:shd w:val="clear" w:color="auto" w:fill="CCEEFF"/>
          </w:tcPr>
          <w:p>
            <w:pPr>
              <w:spacing w:after="0"/>
              <w:rPr>
                <w:sz w:val="18"/>
                <w:szCs w:val="18"/>
                <w:color w:val="auto"/>
              </w:rPr>
            </w:pPr>
          </w:p>
        </w:tc>
      </w:tr>
      <w:tr>
        <w:trPr>
          <w:trHeight w:val="20"/>
        </w:trPr>
        <w:tc>
          <w:tcPr>
            <w:tcW w:w="464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recorded total restructuring charges of $13.0 million and $13.6 million in the three and six months ended August 1, 2015, respectively. The charges included severance costs associated with the Company’s decision to further reduce its research and development operations in Israel and close certain other design centers, primarily located in Europe and the U.S., in connection with its ongoing effort to streamline its business. See “Note 8 – Restructuring and Other Related Charges” in the Notes to Unaudited Condensed Consolidated Financial Statements set forth in Part I, Item 1 of this Quarterly Report on Form 10-Q for further discussion.</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2000" w:type="dxa"/>
            <w:vAlign w:val="bottom"/>
            <w:gridSpan w:val="3"/>
          </w:tcPr>
          <w:p>
            <w:pPr>
              <w:jc w:val="right"/>
              <w:ind w:right="452"/>
              <w:spacing w:after="0"/>
              <w:rPr>
                <w:sz w:val="20"/>
                <w:szCs w:val="20"/>
                <w:color w:val="auto"/>
              </w:rPr>
            </w:pPr>
            <w:r>
              <w:rPr>
                <w:rFonts w:ascii="Arial" w:cs="Arial" w:eastAsia="Arial" w:hAnsi="Arial"/>
                <w:sz w:val="14"/>
                <w:szCs w:val="14"/>
                <w:b w:val="1"/>
                <w:bCs w:val="1"/>
                <w:color w:val="auto"/>
              </w:rPr>
              <w:t>Three Months Ended</w:t>
            </w:r>
          </w:p>
        </w:tc>
        <w:tc>
          <w:tcPr>
            <w:tcW w:w="88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198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94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93"/>
              </w:rPr>
              <w:t>August 1,</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260" w:type="dxa"/>
            <w:vAlign w:val="bottom"/>
          </w:tcPr>
          <w:p>
            <w:pPr>
              <w:spacing w:after="0"/>
              <w:rPr>
                <w:sz w:val="11"/>
                <w:szCs w:val="11"/>
                <w:color w:val="auto"/>
              </w:rPr>
            </w:pPr>
          </w:p>
        </w:tc>
        <w:tc>
          <w:tcPr>
            <w:tcW w:w="88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90"/>
              </w:rPr>
              <w:t>August 1,</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26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280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2015</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880" w:type="dxa"/>
            <w:vAlign w:val="bottom"/>
          </w:tcPr>
          <w:p>
            <w:pPr>
              <w:ind w:left="120"/>
              <w:spacing w:after="0"/>
              <w:rPr>
                <w:sz w:val="20"/>
                <w:szCs w:val="20"/>
                <w:color w:val="auto"/>
              </w:rPr>
            </w:pPr>
            <w:r>
              <w:rPr>
                <w:rFonts w:ascii="Arial" w:cs="Arial" w:eastAsia="Arial" w:hAnsi="Arial"/>
                <w:sz w:val="14"/>
                <w:szCs w:val="14"/>
                <w:b w:val="1"/>
                <w:bCs w:val="1"/>
                <w:color w:val="auto"/>
              </w:rPr>
              <w:t>Change</w:t>
            </w:r>
          </w:p>
        </w:tc>
        <w:tc>
          <w:tcPr>
            <w:tcW w:w="104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2015</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4"/>
          </w:tcPr>
          <w:p>
            <w:pPr>
              <w:jc w:val="right"/>
              <w:ind w:right="112"/>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8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$285,641</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$294,352</w:t>
            </w: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ind w:left="280"/>
              <w:spacing w:after="0"/>
              <w:rPr>
                <w:sz w:val="20"/>
                <w:szCs w:val="20"/>
                <w:color w:val="auto"/>
              </w:rPr>
            </w:pPr>
            <w:r>
              <w:rPr>
                <w:rFonts w:ascii="Arial" w:cs="Arial" w:eastAsia="Arial" w:hAnsi="Arial"/>
                <w:sz w:val="18"/>
                <w:szCs w:val="18"/>
                <w:color w:val="auto"/>
              </w:rPr>
              <w:t>(3.0)%</w:t>
            </w:r>
          </w:p>
        </w:tc>
        <w:tc>
          <w:tcPr>
            <w:tcW w:w="10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$565,755</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$585,033</w:t>
            </w:r>
          </w:p>
        </w:tc>
        <w:tc>
          <w:tcPr>
            <w:tcW w:w="8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8"/>
              </w:rPr>
              <w:t>(3.3)%</w:t>
            </w:r>
          </w:p>
        </w:tc>
        <w:tc>
          <w:tcPr>
            <w:tcW w:w="0" w:type="dxa"/>
            <w:vAlign w:val="bottom"/>
          </w:tcPr>
          <w:p>
            <w:pPr>
              <w:spacing w:after="0"/>
              <w:rPr>
                <w:sz w:val="1"/>
                <w:szCs w:val="1"/>
                <w:color w:val="auto"/>
              </w:rPr>
            </w:pPr>
          </w:p>
        </w:tc>
      </w:tr>
      <w:tr>
        <w:trPr>
          <w:trHeight w:val="222"/>
        </w:trPr>
        <w:tc>
          <w:tcPr>
            <w:tcW w:w="3760" w:type="dxa"/>
            <w:vAlign w:val="bottom"/>
          </w:tcPr>
          <w:p>
            <w:pPr>
              <w:spacing w:after="0"/>
              <w:rPr>
                <w:sz w:val="20"/>
                <w:szCs w:val="20"/>
                <w:color w:val="auto"/>
              </w:rPr>
            </w:pPr>
            <w:r>
              <w:rPr>
                <w:rFonts w:ascii="Arial" w:cs="Arial" w:eastAsia="Arial" w:hAnsi="Arial"/>
                <w:sz w:val="18"/>
                <w:szCs w:val="18"/>
                <w:color w:val="auto"/>
              </w:rPr>
              <w:t>% of net revenue</w:t>
            </w:r>
          </w:p>
        </w:tc>
        <w:tc>
          <w:tcPr>
            <w:tcW w:w="2800" w:type="dxa"/>
            <w:vAlign w:val="bottom"/>
            <w:gridSpan w:val="2"/>
          </w:tcPr>
          <w:p>
            <w:pPr>
              <w:jc w:val="right"/>
              <w:ind w:right="52"/>
              <w:spacing w:after="0"/>
              <w:rPr>
                <w:sz w:val="20"/>
                <w:szCs w:val="20"/>
                <w:color w:val="auto"/>
              </w:rPr>
            </w:pPr>
            <w:r>
              <w:rPr>
                <w:rFonts w:ascii="Arial" w:cs="Arial" w:eastAsia="Arial" w:hAnsi="Arial"/>
                <w:sz w:val="18"/>
                <w:szCs w:val="18"/>
                <w:color w:val="auto"/>
              </w:rPr>
              <w:t>40.2%</w:t>
            </w: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30.7%</w:t>
            </w:r>
          </w:p>
        </w:tc>
        <w:tc>
          <w:tcPr>
            <w:tcW w:w="880" w:type="dxa"/>
            <w:vAlign w:val="bottom"/>
          </w:tcPr>
          <w:p>
            <w:pPr>
              <w:spacing w:after="0"/>
              <w:rPr>
                <w:sz w:val="19"/>
                <w:szCs w:val="19"/>
                <w:color w:val="auto"/>
              </w:rPr>
            </w:pPr>
          </w:p>
        </w:tc>
        <w:tc>
          <w:tcPr>
            <w:tcW w:w="1040" w:type="dxa"/>
            <w:vAlign w:val="bottom"/>
            <w:gridSpan w:val="2"/>
          </w:tcPr>
          <w:p>
            <w:pPr>
              <w:jc w:val="right"/>
              <w:ind w:right="32"/>
              <w:spacing w:after="0"/>
              <w:rPr>
                <w:sz w:val="20"/>
                <w:szCs w:val="20"/>
                <w:color w:val="auto"/>
              </w:rPr>
            </w:pPr>
            <w:r>
              <w:rPr>
                <w:rFonts w:ascii="Arial" w:cs="Arial" w:eastAsia="Arial" w:hAnsi="Arial"/>
                <w:sz w:val="18"/>
                <w:szCs w:val="18"/>
                <w:color w:val="auto"/>
              </w:rPr>
              <w:t>39.4%</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30.5%</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Research and development expense decreased by $8.7 million for the three months ended August 1, 2015 compared to the three months ended August 2,</w:t>
      </w:r>
    </w:p>
    <w:p>
      <w:pPr>
        <w:spacing w:after="0" w:line="38" w:lineRule="exact"/>
        <w:rPr>
          <w:sz w:val="20"/>
          <w:szCs w:val="20"/>
          <w:color w:val="auto"/>
        </w:rPr>
      </w:pPr>
    </w:p>
    <w:p>
      <w:pPr>
        <w:jc w:val="both"/>
        <w:ind w:right="460"/>
        <w:spacing w:after="0" w:line="302" w:lineRule="auto"/>
        <w:rPr>
          <w:sz w:val="20"/>
          <w:szCs w:val="20"/>
          <w:color w:val="auto"/>
        </w:rPr>
      </w:pPr>
      <w:r>
        <w:rPr>
          <w:rFonts w:ascii="Arial" w:cs="Arial" w:eastAsia="Arial" w:hAnsi="Arial"/>
          <w:sz w:val="16"/>
          <w:szCs w:val="16"/>
          <w:color w:val="auto"/>
        </w:rPr>
        <w:t>2014. The decrease in the three months ended August 1, 2015 was attributable to $10.1 million of lower personnel-related costs, primarily due to headcount reduction that occurred in Israel during fiscal 2015 to streamline operations, combined with a reduction in depreciation expense of $1.9 million and outside services costs of $1.1 million. These decreases were partially offset by a charge of $5.0 million for the resolution of a litigation matter.</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Research and development expense decreased by $19.3 million for the six months ended August 1, 2015 compared to the six months ended August 2, 2014. The decrease was attributable to approximately $20.4 million of lower personnel-related costs due to the fiscal 2015 headcount reduction in Israel to streamline operations combined with reduction in depreciation expense of $2.5 million and outside services costs of $1.8 million. These decreases were partially offset by the resolution of a litigation matter as described above.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6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80" w:type="dxa"/>
            <w:vAlign w:val="bottom"/>
          </w:tcPr>
          <w:p>
            <w:pPr>
              <w:spacing w:after="0"/>
              <w:rPr>
                <w:sz w:val="14"/>
                <w:szCs w:val="14"/>
                <w:color w:val="auto"/>
              </w:rPr>
            </w:pPr>
          </w:p>
        </w:tc>
        <w:tc>
          <w:tcPr>
            <w:tcW w:w="180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vMerge w:val="restart"/>
          </w:tcPr>
          <w:p>
            <w:pPr>
              <w:jc w:val="right"/>
              <w:ind w:right="487"/>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1920" w:type="dxa"/>
            <w:vAlign w:val="bottom"/>
            <w:gridSpan w:val="3"/>
          </w:tcPr>
          <w:p>
            <w:pPr>
              <w:jc w:val="right"/>
              <w:ind w:right="580"/>
              <w:spacing w:after="0"/>
              <w:rPr>
                <w:sz w:val="20"/>
                <w:szCs w:val="20"/>
                <w:color w:val="auto"/>
              </w:rPr>
            </w:pPr>
            <w:r>
              <w:rPr>
                <w:rFonts w:ascii="Arial" w:cs="Arial" w:eastAsia="Arial" w:hAnsi="Arial"/>
                <w:sz w:val="14"/>
                <w:szCs w:val="14"/>
                <w:b w:val="1"/>
                <w:bCs w:val="1"/>
                <w:color w:val="auto"/>
              </w:rPr>
              <w:t>Six Months Ended</w:t>
            </w:r>
          </w:p>
        </w:tc>
        <w:tc>
          <w:tcPr>
            <w:tcW w:w="660" w:type="dxa"/>
            <w:vAlign w:val="bottom"/>
            <w:vMerge w:val="restart"/>
          </w:tcPr>
          <w:p>
            <w:pPr>
              <w:jc w:val="right"/>
              <w:ind w:right="14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580" w:type="dxa"/>
            <w:vAlign w:val="bottom"/>
          </w:tcPr>
          <w:p>
            <w:pPr>
              <w:spacing w:after="0"/>
              <w:rPr>
                <w:sz w:val="11"/>
                <w:szCs w:val="11"/>
                <w:color w:val="auto"/>
              </w:rPr>
            </w:pPr>
          </w:p>
        </w:tc>
        <w:tc>
          <w:tcPr>
            <w:tcW w:w="8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7"/>
              </w:rPr>
              <w:t>August 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18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7"/>
              </w:rPr>
              <w:t>August 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300" w:type="dxa"/>
            <w:vAlign w:val="bottom"/>
          </w:tcPr>
          <w:p>
            <w:pPr>
              <w:spacing w:after="0"/>
              <w:rPr>
                <w:sz w:val="11"/>
                <w:szCs w:val="11"/>
                <w:color w:val="auto"/>
              </w:rPr>
            </w:pPr>
          </w:p>
        </w:tc>
        <w:tc>
          <w:tcPr>
            <w:tcW w:w="6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80" w:type="dxa"/>
            <w:vAlign w:val="bottom"/>
          </w:tcPr>
          <w:p>
            <w:pPr>
              <w:spacing w:after="0"/>
              <w:rPr>
                <w:sz w:val="14"/>
                <w:szCs w:val="14"/>
                <w:color w:val="auto"/>
              </w:rPr>
            </w:pPr>
          </w:p>
        </w:tc>
        <w:tc>
          <w:tcPr>
            <w:tcW w:w="880" w:type="dxa"/>
            <w:vAlign w:val="bottom"/>
          </w:tcPr>
          <w:p>
            <w:pPr>
              <w:jc w:val="right"/>
              <w:ind w:right="364"/>
              <w:spacing w:after="0"/>
              <w:rPr>
                <w:sz w:val="20"/>
                <w:szCs w:val="20"/>
                <w:color w:val="auto"/>
              </w:rPr>
            </w:pPr>
            <w:r>
              <w:rPr>
                <w:rFonts w:ascii="Arial" w:cs="Arial" w:eastAsia="Arial" w:hAnsi="Arial"/>
                <w:sz w:val="14"/>
                <w:szCs w:val="14"/>
                <w:b w:val="1"/>
                <w:bCs w:val="1"/>
                <w:color w:val="auto"/>
              </w:rPr>
              <w:t>2015</w:t>
            </w:r>
          </w:p>
        </w:tc>
        <w:tc>
          <w:tcPr>
            <w:tcW w:w="740" w:type="dxa"/>
            <w:vAlign w:val="bottom"/>
          </w:tcPr>
          <w:p>
            <w:pPr>
              <w:jc w:val="right"/>
              <w:ind w:right="102"/>
              <w:spacing w:after="0"/>
              <w:rPr>
                <w:sz w:val="20"/>
                <w:szCs w:val="20"/>
                <w:color w:val="auto"/>
              </w:rPr>
            </w:pPr>
            <w:r>
              <w:rPr>
                <w:rFonts w:ascii="Arial" w:cs="Arial" w:eastAsia="Arial" w:hAnsi="Arial"/>
                <w:sz w:val="14"/>
                <w:szCs w:val="14"/>
                <w:b w:val="1"/>
                <w:bCs w:val="1"/>
                <w:color w:val="auto"/>
              </w:rPr>
              <w:t>2014</w:t>
            </w:r>
          </w:p>
        </w:tc>
        <w:tc>
          <w:tcPr>
            <w:tcW w:w="180" w:type="dxa"/>
            <w:vAlign w:val="bottom"/>
          </w:tcPr>
          <w:p>
            <w:pPr>
              <w:spacing w:after="0"/>
              <w:rPr>
                <w:sz w:val="14"/>
                <w:szCs w:val="14"/>
                <w:color w:val="auto"/>
              </w:rPr>
            </w:pPr>
          </w:p>
        </w:tc>
        <w:tc>
          <w:tcPr>
            <w:tcW w:w="1100" w:type="dxa"/>
            <w:vAlign w:val="bottom"/>
          </w:tcPr>
          <w:p>
            <w:pPr>
              <w:jc w:val="center"/>
              <w:ind w:right="67"/>
              <w:spacing w:after="0"/>
              <w:rPr>
                <w:sz w:val="20"/>
                <w:szCs w:val="20"/>
                <w:color w:val="auto"/>
              </w:rPr>
            </w:pPr>
            <w:r>
              <w:rPr>
                <w:rFonts w:ascii="Arial" w:cs="Arial" w:eastAsia="Arial" w:hAnsi="Arial"/>
                <w:sz w:val="14"/>
                <w:szCs w:val="14"/>
                <w:b w:val="1"/>
                <w:bCs w:val="1"/>
                <w:color w:val="auto"/>
                <w:w w:val="85"/>
              </w:rPr>
              <w:t>Change</w:t>
            </w:r>
          </w:p>
        </w:tc>
        <w:tc>
          <w:tcPr>
            <w:tcW w:w="980" w:type="dxa"/>
            <w:vAlign w:val="bottom"/>
            <w:gridSpan w:val="2"/>
          </w:tcPr>
          <w:p>
            <w:pPr>
              <w:jc w:val="right"/>
              <w:ind w:right="372"/>
              <w:spacing w:after="0"/>
              <w:rPr>
                <w:sz w:val="20"/>
                <w:szCs w:val="20"/>
                <w:color w:val="auto"/>
              </w:rPr>
            </w:pPr>
            <w:r>
              <w:rPr>
                <w:rFonts w:ascii="Arial" w:cs="Arial" w:eastAsia="Arial" w:hAnsi="Arial"/>
                <w:sz w:val="14"/>
                <w:szCs w:val="14"/>
                <w:b w:val="1"/>
                <w:bCs w:val="1"/>
                <w:color w:val="auto"/>
              </w:rPr>
              <w:t>2015</w:t>
            </w:r>
          </w:p>
        </w:tc>
        <w:tc>
          <w:tcPr>
            <w:tcW w:w="740" w:type="dxa"/>
            <w:vAlign w:val="bottom"/>
          </w:tcPr>
          <w:p>
            <w:pPr>
              <w:jc w:val="right"/>
              <w:ind w:right="102"/>
              <w:spacing w:after="0"/>
              <w:rPr>
                <w:sz w:val="20"/>
                <w:szCs w:val="20"/>
                <w:color w:val="auto"/>
              </w:rPr>
            </w:pPr>
            <w:r>
              <w:rPr>
                <w:rFonts w:ascii="Arial" w:cs="Arial" w:eastAsia="Arial" w:hAnsi="Arial"/>
                <w:sz w:val="14"/>
                <w:szCs w:val="14"/>
                <w:b w:val="1"/>
                <w:bCs w:val="1"/>
                <w:color w:val="auto"/>
              </w:rPr>
              <w:t>2014</w:t>
            </w:r>
          </w:p>
        </w:tc>
        <w:tc>
          <w:tcPr>
            <w:tcW w:w="300" w:type="dxa"/>
            <w:vAlign w:val="bottom"/>
          </w:tcPr>
          <w:p>
            <w:pPr>
              <w:spacing w:after="0"/>
              <w:rPr>
                <w:sz w:val="14"/>
                <w:szCs w:val="14"/>
                <w:color w:val="auto"/>
              </w:rPr>
            </w:pPr>
          </w:p>
        </w:tc>
        <w:tc>
          <w:tcPr>
            <w:tcW w:w="9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58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080" w:type="dxa"/>
            <w:vAlign w:val="bottom"/>
            <w:tcBorders>
              <w:top w:val="single" w:sz="8" w:color="auto"/>
            </w:tcBorders>
            <w:gridSpan w:val="3"/>
          </w:tcPr>
          <w:p>
            <w:pPr>
              <w:jc w:val="right"/>
              <w:ind w:right="7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7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88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5"/>
              </w:rPr>
              <w:t>$ 30,841</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$ 33,997</w:t>
            </w: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jc w:val="right"/>
              <w:ind w:right="47"/>
              <w:spacing w:after="0"/>
              <w:rPr>
                <w:sz w:val="20"/>
                <w:szCs w:val="20"/>
                <w:color w:val="auto"/>
              </w:rPr>
            </w:pPr>
            <w:r>
              <w:rPr>
                <w:rFonts w:ascii="Arial" w:cs="Arial" w:eastAsia="Arial" w:hAnsi="Arial"/>
                <w:sz w:val="18"/>
                <w:szCs w:val="18"/>
                <w:color w:val="auto"/>
              </w:rPr>
              <w:t>(9.3)%</w:t>
            </w:r>
          </w:p>
        </w:tc>
        <w:tc>
          <w:tcPr>
            <w:tcW w:w="98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w w:val="99"/>
              </w:rPr>
              <w:t>$ 67,015</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$ 72,307</w:t>
            </w:r>
          </w:p>
        </w:tc>
        <w:tc>
          <w:tcPr>
            <w:tcW w:w="3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22"/>
        </w:trPr>
        <w:tc>
          <w:tcPr>
            <w:tcW w:w="558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ind w:right="44"/>
              <w:spacing w:after="0"/>
              <w:rPr>
                <w:sz w:val="20"/>
                <w:szCs w:val="20"/>
                <w:color w:val="auto"/>
              </w:rPr>
            </w:pPr>
            <w:r>
              <w:rPr>
                <w:rFonts w:ascii="Arial" w:cs="Arial" w:eastAsia="Arial" w:hAnsi="Arial"/>
                <w:sz w:val="18"/>
                <w:szCs w:val="18"/>
                <w:color w:val="auto"/>
              </w:rPr>
              <w:t>4.3%</w:t>
            </w: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3.5%</w:t>
            </w:r>
          </w:p>
        </w:tc>
        <w:tc>
          <w:tcPr>
            <w:tcW w:w="1100" w:type="dxa"/>
            <w:vAlign w:val="bottom"/>
          </w:tcPr>
          <w:p>
            <w:pPr>
              <w:spacing w:after="0"/>
              <w:rPr>
                <w:sz w:val="19"/>
                <w:szCs w:val="19"/>
                <w:color w:val="auto"/>
              </w:rPr>
            </w:pPr>
          </w:p>
        </w:tc>
        <w:tc>
          <w:tcPr>
            <w:tcW w:w="980" w:type="dxa"/>
            <w:vAlign w:val="bottom"/>
            <w:gridSpan w:val="2"/>
          </w:tcPr>
          <w:p>
            <w:pPr>
              <w:jc w:val="right"/>
              <w:ind w:right="32"/>
              <w:spacing w:after="0"/>
              <w:rPr>
                <w:sz w:val="20"/>
                <w:szCs w:val="20"/>
                <w:color w:val="auto"/>
              </w:rPr>
            </w:pPr>
            <w:r>
              <w:rPr>
                <w:rFonts w:ascii="Arial" w:cs="Arial" w:eastAsia="Arial" w:hAnsi="Arial"/>
                <w:sz w:val="18"/>
                <w:szCs w:val="18"/>
                <w:color w:val="auto"/>
              </w:rPr>
              <w:t>4.7%</w:t>
            </w:r>
          </w:p>
        </w:tc>
        <w:tc>
          <w:tcPr>
            <w:tcW w:w="1040" w:type="dxa"/>
            <w:vAlign w:val="bottom"/>
            <w:gridSpan w:val="2"/>
          </w:tcPr>
          <w:p>
            <w:pPr>
              <w:jc w:val="right"/>
              <w:ind w:right="140"/>
              <w:spacing w:after="0"/>
              <w:rPr>
                <w:sz w:val="20"/>
                <w:szCs w:val="20"/>
                <w:color w:val="auto"/>
              </w:rPr>
            </w:pPr>
            <w:r>
              <w:rPr>
                <w:rFonts w:ascii="Arial" w:cs="Arial" w:eastAsia="Arial" w:hAnsi="Arial"/>
                <w:sz w:val="18"/>
                <w:szCs w:val="18"/>
                <w:color w:val="auto"/>
              </w:rPr>
              <w:t>3.8%</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Selling and marketing expense decreased by $3.2 million and $5.3 million for the three and six months ended August 1, 2015, respectively, compared to the three and six months ended August 2, 2014. The decreases were attributable to approximately $1.3 million and $5.2 million of lower personnel-related costs due to lower headcount for the three and six months ended August 1, 2015, respectively. The decrease in the three months ended August 1, 2015 also reflects decreases of $0.9 million from lower sales commissions due to lower commissionable sales and $0.5 million from lower costs for certain marketing advertisement activities.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6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780" w:type="dxa"/>
            <w:vAlign w:val="bottom"/>
            <w:gridSpan w:val="3"/>
          </w:tcPr>
          <w:p>
            <w:pPr>
              <w:jc w:val="right"/>
              <w:ind w:right="360"/>
              <w:spacing w:after="0"/>
              <w:rPr>
                <w:sz w:val="20"/>
                <w:szCs w:val="20"/>
                <w:color w:val="auto"/>
              </w:rPr>
            </w:pPr>
            <w:r>
              <w:rPr>
                <w:rFonts w:ascii="Arial" w:cs="Arial" w:eastAsia="Arial" w:hAnsi="Arial"/>
                <w:sz w:val="14"/>
                <w:szCs w:val="14"/>
                <w:b w:val="1"/>
                <w:bCs w:val="1"/>
                <w:color w:val="auto"/>
              </w:rPr>
              <w:t>Three Months Ended</w:t>
            </w:r>
          </w:p>
        </w:tc>
        <w:tc>
          <w:tcPr>
            <w:tcW w:w="1060" w:type="dxa"/>
            <w:vAlign w:val="bottom"/>
            <w:vMerge w:val="restart"/>
          </w:tcPr>
          <w:p>
            <w:pPr>
              <w:jc w:val="right"/>
              <w:ind w:right="407"/>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1920" w:type="dxa"/>
            <w:vAlign w:val="bottom"/>
            <w:gridSpan w:val="3"/>
          </w:tcPr>
          <w:p>
            <w:pPr>
              <w:jc w:val="right"/>
              <w:ind w:right="580"/>
              <w:spacing w:after="0"/>
              <w:rPr>
                <w:sz w:val="20"/>
                <w:szCs w:val="20"/>
                <w:color w:val="auto"/>
              </w:rPr>
            </w:pPr>
            <w:r>
              <w:rPr>
                <w:rFonts w:ascii="Arial" w:cs="Arial" w:eastAsia="Arial" w:hAnsi="Arial"/>
                <w:sz w:val="14"/>
                <w:szCs w:val="14"/>
                <w:b w:val="1"/>
                <w:bCs w:val="1"/>
                <w:color w:val="auto"/>
              </w:rPr>
              <w:t>Six Months Ended</w:t>
            </w:r>
          </w:p>
        </w:tc>
        <w:tc>
          <w:tcPr>
            <w:tcW w:w="660" w:type="dxa"/>
            <w:vAlign w:val="bottom"/>
            <w:vMerge w:val="restart"/>
          </w:tcPr>
          <w:p>
            <w:pPr>
              <w:jc w:val="right"/>
              <w:ind w:right="14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8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7"/>
              </w:rPr>
              <w:t>August 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160" w:type="dxa"/>
            <w:vAlign w:val="bottom"/>
          </w:tcPr>
          <w:p>
            <w:pPr>
              <w:spacing w:after="0"/>
              <w:rPr>
                <w:sz w:val="11"/>
                <w:szCs w:val="11"/>
                <w:color w:val="auto"/>
              </w:rPr>
            </w:pPr>
          </w:p>
        </w:tc>
        <w:tc>
          <w:tcPr>
            <w:tcW w:w="106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7"/>
              </w:rPr>
              <w:t>August 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300" w:type="dxa"/>
            <w:vAlign w:val="bottom"/>
          </w:tcPr>
          <w:p>
            <w:pPr>
              <w:spacing w:after="0"/>
              <w:rPr>
                <w:sz w:val="11"/>
                <w:szCs w:val="11"/>
                <w:color w:val="auto"/>
              </w:rPr>
            </w:pPr>
          </w:p>
        </w:tc>
        <w:tc>
          <w:tcPr>
            <w:tcW w:w="66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2760" w:type="dxa"/>
            <w:vAlign w:val="bottom"/>
            <w:gridSpan w:val="2"/>
          </w:tcPr>
          <w:p>
            <w:pPr>
              <w:jc w:val="right"/>
              <w:ind w:right="372"/>
              <w:spacing w:after="0"/>
              <w:rPr>
                <w:sz w:val="20"/>
                <w:szCs w:val="20"/>
                <w:color w:val="auto"/>
              </w:rPr>
            </w:pPr>
            <w:r>
              <w:rPr>
                <w:rFonts w:ascii="Arial" w:cs="Arial" w:eastAsia="Arial" w:hAnsi="Arial"/>
                <w:sz w:val="14"/>
                <w:szCs w:val="14"/>
                <w:b w:val="1"/>
                <w:bCs w:val="1"/>
                <w:color w:val="auto"/>
              </w:rPr>
              <w:t>2015</w:t>
            </w:r>
          </w:p>
        </w:tc>
        <w:tc>
          <w:tcPr>
            <w:tcW w:w="740" w:type="dxa"/>
            <w:vAlign w:val="bottom"/>
          </w:tcPr>
          <w:p>
            <w:pPr>
              <w:jc w:val="right"/>
              <w:ind w:right="102"/>
              <w:spacing w:after="0"/>
              <w:rPr>
                <w:sz w:val="20"/>
                <w:szCs w:val="20"/>
                <w:color w:val="auto"/>
              </w:rPr>
            </w:pPr>
            <w:r>
              <w:rPr>
                <w:rFonts w:ascii="Arial" w:cs="Arial" w:eastAsia="Arial" w:hAnsi="Arial"/>
                <w:sz w:val="14"/>
                <w:szCs w:val="14"/>
                <w:b w:val="1"/>
                <w:bCs w:val="1"/>
                <w:color w:val="auto"/>
              </w:rPr>
              <w:t>2014</w:t>
            </w:r>
          </w:p>
        </w:tc>
        <w:tc>
          <w:tcPr>
            <w:tcW w:w="160" w:type="dxa"/>
            <w:vAlign w:val="bottom"/>
          </w:tcPr>
          <w:p>
            <w:pPr>
              <w:spacing w:after="0"/>
              <w:rPr>
                <w:sz w:val="14"/>
                <w:szCs w:val="14"/>
                <w:color w:val="auto"/>
              </w:rPr>
            </w:pPr>
          </w:p>
        </w:tc>
        <w:tc>
          <w:tcPr>
            <w:tcW w:w="1060" w:type="dxa"/>
            <w:vAlign w:val="bottom"/>
          </w:tcPr>
          <w:p>
            <w:pPr>
              <w:jc w:val="center"/>
              <w:spacing w:after="0"/>
              <w:rPr>
                <w:sz w:val="20"/>
                <w:szCs w:val="20"/>
                <w:color w:val="auto"/>
              </w:rPr>
            </w:pPr>
            <w:r>
              <w:rPr>
                <w:rFonts w:ascii="Arial" w:cs="Arial" w:eastAsia="Arial" w:hAnsi="Arial"/>
                <w:sz w:val="14"/>
                <w:szCs w:val="14"/>
                <w:b w:val="1"/>
                <w:bCs w:val="1"/>
                <w:color w:val="auto"/>
                <w:w w:val="89"/>
              </w:rPr>
              <w:t>Change</w:t>
            </w:r>
          </w:p>
        </w:tc>
        <w:tc>
          <w:tcPr>
            <w:tcW w:w="1000" w:type="dxa"/>
            <w:vAlign w:val="bottom"/>
            <w:gridSpan w:val="2"/>
          </w:tcPr>
          <w:p>
            <w:pPr>
              <w:jc w:val="right"/>
              <w:ind w:right="372"/>
              <w:spacing w:after="0"/>
              <w:rPr>
                <w:sz w:val="20"/>
                <w:szCs w:val="20"/>
                <w:color w:val="auto"/>
              </w:rPr>
            </w:pPr>
            <w:r>
              <w:rPr>
                <w:rFonts w:ascii="Arial" w:cs="Arial" w:eastAsia="Arial" w:hAnsi="Arial"/>
                <w:sz w:val="14"/>
                <w:szCs w:val="14"/>
                <w:b w:val="1"/>
                <w:bCs w:val="1"/>
                <w:color w:val="auto"/>
              </w:rPr>
              <w:t>2015</w:t>
            </w:r>
          </w:p>
        </w:tc>
        <w:tc>
          <w:tcPr>
            <w:tcW w:w="740" w:type="dxa"/>
            <w:vAlign w:val="bottom"/>
          </w:tcPr>
          <w:p>
            <w:pPr>
              <w:jc w:val="right"/>
              <w:ind w:right="102"/>
              <w:spacing w:after="0"/>
              <w:rPr>
                <w:sz w:val="20"/>
                <w:szCs w:val="20"/>
                <w:color w:val="auto"/>
              </w:rPr>
            </w:pPr>
            <w:r>
              <w:rPr>
                <w:rFonts w:ascii="Arial" w:cs="Arial" w:eastAsia="Arial" w:hAnsi="Arial"/>
                <w:sz w:val="14"/>
                <w:szCs w:val="14"/>
                <w:b w:val="1"/>
                <w:bCs w:val="1"/>
                <w:color w:val="auto"/>
              </w:rPr>
              <w:t>2014</w:t>
            </w:r>
          </w:p>
        </w:tc>
        <w:tc>
          <w:tcPr>
            <w:tcW w:w="300" w:type="dxa"/>
            <w:vAlign w:val="bottom"/>
          </w:tcPr>
          <w:p>
            <w:pPr>
              <w:spacing w:after="0"/>
              <w:rPr>
                <w:sz w:val="14"/>
                <w:szCs w:val="14"/>
                <w:color w:val="auto"/>
              </w:rPr>
            </w:pPr>
          </w:p>
        </w:tc>
        <w:tc>
          <w:tcPr>
            <w:tcW w:w="8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060" w:type="dxa"/>
            <w:vAlign w:val="bottom"/>
            <w:tcBorders>
              <w:top w:val="single" w:sz="8" w:color="auto"/>
            </w:tcBorders>
            <w:gridSpan w:val="3"/>
          </w:tcPr>
          <w:p>
            <w:pPr>
              <w:jc w:val="right"/>
              <w:ind w:right="5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7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7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$ 35,243</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$ 30,962</w:t>
            </w:r>
          </w:p>
        </w:tc>
        <w:tc>
          <w:tcPr>
            <w:tcW w:w="160" w:type="dxa"/>
            <w:vAlign w:val="bottom"/>
            <w:shd w:val="clear" w:color="auto" w:fill="CCEEFF"/>
          </w:tcPr>
          <w:p>
            <w:pPr>
              <w:spacing w:after="0"/>
              <w:rPr>
                <w:sz w:val="18"/>
                <w:szCs w:val="18"/>
                <w:color w:val="auto"/>
              </w:rPr>
            </w:pPr>
          </w:p>
        </w:tc>
        <w:tc>
          <w:tcPr>
            <w:tcW w:w="1060" w:type="dxa"/>
            <w:vAlign w:val="bottom"/>
            <w:shd w:val="clear" w:color="auto" w:fill="CCEEFF"/>
          </w:tcPr>
          <w:p>
            <w:pPr>
              <w:jc w:val="right"/>
              <w:ind w:right="47"/>
              <w:spacing w:after="0"/>
              <w:rPr>
                <w:sz w:val="20"/>
                <w:szCs w:val="20"/>
                <w:color w:val="auto"/>
              </w:rPr>
            </w:pPr>
            <w:r>
              <w:rPr>
                <w:rFonts w:ascii="Arial" w:cs="Arial" w:eastAsia="Arial" w:hAnsi="Arial"/>
                <w:sz w:val="18"/>
                <w:szCs w:val="18"/>
                <w:color w:val="auto"/>
              </w:rPr>
              <w:t>13.8%</w:t>
            </w:r>
          </w:p>
        </w:tc>
        <w:tc>
          <w:tcPr>
            <w:tcW w:w="10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$ 75,678</w:t>
            </w: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$ 61,177</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23.7%</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2760" w:type="dxa"/>
            <w:vAlign w:val="bottom"/>
            <w:gridSpan w:val="2"/>
          </w:tcPr>
          <w:p>
            <w:pPr>
              <w:jc w:val="right"/>
              <w:ind w:right="52"/>
              <w:spacing w:after="0"/>
              <w:rPr>
                <w:sz w:val="20"/>
                <w:szCs w:val="20"/>
                <w:color w:val="auto"/>
              </w:rPr>
            </w:pPr>
            <w:r>
              <w:rPr>
                <w:rFonts w:ascii="Arial" w:cs="Arial" w:eastAsia="Arial" w:hAnsi="Arial"/>
                <w:sz w:val="18"/>
                <w:szCs w:val="18"/>
                <w:color w:val="auto"/>
              </w:rPr>
              <w:t>5.0%</w:t>
            </w:r>
          </w:p>
        </w:tc>
        <w:tc>
          <w:tcPr>
            <w:tcW w:w="900" w:type="dxa"/>
            <w:vAlign w:val="bottom"/>
            <w:gridSpan w:val="2"/>
          </w:tcPr>
          <w:p>
            <w:pPr>
              <w:jc w:val="right"/>
              <w:ind w:right="20"/>
              <w:spacing w:after="0"/>
              <w:rPr>
                <w:sz w:val="20"/>
                <w:szCs w:val="20"/>
                <w:color w:val="auto"/>
              </w:rPr>
            </w:pPr>
            <w:r>
              <w:rPr>
                <w:rFonts w:ascii="Arial" w:cs="Arial" w:eastAsia="Arial" w:hAnsi="Arial"/>
                <w:sz w:val="18"/>
                <w:szCs w:val="18"/>
                <w:color w:val="auto"/>
              </w:rPr>
              <w:t>3.2%</w:t>
            </w:r>
          </w:p>
        </w:tc>
        <w:tc>
          <w:tcPr>
            <w:tcW w:w="1060" w:type="dxa"/>
            <w:vAlign w:val="bottom"/>
          </w:tcPr>
          <w:p>
            <w:pPr>
              <w:spacing w:after="0"/>
              <w:rPr>
                <w:sz w:val="19"/>
                <w:szCs w:val="19"/>
                <w:color w:val="auto"/>
              </w:rPr>
            </w:pPr>
          </w:p>
        </w:tc>
        <w:tc>
          <w:tcPr>
            <w:tcW w:w="1000" w:type="dxa"/>
            <w:vAlign w:val="bottom"/>
            <w:gridSpan w:val="2"/>
          </w:tcPr>
          <w:p>
            <w:pPr>
              <w:jc w:val="right"/>
              <w:ind w:right="52"/>
              <w:spacing w:after="0"/>
              <w:rPr>
                <w:sz w:val="20"/>
                <w:szCs w:val="20"/>
                <w:color w:val="auto"/>
              </w:rPr>
            </w:pPr>
            <w:r>
              <w:rPr>
                <w:rFonts w:ascii="Arial" w:cs="Arial" w:eastAsia="Arial" w:hAnsi="Arial"/>
                <w:sz w:val="18"/>
                <w:szCs w:val="18"/>
                <w:color w:val="auto"/>
              </w:rPr>
              <w:t>5.3%</w:t>
            </w: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3.2%</w:t>
            </w:r>
          </w:p>
        </w:tc>
        <w:tc>
          <w:tcPr>
            <w:tcW w:w="6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General and administrative expense increased by $4.3 million and $14.5 million for the three and six months ended August 1, 2015, respectively, compared to the three and six months ended August 2, 2014. The increases for the three months ended August 1, 2015 includes charges of $ 7.1 million related to resolution of various litigation matters other than the settlement reached with CMU in February 2016, which is reported separately in operating expenses. General and administrative expense for the six months ended August 1, 2015 also includes the effect of a $15.4 million cash payment due to our former Chief Executive Officer (see “Note 13 – Related Party Transactions” in the Notes to the Unaudited Condensed Consolidated Financial Statements set forth in Part I, Item 1 of this Quarterly Report on Form 10-Q). The increases were partially offset by $3.8 million and $5.6 million of lower personnel-related costs due to lower headcount in the three and six months ended August 1, 2015, respectively.</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Carnegie Mellon University Litigation Settlement</w:t>
      </w:r>
    </w:p>
    <w:p>
      <w:pPr>
        <w:spacing w:after="0" w:line="26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80" w:type="dxa"/>
            <w:vAlign w:val="bottom"/>
          </w:tcPr>
          <w:p>
            <w:pPr>
              <w:spacing w:after="0"/>
              <w:rPr>
                <w:sz w:val="14"/>
                <w:szCs w:val="14"/>
                <w:color w:val="auto"/>
              </w:rPr>
            </w:pPr>
          </w:p>
        </w:tc>
        <w:tc>
          <w:tcPr>
            <w:tcW w:w="1840" w:type="dxa"/>
            <w:vAlign w:val="bottom"/>
            <w:gridSpan w:val="4"/>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vMerge w:val="restart"/>
          </w:tcPr>
          <w:p>
            <w:pPr>
              <w:jc w:val="right"/>
              <w:ind w:right="407"/>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1980" w:type="dxa"/>
            <w:vAlign w:val="bottom"/>
            <w:gridSpan w:val="4"/>
          </w:tcPr>
          <w:p>
            <w:pPr>
              <w:ind w:left="300"/>
              <w:spacing w:after="0"/>
              <w:rPr>
                <w:sz w:val="20"/>
                <w:szCs w:val="20"/>
                <w:color w:val="auto"/>
              </w:rPr>
            </w:pPr>
            <w:r>
              <w:rPr>
                <w:rFonts w:ascii="Arial" w:cs="Arial" w:eastAsia="Arial" w:hAnsi="Arial"/>
                <w:sz w:val="14"/>
                <w:szCs w:val="14"/>
                <w:b w:val="1"/>
                <w:bCs w:val="1"/>
                <w:color w:val="auto"/>
              </w:rPr>
              <w:t>Six Months Ended</w:t>
            </w:r>
          </w:p>
        </w:tc>
        <w:tc>
          <w:tcPr>
            <w:tcW w:w="660" w:type="dxa"/>
            <w:vAlign w:val="bottom"/>
            <w:vMerge w:val="restart"/>
          </w:tcPr>
          <w:p>
            <w:pPr>
              <w:jc w:val="right"/>
              <w:ind w:right="14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580" w:type="dxa"/>
            <w:vAlign w:val="bottom"/>
          </w:tcPr>
          <w:p>
            <w:pPr>
              <w:spacing w:after="0"/>
              <w:rPr>
                <w:sz w:val="11"/>
                <w:szCs w:val="11"/>
                <w:color w:val="auto"/>
              </w:rPr>
            </w:pPr>
          </w:p>
        </w:tc>
        <w:tc>
          <w:tcPr>
            <w:tcW w:w="92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90"/>
              </w:rPr>
              <w:t>August 1,</w:t>
            </w:r>
          </w:p>
        </w:tc>
        <w:tc>
          <w:tcPr>
            <w:tcW w:w="740" w:type="dxa"/>
            <w:vAlign w:val="bottom"/>
            <w:tcBorders>
              <w:top w:val="single" w:sz="8" w:color="auto"/>
            </w:tcBorders>
            <w:gridSpan w:val="2"/>
          </w:tcPr>
          <w:p>
            <w:pPr>
              <w:jc w:val="center"/>
              <w:ind w:left="62"/>
              <w:spacing w:after="0" w:line="129" w:lineRule="exact"/>
              <w:rPr>
                <w:sz w:val="20"/>
                <w:szCs w:val="20"/>
                <w:color w:val="auto"/>
              </w:rPr>
            </w:pPr>
            <w:r>
              <w:rPr>
                <w:rFonts w:ascii="Arial" w:cs="Arial" w:eastAsia="Arial" w:hAnsi="Arial"/>
                <w:sz w:val="14"/>
                <w:szCs w:val="14"/>
                <w:b w:val="1"/>
                <w:bCs w:val="1"/>
                <w:color w:val="auto"/>
                <w:w w:val="87"/>
              </w:rPr>
              <w:t>August 2,</w:t>
            </w:r>
          </w:p>
        </w:tc>
        <w:tc>
          <w:tcPr>
            <w:tcW w:w="18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93"/>
              </w:rPr>
              <w:t>August 1,</w:t>
            </w:r>
          </w:p>
        </w:tc>
        <w:tc>
          <w:tcPr>
            <w:tcW w:w="740" w:type="dxa"/>
            <w:vAlign w:val="bottom"/>
            <w:tcBorders>
              <w:top w:val="single" w:sz="8" w:color="auto"/>
            </w:tcBorders>
            <w:gridSpan w:val="2"/>
          </w:tcPr>
          <w:p>
            <w:pPr>
              <w:jc w:val="center"/>
              <w:ind w:left="42"/>
              <w:spacing w:after="0" w:line="129" w:lineRule="exact"/>
              <w:rPr>
                <w:sz w:val="20"/>
                <w:szCs w:val="20"/>
                <w:color w:val="auto"/>
              </w:rPr>
            </w:pPr>
            <w:r>
              <w:rPr>
                <w:rFonts w:ascii="Arial" w:cs="Arial" w:eastAsia="Arial" w:hAnsi="Arial"/>
                <w:sz w:val="14"/>
                <w:szCs w:val="14"/>
                <w:b w:val="1"/>
                <w:bCs w:val="1"/>
                <w:color w:val="auto"/>
                <w:w w:val="84"/>
              </w:rPr>
              <w:t>August 2,</w:t>
            </w:r>
          </w:p>
        </w:tc>
        <w:tc>
          <w:tcPr>
            <w:tcW w:w="300" w:type="dxa"/>
            <w:vAlign w:val="bottom"/>
          </w:tcPr>
          <w:p>
            <w:pPr>
              <w:spacing w:after="0"/>
              <w:rPr>
                <w:sz w:val="11"/>
                <w:szCs w:val="11"/>
                <w:color w:val="auto"/>
              </w:rPr>
            </w:pPr>
          </w:p>
        </w:tc>
        <w:tc>
          <w:tcPr>
            <w:tcW w:w="66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80" w:type="dxa"/>
            <w:vAlign w:val="bottom"/>
          </w:tcPr>
          <w:p>
            <w:pPr>
              <w:spacing w:after="0"/>
              <w:rPr>
                <w:sz w:val="14"/>
                <w:szCs w:val="14"/>
                <w:color w:val="auto"/>
              </w:rPr>
            </w:pPr>
          </w:p>
        </w:tc>
        <w:tc>
          <w:tcPr>
            <w:tcW w:w="920" w:type="dxa"/>
            <w:vAlign w:val="bottom"/>
          </w:tcPr>
          <w:p>
            <w:pPr>
              <w:jc w:val="right"/>
              <w:ind w:right="384"/>
              <w:spacing w:after="0"/>
              <w:rPr>
                <w:sz w:val="20"/>
                <w:szCs w:val="20"/>
                <w:color w:val="auto"/>
              </w:rPr>
            </w:pPr>
            <w:r>
              <w:rPr>
                <w:rFonts w:ascii="Arial" w:cs="Arial" w:eastAsia="Arial" w:hAnsi="Arial"/>
                <w:sz w:val="14"/>
                <w:szCs w:val="14"/>
                <w:b w:val="1"/>
                <w:bCs w:val="1"/>
                <w:color w:val="auto"/>
              </w:rPr>
              <w:t>2015</w:t>
            </w:r>
          </w:p>
        </w:tc>
        <w:tc>
          <w:tcPr>
            <w:tcW w:w="260" w:type="dxa"/>
            <w:vAlign w:val="bottom"/>
          </w:tcPr>
          <w:p>
            <w:pPr>
              <w:spacing w:after="0"/>
              <w:rPr>
                <w:sz w:val="14"/>
                <w:szCs w:val="14"/>
                <w:color w:val="auto"/>
              </w:rPr>
            </w:pPr>
          </w:p>
        </w:tc>
        <w:tc>
          <w:tcPr>
            <w:tcW w:w="480" w:type="dxa"/>
            <w:vAlign w:val="bottom"/>
          </w:tcPr>
          <w:p>
            <w:pPr>
              <w:jc w:val="right"/>
              <w:ind w:right="79"/>
              <w:spacing w:after="0"/>
              <w:rPr>
                <w:sz w:val="20"/>
                <w:szCs w:val="20"/>
                <w:color w:val="auto"/>
              </w:rPr>
            </w:pPr>
            <w:r>
              <w:rPr>
                <w:rFonts w:ascii="Arial" w:cs="Arial" w:eastAsia="Arial" w:hAnsi="Arial"/>
                <w:sz w:val="14"/>
                <w:szCs w:val="14"/>
                <w:b w:val="1"/>
                <w:bCs w:val="1"/>
                <w:color w:val="auto"/>
                <w:w w:val="96"/>
              </w:rPr>
              <w:t>2014</w:t>
            </w:r>
          </w:p>
        </w:tc>
        <w:tc>
          <w:tcPr>
            <w:tcW w:w="180" w:type="dxa"/>
            <w:vAlign w:val="bottom"/>
          </w:tcPr>
          <w:p>
            <w:pPr>
              <w:spacing w:after="0"/>
              <w:rPr>
                <w:sz w:val="14"/>
                <w:szCs w:val="14"/>
                <w:color w:val="auto"/>
              </w:rPr>
            </w:pP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2015</w:t>
            </w:r>
          </w:p>
        </w:tc>
        <w:tc>
          <w:tcPr>
            <w:tcW w:w="240" w:type="dxa"/>
            <w:vAlign w:val="bottom"/>
          </w:tcPr>
          <w:p>
            <w:pPr>
              <w:spacing w:after="0"/>
              <w:rPr>
                <w:sz w:val="14"/>
                <w:szCs w:val="14"/>
                <w:color w:val="auto"/>
              </w:rPr>
            </w:pPr>
          </w:p>
        </w:tc>
        <w:tc>
          <w:tcPr>
            <w:tcW w:w="500" w:type="dxa"/>
            <w:vAlign w:val="bottom"/>
          </w:tcPr>
          <w:p>
            <w:pPr>
              <w:jc w:val="right"/>
              <w:ind w:right="99"/>
              <w:spacing w:after="0"/>
              <w:rPr>
                <w:sz w:val="20"/>
                <w:szCs w:val="20"/>
                <w:color w:val="auto"/>
              </w:rPr>
            </w:pPr>
            <w:r>
              <w:rPr>
                <w:rFonts w:ascii="Arial" w:cs="Arial" w:eastAsia="Arial" w:hAnsi="Arial"/>
                <w:sz w:val="14"/>
                <w:szCs w:val="14"/>
                <w:b w:val="1"/>
                <w:bCs w:val="1"/>
                <w:color w:val="auto"/>
                <w:w w:val="96"/>
              </w:rPr>
              <w:t>2014</w:t>
            </w:r>
          </w:p>
        </w:tc>
        <w:tc>
          <w:tcPr>
            <w:tcW w:w="300" w:type="dxa"/>
            <w:vAlign w:val="bottom"/>
          </w:tcPr>
          <w:p>
            <w:pPr>
              <w:spacing w:after="0"/>
              <w:rPr>
                <w:sz w:val="14"/>
                <w:szCs w:val="14"/>
                <w:color w:val="auto"/>
              </w:rPr>
            </w:pPr>
          </w:p>
        </w:tc>
        <w:tc>
          <w:tcPr>
            <w:tcW w:w="8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580" w:type="dxa"/>
            <w:vAlign w:val="bottom"/>
          </w:tcPr>
          <w:p>
            <w:pPr>
              <w:spacing w:after="0"/>
              <w:rPr>
                <w:sz w:val="12"/>
                <w:szCs w:val="12"/>
                <w:color w:val="auto"/>
              </w:rPr>
            </w:pPr>
          </w:p>
        </w:tc>
        <w:tc>
          <w:tcPr>
            <w:tcW w:w="92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9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24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spacing w:after="0"/>
              <w:rPr>
                <w:sz w:val="20"/>
                <w:szCs w:val="20"/>
                <w:color w:val="auto"/>
              </w:rPr>
            </w:pPr>
            <w:r>
              <w:rPr>
                <w:rFonts w:ascii="Arial" w:cs="Arial" w:eastAsia="Arial" w:hAnsi="Arial"/>
                <w:sz w:val="18"/>
                <w:szCs w:val="18"/>
                <w:color w:val="auto"/>
              </w:rPr>
              <w:t>Litigation settlement with Carnegie Mellon University</w:t>
            </w:r>
          </w:p>
        </w:tc>
        <w:tc>
          <w:tcPr>
            <w:tcW w:w="92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5"/>
              </w:rPr>
              <w:t>$654,667</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ind w:right="27"/>
              <w:spacing w:after="0"/>
              <w:rPr>
                <w:sz w:val="20"/>
                <w:szCs w:val="20"/>
                <w:color w:val="auto"/>
              </w:rPr>
            </w:pPr>
            <w:r>
              <w:rPr>
                <w:rFonts w:ascii="Arial" w:cs="Arial" w:eastAsia="Arial" w:hAnsi="Arial"/>
                <w:sz w:val="18"/>
                <w:szCs w:val="18"/>
                <w:color w:val="auto"/>
              </w:rPr>
              <w:t>100.0%</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$654,667</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5580" w:type="dxa"/>
            <w:vAlign w:val="bottom"/>
          </w:tcPr>
          <w:p>
            <w:pPr>
              <w:spacing w:after="0"/>
              <w:rPr>
                <w:sz w:val="20"/>
                <w:szCs w:val="20"/>
                <w:color w:val="auto"/>
              </w:rPr>
            </w:pPr>
            <w:r>
              <w:rPr>
                <w:rFonts w:ascii="Arial" w:cs="Arial" w:eastAsia="Arial" w:hAnsi="Arial"/>
                <w:sz w:val="18"/>
                <w:szCs w:val="18"/>
                <w:color w:val="auto"/>
              </w:rPr>
              <w:t>% of net revenue</w:t>
            </w:r>
          </w:p>
        </w:tc>
        <w:tc>
          <w:tcPr>
            <w:tcW w:w="920" w:type="dxa"/>
            <w:vAlign w:val="bottom"/>
          </w:tcPr>
          <w:p>
            <w:pPr>
              <w:jc w:val="right"/>
              <w:ind w:right="24"/>
              <w:spacing w:after="0"/>
              <w:rPr>
                <w:sz w:val="20"/>
                <w:szCs w:val="20"/>
                <w:color w:val="auto"/>
              </w:rPr>
            </w:pPr>
            <w:r>
              <w:rPr>
                <w:rFonts w:ascii="Arial" w:cs="Arial" w:eastAsia="Arial" w:hAnsi="Arial"/>
                <w:sz w:val="18"/>
                <w:szCs w:val="18"/>
                <w:color w:val="auto"/>
              </w:rPr>
              <w:t>92.1%</w:t>
            </w:r>
          </w:p>
        </w:tc>
        <w:tc>
          <w:tcPr>
            <w:tcW w:w="260" w:type="dxa"/>
            <w:vAlign w:val="bottom"/>
          </w:tcPr>
          <w:p>
            <w:pPr>
              <w:spacing w:after="0"/>
              <w:rPr>
                <w:sz w:val="19"/>
                <w:szCs w:val="19"/>
                <w:color w:val="auto"/>
              </w:rPr>
            </w:pPr>
          </w:p>
        </w:tc>
        <w:tc>
          <w:tcPr>
            <w:tcW w:w="660" w:type="dxa"/>
            <w:vAlign w:val="bottom"/>
            <w:gridSpan w:val="2"/>
          </w:tcPr>
          <w:p>
            <w:pPr>
              <w:ind w:left="220"/>
              <w:spacing w:after="0"/>
              <w:rPr>
                <w:sz w:val="20"/>
                <w:szCs w:val="20"/>
                <w:color w:val="auto"/>
              </w:rPr>
            </w:pPr>
            <w:r>
              <w:rPr>
                <w:rFonts w:ascii="Arial" w:cs="Arial" w:eastAsia="Arial" w:hAnsi="Arial"/>
                <w:sz w:val="18"/>
                <w:szCs w:val="18"/>
                <w:color w:val="auto"/>
              </w:rPr>
              <w:t>— %</w:t>
            </w:r>
          </w:p>
        </w:tc>
        <w:tc>
          <w:tcPr>
            <w:tcW w:w="104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45.6%</w:t>
            </w:r>
          </w:p>
        </w:tc>
        <w:tc>
          <w:tcPr>
            <w:tcW w:w="240" w:type="dxa"/>
            <w:vAlign w:val="bottom"/>
          </w:tcPr>
          <w:p>
            <w:pPr>
              <w:spacing w:after="0"/>
              <w:rPr>
                <w:sz w:val="19"/>
                <w:szCs w:val="19"/>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 %</w:t>
            </w:r>
          </w:p>
        </w:tc>
        <w:tc>
          <w:tcPr>
            <w:tcW w:w="6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connection with the settlement agreement with CMU for $750 million (see “Note 10 – Commitments and Contingencies: and “Note 14 – Subsequent Events” in the Notes to the Unaudited Consolidated Financial Statements set forth in Part I, Item 1 of this Quarterly Report on Form 10-Q), $654.7 million of the settlement allocated to the mutual release of claims and covenant not to sue was recorded in operating expenses. Of the remaining $95.3 million, $78.9 million was recorded in cost of goods sold in the nine months ended October 31, 2015. The remaining $16.4 million will be recognized in cost of goods sold over the remaining term of the license through April 2018.</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740" w:type="dxa"/>
            <w:vAlign w:val="bottom"/>
            <w:gridSpan w:val="3"/>
          </w:tcPr>
          <w:p>
            <w:pPr>
              <w:jc w:val="right"/>
              <w:ind w:right="332"/>
              <w:spacing w:after="0"/>
              <w:rPr>
                <w:sz w:val="20"/>
                <w:szCs w:val="20"/>
                <w:color w:val="auto"/>
              </w:rPr>
            </w:pPr>
            <w:r>
              <w:rPr>
                <w:rFonts w:ascii="Arial" w:cs="Arial" w:eastAsia="Arial" w:hAnsi="Arial"/>
                <w:sz w:val="14"/>
                <w:szCs w:val="14"/>
                <w:b w:val="1"/>
                <w:bCs w:val="1"/>
                <w:color w:val="auto"/>
                <w:w w:val="95"/>
              </w:rPr>
              <w:t>Three Months Ended</w:t>
            </w:r>
          </w:p>
        </w:tc>
        <w:tc>
          <w:tcPr>
            <w:tcW w:w="1000" w:type="dxa"/>
            <w:vAlign w:val="bottom"/>
            <w:vMerge w:val="restart"/>
          </w:tcPr>
          <w:p>
            <w:pPr>
              <w:jc w:val="right"/>
              <w:ind w:right="526"/>
              <w:spacing w:after="0"/>
              <w:rPr>
                <w:sz w:val="20"/>
                <w:szCs w:val="20"/>
                <w:color w:val="auto"/>
              </w:rPr>
            </w:pPr>
            <w:r>
              <w:rPr>
                <w:rFonts w:ascii="Arial" w:cs="Arial" w:eastAsia="Arial" w:hAnsi="Arial"/>
                <w:sz w:val="14"/>
                <w:szCs w:val="14"/>
                <w:b w:val="1"/>
                <w:bCs w:val="1"/>
                <w:color w:val="auto"/>
              </w:rPr>
              <w:t>%</w:t>
            </w:r>
          </w:p>
        </w:tc>
        <w:tc>
          <w:tcPr>
            <w:tcW w:w="174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Borders>
              <w:top w:val="single" w:sz="8" w:color="auto"/>
            </w:tcBorders>
          </w:tcPr>
          <w:p>
            <w:pPr>
              <w:jc w:val="right"/>
              <w:ind w:right="192"/>
              <w:spacing w:after="0" w:line="129" w:lineRule="exact"/>
              <w:rPr>
                <w:sz w:val="20"/>
                <w:szCs w:val="20"/>
                <w:color w:val="auto"/>
              </w:rPr>
            </w:pPr>
            <w:r>
              <w:rPr>
                <w:rFonts w:ascii="Arial" w:cs="Arial" w:eastAsia="Arial" w:hAnsi="Arial"/>
                <w:sz w:val="14"/>
                <w:szCs w:val="14"/>
                <w:b w:val="1"/>
                <w:bCs w:val="1"/>
                <w:color w:val="auto"/>
                <w:w w:val="81"/>
              </w:rPr>
              <w:t>August 1,</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260" w:type="dxa"/>
            <w:vAlign w:val="bottom"/>
          </w:tcPr>
          <w:p>
            <w:pPr>
              <w:spacing w:after="0"/>
              <w:rPr>
                <w:sz w:val="11"/>
                <w:szCs w:val="11"/>
                <w:color w:val="auto"/>
              </w:rPr>
            </w:pPr>
          </w:p>
        </w:tc>
        <w:tc>
          <w:tcPr>
            <w:tcW w:w="1000" w:type="dxa"/>
            <w:vAlign w:val="bottom"/>
            <w:vMerge w:val="continue"/>
          </w:tcPr>
          <w:p>
            <w:pPr>
              <w:spacing w:after="0"/>
              <w:rPr>
                <w:sz w:val="11"/>
                <w:szCs w:val="11"/>
                <w:color w:val="auto"/>
              </w:rPr>
            </w:pPr>
          </w:p>
        </w:tc>
        <w:tc>
          <w:tcPr>
            <w:tcW w:w="84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1"/>
              </w:rPr>
              <w:t>August 1,</w:t>
            </w:r>
          </w:p>
        </w:tc>
        <w:tc>
          <w:tcPr>
            <w:tcW w:w="6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August 2,</w:t>
            </w:r>
          </w:p>
        </w:tc>
        <w:tc>
          <w:tcPr>
            <w:tcW w:w="26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20" w:type="dxa"/>
            <w:vAlign w:val="bottom"/>
          </w:tcPr>
          <w:p>
            <w:pPr>
              <w:spacing w:after="0"/>
              <w:rPr>
                <w:sz w:val="14"/>
                <w:szCs w:val="14"/>
                <w:color w:val="auto"/>
              </w:rPr>
            </w:pPr>
          </w:p>
        </w:tc>
        <w:tc>
          <w:tcPr>
            <w:tcW w:w="1900" w:type="dxa"/>
            <w:vAlign w:val="bottom"/>
            <w:gridSpan w:val="2"/>
          </w:tcPr>
          <w:p>
            <w:pPr>
              <w:jc w:val="right"/>
              <w:ind w:right="332"/>
              <w:spacing w:after="0"/>
              <w:rPr>
                <w:sz w:val="20"/>
                <w:szCs w:val="20"/>
                <w:color w:val="auto"/>
              </w:rPr>
            </w:pPr>
            <w:r>
              <w:rPr>
                <w:rFonts w:ascii="Arial" w:cs="Arial" w:eastAsia="Arial" w:hAnsi="Arial"/>
                <w:sz w:val="14"/>
                <w:szCs w:val="14"/>
                <w:b w:val="1"/>
                <w:bCs w:val="1"/>
                <w:color w:val="auto"/>
              </w:rPr>
              <w:t>2015</w:t>
            </w:r>
          </w:p>
        </w:tc>
        <w:tc>
          <w:tcPr>
            <w:tcW w:w="680" w:type="dxa"/>
            <w:vAlign w:val="bottom"/>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1000" w:type="dxa"/>
            <w:vAlign w:val="bottom"/>
          </w:tcPr>
          <w:p>
            <w:pPr>
              <w:jc w:val="center"/>
              <w:ind w:right="246"/>
              <w:spacing w:after="0"/>
              <w:rPr>
                <w:sz w:val="20"/>
                <w:szCs w:val="20"/>
                <w:color w:val="auto"/>
              </w:rPr>
            </w:pPr>
            <w:r>
              <w:rPr>
                <w:rFonts w:ascii="Arial" w:cs="Arial" w:eastAsia="Arial" w:hAnsi="Arial"/>
                <w:sz w:val="14"/>
                <w:szCs w:val="14"/>
                <w:b w:val="1"/>
                <w:bCs w:val="1"/>
                <w:color w:val="auto"/>
                <w:w w:val="85"/>
              </w:rPr>
              <w:t>Change</w:t>
            </w:r>
          </w:p>
        </w:tc>
        <w:tc>
          <w:tcPr>
            <w:tcW w:w="840" w:type="dxa"/>
            <w:vAlign w:val="bottom"/>
          </w:tcPr>
          <w:p>
            <w:pPr>
              <w:jc w:val="right"/>
              <w:ind w:right="364"/>
              <w:spacing w:after="0"/>
              <w:rPr>
                <w:sz w:val="20"/>
                <w:szCs w:val="20"/>
                <w:color w:val="auto"/>
              </w:rPr>
            </w:pPr>
            <w:r>
              <w:rPr>
                <w:rFonts w:ascii="Arial" w:cs="Arial" w:eastAsia="Arial" w:hAnsi="Arial"/>
                <w:sz w:val="14"/>
                <w:szCs w:val="14"/>
                <w:b w:val="1"/>
                <w:bCs w:val="1"/>
                <w:color w:val="auto"/>
              </w:rPr>
              <w:t>2015</w:t>
            </w:r>
          </w:p>
        </w:tc>
        <w:tc>
          <w:tcPr>
            <w:tcW w:w="640" w:type="dxa"/>
            <w:vAlign w:val="bottom"/>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0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2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4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9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$ 2,568</w:t>
            </w:r>
          </w:p>
        </w:tc>
        <w:tc>
          <w:tcPr>
            <w:tcW w:w="9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$ 3,304</w:t>
            </w:r>
          </w:p>
        </w:tc>
        <w:tc>
          <w:tcPr>
            <w:tcW w:w="1000" w:type="dxa"/>
            <w:vAlign w:val="bottom"/>
            <w:shd w:val="clear" w:color="auto" w:fill="CCEEFF"/>
          </w:tcPr>
          <w:p>
            <w:pPr>
              <w:jc w:val="right"/>
              <w:ind w:right="166"/>
              <w:spacing w:after="0"/>
              <w:rPr>
                <w:sz w:val="20"/>
                <w:szCs w:val="20"/>
                <w:color w:val="auto"/>
              </w:rPr>
            </w:pPr>
            <w:r>
              <w:rPr>
                <w:rFonts w:ascii="Arial" w:cs="Arial" w:eastAsia="Arial" w:hAnsi="Arial"/>
                <w:sz w:val="18"/>
                <w:szCs w:val="18"/>
                <w:color w:val="auto"/>
              </w:rPr>
              <w:t>(22.3)%</w:t>
            </w:r>
          </w:p>
        </w:tc>
        <w:tc>
          <w:tcPr>
            <w:tcW w:w="84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6"/>
              </w:rPr>
              <w:t>$ 5,136</w:t>
            </w: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$ 9,993</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(48.6)%</w:t>
            </w:r>
          </w:p>
        </w:tc>
        <w:tc>
          <w:tcPr>
            <w:tcW w:w="0" w:type="dxa"/>
            <w:vAlign w:val="bottom"/>
          </w:tcPr>
          <w:p>
            <w:pPr>
              <w:spacing w:after="0"/>
              <w:rPr>
                <w:sz w:val="1"/>
                <w:szCs w:val="1"/>
                <w:color w:val="auto"/>
              </w:rPr>
            </w:pPr>
          </w:p>
        </w:tc>
      </w:tr>
      <w:tr>
        <w:trPr>
          <w:trHeight w:val="222"/>
        </w:trPr>
        <w:tc>
          <w:tcPr>
            <w:tcW w:w="5020" w:type="dxa"/>
            <w:vAlign w:val="bottom"/>
          </w:tcPr>
          <w:p>
            <w:pPr>
              <w:spacing w:after="0"/>
              <w:rPr>
                <w:sz w:val="20"/>
                <w:szCs w:val="20"/>
                <w:color w:val="auto"/>
              </w:rPr>
            </w:pPr>
            <w:r>
              <w:rPr>
                <w:rFonts w:ascii="Arial" w:cs="Arial" w:eastAsia="Arial" w:hAnsi="Arial"/>
                <w:sz w:val="18"/>
                <w:szCs w:val="18"/>
                <w:color w:val="auto"/>
              </w:rPr>
              <w:t>% of net revenue</w:t>
            </w:r>
          </w:p>
        </w:tc>
        <w:tc>
          <w:tcPr>
            <w:tcW w:w="1900" w:type="dxa"/>
            <w:vAlign w:val="bottom"/>
            <w:gridSpan w:val="2"/>
          </w:tcPr>
          <w:p>
            <w:pPr>
              <w:jc w:val="right"/>
              <w:ind w:right="32"/>
              <w:spacing w:after="0"/>
              <w:rPr>
                <w:sz w:val="20"/>
                <w:szCs w:val="20"/>
                <w:color w:val="auto"/>
              </w:rPr>
            </w:pPr>
            <w:r>
              <w:rPr>
                <w:rFonts w:ascii="Arial" w:cs="Arial" w:eastAsia="Arial" w:hAnsi="Arial"/>
                <w:sz w:val="18"/>
                <w:szCs w:val="18"/>
                <w:color w:val="auto"/>
              </w:rPr>
              <w:t>0.4%</w:t>
            </w:r>
          </w:p>
        </w:tc>
        <w:tc>
          <w:tcPr>
            <w:tcW w:w="940" w:type="dxa"/>
            <w:vAlign w:val="bottom"/>
            <w:gridSpan w:val="2"/>
          </w:tcPr>
          <w:p>
            <w:pPr>
              <w:jc w:val="right"/>
              <w:ind w:right="52"/>
              <w:spacing w:after="0"/>
              <w:rPr>
                <w:sz w:val="20"/>
                <w:szCs w:val="20"/>
                <w:color w:val="auto"/>
              </w:rPr>
            </w:pPr>
            <w:r>
              <w:rPr>
                <w:rFonts w:ascii="Arial" w:cs="Arial" w:eastAsia="Arial" w:hAnsi="Arial"/>
                <w:sz w:val="18"/>
                <w:szCs w:val="18"/>
                <w:color w:val="auto"/>
              </w:rPr>
              <w:t>0.3%</w:t>
            </w:r>
          </w:p>
        </w:tc>
        <w:tc>
          <w:tcPr>
            <w:tcW w:w="1000" w:type="dxa"/>
            <w:vAlign w:val="bottom"/>
          </w:tcPr>
          <w:p>
            <w:pPr>
              <w:spacing w:after="0"/>
              <w:rPr>
                <w:sz w:val="19"/>
                <w:szCs w:val="19"/>
                <w:color w:val="auto"/>
              </w:rPr>
            </w:pPr>
          </w:p>
        </w:tc>
        <w:tc>
          <w:tcPr>
            <w:tcW w:w="840" w:type="dxa"/>
            <w:vAlign w:val="bottom"/>
          </w:tcPr>
          <w:p>
            <w:pPr>
              <w:jc w:val="right"/>
              <w:ind w:right="64"/>
              <w:spacing w:after="0"/>
              <w:rPr>
                <w:sz w:val="20"/>
                <w:szCs w:val="20"/>
                <w:color w:val="auto"/>
              </w:rPr>
            </w:pPr>
            <w:r>
              <w:rPr>
                <w:rFonts w:ascii="Arial" w:cs="Arial" w:eastAsia="Arial" w:hAnsi="Arial"/>
                <w:sz w:val="18"/>
                <w:szCs w:val="18"/>
                <w:color w:val="auto"/>
              </w:rPr>
              <w:t>0.4%</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0.5%</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Amortization and write-off of acquired intangible assets decreased by $0.7 million and $4.9 million for the three and six months ended August 1, 2015, respectively, compared to the three and six months ended August 2, 2014. The decrease reflects lower amortization expense as certain intangible assets have become fully amortized. Amortization and write-off of acquired intangible assets in the six months ended August 2, 2014 included a charge of $3.4 million to write off in-process research and development. There was no such charge in fiscal 2016.</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800" w:type="dxa"/>
            <w:vAlign w:val="bottom"/>
            <w:gridSpan w:val="3"/>
          </w:tcPr>
          <w:p>
            <w:pPr>
              <w:jc w:val="right"/>
              <w:ind w:right="352"/>
              <w:spacing w:after="0"/>
              <w:rPr>
                <w:sz w:val="20"/>
                <w:szCs w:val="20"/>
                <w:color w:val="auto"/>
              </w:rPr>
            </w:pPr>
            <w:r>
              <w:rPr>
                <w:rFonts w:ascii="Arial" w:cs="Arial" w:eastAsia="Arial" w:hAnsi="Arial"/>
                <w:sz w:val="14"/>
                <w:szCs w:val="14"/>
                <w:b w:val="1"/>
                <w:bCs w:val="1"/>
                <w:color w:val="auto"/>
                <w:w w:val="98"/>
              </w:rPr>
              <w:t>Three Months Ended</w:t>
            </w:r>
          </w:p>
        </w:tc>
        <w:tc>
          <w:tcPr>
            <w:tcW w:w="1020" w:type="dxa"/>
            <w:vAlign w:val="bottom"/>
            <w:vMerge w:val="restart"/>
          </w:tcPr>
          <w:p>
            <w:pPr>
              <w:jc w:val="right"/>
              <w:ind w:right="526"/>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04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820" w:type="dxa"/>
            <w:vAlign w:val="bottom"/>
            <w:tcBorders>
              <w:top w:val="single" w:sz="8" w:color="auto"/>
            </w:tcBorders>
          </w:tcPr>
          <w:p>
            <w:pPr>
              <w:jc w:val="right"/>
              <w:ind w:right="192"/>
              <w:spacing w:after="0" w:line="129" w:lineRule="exact"/>
              <w:rPr>
                <w:sz w:val="20"/>
                <w:szCs w:val="20"/>
                <w:color w:val="auto"/>
              </w:rPr>
            </w:pPr>
            <w:r>
              <w:rPr>
                <w:rFonts w:ascii="Arial" w:cs="Arial" w:eastAsia="Arial" w:hAnsi="Arial"/>
                <w:sz w:val="14"/>
                <w:szCs w:val="14"/>
                <w:b w:val="1"/>
                <w:bCs w:val="1"/>
                <w:color w:val="auto"/>
                <w:w w:val="84"/>
              </w:rPr>
              <w:t>August 1,</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28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86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4"/>
              </w:rPr>
              <w:t>August 1,</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40" w:type="dxa"/>
            <w:vAlign w:val="bottom"/>
          </w:tcPr>
          <w:p>
            <w:pPr>
              <w:spacing w:after="0"/>
              <w:rPr>
                <w:sz w:val="14"/>
                <w:szCs w:val="14"/>
                <w:color w:val="auto"/>
              </w:rPr>
            </w:pPr>
          </w:p>
        </w:tc>
        <w:tc>
          <w:tcPr>
            <w:tcW w:w="2740" w:type="dxa"/>
            <w:vAlign w:val="bottom"/>
            <w:gridSpan w:val="2"/>
          </w:tcPr>
          <w:p>
            <w:pPr>
              <w:jc w:val="right"/>
              <w:ind w:right="332"/>
              <w:spacing w:after="0"/>
              <w:rPr>
                <w:sz w:val="20"/>
                <w:szCs w:val="20"/>
                <w:color w:val="auto"/>
              </w:rPr>
            </w:pPr>
            <w:r>
              <w:rPr>
                <w:rFonts w:ascii="Arial" w:cs="Arial" w:eastAsia="Arial" w:hAnsi="Arial"/>
                <w:sz w:val="14"/>
                <w:szCs w:val="14"/>
                <w:b w:val="1"/>
                <w:bCs w:val="1"/>
                <w:color w:val="auto"/>
              </w:rPr>
              <w:t>2015</w:t>
            </w:r>
          </w:p>
        </w:tc>
        <w:tc>
          <w:tcPr>
            <w:tcW w:w="700" w:type="dxa"/>
            <w:vAlign w:val="bottom"/>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280" w:type="dxa"/>
            <w:vAlign w:val="bottom"/>
          </w:tcPr>
          <w:p>
            <w:pPr>
              <w:spacing w:after="0"/>
              <w:rPr>
                <w:sz w:val="14"/>
                <w:szCs w:val="14"/>
                <w:color w:val="auto"/>
              </w:rPr>
            </w:pPr>
          </w:p>
        </w:tc>
        <w:tc>
          <w:tcPr>
            <w:tcW w:w="1020" w:type="dxa"/>
            <w:vAlign w:val="bottom"/>
          </w:tcPr>
          <w:p>
            <w:pPr>
              <w:jc w:val="center"/>
              <w:ind w:right="266"/>
              <w:spacing w:after="0"/>
              <w:rPr>
                <w:sz w:val="20"/>
                <w:szCs w:val="20"/>
                <w:color w:val="auto"/>
              </w:rPr>
            </w:pPr>
            <w:r>
              <w:rPr>
                <w:rFonts w:ascii="Arial" w:cs="Arial" w:eastAsia="Arial" w:hAnsi="Arial"/>
                <w:sz w:val="14"/>
                <w:szCs w:val="14"/>
                <w:b w:val="1"/>
                <w:bCs w:val="1"/>
                <w:color w:val="auto"/>
                <w:w w:val="85"/>
              </w:rPr>
              <w:t>Change</w:t>
            </w:r>
          </w:p>
        </w:tc>
        <w:tc>
          <w:tcPr>
            <w:tcW w:w="860" w:type="dxa"/>
            <w:vAlign w:val="bottom"/>
          </w:tcPr>
          <w:p>
            <w:pPr>
              <w:jc w:val="right"/>
              <w:ind w:right="364"/>
              <w:spacing w:after="0"/>
              <w:rPr>
                <w:sz w:val="20"/>
                <w:szCs w:val="20"/>
                <w:color w:val="auto"/>
              </w:rPr>
            </w:pPr>
            <w:r>
              <w:rPr>
                <w:rFonts w:ascii="Arial" w:cs="Arial" w:eastAsia="Arial" w:hAnsi="Arial"/>
                <w:sz w:val="14"/>
                <w:szCs w:val="14"/>
                <w:b w:val="1"/>
                <w:bCs w:val="1"/>
                <w:color w:val="auto"/>
              </w:rPr>
              <w:t>2015</w:t>
            </w:r>
          </w:p>
        </w:tc>
        <w:tc>
          <w:tcPr>
            <w:tcW w:w="680" w:type="dxa"/>
            <w:vAlign w:val="bottom"/>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04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60" w:type="dxa"/>
            <w:vAlign w:val="bottom"/>
            <w:tcBorders>
              <w:top w:val="single" w:sz="8" w:color="auto"/>
            </w:tcBorders>
            <w:gridSpan w:val="3"/>
          </w:tcPr>
          <w:p>
            <w:pPr>
              <w:jc w:val="right"/>
              <w:ind w:right="44"/>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68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7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$ 6,790</w:t>
            </w:r>
          </w:p>
        </w:tc>
        <w:tc>
          <w:tcPr>
            <w:tcW w:w="98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$12,263</w:t>
            </w:r>
          </w:p>
        </w:tc>
        <w:tc>
          <w:tcPr>
            <w:tcW w:w="1020" w:type="dxa"/>
            <w:vAlign w:val="bottom"/>
            <w:shd w:val="clear" w:color="auto" w:fill="CCEEFF"/>
          </w:tcPr>
          <w:p>
            <w:pPr>
              <w:jc w:val="right"/>
              <w:ind w:right="166"/>
              <w:spacing w:after="0"/>
              <w:rPr>
                <w:sz w:val="20"/>
                <w:szCs w:val="20"/>
                <w:color w:val="auto"/>
              </w:rPr>
            </w:pPr>
            <w:r>
              <w:rPr>
                <w:rFonts w:ascii="Arial" w:cs="Arial" w:eastAsia="Arial" w:hAnsi="Arial"/>
                <w:sz w:val="18"/>
                <w:szCs w:val="18"/>
                <w:color w:val="auto"/>
              </w:rPr>
              <w:t>(44.6)%</w:t>
            </w:r>
          </w:p>
        </w:tc>
        <w:tc>
          <w:tcPr>
            <w:tcW w:w="860" w:type="dxa"/>
            <w:vAlign w:val="bottom"/>
            <w:shd w:val="clear" w:color="auto" w:fill="CCEEFF"/>
          </w:tcPr>
          <w:p>
            <w:pPr>
              <w:jc w:val="right"/>
              <w:ind w:right="204"/>
              <w:spacing w:after="0"/>
              <w:rPr>
                <w:sz w:val="20"/>
                <w:szCs w:val="20"/>
                <w:color w:val="auto"/>
              </w:rPr>
            </w:pPr>
            <w:r>
              <w:rPr>
                <w:rFonts w:ascii="Arial" w:cs="Arial" w:eastAsia="Arial" w:hAnsi="Arial"/>
                <w:sz w:val="18"/>
                <w:szCs w:val="18"/>
                <w:color w:val="auto"/>
                <w:w w:val="86"/>
              </w:rPr>
              <w:t>$11,957</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$14,188</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(15.7)%</w:t>
            </w:r>
          </w:p>
        </w:tc>
        <w:tc>
          <w:tcPr>
            <w:tcW w:w="0" w:type="dxa"/>
            <w:vAlign w:val="bottom"/>
          </w:tcPr>
          <w:p>
            <w:pPr>
              <w:spacing w:after="0"/>
              <w:rPr>
                <w:sz w:val="1"/>
                <w:szCs w:val="1"/>
                <w:color w:val="auto"/>
              </w:rPr>
            </w:pPr>
          </w:p>
        </w:tc>
      </w:tr>
      <w:tr>
        <w:trPr>
          <w:trHeight w:val="222"/>
        </w:trPr>
        <w:tc>
          <w:tcPr>
            <w:tcW w:w="4040" w:type="dxa"/>
            <w:vAlign w:val="bottom"/>
          </w:tcPr>
          <w:p>
            <w:pPr>
              <w:spacing w:after="0"/>
              <w:rPr>
                <w:sz w:val="20"/>
                <w:szCs w:val="20"/>
                <w:color w:val="auto"/>
              </w:rPr>
            </w:pPr>
            <w:r>
              <w:rPr>
                <w:rFonts w:ascii="Arial" w:cs="Arial" w:eastAsia="Arial" w:hAnsi="Arial"/>
                <w:sz w:val="18"/>
                <w:szCs w:val="18"/>
                <w:color w:val="auto"/>
              </w:rPr>
              <w:t>% of net revenue</w:t>
            </w:r>
          </w:p>
        </w:tc>
        <w:tc>
          <w:tcPr>
            <w:tcW w:w="2740" w:type="dxa"/>
            <w:vAlign w:val="bottom"/>
            <w:gridSpan w:val="2"/>
          </w:tcPr>
          <w:p>
            <w:pPr>
              <w:jc w:val="right"/>
              <w:ind w:right="52"/>
              <w:spacing w:after="0"/>
              <w:rPr>
                <w:sz w:val="20"/>
                <w:szCs w:val="20"/>
                <w:color w:val="auto"/>
              </w:rPr>
            </w:pPr>
            <w:r>
              <w:rPr>
                <w:rFonts w:ascii="Arial" w:cs="Arial" w:eastAsia="Arial" w:hAnsi="Arial"/>
                <w:sz w:val="18"/>
                <w:szCs w:val="18"/>
                <w:color w:val="auto"/>
              </w:rPr>
              <w:t>1.0%</w:t>
            </w:r>
          </w:p>
        </w:tc>
        <w:tc>
          <w:tcPr>
            <w:tcW w:w="980" w:type="dxa"/>
            <w:vAlign w:val="bottom"/>
            <w:gridSpan w:val="2"/>
          </w:tcPr>
          <w:p>
            <w:pPr>
              <w:jc w:val="right"/>
              <w:ind w:right="52"/>
              <w:spacing w:after="0"/>
              <w:rPr>
                <w:sz w:val="20"/>
                <w:szCs w:val="20"/>
                <w:color w:val="auto"/>
              </w:rPr>
            </w:pPr>
            <w:r>
              <w:rPr>
                <w:rFonts w:ascii="Arial" w:cs="Arial" w:eastAsia="Arial" w:hAnsi="Arial"/>
                <w:sz w:val="18"/>
                <w:szCs w:val="18"/>
                <w:color w:val="auto"/>
              </w:rPr>
              <w:t>1.3%</w:t>
            </w:r>
          </w:p>
        </w:tc>
        <w:tc>
          <w:tcPr>
            <w:tcW w:w="1020" w:type="dxa"/>
            <w:vAlign w:val="bottom"/>
          </w:tcPr>
          <w:p>
            <w:pPr>
              <w:spacing w:after="0"/>
              <w:rPr>
                <w:sz w:val="19"/>
                <w:szCs w:val="19"/>
                <w:color w:val="auto"/>
              </w:rPr>
            </w:pPr>
          </w:p>
        </w:tc>
        <w:tc>
          <w:tcPr>
            <w:tcW w:w="860" w:type="dxa"/>
            <w:vAlign w:val="bottom"/>
          </w:tcPr>
          <w:p>
            <w:pPr>
              <w:jc w:val="right"/>
              <w:ind w:right="64"/>
              <w:spacing w:after="0"/>
              <w:rPr>
                <w:sz w:val="20"/>
                <w:szCs w:val="20"/>
                <w:color w:val="auto"/>
              </w:rPr>
            </w:pPr>
            <w:r>
              <w:rPr>
                <w:rFonts w:ascii="Arial" w:cs="Arial" w:eastAsia="Arial" w:hAnsi="Arial"/>
                <w:sz w:val="18"/>
                <w:szCs w:val="18"/>
                <w:color w:val="auto"/>
              </w:rPr>
              <w:t>0.8%</w:t>
            </w: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0.6%</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Interest and other income, net, decreased by $5.5 million and $2.2 million for the three and six months ended August 1, 2015 compared to the three and six months ended August 2, 2014, respectively. The decreases for the three and six months ended August 1, 2015 reflect the effect of higher interest and other income, net, in fiscal 2015 due to a $8.8 million gain from the sale of an investment, which is not included in fiscal 2016. Interest and other income, net, in fiscal 2016 included the recognition of higher foreign currency gains from the revaluation of our foreign currency denominated tax liabilities as the U.S. dollar strengthened during the three and six months ended August 1, 2015 compared to the three and six months ended August 2, 2014. In addition, we had higher interest income due to overall higher interest rates on higher average cash balances and short-term investments in fiscal 2016.</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80" w:type="dxa"/>
            <w:vAlign w:val="bottom"/>
          </w:tcPr>
          <w:p>
            <w:pPr>
              <w:spacing w:after="0"/>
              <w:rPr>
                <w:sz w:val="14"/>
                <w:szCs w:val="14"/>
                <w:color w:val="auto"/>
              </w:rPr>
            </w:pPr>
          </w:p>
        </w:tc>
        <w:tc>
          <w:tcPr>
            <w:tcW w:w="170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w w:val="96"/>
              </w:rPr>
              <w:t>Three Months Ended</w:t>
            </w:r>
          </w:p>
        </w:tc>
        <w:tc>
          <w:tcPr>
            <w:tcW w:w="1040" w:type="dxa"/>
            <w:vAlign w:val="bottom"/>
            <w:vMerge w:val="restart"/>
          </w:tcPr>
          <w:p>
            <w:pPr>
              <w:jc w:val="right"/>
              <w:ind w:right="427"/>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192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60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780" w:type="dxa"/>
            <w:vAlign w:val="bottom"/>
          </w:tcPr>
          <w:p>
            <w:pPr>
              <w:spacing w:after="0"/>
              <w:rPr>
                <w:sz w:val="11"/>
                <w:szCs w:val="11"/>
                <w:color w:val="auto"/>
              </w:rPr>
            </w:pPr>
          </w:p>
        </w:tc>
        <w:tc>
          <w:tcPr>
            <w:tcW w:w="820" w:type="dxa"/>
            <w:vAlign w:val="bottom"/>
            <w:tcBorders>
              <w:top w:val="single" w:sz="8" w:color="auto"/>
            </w:tcBorders>
          </w:tcPr>
          <w:p>
            <w:pPr>
              <w:jc w:val="right"/>
              <w:ind w:right="204"/>
              <w:spacing w:after="0" w:line="129" w:lineRule="exact"/>
              <w:rPr>
                <w:sz w:val="20"/>
                <w:szCs w:val="20"/>
                <w:color w:val="auto"/>
              </w:rPr>
            </w:pPr>
            <w:r>
              <w:rPr>
                <w:rFonts w:ascii="Arial" w:cs="Arial" w:eastAsia="Arial" w:hAnsi="Arial"/>
                <w:sz w:val="14"/>
                <w:szCs w:val="14"/>
                <w:b w:val="1"/>
                <w:bCs w:val="1"/>
                <w:color w:val="auto"/>
                <w:w w:val="81"/>
              </w:rPr>
              <w:t>August 1,</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22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1"/>
              </w:rPr>
              <w:t>August 1,</w:t>
            </w: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2,</w:t>
            </w:r>
          </w:p>
        </w:tc>
        <w:tc>
          <w:tcPr>
            <w:tcW w:w="34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780" w:type="dxa"/>
            <w:vAlign w:val="bottom"/>
          </w:tcPr>
          <w:p>
            <w:pPr>
              <w:spacing w:after="0"/>
              <w:rPr>
                <w:sz w:val="14"/>
                <w:szCs w:val="14"/>
                <w:color w:val="auto"/>
              </w:rPr>
            </w:pPr>
          </w:p>
        </w:tc>
        <w:tc>
          <w:tcPr>
            <w:tcW w:w="820" w:type="dxa"/>
            <w:vAlign w:val="bottom"/>
          </w:tcPr>
          <w:p>
            <w:pPr>
              <w:jc w:val="right"/>
              <w:ind w:right="344"/>
              <w:spacing w:after="0"/>
              <w:rPr>
                <w:sz w:val="20"/>
                <w:szCs w:val="20"/>
                <w:color w:val="auto"/>
              </w:rPr>
            </w:pPr>
            <w:r>
              <w:rPr>
                <w:rFonts w:ascii="Arial" w:cs="Arial" w:eastAsia="Arial" w:hAnsi="Arial"/>
                <w:sz w:val="14"/>
                <w:szCs w:val="14"/>
                <w:b w:val="1"/>
                <w:bCs w:val="1"/>
                <w:color w:val="auto"/>
              </w:rPr>
              <w:t>2015</w:t>
            </w:r>
          </w:p>
        </w:tc>
        <w:tc>
          <w:tcPr>
            <w:tcW w:w="660" w:type="dxa"/>
            <w:vAlign w:val="bottom"/>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220" w:type="dxa"/>
            <w:vAlign w:val="bottom"/>
          </w:tcPr>
          <w:p>
            <w:pPr>
              <w:spacing w:after="0"/>
              <w:rPr>
                <w:sz w:val="14"/>
                <w:szCs w:val="14"/>
                <w:color w:val="auto"/>
              </w:rPr>
            </w:pPr>
          </w:p>
        </w:tc>
        <w:tc>
          <w:tcPr>
            <w:tcW w:w="1040" w:type="dxa"/>
            <w:vAlign w:val="bottom"/>
          </w:tcPr>
          <w:p>
            <w:pPr>
              <w:jc w:val="center"/>
              <w:ind w:right="27"/>
              <w:spacing w:after="0"/>
              <w:rPr>
                <w:sz w:val="20"/>
                <w:szCs w:val="20"/>
                <w:color w:val="auto"/>
              </w:rPr>
            </w:pPr>
            <w:r>
              <w:rPr>
                <w:rFonts w:ascii="Arial" w:cs="Arial" w:eastAsia="Arial" w:hAnsi="Arial"/>
                <w:sz w:val="14"/>
                <w:szCs w:val="14"/>
                <w:b w:val="1"/>
                <w:bCs w:val="1"/>
                <w:color w:val="auto"/>
                <w:w w:val="89"/>
              </w:rPr>
              <w:t>Change</w:t>
            </w:r>
          </w:p>
        </w:tc>
        <w:tc>
          <w:tcPr>
            <w:tcW w:w="98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2015</w:t>
            </w:r>
          </w:p>
        </w:tc>
        <w:tc>
          <w:tcPr>
            <w:tcW w:w="7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340" w:type="dxa"/>
            <w:vAlign w:val="bottom"/>
          </w:tcPr>
          <w:p>
            <w:pPr>
              <w:spacing w:after="0"/>
              <w:rPr>
                <w:sz w:val="14"/>
                <w:szCs w:val="14"/>
                <w:color w:val="auto"/>
              </w:rPr>
            </w:pPr>
          </w:p>
        </w:tc>
        <w:tc>
          <w:tcPr>
            <w:tcW w:w="8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78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2020" w:type="dxa"/>
            <w:vAlign w:val="bottom"/>
            <w:tcBorders>
              <w:top w:val="single" w:sz="8" w:color="auto"/>
            </w:tcBorders>
            <w:gridSpan w:val="3"/>
          </w:tcPr>
          <w:p>
            <w:pPr>
              <w:jc w:val="right"/>
              <w:ind w:right="1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72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820" w:type="dxa"/>
            <w:vAlign w:val="bottom"/>
            <w:shd w:val="clear" w:color="auto" w:fill="CCEEFF"/>
          </w:tcPr>
          <w:p>
            <w:pPr>
              <w:jc w:val="right"/>
              <w:ind w:right="204"/>
              <w:spacing w:after="0"/>
              <w:rPr>
                <w:sz w:val="20"/>
                <w:szCs w:val="20"/>
                <w:color w:val="auto"/>
              </w:rPr>
            </w:pPr>
            <w:r>
              <w:rPr>
                <w:rFonts w:ascii="Arial" w:cs="Arial" w:eastAsia="Arial" w:hAnsi="Arial"/>
                <w:sz w:val="18"/>
                <w:szCs w:val="18"/>
                <w:color w:val="auto"/>
                <w:w w:val="86"/>
              </w:rPr>
              <w:t>$ 5,543</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$(6,153)</w:t>
            </w:r>
          </w:p>
        </w:tc>
        <w:tc>
          <w:tcPr>
            <w:tcW w:w="1040" w:type="dxa"/>
            <w:vAlign w:val="bottom"/>
            <w:shd w:val="clear" w:color="auto" w:fill="CCEEFF"/>
          </w:tcPr>
          <w:p>
            <w:pPr>
              <w:jc w:val="right"/>
              <w:ind w:right="27"/>
              <w:spacing w:after="0"/>
              <w:rPr>
                <w:sz w:val="20"/>
                <w:szCs w:val="20"/>
                <w:color w:val="auto"/>
              </w:rPr>
            </w:pPr>
            <w:r>
              <w:rPr>
                <w:rFonts w:ascii="Arial" w:cs="Arial" w:eastAsia="Arial" w:hAnsi="Arial"/>
                <w:sz w:val="18"/>
                <w:szCs w:val="18"/>
                <w:color w:val="auto"/>
              </w:rPr>
              <w:t>(190.1)%</w:t>
            </w:r>
          </w:p>
        </w:tc>
        <w:tc>
          <w:tcPr>
            <w:tcW w:w="98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$ 9,872</w:t>
            </w: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2"/>
              </w:rPr>
              <w:t>$ (10,720)</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(192.1)%</w:t>
            </w:r>
          </w:p>
        </w:tc>
        <w:tc>
          <w:tcPr>
            <w:tcW w:w="0" w:type="dxa"/>
            <w:vAlign w:val="bottom"/>
          </w:tcPr>
          <w:p>
            <w:pPr>
              <w:spacing w:after="0"/>
              <w:rPr>
                <w:sz w:val="1"/>
                <w:szCs w:val="1"/>
                <w:color w:val="auto"/>
              </w:rPr>
            </w:pPr>
          </w:p>
        </w:tc>
      </w:tr>
      <w:tr>
        <w:trPr>
          <w:trHeight w:val="222"/>
        </w:trPr>
        <w:tc>
          <w:tcPr>
            <w:tcW w:w="5780" w:type="dxa"/>
            <w:vAlign w:val="bottom"/>
          </w:tcPr>
          <w:p>
            <w:pPr>
              <w:spacing w:after="0"/>
              <w:rPr>
                <w:sz w:val="20"/>
                <w:szCs w:val="20"/>
                <w:color w:val="auto"/>
              </w:rPr>
            </w:pPr>
            <w:r>
              <w:rPr>
                <w:rFonts w:ascii="Arial" w:cs="Arial" w:eastAsia="Arial" w:hAnsi="Arial"/>
                <w:sz w:val="18"/>
                <w:szCs w:val="18"/>
                <w:color w:val="auto"/>
              </w:rPr>
              <w:t>% of net revenue</w:t>
            </w:r>
          </w:p>
        </w:tc>
        <w:tc>
          <w:tcPr>
            <w:tcW w:w="820" w:type="dxa"/>
            <w:vAlign w:val="bottom"/>
          </w:tcPr>
          <w:p>
            <w:pPr>
              <w:jc w:val="right"/>
              <w:ind w:right="44"/>
              <w:spacing w:after="0"/>
              <w:rPr>
                <w:sz w:val="20"/>
                <w:szCs w:val="20"/>
                <w:color w:val="auto"/>
              </w:rPr>
            </w:pPr>
            <w:r>
              <w:rPr>
                <w:rFonts w:ascii="Arial" w:cs="Arial" w:eastAsia="Arial" w:hAnsi="Arial"/>
                <w:sz w:val="18"/>
                <w:szCs w:val="18"/>
                <w:color w:val="auto"/>
              </w:rPr>
              <w:t>0.8%</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(0.6)%</w:t>
            </w:r>
          </w:p>
        </w:tc>
        <w:tc>
          <w:tcPr>
            <w:tcW w:w="1040" w:type="dxa"/>
            <w:vAlign w:val="bottom"/>
          </w:tcPr>
          <w:p>
            <w:pPr>
              <w:spacing w:after="0"/>
              <w:rPr>
                <w:sz w:val="19"/>
                <w:szCs w:val="19"/>
                <w:color w:val="auto"/>
              </w:rPr>
            </w:pPr>
          </w:p>
        </w:tc>
        <w:tc>
          <w:tcPr>
            <w:tcW w:w="980" w:type="dxa"/>
            <w:vAlign w:val="bottom"/>
            <w:gridSpan w:val="2"/>
          </w:tcPr>
          <w:p>
            <w:pPr>
              <w:jc w:val="right"/>
              <w:ind w:right="92"/>
              <w:spacing w:after="0"/>
              <w:rPr>
                <w:sz w:val="20"/>
                <w:szCs w:val="20"/>
                <w:color w:val="auto"/>
              </w:rPr>
            </w:pPr>
            <w:r>
              <w:rPr>
                <w:rFonts w:ascii="Arial" w:cs="Arial" w:eastAsia="Arial" w:hAnsi="Arial"/>
                <w:sz w:val="18"/>
                <w:szCs w:val="18"/>
                <w:color w:val="auto"/>
              </w:rPr>
              <w:t>0.7%</w:t>
            </w: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(0.7)%</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had income tax expense in the three and six months ended August 1, 2015, and our effective tax rate was (0.7)% and (1.3)%, respectively. The income tax expense for the three months ended August 1, 2015 was primarily due to current income tax liability of $15.2 million and a $6.7 million provision to record a valuation allowance against certain deferred tax assets in a non-U.S. jurisdiction. These tax expenses for the three months ended August 1, 2015 were partially offset by a tax benefit of $11.7 million from a net reduction in unrecognized tax benefits, which primarily arose from the expiration of statutes of limitation and the settlement of audits in non-U.S. jurisdictions, and true-up adjustments of $4.8 million, primarily related to the filing of tax returns. The income tax expense for the six months ended August 1, 2015 was primarily due to current income tax liability of $19.5 million, a $6.7 million provision to record a valuation allowance against certain deferred tax assets in a non-U.S. jurisdiction and an additional provision of $3.1 million related to a $15.4 million payment due to our former Chief Executive Officer (see “Note 13 – Related Party Transaction” in the Notes to the Unaudited Condensed Consolidated Financial Statements set forth in Part I, Item 1 of this Quarterly Report on Form 10-Q). These tax expenses were partially offset by tax benefits of $14.8 million from a net reduction in unrecognized tax benefits, which primarily arose from the expiration of statutes of limitation and the settlement of tax audits in non-U.S. jurisdictions, and true-up adjustments of $4.8 million, primarily related to the filing of tax returns.</w:t>
      </w:r>
    </w:p>
    <w:p>
      <w:pPr>
        <w:spacing w:after="0" w:line="12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an income tax benefit in the three and six months ended August 2, 2014 and our effective tax rate was 4.6% and 4.7% respectively. The income tax benefit for the three months ended August 2, 2014 included the current income tax liability of $4.9 million, which was more than offset by tax benefits of $7.3 million from a net reduction in unrecognized tax benefits and $3.7 million from an increase in the net deferred tax assets because of a tax rate change in Singapore. We finalized our agreement with the Singapore Economic Development Board for the remaining portion of pre-tax income subject to the Development and Expansion Incentive, which was extended through June 2019. The net reduction in unrecognized tax benefits primarily arose from the release of the expiration of statutes of limitation in non-U.S. jurisdictions. The income tax benefit for the six months ended August 2, 2014 included the current income tax liability of $10.6 million which was offset by a net reduction in unrecognized tax benefits of $9.8 million and $11.5 million from an increase in the net deferred tax assets because of the tax rate change in Singapore. The net reduction in unrecognized tax benefits arose from the release of $13.2 million due to the expiration of statutes of limitation, which was reduced by a $3.4 million increase in current unrecognized tax benefit estimates in various non-U.S. jurisdictions.</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$18.7 million from the lapse of statutes of limitation in various jurisdictions during the next 12 months. Government tax authorities from several non-U.S. jurisdictions are also examining returns. We believe that we have adequately provided for any reasonably foreseeable outcomes related to our tax audits and that any settlement will not have a material effect on our results at this time.</w:t>
      </w:r>
    </w:p>
    <w:p>
      <w:pPr>
        <w:spacing w:after="0" w:line="116"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We operate under tax incentives in certain countries, which may be extended if certain additional requirements are satisfied. The tax incentives are conditional upon meeting certain employment and investment thresholds. The impact of these tax incentives decreased foreign taxes by $1.6 million and $4.9 million for the three and six months ended August 1, 2015, respectively, and $7.1 million and $10.4 million for the three and six months ended August 2, 2014, respectively. The benefit of the tax incentives on net loss per share was less than $0.01 per share for the three months ended August 1, 2015 and $0.01 per share for the six months ended August 1, 2015, compared to a benefit on net income of $0.01 per share for the three months ended August 2, 2014 and $0.02 per share for the six months ended August 2, 2014.</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principal source of liquidity as of August 1, 2015 consisted of approximately $2.3 billion of cash, cash equivalents and short-term investments (prior to giving effect to the settlement with CMU), of which approximately $800 million was held by foreign subsidiaries (outside Bermuda). Approximately $550 million of this amount held by foreign subsidiaries is related to undistributed earnings, most of which have been indefinitely reinvested outside of Bermuda. These funds are primarily held in China,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$160 million.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as well as payment of $750 million related to our settlement of the patent litigation with CMU.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w:t>
      </w:r>
    </w:p>
    <w:p>
      <w:pPr>
        <w:spacing w:after="0" w:line="12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2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On September 28, 2015, we announced that our board of directors declared a cash dividend of $0.06 per share that was paid on October 22, 2015 to shareholders of record as of October 8, 2015. We subsequently announced that our board of directors declared quarterly cash dividends of $0.06 per share that were paid in December 2015 and April 2016. We have since announced that our board of directors declared a cash dividend of $0.06 per share to be paid on July 12, 2016 to shareholders of record as of June 14, 2016.</w:t>
      </w:r>
    </w:p>
    <w:p>
      <w:pPr>
        <w:spacing w:after="0" w:line="143"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Future payment of a regular quarterly cash dividend on our common shares will be subject to, among other things, the best interests of the Company and our shareholders, our results of operations, cash balances and future cash requirements, financial condition, statutory requirements under Bermuda law and other factors that our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Net cash provided by operating activities was $85.5 million for the six months ended August 1, 2015. The cash inflows from operations for the six months ended August 1, 2015 were due to $757.9 million of net loss adjusted for $131.0 million of non-cash items, offset by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306" w:lineRule="auto"/>
        <w:rPr>
          <w:sz w:val="20"/>
          <w:szCs w:val="20"/>
          <w:color w:val="auto"/>
        </w:rPr>
      </w:pPr>
      <w:r>
        <w:rPr>
          <w:rFonts w:ascii="Arial" w:cs="Arial" w:eastAsia="Arial" w:hAnsi="Arial"/>
          <w:sz w:val="16"/>
          <w:szCs w:val="16"/>
          <w:color w:val="auto"/>
        </w:rPr>
        <w:t>changes in working capital of $712.4 million. The cash inflow from working capital for the six months ended August 1, 2015 was driven by an increase in accrued liabilities and the accrued litigation settlement with CMU, which was partially offset by a decrease in accrued employee compensation, primarily from the payment of the annual incentive compensation and an increase in inventory due to lower than expected demand.</w:t>
      </w:r>
    </w:p>
    <w:p>
      <w:pPr>
        <w:spacing w:after="0" w:line="10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Net cash provided by operating activities was $392.1 million for the six months ended August 2, 2014. The cash inflows from operations for the six months ended August 2, 2014 were primarily due to $238.3 million of net income adjusted for $123.1 million of non-cash items and changes in working capital of $30.7 million.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Net cash used in investing activities was $136.6 million for the six months ended August 1, 2015 compared to net cash used in investing activities of $5.2 million for the six months ended August 2, 2014. For the six months ended August1, 2015, net cash used in investing activities was primarily due to purchases of available-for-sale securities of $566.4 million offset by sales and maturities of available-for-sale securities of $469.8 million. We also paid $24.3 million for the purchase of property and equipment, $10.2 million for the purchase of equipment previously leased and $5.7 million for the purchase of technology licenses.</w:t>
      </w:r>
    </w:p>
    <w:p>
      <w:pPr>
        <w:spacing w:after="0" w:line="113"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Net cash used in investing activities of $5.2 million for the six months ended August 2, 2014 was primarily due to payment of $32.0 million for the purchase of property and equipment, and $9.4 million for the purchase of technology licenses. These payments were offset by cash inflows of a net $36.6 million of sales and maturities of available for sales securities less purchases of available-for-sale securities.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Net cash used in financing activities was $232.3 million for the six months ended August 1 2015 compared to net cash used in financing activities of $20.1 million for the six months ended August 2, 2014. For the six months ended August 1, 2015, net cash used in financing activities was primarily attributable to payments for the repurchase of our common stock of $195.6 million and payments of our quarterly dividends of $62.1 million. The cash outflow was partially offset by net proceeds of $34.2 million from the issuance of our common shares under our share-based plans less the payment for minimum tax withholding on behalf of employees for net share settlements.</w:t>
      </w:r>
    </w:p>
    <w:p>
      <w:pPr>
        <w:spacing w:after="0" w:line="14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Net cash used in financing activities of $20.1 million for the six months ended August 2, 2014 was primarily attributable payments of our quarterly dividends of $61.0 million. The cash outflow was partially offset by net proceeds of $43.5 million from the issuance of our common shares under our share-based plans less the payment for minimum tax withholding on behalf of employees for net share settlements.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August 1, 2015, we were not involved in any unconsolidated SPE transactions.</w:t>
      </w:r>
    </w:p>
    <w:p>
      <w:pPr>
        <w:spacing w:after="0" w:line="143"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In the CMU litigation, in order to stay the execution of the final judgment pending its appeal, we filed a supersedeas bond for $1.54 billion with the District Court. The bond was issued by a consortium of sureties authorized by the U.S. Treasury.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See also “Note 10 – Commitments and Contingencies” in the Notes to the Unaudited Condensed Consolidated Financial Statements set forth in Part I, Item 1 of this Quarterly Report on Form 10-Q for a further discussion of this matter.</w:t>
      </w:r>
    </w:p>
    <w:p>
      <w:pPr>
        <w:spacing w:after="0" w:line="147"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$136.2 million at August 1, 2015.</w:t>
      </w:r>
    </w:p>
    <w:p>
      <w:pPr>
        <w:spacing w:after="0" w:line="14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connection with the settlement that was reached with CMU for a total $750 million in February 2016, the primary supersedeas bond that the Company entered into has been reduced to $439 million and the secondary bond has been adjusted to $311 million. For additional information, see CMU litigation in ”Note 10 – Commitments and Contingencies” in the Notes to the Unaudited Condensed Consolidated Financial Statements set forth in Part I, Item 1 of this Quarterly Report on Form 10-Q.</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We presented our contractual obligations at January 31, 2015 in our Annual Report on Form 10-K for the fiscal year then ended. There have been no material changes outside the ordinary course of business in those obligations during the three months ended August 1, 2015,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w:t>
      </w:r>
      <w:r>
        <w:rPr>
          <w:rFonts w:ascii="Arial" w:cs="Arial" w:eastAsia="Arial" w:hAnsi="Arial"/>
          <w:sz w:val="18"/>
          <w:szCs w:val="18"/>
          <w:b w:val="1"/>
          <w:bCs w:val="1"/>
          <w:i w:val="1"/>
          <w:iCs w:val="1"/>
          <w:color w:val="auto"/>
        </w:rPr>
        <w:t>. Quantitative and Qualitative Disclosures About Market Risk</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August 1, 2015.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asset backed securities, corporate debt securities and municipal debt securities. These investments are classified as available-for-sale and, consequently, are recorded on our consolidated balance sheets at fair market value with their related unrealized gain or loss reflected as a component of accumulated other comprehensive income in the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August 1, 2015, a hypothetical 100 basis point increase in interest rates across all maturities would result in a $20.1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4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As of August 1, 2015, our investment portfolio included $12.5 million in par value of auction rate securities classified as long-term investments. Although these securities have continued to pay interest,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The fair value of these auction rate securities as of August 1, 2015, was $2.4 million less than par value.</w:t>
      </w:r>
    </w:p>
    <w:p>
      <w:pPr>
        <w:spacing w:after="0" w:line="1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Based on our balance of approximately $2.3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 held companies for strategic purposes. We account for these investments under the cost</w:t>
      </w:r>
      <w:r>
        <w:rPr>
          <w:rFonts w:ascii="Arial" w:cs="Arial" w:eastAsia="Arial" w:hAnsi="Arial"/>
          <w:sz w:val="16"/>
          <w:szCs w:val="16"/>
          <w:i w:val="1"/>
          <w:iCs w:val="1"/>
          <w:color w:val="auto"/>
        </w:rPr>
        <w:t xml:space="preserve"> </w:t>
      </w:r>
      <w:r>
        <w:rPr>
          <w:rFonts w:ascii="Arial" w:cs="Arial" w:eastAsia="Arial" w:hAnsi="Arial"/>
          <w:sz w:val="16"/>
          <w:szCs w:val="16"/>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$8.6 million at August 1, 2015, and was included in other non-current assets in our consolidated balance sheets. We monitor these investments for impairment and make appropriate reductions in carrying value when an impairment is deemed to be other-than-temporary.</w:t>
      </w:r>
    </w:p>
    <w:p>
      <w:pPr>
        <w:spacing w:after="0" w:line="11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Furthermore, our operations in Israel and China represent a large portion of our total foreign currency exposure.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660" w:firstLine="456"/>
        <w:spacing w:after="0" w:line="332"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expenses denominated in Israeli shekel and on occasion Chinese yuan. We enter into</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certain short-term forward exchange contracts, typically less than 12 months in duration, to hedge exposures for expenses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consolidated balance sheet as the timing of these tax liabilities becoming cash flows is not deemed to be certain.</w:t>
      </w:r>
    </w:p>
    <w:p>
      <w:pPr>
        <w:spacing w:after="0" w:line="118"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4.5%. We expect our hedges of foreign currency exposures to be highly effective and offset a significant portion of the short-term impact of changes in exchange rates on the hedged portion of our exposures.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4</w:t>
      </w:r>
      <w:r>
        <w:rPr>
          <w:rFonts w:ascii="Arial" w:cs="Arial" w:eastAsia="Arial" w:hAnsi="Arial"/>
          <w:sz w:val="18"/>
          <w:szCs w:val="18"/>
          <w:b w:val="1"/>
          <w:bCs w:val="1"/>
          <w:i w:val="1"/>
          <w:iCs w:val="1"/>
          <w:color w:val="auto"/>
        </w:rPr>
        <w:t>. 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Investigation</w:t>
      </w:r>
    </w:p>
    <w:p>
      <w:pPr>
        <w:spacing w:after="0" w:line="96"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As reported in the Current Report on Form 8-K filed by the Company with the SEC on March 1, 2016, the Audit Committee (the “Audit Committee”) of the Company’s Board of Directors completed and made its findings with respect to an internal investigation (the “Audit Committee Investigation”). This investigation generally included a review of certain revenue recognized in the first and second quarters of fiscal 2016 and the fourth quarter of fiscal 2015, including transactions that would have, in the normal course of events and but for action by Marvell employees, been completed and recognized in a subsequent quarter (referred to internally as “pull-ins”), the accrual of a litigation reserve in the second quarter of fiscal 2016, and stated belief by Marvell’s former Chief Executive Officer and Chairman of ownership of certain patent rights related to the Final-Level Cache invention. The Audit Committee also reviewed disclosure concerning the foregoing matters and related circumstances, and whether senior management’s operating style during the relevant periods resulted in an open flow of information and communication to set an appropriate “tone at the top” for an effective control environment.</w:t>
      </w:r>
    </w:p>
    <w:p>
      <w:pPr>
        <w:spacing w:after="0" w:line="118" w:lineRule="exact"/>
        <w:rPr>
          <w:sz w:val="20"/>
          <w:szCs w:val="20"/>
          <w:color w:val="auto"/>
        </w:rPr>
      </w:pPr>
    </w:p>
    <w:p>
      <w:pPr>
        <w:ind w:right="820" w:firstLine="456"/>
        <w:spacing w:after="0" w:line="268" w:lineRule="auto"/>
        <w:rPr>
          <w:sz w:val="20"/>
          <w:szCs w:val="20"/>
          <w:color w:val="auto"/>
        </w:rPr>
      </w:pPr>
      <w:r>
        <w:rPr>
          <w:rFonts w:ascii="Arial" w:cs="Arial" w:eastAsia="Arial" w:hAnsi="Arial"/>
          <w:sz w:val="18"/>
          <w:szCs w:val="18"/>
          <w:color w:val="auto"/>
        </w:rPr>
        <w:t>The Audit Committee identified no fraudulent activity in the course of this investigation. The Audit Committee’s key conclusions regarding this investigation included the following:</w:t>
      </w:r>
    </w:p>
    <w:p>
      <w:pPr>
        <w:spacing w:after="0" w:line="51" w:lineRule="exact"/>
        <w:rPr>
          <w:sz w:val="20"/>
          <w:szCs w:val="20"/>
          <w:color w:val="auto"/>
        </w:rPr>
      </w:pPr>
    </w:p>
    <w:p>
      <w:pPr>
        <w:ind w:left="900" w:right="240" w:hanging="446"/>
        <w:spacing w:after="0" w:line="256"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revenue related to pull-in transactions during the subject periods was for most such transactions properly recognized in accordance with Marvell’s revenue recognition policy and generally accepted accounting principles, though for certain transactions Marvell’s internal controls were not fully followed and revenue from certain pull-in and distributor transactions was recognized prematurely based on certain provisions of the revenue recognition policy in place at the time;</w:t>
      </w:r>
    </w:p>
    <w:p>
      <w:pPr>
        <w:spacing w:after="0" w:line="62"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Marvell’s public disclosures for such periods related to revenue properly including pull-in transactions were not misleading;</w:t>
      </w:r>
    </w:p>
    <w:p>
      <w:pPr>
        <w:spacing w:after="0" w:line="90" w:lineRule="exact"/>
        <w:rPr>
          <w:rFonts w:ascii="Arial" w:cs="Arial" w:eastAsia="Arial" w:hAnsi="Arial"/>
          <w:sz w:val="18"/>
          <w:szCs w:val="18"/>
          <w:color w:val="auto"/>
        </w:rPr>
      </w:pPr>
    </w:p>
    <w:p>
      <w:pPr>
        <w:ind w:left="900" w:right="80" w:hanging="446"/>
        <w:spacing w:after="0" w:line="256"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while Marvell’s former Chief Executive Officer and Chairman stated his belief that he had a good faith claim to ownership of the Final-Level Cache invention, the invention was owned by Marvell during all periods in which company resources related to such invention were deployed and, as a result, there were no errors in accounting related to the Final-Level Cache invention, and the disclosures relating to such invention contained in Marvell’s Form 10-Q for the first quarter of fiscal 2016 were not misleading; and</w:t>
      </w:r>
    </w:p>
    <w:p>
      <w:pPr>
        <w:spacing w:after="0" w:line="62" w:lineRule="exact"/>
        <w:rPr>
          <w:rFonts w:ascii="Arial" w:cs="Arial" w:eastAsia="Arial" w:hAnsi="Arial"/>
          <w:sz w:val="18"/>
          <w:szCs w:val="18"/>
          <w:color w:val="auto"/>
        </w:rPr>
      </w:pPr>
    </w:p>
    <w:p>
      <w:pPr>
        <w:ind w:left="900" w:right="120" w:hanging="446"/>
        <w:spacing w:after="0" w:line="259"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while Marvell lacked a well-structured process to establish significant and judgmental reserves associated with litigation and royalties, there was no contemporaneous evidence that the increase in the reserve ultimately recorded in Marvell’s books and records for the second quarter of fiscal 2016 was not reasonable or appropriate.</w:t>
      </w:r>
    </w:p>
    <w:p>
      <w:pPr>
        <w:spacing w:after="0" w:line="14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Audit Committee investigation also found certain “tone at the top” issues, including significant pressure on sales and finance personnel to meet revenue targets and the failure by Marvell’s former Chief Executive Officer and Chairman and by legal counsel to raise to the appropriate level at the appropriate times the initial assertion of Marvell’s former Chief Executive Officer and Chairman that he owned the Final-Level Cache invention, the patent applications for which he later assigned to Marvell.</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Management, with the participation of our principal executive officer and principal financial officer, has evaluated the effectiveness of our disclosure controls and procedures (as defined in Rule 13a-15(e) of the Exchange Act) as of August 1, 2015. Disclosure controls and procedures are designed to ensure that information required to be disclosed is recorded, processed, summarized and reported within the time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91" w:lineRule="auto"/>
        <w:rPr>
          <w:sz w:val="20"/>
          <w:szCs w:val="20"/>
          <w:color w:val="auto"/>
        </w:rPr>
      </w:pPr>
      <w:r>
        <w:rPr>
          <w:rFonts w:ascii="Arial" w:cs="Arial" w:eastAsia="Arial" w:hAnsi="Arial"/>
          <w:sz w:val="16"/>
          <w:szCs w:val="16"/>
          <w:color w:val="auto"/>
        </w:rPr>
        <w:t>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August 1, 2015 to ensure that information required to be disclosed by us in reports that we file or submit under the Exchange Act is recorded, processed, summarized and reported within the time periods specified in Securities and Exchange Commission rules and forms and is accumulated and communicated to our management, including our principal executive officer and principal financial officer, as appropriate to allow timely decisions regarding required disclosures.</w:t>
      </w:r>
    </w:p>
    <w:p>
      <w:pPr>
        <w:spacing w:after="0" w:line="12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Notwithstanding the material weaknesses in our internal controls over financial reporting as of August 1, 2015 management has concluded that the consolidated financial statements included in this Form 10-Q present fairly, in all material respects, our financial position, results of operations and cash flows for the periods presented in conformity with accounting principles generally accepted in the United States.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Material Weaknesses</w:t>
      </w:r>
    </w:p>
    <w:p>
      <w:pPr>
        <w:spacing w:after="0" w:line="9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Management concluded that we did not maintain effective internal control over financial reporting as of August 1, 2015 because of certain material weaknesses in our internal control over financial reporting as of August 1, 2015 as follows:</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i w:val="1"/>
          <w:iCs w:val="1"/>
          <w:color w:val="auto"/>
        </w:rPr>
        <w:t xml:space="preserve">Entity Level Controls </w:t>
      </w:r>
      <w:r>
        <w:rPr>
          <w:rFonts w:ascii="Arial" w:cs="Arial" w:eastAsia="Arial" w:hAnsi="Arial"/>
          <w:sz w:val="16"/>
          <w:szCs w:val="16"/>
          <w:color w:val="auto"/>
        </w:rPr>
        <w:t>– The control environment, risk assessment, control activities, information and communication, and monitoring controls were not</w:t>
      </w:r>
      <w:r>
        <w:rPr>
          <w:rFonts w:ascii="Arial" w:cs="Arial" w:eastAsia="Arial" w:hAnsi="Arial"/>
          <w:sz w:val="16"/>
          <w:szCs w:val="16"/>
          <w:i w:val="1"/>
          <w:iCs w:val="1"/>
          <w:color w:val="auto"/>
        </w:rPr>
        <w:t xml:space="preserve"> </w:t>
      </w:r>
      <w:r>
        <w:rPr>
          <w:rFonts w:ascii="Arial" w:cs="Arial" w:eastAsia="Arial" w:hAnsi="Arial"/>
          <w:sz w:val="16"/>
          <w:szCs w:val="16"/>
          <w:color w:val="auto"/>
        </w:rPr>
        <w:t>effective. These controls are the responsibility of senior management, who sets the tone of the organization, influences the control consciousness of employees, and is the foundation for internal control over financial reporting. As noted above, the Audit Committee investigation identified certain “tone at the top” issues that contributed to an ineffective control environment and to the deficiencies aggregating to the material weaknesses set forth below. The Company’s entity level controls related to assessing risk and communication of information, including the reporting of information to management and the Board of Directors, did not operate effectively as they relied upon information derived from processes where applicable controls were not fully followed.</w:t>
      </w:r>
    </w:p>
    <w:p>
      <w:pPr>
        <w:spacing w:after="0" w:line="12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i w:val="1"/>
          <w:iCs w:val="1"/>
          <w:color w:val="auto"/>
        </w:rPr>
        <w:t xml:space="preserve">Sufficiency of Accounting and Finance Department Resources </w:t>
      </w:r>
      <w:r>
        <w:rPr>
          <w:rFonts w:ascii="Arial" w:cs="Arial" w:eastAsia="Arial" w:hAnsi="Arial"/>
          <w:sz w:val="16"/>
          <w:szCs w:val="16"/>
          <w:color w:val="auto"/>
        </w:rPr>
        <w:t>– The Company had insufficient finance and accounting department resources with</w:t>
      </w:r>
      <w:r>
        <w:rPr>
          <w:rFonts w:ascii="Arial" w:cs="Arial" w:eastAsia="Arial" w:hAnsi="Arial"/>
          <w:sz w:val="16"/>
          <w:szCs w:val="16"/>
          <w:i w:val="1"/>
          <w:iCs w:val="1"/>
          <w:color w:val="auto"/>
        </w:rPr>
        <w:t xml:space="preserve"> </w:t>
      </w:r>
      <w:r>
        <w:rPr>
          <w:rFonts w:ascii="Arial" w:cs="Arial" w:eastAsia="Arial" w:hAnsi="Arial"/>
          <w:sz w:val="16"/>
          <w:szCs w:val="16"/>
          <w:color w:val="auto"/>
        </w:rPr>
        <w:t>appropriate knowledge, expertise and training commensurate with the Company’s corporate structure and financial reporting requirements to effectively assess risk, and design, operate and oversee effective internal controls over financial reporting. The Company has experienced significant turnover at the senior financial management level. The lack of certain appropriate resources in the Company’s accounting and finance departments contributed to an ineffective control environment. This lack of resources resulted in inconsistent expectations around the preparation, review and maintenance of documentation critical to the design and consistent execution of internal controls. These factors contributed to deficiencies in the Company’s financial reporting process over (i) the establishment of significant and judgmental reserves, which included reserves for litigation and royalties, (ii) the Company’s process and controls over identification, communication and approval of related party transactions, and (iii) a lack of precision in the review controls over certain information and assumptions impacting various financial reporting areas, and monitoring of the Company’s terms and conditions for certain contractual arrangements to verify that all critical contract terms were communicated to accounting and finance for assessment.</w:t>
      </w:r>
    </w:p>
    <w:p>
      <w:pPr>
        <w:spacing w:after="0" w:line="12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 The Company’s internal controls to identify, accumulate and assess the accounting impact of certain concessions or side agreements</w:t>
      </w:r>
      <w:r>
        <w:rPr>
          <w:rFonts w:ascii="Arial" w:cs="Arial" w:eastAsia="Arial" w:hAnsi="Arial"/>
          <w:sz w:val="16"/>
          <w:szCs w:val="16"/>
          <w:i w:val="1"/>
          <w:iCs w:val="1"/>
          <w:color w:val="auto"/>
        </w:rPr>
        <w:t xml:space="preserve"> </w:t>
      </w:r>
      <w:r>
        <w:rPr>
          <w:rFonts w:ascii="Arial" w:cs="Arial" w:eastAsia="Arial" w:hAnsi="Arial"/>
          <w:sz w:val="16"/>
          <w:szCs w:val="16"/>
          <w:color w:val="auto"/>
        </w:rPr>
        <w:t>on whether the Company’s revenue recognition criteria had been met were in certain instances not fully followed or were not effective. As noted above, the Audit Committee identified certain “tone at the top” issues, due to which the Company’s controls were not effective to ensure (i) consistent standards in the level of documentation of agreements required to support accurate recording of revenue transactions, and (ii) that such documentation is retained, complete, and independently reviewed to ensure certain terms impacting revenue recognition were accurately reflected in the Company’s books and records.</w:t>
      </w:r>
    </w:p>
    <w:p>
      <w:pPr>
        <w:spacing w:after="0" w:line="1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i w:val="1"/>
          <w:iCs w:val="1"/>
          <w:color w:val="auto"/>
        </w:rPr>
        <w:t xml:space="preserve">Process to Identify Contingencies, Including Those Related to the Company’s Intellectual Property – </w:t>
      </w:r>
      <w:r>
        <w:rPr>
          <w:rFonts w:ascii="Arial" w:cs="Arial" w:eastAsia="Arial" w:hAnsi="Arial"/>
          <w:sz w:val="18"/>
          <w:szCs w:val="18"/>
          <w:color w:val="auto"/>
        </w:rPr>
        <w:t>The Company’s internal controls over contingencies</w:t>
      </w:r>
      <w:r>
        <w:rPr>
          <w:rFonts w:ascii="Arial" w:cs="Arial" w:eastAsia="Arial" w:hAnsi="Arial"/>
          <w:sz w:val="18"/>
          <w:szCs w:val="18"/>
          <w:i w:val="1"/>
          <w:iCs w:val="1"/>
          <w:color w:val="auto"/>
        </w:rPr>
        <w:t xml:space="preserve"> </w:t>
      </w:r>
      <w:r>
        <w:rPr>
          <w:rFonts w:ascii="Arial" w:cs="Arial" w:eastAsia="Arial" w:hAnsi="Arial"/>
          <w:sz w:val="18"/>
          <w:szCs w:val="18"/>
          <w:color w:val="auto"/>
        </w:rPr>
        <w:t>were not effective as the Company lacked a well-structured process, including granting appropriate authority to senior legal management, to ensure the identification of actual and potential claims, and the assessment of probability of loss related to them. The Company also lacked a well-structured process to ensure the timely assignment to the Company of intellectual property.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Remediation Efforts to Address Material Weaknesses</w:t>
      </w:r>
    </w:p>
    <w:p>
      <w:pPr>
        <w:spacing w:after="0" w:line="9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Our management has worked, and continues to work, to strengthen our internal control over financial reporting. We are committed to ensuring that such controls are designed and operating effectively. Since identifying the material weaknesses in our internal control over financial reporting, we have developed and implemented remediation plans to fully address these control failures. Our Board of Directors and management take internal controls over financial reporting and the integrity of the Company’s financial statements seriously and believe that the remediation steps described below, including with respect to personnel changes, were and are essential steps to maintaining strong and effective internal controls over financial reporting and a strong internal control environment.</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Company has taken significant steps to address the material weaknesses set forth above. The Company believes that making the following changes was a critical step toward addressing the “tone at the top” concerns that contributed to the material weaknesses it has identified.</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steps are among the measures that have been implemented or will be implemented as soon as practicable after the date of this filing:</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Entity Level Controls</w:t>
      </w:r>
    </w:p>
    <w:p>
      <w:pPr>
        <w:spacing w:after="0" w:line="90" w:lineRule="exact"/>
        <w:rPr>
          <w:sz w:val="20"/>
          <w:szCs w:val="20"/>
          <w:color w:val="auto"/>
        </w:rPr>
      </w:pPr>
    </w:p>
    <w:p>
      <w:pPr>
        <w:jc w:val="both"/>
        <w:ind w:left="900" w:right="80" w:hanging="325"/>
        <w:spacing w:after="0" w:line="306" w:lineRule="auto"/>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By unanimous action of the Board of Directors, we appointed five new independent directors to our Board of Directors. Two of the new members of the Board have significant finance and accounting experience, have been appointed to the Audit Committee, and have been determined by the Board of Directors to be “audit committee financial experts” as defined in rules promulgated by the SEC.</w:t>
      </w:r>
    </w:p>
    <w:p>
      <w:pPr>
        <w:spacing w:after="0" w:line="25" w:lineRule="exact"/>
        <w:rPr>
          <w:rFonts w:ascii="Arial" w:cs="Arial" w:eastAsia="Arial" w:hAnsi="Arial"/>
          <w:sz w:val="16"/>
          <w:szCs w:val="16"/>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appointed a new Chairman of our Board of Directors.</w:t>
      </w:r>
    </w:p>
    <w:p>
      <w:pPr>
        <w:spacing w:after="0" w:line="9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recently appointed a new Chief Executive Officer who we expect will provide strong leadership to the Company and establish open lines of communication with his internal business unit leaders and external partners.</w:t>
      </w:r>
    </w:p>
    <w:p>
      <w:pPr>
        <w:spacing w:after="0" w:line="50" w:lineRule="exact"/>
        <w:rPr>
          <w:rFonts w:ascii="Arial" w:cs="Arial" w:eastAsia="Arial" w:hAnsi="Arial"/>
          <w:sz w:val="18"/>
          <w:szCs w:val="18"/>
          <w:color w:val="auto"/>
        </w:rPr>
      </w:pPr>
    </w:p>
    <w:p>
      <w:pPr>
        <w:ind w:left="900" w:right="80" w:hanging="325"/>
        <w:spacing w:after="0" w:line="259"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are actively engaged in a search for a new, permanent Chief Financial Officer who we expect will bring expertise and leadership to the Company and our finance team and establish open lines of communication with his or her internal business unit leaders and the finance and accounting team world-wide.</w:t>
      </w:r>
    </w:p>
    <w:p>
      <w:pPr>
        <w:spacing w:after="0" w:line="59" w:lineRule="exact"/>
        <w:rPr>
          <w:rFonts w:ascii="Arial" w:cs="Arial" w:eastAsia="Arial" w:hAnsi="Arial"/>
          <w:sz w:val="18"/>
          <w:szCs w:val="18"/>
          <w:color w:val="auto"/>
        </w:rPr>
      </w:pPr>
    </w:p>
    <w:p>
      <w:pPr>
        <w:ind w:left="900" w:right="160" w:hanging="325"/>
        <w:spacing w:after="0" w:line="335" w:lineRule="auto"/>
        <w:tabs>
          <w:tab w:leader="none" w:pos="900" w:val="left"/>
        </w:tabs>
        <w:numPr>
          <w:ilvl w:val="0"/>
          <w:numId w:val="7"/>
        </w:numPr>
        <w:rPr>
          <w:rFonts w:ascii="Arial" w:cs="Arial" w:eastAsia="Arial" w:hAnsi="Arial"/>
          <w:sz w:val="15"/>
          <w:szCs w:val="15"/>
          <w:color w:val="auto"/>
        </w:rPr>
      </w:pPr>
      <w:r>
        <w:rPr>
          <w:rFonts w:ascii="Arial" w:cs="Arial" w:eastAsia="Arial" w:hAnsi="Arial"/>
          <w:sz w:val="15"/>
          <w:szCs w:val="15"/>
          <w:color w:val="auto"/>
        </w:rPr>
        <w:t>We conducted a training program for our executives,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7" w:lineRule="exact"/>
        <w:rPr>
          <w:rFonts w:ascii="Arial" w:cs="Arial" w:eastAsia="Arial" w:hAnsi="Arial"/>
          <w:sz w:val="15"/>
          <w:szCs w:val="15"/>
          <w:color w:val="auto"/>
        </w:rPr>
      </w:pPr>
    </w:p>
    <w:p>
      <w:pPr>
        <w:ind w:left="900" w:right="3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 accordance with changes to the Audit Committee Charter approved by the Board on September 23, 2015, the Audit Committee now approves future earnings guidance in accordance with the Company’s normal earnings cycle.</w:t>
      </w:r>
    </w:p>
    <w:p>
      <w:pPr>
        <w:spacing w:after="0" w:line="50" w:lineRule="exact"/>
        <w:rPr>
          <w:rFonts w:ascii="Arial" w:cs="Arial" w:eastAsia="Arial" w:hAnsi="Arial"/>
          <w:sz w:val="18"/>
          <w:szCs w:val="18"/>
          <w:color w:val="auto"/>
        </w:rPr>
      </w:pPr>
    </w:p>
    <w:p>
      <w:pPr>
        <w:ind w:left="900" w:right="40" w:hanging="325"/>
        <w:spacing w:after="0" w:line="298" w:lineRule="auto"/>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In accordance with changes to the Executive Compensation Committee Charter approved by the Board on September 23, 2015, the Executive Compensation Committee now reviews and approves the compensation arrangements of any employees with a title of Associate Vice President or higher reporting directly to the Chief Executive Officer, including, but not limited to, those designated as executive officers. We believe this provides more transparent monitoring of performance of, and incentives offered to, senior management that may influence “tone at the top.”</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Sufficiency of Accounting and Finance Department Resources</w:t>
      </w:r>
    </w:p>
    <w:p>
      <w:pPr>
        <w:spacing w:after="0" w:line="90" w:lineRule="exact"/>
        <w:rPr>
          <w:sz w:val="20"/>
          <w:szCs w:val="20"/>
          <w:color w:val="auto"/>
        </w:rPr>
      </w:pPr>
    </w:p>
    <w:p>
      <w:pPr>
        <w:ind w:left="900" w:right="380" w:hanging="325"/>
        <w:spacing w:after="0" w:line="357" w:lineRule="auto"/>
        <w:tabs>
          <w:tab w:leader="none" w:pos="900" w:val="left"/>
        </w:tabs>
        <w:numPr>
          <w:ilvl w:val="0"/>
          <w:numId w:val="8"/>
        </w:numPr>
        <w:rPr>
          <w:rFonts w:ascii="Arial" w:cs="Arial" w:eastAsia="Arial" w:hAnsi="Arial"/>
          <w:sz w:val="15"/>
          <w:szCs w:val="15"/>
          <w:color w:val="auto"/>
        </w:rPr>
      </w:pPr>
      <w:r>
        <w:rPr>
          <w:rFonts w:ascii="Arial" w:cs="Arial" w:eastAsia="Arial" w:hAnsi="Arial"/>
          <w:sz w:val="15"/>
          <w:szCs w:val="15"/>
          <w:color w:val="auto"/>
        </w:rPr>
        <w:t>We are actively engaged in a search for a new Chief Financial Officer who we expect will provide strong leadership to the Company and, in particular, to our finance and accounting function, and establish open lines of communication with his or her staff and internal business partners.</w:t>
      </w:r>
    </w:p>
    <w:p>
      <w:pPr>
        <w:ind w:left="900" w:right="160" w:hanging="325"/>
        <w:spacing w:after="0" w:line="306" w:lineRule="auto"/>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We have hired a new Senior Vice President of Finance and a new Assistant Controller to increase the depth and breadth of knowledge and expertise commensurate with the Company’s corporate structure and financial reporting requirements. These new finance team members will support the Company’s substantial efforts to design, operate and oversee effective internal controls over financial reporting.</w:t>
      </w:r>
    </w:p>
    <w:p>
      <w:pPr>
        <w:spacing w:after="0" w:line="25" w:lineRule="exact"/>
        <w:rPr>
          <w:rFonts w:ascii="Arial" w:cs="Arial" w:eastAsia="Arial" w:hAnsi="Arial"/>
          <w:sz w:val="16"/>
          <w:szCs w:val="16"/>
          <w:color w:val="auto"/>
        </w:rPr>
      </w:pPr>
    </w:p>
    <w:p>
      <w:pPr>
        <w:ind w:left="900" w:hanging="325"/>
        <w:spacing w:after="0" w:line="259"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are actively engaged in a search for a new Chief Accounting Officer and Controller who we expect will bring additional technical expertise to our finance and accounting function and will support the Company’s substantial efforts to design, operate and oversee effective internal controls over financial reporting.</w:t>
      </w:r>
    </w:p>
    <w:p>
      <w:pPr>
        <w:spacing w:after="0" w:line="59" w:lineRule="exact"/>
        <w:rPr>
          <w:rFonts w:ascii="Arial" w:cs="Arial" w:eastAsia="Arial" w:hAnsi="Arial"/>
          <w:sz w:val="18"/>
          <w:szCs w:val="18"/>
          <w:color w:val="auto"/>
        </w:rPr>
      </w:pPr>
    </w:p>
    <w:p>
      <w:pPr>
        <w:ind w:left="900" w:right="100" w:hanging="325"/>
        <w:spacing w:after="0" w:line="259"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continue to enhance the Company’s finance and accounting department staff, in terms of both number and competency of personnel, particularly in the area of revenue recognition and technical accounting. We expect our new senior finance team to contribute their substantial experience and abilities to raise the level of expertise across the finance and accounting teams.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20" w:hanging="325"/>
        <w:spacing w:after="0" w:line="255"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Audit Committee directed our Interim Chief Financial Officer, in coordination with our new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61" w:lineRule="exact"/>
        <w:rPr>
          <w:rFonts w:ascii="Arial" w:cs="Arial" w:eastAsia="Arial" w:hAnsi="Arial"/>
          <w:sz w:val="18"/>
          <w:szCs w:val="18"/>
          <w:color w:val="auto"/>
        </w:rPr>
      </w:pPr>
    </w:p>
    <w:p>
      <w:pPr>
        <w:ind w:left="900" w:right="100" w:hanging="325"/>
        <w:spacing w:after="0" w:line="332"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We are in the process of developing a roles and responsibilities matrix for our key accounting and operations personnel to incorporate segregation of duties considerations. We expect our incoming senior finance personnel to contribute their significant expertise to this process.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Revenue Recognition</w:t>
      </w:r>
    </w:p>
    <w:p>
      <w:pPr>
        <w:spacing w:after="0" w:line="90" w:lineRule="exact"/>
        <w:rPr>
          <w:sz w:val="20"/>
          <w:szCs w:val="20"/>
          <w:color w:val="auto"/>
        </w:rPr>
      </w:pPr>
    </w:p>
    <w:p>
      <w:pPr>
        <w:ind w:left="900" w:right="6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have revised our revenue recognition policy to prohibit Company-initiated “pull-in” transactions. For fiscal 2017, “pull ins” will have no meaningful effect on our revenue.</w:t>
      </w:r>
    </w:p>
    <w:p>
      <w:pPr>
        <w:spacing w:after="0" w:line="50" w:lineRule="exact"/>
        <w:rPr>
          <w:rFonts w:ascii="Arial" w:cs="Arial" w:eastAsia="Arial" w:hAnsi="Arial"/>
          <w:sz w:val="18"/>
          <w:szCs w:val="18"/>
          <w:color w:val="auto"/>
        </w:rPr>
      </w:pPr>
    </w:p>
    <w:p>
      <w:pPr>
        <w:ind w:left="900" w:right="160" w:hanging="325"/>
        <w:spacing w:after="0" w:line="256"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As noted above, we conducted a training program for our executive officers,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Process to Identify Contingencies, Including Those Related to the Company’s Intellectual Property</w:t>
      </w:r>
      <w:r>
        <w:rPr>
          <w:rFonts w:ascii="Arial" w:cs="Arial" w:eastAsia="Arial" w:hAnsi="Arial"/>
          <w:sz w:val="18"/>
          <w:szCs w:val="18"/>
          <w:color w:val="auto"/>
        </w:rPr>
        <w:t>.</w:t>
      </w:r>
    </w:p>
    <w:p>
      <w:pPr>
        <w:spacing w:after="0" w:line="90" w:lineRule="exact"/>
        <w:rPr>
          <w:sz w:val="20"/>
          <w:szCs w:val="20"/>
          <w:color w:val="auto"/>
        </w:rPr>
      </w:pPr>
    </w:p>
    <w:p>
      <w:pPr>
        <w:ind w:left="900" w:right="240" w:hanging="325"/>
        <w:spacing w:after="0" w:line="332" w:lineRule="auto"/>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Audit Committee directed the Company to hire a Chief Legal Officer, such position having the authority of an executive officer (as defined in SEC rules) and to be deemed as such. The Company has hired a new Executive Vice President and Chief Legal Officer to fill this role.</w:t>
      </w:r>
    </w:p>
    <w:p>
      <w:pPr>
        <w:spacing w:after="0" w:line="4" w:lineRule="exact"/>
        <w:rPr>
          <w:rFonts w:ascii="Arial" w:cs="Arial" w:eastAsia="Arial" w:hAnsi="Arial"/>
          <w:sz w:val="16"/>
          <w:szCs w:val="16"/>
          <w:color w:val="auto"/>
        </w:rPr>
      </w:pPr>
    </w:p>
    <w:p>
      <w:pPr>
        <w:ind w:left="900" w:hanging="325"/>
        <w:spacing w:after="0" w:line="298" w:lineRule="auto"/>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Audit Committee directed the Interim CFO, in coordination with the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31" w:lineRule="exact"/>
        <w:rPr>
          <w:rFonts w:ascii="Arial" w:cs="Arial" w:eastAsia="Arial" w:hAnsi="Arial"/>
          <w:sz w:val="16"/>
          <w:szCs w:val="16"/>
          <w:color w:val="auto"/>
        </w:rPr>
      </w:pPr>
    </w:p>
    <w:p>
      <w:pPr>
        <w:ind w:left="900" w:right="80" w:hanging="325"/>
        <w:spacing w:after="0" w:line="259"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We are in the process of adopting an updated patent disclosure and assignment policy that includes augmented procedures for review of claims of individual ownership and enhanced processes with respect to patent disclosure and assignment. We expect our new Chief Legal Officer to contribute his significant experience to this process.</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Audit Committee has directed management to develop a detailed plan and timetable for the completion of the implementation of the foregoing remedial measures and will monitor their implementation. In addition, under the direction of the Audit Committee, management will continue to review and make necessary changes to the overall design of our internal control environment, as well as to our policies and procedures in order to improve the overall effectiveness of internal control over financial reporting.</w:t>
      </w:r>
    </w:p>
    <w:p>
      <w:pPr>
        <w:spacing w:after="0" w:line="14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Aside from the above remediations, we reconstituted the memberships and chairmanships of the audit committee, the executive compensation committee and the nominating and governance committee.</w:t>
      </w:r>
    </w:p>
    <w:p>
      <w:pPr>
        <w:spacing w:after="0" w:line="132"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We are committed to maintaining a strong internal control environment, and believe that these remediation actions represent significant improvements in our controls. Additional remediation measures continue to be considered and will be implemented as appropriate. We will continue to assess the effectiveness of our remediation efforts in connection with our evaluations of internal control over financial reporting.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During the quarter ended August 1, 2015, and extending through the quarter ended October 30, 2015, changes in our internal control over financial reporting that materially affected or are reasonably likely to materially affect our internal control over financial reporting were as follows:</w:t>
      </w:r>
    </w:p>
    <w:p>
      <w:pPr>
        <w:spacing w:after="0" w:line="8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Our Chief Financial Officer retired in May 2015 prior to our earnings release for the first quarter of fiscal 2016 and the filing of our Form 10-Q for the first quarter of fiscal 2016. On May 22, 2015, we appointed our Vice President, Financial Planning and Analysis, as interim Chief Financial Officer and he transitioned from that position to SVP, Corporate Development and Strategy, FP&amp;A and Investor Relations on October 7, 2015. On October 16, 2015, we appointed David Eichler as our Interim Chief Financial Officer.</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Our Vice President and Corporate Controller resigned prior to our earnings release for the second quarter of fiscal 2016 and the filing of our Form 10-Q for the second quarter of fiscal 2016. Our Form 10-Q for the second quarter of fiscal 2016 was not filed when due and the Audit Committee commenced an independent investigation as described above. The Company’s independent public accounting firm, PricewaterhouseCoopers, then resigned from our account in October 2015.</w:t>
      </w:r>
    </w:p>
    <w:p>
      <w:pPr>
        <w:spacing w:after="0" w:line="143"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In the interim period between August 2015 and December 2015, the controllership role was shared by several senior managers in the finance and accounting departments, including our Vice President/Treasurer, our Vice President/Corporate Tax and our Director/Internal Audit. Our previous Finance Director of Marvell’s Israel business then assumed the role of acting Controller/Assistant Controller until such time as we hired a new Controller in December 2015.</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540" w:hanging="325"/>
        <w:spacing w:after="0" w:line="332" w:lineRule="auto"/>
        <w:tabs>
          <w:tab w:leader="none" w:pos="9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February 2, 2014 through August 1, 2015, our common shares traded as low as $11.65 and as high as $16.78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semiconductor industry and specifically the data storage, networking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expect competition to continue to increase as industry standards continue to evolve and become better known, and others realize the market potential of this trend to platform integration.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Some of our competitors may be better situated to meet changing customer needs.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1"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addition, semiconductor providers have experienced consolidation over the past several years. For example, Avago Technologies Limited (which has renamed itself as Broadcom Limited (“Broadcom”) acquired Broadcom Corporation in February 2016 and LSI Corporation in May 2014, Intel acquired Altera Corporation in December 2015 and NXP Semiconductors acquired Freescale Semiconductor, Ltd. These transactions and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 For example, in fiscal 2016, our revenue was negatively affected by a meaningful decline in overall HDD unit demand.</w:t>
      </w:r>
    </w:p>
    <w:p>
      <w:pPr>
        <w:spacing w:after="0" w:line="107"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addition, the HDD industry experienced consolidation in the past. For example, Western Digital completed the acquisition of Hitachi’s HDD unit in March 2012, Seagate Technology PLC (“Seagate”) completed the acquisition of Samsung’s HDD unit in December 2011 and Toshiba acquired the HDD operations of Fujitsu during fiscal 2010.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380"/>
          </w:cols>
          <w:pgMar w:left="240" w:top="459" w:right="27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could become a source of competition to manufacturers of HDDs. Although we offer SSD controllers, leveraging our technology in hard drives, we cannot ensure we will be able to maintain significant market share if demand for traditional HDDs decreases. Additionally, we depend on a few customers for our SSD controllers and as such, the loss of any SSD controller customer or a significant reduction in sales we make to them (for example, as a result of a significant drop in market share) may harm our financial condition and results of operations.</w:t>
      </w:r>
    </w:p>
    <w:p>
      <w:pPr>
        <w:spacing w:after="0" w:line="225"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33% and 30% of our net revenue for the six months ended August 1, 2015 and August 2, 2014,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 (for example, a significant customer of our SSD products has recently seen a significant drop in its market share);</w:t>
      </w:r>
    </w:p>
    <w:p>
      <w:pPr>
        <w:spacing w:after="0" w:line="5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 (for example, in September 2014, Seagate acquired the SSD business from Broadcom);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w:t>
      </w:r>
    </w:p>
    <w:p>
      <w:pPr>
        <w:spacing w:after="0" w:line="252"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or to stop selling our products or force us to redesign our products.</w:t>
      </w:r>
    </w:p>
    <w:p>
      <w:pPr>
        <w:spacing w:after="0" w:line="59"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Consolidated Financial Statements set forth in Part I, Item 1 of this Quarterly Report on Form 10-Q (“Note 10”) for a more detailed description of a number of the litigation matters we are currently engaged in.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the settlement of a lawsuit with Carnegie Mellon University resulted in a payment by us of $750 million as described further in Note 10.</w:t>
      </w:r>
    </w:p>
    <w:p>
      <w:pPr>
        <w:spacing w:after="0" w:line="118"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particularly those related to storage technology, microprocessors and other circuit components.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5" w:lineRule="exact"/>
        <w:rPr>
          <w:sz w:val="20"/>
          <w:szCs w:val="20"/>
          <w:color w:val="auto"/>
        </w:rPr>
      </w:pPr>
    </w:p>
    <w:p>
      <w:pPr>
        <w:ind w:left="900" w:right="44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Additionally,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1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damage to our reputation or relationship with third parties, which could materially and adversely affect our business, financial condition, results of operations, cash flows and our stock price.</w:t>
      </w:r>
    </w:p>
    <w:p>
      <w:pPr>
        <w:spacing w:after="0" w:line="194" w:lineRule="exact"/>
        <w:rPr>
          <w:sz w:val="20"/>
          <w:szCs w:val="20"/>
          <w:color w:val="auto"/>
        </w:rPr>
      </w:pPr>
    </w:p>
    <w:p>
      <w:pPr>
        <w:ind w:right="440"/>
        <w:spacing w:after="0" w:line="268" w:lineRule="auto"/>
        <w:rPr>
          <w:sz w:val="20"/>
          <w:szCs w:val="20"/>
          <w:color w:val="auto"/>
        </w:rPr>
      </w:pPr>
      <w:r>
        <w:rPr>
          <w:rFonts w:ascii="Arial" w:cs="Arial" w:eastAsia="Arial" w:hAnsi="Arial"/>
          <w:sz w:val="18"/>
          <w:szCs w:val="18"/>
          <w:b w:val="1"/>
          <w:bCs w:val="1"/>
          <w:i w:val="1"/>
          <w:iCs w:val="1"/>
          <w:color w:val="auto"/>
        </w:rPr>
        <w:t>We identified material weaknesses in our internal controls over financial reporting, and we may be unable to develop, implement and maintain effective internal controls in future periods.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Sarbanes-Oxley Act of 2002 and SEC rules require that management report annually on the effectiveness of our internal control over financial reporting and our disclosure controls and procedures. Among other things, management must conduct an assessment of our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January 30, 2016. The specific material weaknesses are described in Part II - Item 9A. “Controls and Procedures” of our Form 10-K in “Management’s Report on Internal Control over Financial Reporting.” 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on a timely basis.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127"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Even when we have remediated our material weaknesses, 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99"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51"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As previously disclosed in our public filings, the Audit Committee of our Board of Directors has recently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applications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meeting our periodic reports on the confidence of investors, employees and customers, and the diversion of the attention of the management team that has occurred, and is expected to continue, has adversely affected, and could continue to adversely affect, our business, financial condition and results of operations or cash flows. As a result of the delay in filing of our periodic reports, we are not eligible to use a registration statement on Form S-3, and will not be eligible to use that form until we have timely filed all periodic reports required by the SEC for one year, which may make it more difficult, costly or time consuming for us to raise capital if we should choose to do so.</w:t>
      </w:r>
    </w:p>
    <w:p>
      <w:pPr>
        <w:spacing w:after="0" w:line="118"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 xml:space="preserve">As a result of the matter reported above, we are exposed to greater risks associated with litigation, regulatory proceedings and government enforcement actions. In addition, securities class actions or other lawsuits have been filed against us, our directors and officers (see also, </w:t>
      </w:r>
      <w:r>
        <w:rPr>
          <w:rFonts w:ascii="Arial" w:cs="Arial" w:eastAsia="Arial" w:hAnsi="Arial"/>
          <w:sz w:val="18"/>
          <w:szCs w:val="18"/>
          <w:i w:val="1"/>
          <w:iCs w:val="1"/>
          <w:color w:val="auto"/>
        </w:rPr>
        <w:t>“We are subject to pending securities</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class action and shareholder derivative legal proceedings” </w:t>
      </w:r>
      <w:r>
        <w:rPr>
          <w:rFonts w:ascii="Arial" w:cs="Arial" w:eastAsia="Arial" w:hAnsi="Arial"/>
          <w:sz w:val="18"/>
          <w:szCs w:val="18"/>
          <w:color w:val="auto"/>
        </w:rPr>
        <w:t>below). Any future such investigations or additional lawsuits may adversely affect our business,</w:t>
      </w:r>
      <w:r>
        <w:rPr>
          <w:rFonts w:ascii="Arial" w:cs="Arial" w:eastAsia="Arial" w:hAnsi="Arial"/>
          <w:sz w:val="18"/>
          <w:szCs w:val="18"/>
          <w:i w:val="1"/>
          <w:iCs w:val="1"/>
          <w:color w:val="auto"/>
        </w:rPr>
        <w:t xml:space="preserve"> </w:t>
      </w:r>
      <w:r>
        <w:rPr>
          <w:rFonts w:ascii="Arial" w:cs="Arial" w:eastAsia="Arial" w:hAnsi="Arial"/>
          <w:sz w:val="18"/>
          <w:szCs w:val="18"/>
          <w:color w:val="auto"/>
        </w:rPr>
        <w:t>financial condition, results of operations and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pending securities class action and shareholder derivative legal proceedings.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 We also have been named as a nominal defendant in a shareholder derivative lawsuit filed in fiscal 2016 concerning our announcement of the audit committee investigation. No specific amounts of damages have been alleged in the class action lawsuits and, by the nature of the lawsuits, no damages will be alleged against Marvell in the derivative lawsuit.</w:t>
      </w:r>
    </w:p>
    <w:p>
      <w:pPr>
        <w:spacing w:after="0" w:line="14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We will continue to incur legal fees in connection with these pending cases, including expenses for the reimbursement of legal fees of present and former officers and directors under indemnification obligations. The expense of continuing to defend such litigation may be significant. We intend to defend these lawsuits vigorously, however there can be no assurance that we will be successful in any defense. If any of the lawsuits related to our audit committee investigation are adversely decided, we may be liable for significant damages directly or under our indemnification obligations, which could adversely affect our business, results of operations and cash flows. Further, the amount of time that will be required to resolve these lawsuits is unpredictable and these actions may divert management’s attention from the day-to-day operations of our business, which could adversely affect our business, results of operations and cash flows.</w:t>
      </w:r>
    </w:p>
    <w:p>
      <w:pPr>
        <w:spacing w:after="0" w:line="20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51"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II—Item 1, “Legal Proceedings.”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to not be entitled to indemnification, we may not be able to recover the amounts we previously advanced to them.</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we have incurred significant expenses in connection with the Audit Committee’s independent investigation, the pending government investigations, and the shareholder litigation.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business, financial condition, results of operations or cash flows.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459" w:right="2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38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revenues,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experience difficulties in transitioning to smaller geometry process technologies or in achieving higher levels of design integration, which may result in reduced manufacturing yields, delays in product deliveries and increased expenses.” </w:t>
      </w:r>
      <w:r>
        <w:rPr>
          <w:rFonts w:ascii="Arial" w:cs="Arial" w:eastAsia="Arial" w:hAnsi="Arial"/>
          <w:sz w:val="16"/>
          <w:szCs w:val="16"/>
          <w:color w:val="auto"/>
        </w:rPr>
        <w:t>Moreover, if any of our third-party foundry suppliers are unable to secure necessary</w:t>
      </w:r>
      <w:r>
        <w:rPr>
          <w:rFonts w:ascii="Arial" w:cs="Arial" w:eastAsia="Arial" w:hAnsi="Arial"/>
          <w:sz w:val="16"/>
          <w:szCs w:val="16"/>
          <w:i w:val="1"/>
          <w:iCs w:val="1"/>
          <w:color w:val="auto"/>
        </w:rPr>
        <w:t xml:space="preserve"> </w:t>
      </w:r>
      <w:r>
        <w:rPr>
          <w:rFonts w:ascii="Arial" w:cs="Arial" w:eastAsia="Arial" w:hAnsi="Arial"/>
          <w:sz w:val="16"/>
          <w:szCs w:val="16"/>
          <w:color w:val="auto"/>
        </w:rPr>
        <w:t>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revenues, net income and cash flow.</w:t>
      </w:r>
    </w:p>
    <w:p>
      <w:pPr>
        <w:spacing w:after="0" w:line="11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348"/>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6"/>
          <w:szCs w:val="16"/>
          <w:i w:val="1"/>
          <w:iCs w:val="1"/>
          <w:color w:val="auto"/>
        </w:rPr>
        <w:t>Costs related to defective products could have a material adverse effect on us</w:t>
      </w:r>
      <w:r>
        <w:rPr>
          <w:rFonts w:ascii="Arial" w:cs="Arial" w:eastAsia="Arial" w:hAnsi="Arial"/>
          <w:sz w:val="16"/>
          <w:szCs w:val="16"/>
          <w:color w:val="auto"/>
        </w:rPr>
        <w:t>.”</w:t>
      </w:r>
    </w:p>
    <w:p>
      <w:pPr>
        <w:spacing w:after="0" w:line="118" w:lineRule="exact"/>
        <w:rPr>
          <w:sz w:val="20"/>
          <w:szCs w:val="20"/>
          <w:color w:val="auto"/>
        </w:rPr>
      </w:pPr>
    </w:p>
    <w:p>
      <w:pPr>
        <w:ind w:right="60" w:firstLine="456"/>
        <w:spacing w:after="0" w:line="370" w:lineRule="auto"/>
        <w:rPr>
          <w:sz w:val="20"/>
          <w:szCs w:val="20"/>
          <w:color w:val="auto"/>
        </w:rPr>
      </w:pPr>
      <w:r>
        <w:rPr>
          <w:rFonts w:ascii="Arial" w:cs="Arial" w:eastAsia="Arial" w:hAnsi="Arial"/>
          <w:sz w:val="15"/>
          <w:szCs w:val="15"/>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ectPr>
          <w:pgSz w:w="11900" w:h="16838" w:orient="portrait"/>
          <w:cols w:equalWidth="0" w:num="1">
            <w:col w:w="11360"/>
          </w:cols>
          <w:pgMar w:left="240" w:top="459" w:right="299" w:bottom="1440" w:gutter="0" w:footer="0" w:header="0"/>
        </w:sectPr>
      </w:pPr>
    </w:p>
    <w:p>
      <w:pPr>
        <w:spacing w:after="0" w:line="49" w:lineRule="exact"/>
        <w:rPr>
          <w:sz w:val="20"/>
          <w:szCs w:val="20"/>
          <w:color w:val="auto"/>
        </w:rPr>
      </w:pPr>
    </w:p>
    <w:p>
      <w:pPr>
        <w:jc w:val="center"/>
        <w:ind w:right="-59"/>
        <w:spacing w:after="0"/>
        <w:rPr>
          <w:sz w:val="20"/>
          <w:szCs w:val="20"/>
          <w:color w:val="auto"/>
        </w:rPr>
      </w:pPr>
      <w:r>
        <w:rPr>
          <w:rFonts w:ascii="Arial" w:cs="Arial" w:eastAsia="Arial" w:hAnsi="Arial"/>
          <w:sz w:val="16"/>
          <w:szCs w:val="16"/>
          <w:color w:val="auto"/>
        </w:rPr>
        <w:t>48</w:t>
      </w:r>
    </w:p>
    <w:p>
      <w:pPr>
        <w:sectPr>
          <w:pgSz w:w="11900" w:h="16838" w:orient="portrait"/>
          <w:cols w:equalWidth="0" w:num="1">
            <w:col w:w="11360"/>
          </w:cols>
          <w:pgMar w:left="240" w:top="459" w:right="299" w:bottom="1440" w:gutter="0" w:footer="0" w:header="0"/>
          <w:type w:val="continuous"/>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that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For example, we believe the success of Final-Level Cache (“FLC</w:t>
      </w:r>
      <w:r>
        <w:rPr>
          <w:rFonts w:ascii="Arial" w:cs="Arial" w:eastAsia="Arial" w:hAnsi="Arial"/>
          <w:sz w:val="10"/>
          <w:szCs w:val="10"/>
          <w:color w:val="auto"/>
        </w:rPr>
        <w:t>TM</w:t>
      </w:r>
      <w:r>
        <w:rPr>
          <w:rFonts w:ascii="Arial" w:cs="Arial" w:eastAsia="Arial" w:hAnsi="Arial"/>
          <w:sz w:val="16"/>
          <w:szCs w:val="16"/>
          <w:color w:val="auto"/>
        </w:rPr>
        <w:t>”) technology may be an important factor in the future growth of the company. If FLC technology fails to function in actual product development at the level required for market acceptance, or if our customers do not readily embrace the technology as quickly as we would anticipate, our future results may be impacted. No revenue was derived from FLC related products in fiscal 2016 and we anticipate no revenue in fiscal 2017 as these products are still in development. See also, “</w:t>
      </w:r>
      <w:r>
        <w:rPr>
          <w:rFonts w:ascii="Arial" w:cs="Arial" w:eastAsia="Arial" w:hAnsi="Arial"/>
          <w:sz w:val="16"/>
          <w:szCs w:val="16"/>
          <w:i w:val="1"/>
          <w:iCs w:val="1"/>
          <w:color w:val="auto"/>
        </w:rPr>
        <w:t>We may be unable to protect our</w:t>
      </w:r>
      <w:r>
        <w:rPr>
          <w:rFonts w:ascii="Arial" w:cs="Arial" w:eastAsia="Arial" w:hAnsi="Arial"/>
          <w:sz w:val="16"/>
          <w:szCs w:val="16"/>
          <w:color w:val="auto"/>
        </w:rPr>
        <w:t xml:space="preserve"> </w:t>
      </w:r>
      <w:r>
        <w:rPr>
          <w:rFonts w:ascii="Arial" w:cs="Arial" w:eastAsia="Arial" w:hAnsi="Arial"/>
          <w:sz w:val="16"/>
          <w:szCs w:val="16"/>
          <w:i w:val="1"/>
          <w:iCs w:val="1"/>
          <w:color w:val="auto"/>
        </w:rPr>
        <w:t>intellectual property, which would negatively affect our ability to compete.”</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in a timely manner. Even if we and our customers introduce new and enhanced products to the market, those products may not achieve market acceptance.</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18"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6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118"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4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 portion of our inventory is held by, and net revenues are derived from, sales through third-party logistics providers, whereby revenues are recognized when product is pulled from stock by the end customer. From time to time, our customers will take early delivery of product at the end of a fiscal quarter that was scheduled for delivery in the following fiscal quarter, which we internally refer to as “pull-ins” if the early delivery was requested by Marvell. Variation in timing of large orders and our ability to effectively manage required inventory levels may be impacted by such arrangements, including increased expenses associated with excess or obsolete inventory and volatility in timing of revenues recognized period to period. Our operating results under these arrangements may vary significantly from quarter to quarter based on fluctuations in demand and our ability to deliver on forecasted customer orders. Beginning in fiscal 2017, our policy is not to engage in pull-in transactions and we therefore do not expect them to have any meaningful impact on our net revenue in future periods.</w:t>
      </w:r>
    </w:p>
    <w:p>
      <w:pPr>
        <w:spacing w:after="0" w:line="199"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occur as anticipated, our profitability could be adversely affected due to our higher expense levels.</w:t>
      </w:r>
    </w:p>
    <w:p>
      <w:pPr>
        <w:spacing w:after="0" w:line="123" w:lineRule="exact"/>
        <w:rPr>
          <w:sz w:val="20"/>
          <w:szCs w:val="20"/>
          <w:color w:val="auto"/>
        </w:rPr>
      </w:pPr>
    </w:p>
    <w:p>
      <w:pPr>
        <w:ind w:right="200" w:firstLine="456"/>
        <w:spacing w:after="0" w:line="289" w:lineRule="auto"/>
        <w:rPr>
          <w:sz w:val="20"/>
          <w:szCs w:val="20"/>
          <w:color w:val="auto"/>
        </w:rPr>
      </w:pPr>
      <w:r>
        <w:rPr>
          <w:rFonts w:ascii="Arial" w:cs="Arial" w:eastAsia="Arial" w:hAnsi="Arial"/>
          <w:sz w:val="16"/>
          <w:szCs w:val="16"/>
          <w:color w:val="auto"/>
        </w:rPr>
        <w:t>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99"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lengthy product development coupled with challenging macroeconomic conditions could adversely impact our results of operations.</w:t>
      </w:r>
    </w:p>
    <w:p>
      <w:pPr>
        <w:spacing w:after="0" w:line="22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ensure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80" w:firstLine="456"/>
        <w:spacing w:after="0" w:line="308" w:lineRule="auto"/>
        <w:rPr>
          <w:sz w:val="20"/>
          <w:szCs w:val="20"/>
          <w:color w:val="auto"/>
        </w:rPr>
      </w:pPr>
      <w:r>
        <w:rPr>
          <w:rFonts w:ascii="Arial" w:cs="Arial" w:eastAsia="Arial" w:hAnsi="Arial"/>
          <w:sz w:val="15"/>
          <w:szCs w:val="15"/>
          <w:color w:val="auto"/>
        </w:rPr>
        <w:t>We had approximately $2.0 billion of goodwill and $24.6 million of acquired intangible assets, net on our consolidated balance sheet as of August 1, 2015.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We have identified that our business operates as a single operating segment with two components (Storage, and Smart Networked Devices and Solutions),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may have an impairment of goodwill in one of our reporting units.</w:t>
      </w:r>
    </w:p>
    <w:p>
      <w:pPr>
        <w:spacing w:after="0" w:line="109"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59"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qualified personnel, our ability to develop and successfully market our products could be harmed. We have undergone significant management changes which could affect our implementation of our business strategy.</w:t>
      </w:r>
    </w:p>
    <w:p>
      <w:pPr>
        <w:spacing w:after="0" w:line="59"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and the inability to attract qualified personnel, including hardware and software engineers and sales and marketing personnel could delay the development and introduction of and harm our ability to sell our products. Additionally, we typically do not enter into employment agreements with any of our key technical personnel and the loss of such personnel could harm our business, as their knowledge of our business and industry would be extremely difficult to replace.</w:t>
      </w:r>
    </w:p>
    <w:p>
      <w:pPr>
        <w:spacing w:after="0" w:line="144"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recent years, we have experienced significant senior management turnover, including the departure of our Chief Executive Officer, Sehat Sutardja, and our President, Weili Dai, as officers and employees of the Company, effective April 1, 2016, and the retirement of our former Chief Financial Officer in May 2015. Our board of directors recently appointed our new President and Chief Executive Officer, who will assume his duties as the Company’s principal executive officer immediately following the filing of our Quarterly Report on Form 10-Q for the second fiscal quarter of 2017, and is conducting a formal search to identify a new, permanent Chief Financial Officer. In addition, our board of directors has designated our Chairman of the Board, Richard S. Hill, as the Company’s Interim Principal Executive Officer until we file our Quarterly Report on Form 10-Q for the second fiscal quarter of 2017.</w:t>
      </w:r>
    </w:p>
    <w:p>
      <w:pPr>
        <w:spacing w:after="0" w:line="12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marketplace for such key employees is very competitive and limited. Our growth may be adversely impacted if we are unable to attract and retain key employees. In addition, turnover of senior management can adversely impact our stock price, our results of operations and our client relationships and has made recruiting for future management positions more difficult. We have recently added a number of new executive officers in addition to our President and Chief Executive Officer, including our new Executive Vice President, Marketing and Sales, our Executive Vice President and Chief Legal Officer, our Chief Operations Officer and our Senior Vice President of Finance. Although the individual members of our senior management team have significant experience, they, and the Chief Financial Officer we hire, previously have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199"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with operations in Asia represented approximately 95% of our net revenue in the six months ended August 1, 2015, 96% of our net revenue in fiscal 2015 and 95% of our net revenue in fiscal 2014.</w:t>
      </w:r>
    </w:p>
    <w:p>
      <w:pPr>
        <w:spacing w:after="0" w:line="1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6"/>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00"/>
          </w:cols>
          <w:pgMar w:left="240" w:top="459" w:right="2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Despite our testing procedures, we cannot ensure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the process of identifying a recalled product in devices that have been widely distributed may be lengthy and require significant resources and we may have difficulty identifying the end customers of the defective products in the field, which may cause us to incur significant replacement costs, contract damage claims from our customers and further reputational harm. Any of these problems could materially adversely affect our results of operations.</w:t>
      </w:r>
    </w:p>
    <w:p>
      <w:pPr>
        <w:spacing w:after="0" w:line="20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5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62" w:lineRule="exact"/>
        <w:rPr>
          <w:sz w:val="20"/>
          <w:szCs w:val="20"/>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possible material weaknesses in internal control over financial reporting;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expenses including legal, administrative and compensation expenses related to newly hired or terminated employees;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90" w:lineRule="exact"/>
        <w:rPr>
          <w:rFonts w:ascii="Arial" w:cs="Arial" w:eastAsia="Arial" w:hAnsi="Arial"/>
          <w:sz w:val="18"/>
          <w:szCs w:val="18"/>
          <w:color w:val="auto"/>
        </w:rPr>
      </w:pPr>
    </w:p>
    <w:p>
      <w:pPr>
        <w:ind w:left="900" w:right="90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unavailability of acquisition financing or unavailability of such financing on reasonable terms.</w:t>
      </w:r>
    </w:p>
    <w:p>
      <w:pPr>
        <w:spacing w:after="0" w:line="17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Any acquired business, technology, service or product could significantly under-perform relative to our expectations, and may not achieve the benefits we expect from possible acquisitions. For all these reasons, our pursuit of an acquisition, investment, divestiture, merger or joint venture could cause its actual results to differ materially from those anticipated.</w:t>
      </w:r>
    </w:p>
    <w:p>
      <w:pPr>
        <w:spacing w:after="0" w:line="22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Our subsidiary in Switzerland also had tax incentives on revenues from research and design, and wafer supply trading activities, which expired at the end of fiscal 2016.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21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113" w:lineRule="exact"/>
        <w:rPr>
          <w:sz w:val="20"/>
          <w:szCs w:val="20"/>
          <w:color w:val="auto"/>
        </w:rPr>
      </w:pPr>
    </w:p>
    <w:p>
      <w:pPr>
        <w:jc w:val="both"/>
        <w:ind w:right="100" w:firstLine="456"/>
        <w:spacing w:after="0" w:line="298"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or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2016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9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and the failure of or security breaches of any critical information technology system may result in serious harm to our reputation, business, results of operations and/or financial condition.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natural disasters, viruses, destructive or inadequate code, malware, power failures, cyber-attacks, and other events. We have implemented processes for systems under our control intended to mitigate risks, however, there can be no guarantee that they will be effective in mitigating those risks. Given the frequency of cyber attacks and resulting breaches reported by other businesses and governments, it is likely we will experience one or more breaches of some extent in the future. We may incur significant costs in order to implement, maintain and/or update security systems that we feel are necessary to protect our information systems or we may miscalculate the level investment necessary to protect our systems adequately. To the extent that any system failure, accident or security breach results in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and we currently have a disagreement with our former Chief Executive Officer, Dr. Sehat Sutardja, regarding his claim to ownership of the Final-Level Cache intellectual property. To the extent that any third party has a claim to ownership of any relevant technologies used in our products, we may not be able to recognize the full revenue stream from such relevant technologies.</w:t>
      </w:r>
    </w:p>
    <w:p>
      <w:pPr>
        <w:spacing w:after="0" w:line="12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May 2012, we announced the declaration of our first quarterly cash dividend. Future payment of a regular quarterly cash dividend on our common shares will be subject to, among other things, the best interests of our company, our results of operations, cash balances and future cash requirements, financial condition, statutory requirements under Bermuda law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Additionally, the second surety bond, issued in connection with the patent litigation action with CMU, and commitment from the sureties are secured by our campus located in Santa Clara, California.</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00"/>
          </w:cols>
          <w:pgMar w:left="240" w:top="459" w:right="2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jc w:val="both"/>
        <w:ind w:right="280"/>
        <w:spacing w:after="0" w:line="357" w:lineRule="auto"/>
        <w:rPr>
          <w:sz w:val="20"/>
          <w:szCs w:val="20"/>
          <w:color w:val="auto"/>
        </w:rPr>
      </w:pPr>
      <w:r>
        <w:rPr>
          <w:rFonts w:ascii="Arial" w:cs="Arial" w:eastAsia="Arial" w:hAnsi="Arial"/>
          <w:sz w:val="15"/>
          <w:szCs w:val="15"/>
          <w:b w:val="1"/>
          <w:bCs w:val="1"/>
          <w:i w:val="1"/>
          <w:iCs w:val="1"/>
          <w:color w:val="auto"/>
        </w:rPr>
        <w:t>We have not been in compliance with the reporting requirements of the Securities Exchange Act of 1934, as amended (the “Exchange Act”) and Nasdaq’s requirements for continued listing and, as a result, our common shares may be delisted and suspended from trading on the Nasdaq Global Select Market.</w:t>
      </w:r>
    </w:p>
    <w:p>
      <w:pPr>
        <w:ind w:right="80" w:firstLine="456"/>
        <w:spacing w:after="0" w:line="286" w:lineRule="auto"/>
        <w:rPr>
          <w:sz w:val="20"/>
          <w:szCs w:val="20"/>
          <w:color w:val="auto"/>
        </w:rPr>
      </w:pPr>
      <w:r>
        <w:rPr>
          <w:rFonts w:ascii="Arial" w:cs="Arial" w:eastAsia="Arial" w:hAnsi="Arial"/>
          <w:sz w:val="16"/>
          <w:szCs w:val="16"/>
          <w:color w:val="auto"/>
        </w:rPr>
        <w:t>We have been delinquent in the filing of our periodic financial reports with the SEC and, as a result, we are not in compliance with the Nasdaq rule that requires the timely filing of our periodic financial reports with the SEC. On September 14, 2015, Nasdaq notified us that due to our delay in filing with the SEC our Quarterly Report on Form 10-Q for the quarter ended August 1, 2015, our common shares would be delisted unless we timely requested a hearing before a Nasdaq Listings Qualification Panel (a “Hearings Panel”). We timely requested such a hearing, which was held on April 14, 2016. At the hearing, we presented a plan to regain compliance with the rule and requested an extension of time for the filing of our delayed reports, and on May 3, 2016 the Hearings Panel granted Marvell an extension of time to September 6, 2016, to regain compliance with our continued listing requirements. After filing this Form 10-Q with the SEC, we will continue to be delinquent in our filings with the SEC due to our delay in filing a Form 10-Q for the quarter ended April 30, 2016. There can be no assurance that we will be successful in regaining compliance with the listing rule during the extension period. If our common shares are delisted, there can no assurance whether or when it would again be listed for trading on Nasdaq or any other exchange. If our common shares are delisted, the market price of our shares will likely decline and become more volatile, and our shareholders may find that their ability to trade in our stock will be adversely affected. A delisting from Nasdaq may also have other negative implications, including the potential loss of confidence by customers and employees, the loss of institutional investor interest and fewer business development opportunities.</w:t>
      </w:r>
    </w:p>
    <w:p>
      <w:pPr>
        <w:spacing w:after="0" w:line="205"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authorizing the issuance of preferred shares without shareholder approval; and</w:t>
      </w:r>
    </w:p>
    <w:p>
      <w:pPr>
        <w:spacing w:after="0" w:line="90" w:lineRule="exact"/>
        <w:rPr>
          <w:rFonts w:ascii="Arial" w:cs="Arial" w:eastAsia="Arial" w:hAnsi="Arial"/>
          <w:sz w:val="18"/>
          <w:szCs w:val="18"/>
          <w:color w:val="auto"/>
        </w:rPr>
      </w:pPr>
    </w:p>
    <w:p>
      <w:pPr>
        <w:ind w:left="900" w:right="240" w:hanging="325"/>
        <w:spacing w:after="0" w:line="332" w:lineRule="auto"/>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a shareholder vote requiring the approval 66</w:t>
      </w:r>
      <w:r>
        <w:rPr>
          <w:rFonts w:ascii="Arial" w:cs="Arial" w:eastAsia="Arial" w:hAnsi="Arial"/>
          <w:sz w:val="10"/>
          <w:szCs w:val="10"/>
          <w:color w:val="auto"/>
        </w:rPr>
        <w:t>2/3</w:t>
      </w:r>
      <w:r>
        <w:rPr>
          <w:rFonts w:ascii="Arial" w:cs="Arial" w:eastAsia="Arial" w:hAnsi="Arial"/>
          <w:sz w:val="16"/>
          <w:szCs w:val="16"/>
          <w:color w:val="auto"/>
        </w:rPr>
        <w:t>%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center"/>
        <w:ind w:left="70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58</w:t>
      </w:r>
    </w:p>
    <w:p>
      <w:pPr>
        <w:sectPr>
          <w:pgSz w:w="11900" w:h="16838" w:orient="portrait"/>
          <w:cols w:equalWidth="0" w:num="1">
            <w:col w:w="10480"/>
          </w:cols>
          <w:pgMar w:left="240" w:top="459" w:right="117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August 1, 2015.</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share repurchases during the three months ended August 1, 2015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700" w:type="dxa"/>
            <w:vAlign w:val="bottom"/>
          </w:tcPr>
          <w:p>
            <w:pPr>
              <w:jc w:val="center"/>
              <w:spacing w:after="0"/>
              <w:rPr>
                <w:sz w:val="20"/>
                <w:szCs w:val="20"/>
                <w:color w:val="auto"/>
              </w:rPr>
            </w:pPr>
            <w:r>
              <w:rPr>
                <w:rFonts w:ascii="Arial" w:cs="Arial" w:eastAsia="Arial" w:hAnsi="Arial"/>
                <w:sz w:val="14"/>
                <w:szCs w:val="14"/>
                <w:b w:val="1"/>
                <w:bCs w:val="1"/>
                <w:color w:val="auto"/>
                <w:w w:val="87"/>
              </w:rPr>
              <w:t>Total Number of Shares</w:t>
            </w:r>
          </w:p>
        </w:tc>
        <w:tc>
          <w:tcPr>
            <w:tcW w:w="180" w:type="dxa"/>
            <w:vAlign w:val="bottom"/>
          </w:tcPr>
          <w:p>
            <w:pPr>
              <w:spacing w:after="0"/>
              <w:rPr>
                <w:sz w:val="14"/>
                <w:szCs w:val="14"/>
                <w:color w:val="auto"/>
              </w:rPr>
            </w:pPr>
          </w:p>
        </w:tc>
        <w:tc>
          <w:tcPr>
            <w:tcW w:w="176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87"/>
              </w:rPr>
              <w:t>Approximate Dollar Value of</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Purchased as Part of Publicly</w:t>
            </w: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Shares that May Yet Be</w:t>
            </w:r>
          </w:p>
        </w:tc>
        <w:tc>
          <w:tcPr>
            <w:tcW w:w="0" w:type="dxa"/>
            <w:vAlign w:val="bottom"/>
          </w:tcPr>
          <w:p>
            <w:pPr>
              <w:spacing w:after="0"/>
              <w:rPr>
                <w:sz w:val="1"/>
                <w:szCs w:val="1"/>
                <w:color w:val="auto"/>
              </w:rPr>
            </w:pPr>
          </w:p>
        </w:tc>
      </w:tr>
      <w:tr>
        <w:trPr>
          <w:trHeight w:val="149"/>
        </w:trPr>
        <w:tc>
          <w:tcPr>
            <w:tcW w:w="460" w:type="dxa"/>
            <w:vAlign w:val="bottom"/>
            <w:vMerge w:val="restart"/>
          </w:tcPr>
          <w:p>
            <w:pPr>
              <w:spacing w:after="0"/>
              <w:rPr>
                <w:sz w:val="12"/>
                <w:szCs w:val="12"/>
                <w:color w:val="auto"/>
              </w:rPr>
            </w:pPr>
          </w:p>
        </w:tc>
        <w:tc>
          <w:tcPr>
            <w:tcW w:w="580" w:type="dxa"/>
            <w:vAlign w:val="bottom"/>
            <w:vMerge w:val="restart"/>
          </w:tcPr>
          <w:p>
            <w:pPr>
              <w:spacing w:after="0"/>
              <w:rPr>
                <w:sz w:val="20"/>
                <w:szCs w:val="20"/>
                <w:color w:val="auto"/>
              </w:rPr>
            </w:pPr>
            <w:r>
              <w:rPr>
                <w:rFonts w:ascii="Arial" w:cs="Arial" w:eastAsia="Arial" w:hAnsi="Arial"/>
                <w:sz w:val="14"/>
                <w:szCs w:val="14"/>
                <w:b w:val="1"/>
                <w:bCs w:val="1"/>
                <w:color w:val="auto"/>
                <w:w w:val="86"/>
              </w:rPr>
              <w:t>Period (1)</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10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180" w:type="dxa"/>
            <w:vAlign w:val="bottom"/>
          </w:tcPr>
          <w:p>
            <w:pPr>
              <w:spacing w:after="0"/>
              <w:rPr>
                <w:sz w:val="12"/>
                <w:szCs w:val="12"/>
                <w:color w:val="auto"/>
              </w:rPr>
            </w:pPr>
          </w:p>
        </w:tc>
        <w:tc>
          <w:tcPr>
            <w:tcW w:w="10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Price</w:t>
            </w: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Announced Plans or</w:t>
            </w:r>
          </w:p>
        </w:tc>
        <w:tc>
          <w:tcPr>
            <w:tcW w:w="180" w:type="dxa"/>
            <w:vAlign w:val="bottom"/>
          </w:tcPr>
          <w:p>
            <w:pPr>
              <w:spacing w:after="0"/>
              <w:rPr>
                <w:sz w:val="12"/>
                <w:szCs w:val="12"/>
                <w:color w:val="auto"/>
              </w:rPr>
            </w:pPr>
          </w:p>
        </w:tc>
        <w:tc>
          <w:tcPr>
            <w:tcW w:w="1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Purchased Under the Plans</w:t>
            </w:r>
          </w:p>
        </w:tc>
        <w:tc>
          <w:tcPr>
            <w:tcW w:w="0" w:type="dxa"/>
            <w:vAlign w:val="bottom"/>
          </w:tcPr>
          <w:p>
            <w:pPr>
              <w:spacing w:after="0"/>
              <w:rPr>
                <w:sz w:val="1"/>
                <w:szCs w:val="1"/>
                <w:color w:val="auto"/>
              </w:rPr>
            </w:pPr>
          </w:p>
        </w:tc>
      </w:tr>
      <w:tr>
        <w:trPr>
          <w:trHeight w:val="168"/>
        </w:trPr>
        <w:tc>
          <w:tcPr>
            <w:tcW w:w="460" w:type="dxa"/>
            <w:vAlign w:val="bottom"/>
            <w:vMerge w:val="continue"/>
          </w:tcPr>
          <w:p>
            <w:pPr>
              <w:spacing w:after="0"/>
              <w:rPr>
                <w:sz w:val="14"/>
                <w:szCs w:val="14"/>
                <w:color w:val="auto"/>
              </w:rPr>
            </w:pPr>
          </w:p>
        </w:tc>
        <w:tc>
          <w:tcPr>
            <w:tcW w:w="580" w:type="dxa"/>
            <w:vAlign w:val="bottom"/>
            <w:tcBorders>
              <w:bottom w:val="single" w:sz="8" w:color="auto"/>
            </w:tcBorders>
            <w:vMerge w:val="continue"/>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104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180" w:type="dxa"/>
            <w:vAlign w:val="bottom"/>
          </w:tcPr>
          <w:p>
            <w:pPr>
              <w:spacing w:after="0"/>
              <w:rPr>
                <w:sz w:val="14"/>
                <w:szCs w:val="14"/>
                <w:color w:val="auto"/>
              </w:rPr>
            </w:pPr>
          </w:p>
        </w:tc>
        <w:tc>
          <w:tcPr>
            <w:tcW w:w="104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Paid per Share</w:t>
            </w:r>
          </w:p>
        </w:tc>
        <w:tc>
          <w:tcPr>
            <w:tcW w:w="1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Programs</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4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88"/>
              </w:rPr>
              <w:t>or Programs (2)</w:t>
            </w:r>
          </w:p>
        </w:tc>
        <w:tc>
          <w:tcPr>
            <w:tcW w:w="0" w:type="dxa"/>
            <w:vAlign w:val="bottom"/>
          </w:tcPr>
          <w:p>
            <w:pPr>
              <w:spacing w:after="0"/>
              <w:rPr>
                <w:sz w:val="1"/>
                <w:szCs w:val="1"/>
                <w:color w:val="auto"/>
              </w:rPr>
            </w:pPr>
          </w:p>
        </w:tc>
      </w:tr>
      <w:tr>
        <w:trPr>
          <w:trHeight w:val="203"/>
        </w:trPr>
        <w:tc>
          <w:tcPr>
            <w:tcW w:w="460" w:type="dxa"/>
            <w:vAlign w:val="bottom"/>
          </w:tcPr>
          <w:p>
            <w:pPr>
              <w:spacing w:after="0"/>
              <w:rPr>
                <w:sz w:val="17"/>
                <w:szCs w:val="17"/>
                <w:color w:val="auto"/>
              </w:rPr>
            </w:pPr>
          </w:p>
        </w:tc>
        <w:tc>
          <w:tcPr>
            <w:tcW w:w="4600" w:type="dxa"/>
            <w:vAlign w:val="bottom"/>
            <w:tcBorders>
              <w:top w:val="single" w:sz="8" w:color="CCEEFF"/>
            </w:tcBorders>
            <w:gridSpan w:val="4"/>
            <w:shd w:val="clear" w:color="auto" w:fill="CCEEFF"/>
          </w:tcPr>
          <w:p>
            <w:pPr>
              <w:spacing w:after="0" w:line="202" w:lineRule="exact"/>
              <w:rPr>
                <w:sz w:val="20"/>
                <w:szCs w:val="20"/>
                <w:color w:val="auto"/>
              </w:rPr>
            </w:pPr>
            <w:r>
              <w:rPr>
                <w:rFonts w:ascii="Arial" w:cs="Arial" w:eastAsia="Arial" w:hAnsi="Arial"/>
                <w:sz w:val="18"/>
                <w:szCs w:val="18"/>
                <w:color w:val="auto"/>
              </w:rPr>
              <w:t>May 3 – May 30, 2015</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1,077,095</w:t>
            </w:r>
          </w:p>
        </w:tc>
        <w:tc>
          <w:tcPr>
            <w:tcW w:w="18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13.85</w:t>
            </w:r>
          </w:p>
        </w:tc>
        <w:tc>
          <w:tcPr>
            <w:tcW w:w="18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1,077,095</w:t>
            </w: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5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406,450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80" w:type="dxa"/>
            <w:vAlign w:val="bottom"/>
          </w:tcPr>
          <w:p>
            <w:pPr>
              <w:spacing w:after="0"/>
              <w:rPr>
                <w:sz w:val="20"/>
                <w:szCs w:val="20"/>
                <w:color w:val="auto"/>
              </w:rPr>
            </w:pPr>
            <w:r>
              <w:rPr>
                <w:rFonts w:ascii="Arial" w:cs="Arial" w:eastAsia="Arial" w:hAnsi="Arial"/>
                <w:sz w:val="18"/>
                <w:szCs w:val="18"/>
                <w:color w:val="auto"/>
                <w:w w:val="94"/>
              </w:rPr>
              <w:t>May 31</w:t>
            </w:r>
          </w:p>
        </w:tc>
        <w:tc>
          <w:tcPr>
            <w:tcW w:w="4020" w:type="dxa"/>
            <w:vAlign w:val="bottom"/>
            <w:gridSpan w:val="3"/>
          </w:tcPr>
          <w:p>
            <w:pPr>
              <w:ind w:left="20"/>
              <w:spacing w:after="0"/>
              <w:rPr>
                <w:sz w:val="20"/>
                <w:szCs w:val="20"/>
                <w:color w:val="auto"/>
              </w:rPr>
            </w:pPr>
            <w:r>
              <w:rPr>
                <w:rFonts w:ascii="Arial" w:cs="Arial" w:eastAsia="Arial" w:hAnsi="Arial"/>
                <w:sz w:val="18"/>
                <w:szCs w:val="18"/>
                <w:color w:val="auto"/>
              </w:rPr>
              <w:t>– June 27, 2015</w:t>
            </w:r>
          </w:p>
        </w:tc>
        <w:tc>
          <w:tcPr>
            <w:tcW w:w="1040" w:type="dxa"/>
            <w:vAlign w:val="bottom"/>
          </w:tcPr>
          <w:p>
            <w:pPr>
              <w:jc w:val="right"/>
              <w:spacing w:after="0"/>
              <w:rPr>
                <w:sz w:val="20"/>
                <w:szCs w:val="20"/>
                <w:color w:val="auto"/>
              </w:rPr>
            </w:pPr>
            <w:r>
              <w:rPr>
                <w:rFonts w:ascii="Arial" w:cs="Arial" w:eastAsia="Arial" w:hAnsi="Arial"/>
                <w:sz w:val="18"/>
                <w:szCs w:val="18"/>
                <w:color w:val="auto"/>
              </w:rPr>
              <w:t>4,273,276</w:t>
            </w:r>
          </w:p>
        </w:tc>
        <w:tc>
          <w:tcPr>
            <w:tcW w:w="46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14.27</w:t>
            </w:r>
          </w:p>
        </w:tc>
        <w:tc>
          <w:tcPr>
            <w:tcW w:w="180" w:type="dxa"/>
            <w:vAlign w:val="bottom"/>
          </w:tcPr>
          <w:p>
            <w:pPr>
              <w:spacing w:after="0"/>
              <w:rPr>
                <w:sz w:val="18"/>
                <w:szCs w:val="18"/>
                <w:color w:val="auto"/>
              </w:rPr>
            </w:pPr>
          </w:p>
        </w:tc>
        <w:tc>
          <w:tcPr>
            <w:tcW w:w="1700" w:type="dxa"/>
            <w:vAlign w:val="bottom"/>
          </w:tcPr>
          <w:p>
            <w:pPr>
              <w:jc w:val="right"/>
              <w:spacing w:after="0"/>
              <w:rPr>
                <w:sz w:val="20"/>
                <w:szCs w:val="20"/>
                <w:color w:val="auto"/>
              </w:rPr>
            </w:pPr>
            <w:r>
              <w:rPr>
                <w:rFonts w:ascii="Arial" w:cs="Arial" w:eastAsia="Arial" w:hAnsi="Arial"/>
                <w:sz w:val="18"/>
                <w:szCs w:val="18"/>
                <w:color w:val="auto"/>
              </w:rPr>
              <w:t>4,273,276</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40" w:type="dxa"/>
            <w:vAlign w:val="bottom"/>
          </w:tcPr>
          <w:p>
            <w:pPr>
              <w:jc w:val="right"/>
              <w:spacing w:after="0"/>
              <w:rPr>
                <w:sz w:val="20"/>
                <w:szCs w:val="20"/>
                <w:color w:val="auto"/>
              </w:rPr>
            </w:pPr>
            <w:r>
              <w:rPr>
                <w:rFonts w:ascii="Arial" w:cs="Arial" w:eastAsia="Arial" w:hAnsi="Arial"/>
                <w:sz w:val="18"/>
                <w:szCs w:val="18"/>
                <w:color w:val="auto"/>
              </w:rPr>
              <w:t>345,438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80" w:type="dxa"/>
            <w:vAlign w:val="bottom"/>
            <w:shd w:val="clear" w:color="auto" w:fill="CCEEFF"/>
          </w:tcPr>
          <w:p>
            <w:pPr>
              <w:spacing w:after="0"/>
              <w:rPr>
                <w:sz w:val="20"/>
                <w:szCs w:val="20"/>
                <w:color w:val="auto"/>
              </w:rPr>
            </w:pPr>
            <w:r>
              <w:rPr>
                <w:rFonts w:ascii="Arial" w:cs="Arial" w:eastAsia="Arial" w:hAnsi="Arial"/>
                <w:sz w:val="18"/>
                <w:szCs w:val="18"/>
                <w:color w:val="auto"/>
                <w:w w:val="87"/>
              </w:rPr>
              <w:t>June 28</w:t>
            </w:r>
          </w:p>
        </w:tc>
        <w:tc>
          <w:tcPr>
            <w:tcW w:w="402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 August 1, 2015</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9,246,229</w:t>
            </w:r>
          </w:p>
        </w:tc>
        <w:tc>
          <w:tcPr>
            <w:tcW w:w="4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12.67</w:t>
            </w:r>
          </w:p>
        </w:tc>
        <w:tc>
          <w:tcPr>
            <w:tcW w:w="180" w:type="dxa"/>
            <w:vAlign w:val="bottom"/>
            <w:shd w:val="clear" w:color="auto" w:fill="CCEEFF"/>
          </w:tcPr>
          <w:p>
            <w:pPr>
              <w:spacing w:after="0"/>
              <w:rPr>
                <w:sz w:val="18"/>
                <w:szCs w:val="18"/>
                <w:color w:val="auto"/>
              </w:rPr>
            </w:pPr>
          </w:p>
        </w:tc>
        <w:tc>
          <w:tcPr>
            <w:tcW w:w="1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9,246,229</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228,201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40" w:type="dxa"/>
            <w:vAlign w:val="bottom"/>
            <w:gridSpan w:val="2"/>
          </w:tcPr>
          <w:p>
            <w:pPr>
              <w:ind w:left="460"/>
              <w:spacing w:after="0"/>
              <w:rPr>
                <w:sz w:val="20"/>
                <w:szCs w:val="20"/>
                <w:color w:val="auto"/>
              </w:rPr>
            </w:pPr>
            <w:r>
              <w:rPr>
                <w:rFonts w:ascii="Arial" w:cs="Arial" w:eastAsia="Arial" w:hAnsi="Arial"/>
                <w:sz w:val="18"/>
                <w:szCs w:val="18"/>
                <w:color w:val="auto"/>
              </w:rPr>
              <w:t>Total</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900" w:type="dxa"/>
            <w:vAlign w:val="bottom"/>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14,596,600</w:t>
            </w:r>
          </w:p>
        </w:tc>
        <w:tc>
          <w:tcPr>
            <w:tcW w:w="46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13.22</w:t>
            </w:r>
          </w:p>
        </w:tc>
        <w:tc>
          <w:tcPr>
            <w:tcW w:w="180" w:type="dxa"/>
            <w:vAlign w:val="bottom"/>
          </w:tcPr>
          <w:p>
            <w:pPr>
              <w:spacing w:after="0"/>
              <w:rPr>
                <w:sz w:val="19"/>
                <w:szCs w:val="19"/>
                <w:color w:val="auto"/>
              </w:rPr>
            </w:pPr>
          </w:p>
        </w:tc>
        <w:tc>
          <w:tcPr>
            <w:tcW w:w="1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14,596,600</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40" w:type="dxa"/>
            <w:vAlign w:val="bottom"/>
          </w:tcPr>
          <w:p>
            <w:pPr>
              <w:jc w:val="right"/>
              <w:spacing w:after="0"/>
              <w:rPr>
                <w:sz w:val="20"/>
                <w:szCs w:val="20"/>
                <w:color w:val="auto"/>
              </w:rPr>
            </w:pPr>
            <w:r>
              <w:rPr>
                <w:rFonts w:ascii="Arial" w:cs="Arial" w:eastAsia="Arial" w:hAnsi="Arial"/>
                <w:sz w:val="18"/>
                <w:szCs w:val="18"/>
                <w:color w:val="auto"/>
              </w:rPr>
              <w:t>228,201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60" w:type="dxa"/>
            <w:vAlign w:val="bottom"/>
            <w:tcBorders>
              <w:bottom w:val="single" w:sz="8" w:color="auto"/>
            </w:tcBorders>
          </w:tcPr>
          <w:p>
            <w:pPr>
              <w:spacing w:after="0"/>
              <w:rPr>
                <w:sz w:val="8"/>
                <w:szCs w:val="8"/>
                <w:color w:val="auto"/>
              </w:rPr>
            </w:pPr>
          </w:p>
        </w:tc>
        <w:tc>
          <w:tcPr>
            <w:tcW w:w="580" w:type="dxa"/>
            <w:vAlign w:val="bottom"/>
            <w:tcBorders>
              <w:bottom w:val="single" w:sz="8" w:color="auto"/>
            </w:tcBorders>
          </w:tcPr>
          <w:p>
            <w:pPr>
              <w:spacing w:after="0"/>
              <w:rPr>
                <w:sz w:val="8"/>
                <w:szCs w:val="8"/>
                <w:color w:val="auto"/>
              </w:rPr>
            </w:pPr>
          </w:p>
        </w:tc>
        <w:tc>
          <w:tcPr>
            <w:tcW w:w="20" w:type="dxa"/>
            <w:vAlign w:val="bottom"/>
            <w:tcBorders>
              <w:bottom w:val="single" w:sz="8" w:color="auto"/>
            </w:tcBorders>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390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7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hanging="452"/>
        <w:spacing w:after="0" w:line="254" w:lineRule="auto"/>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August 1, 2015, are based on our fiscal accounting periods which follow a quarterly 4-4-5 week fiscal accounting period.</w:t>
      </w:r>
    </w:p>
    <w:p>
      <w:pPr>
        <w:ind w:left="460" w:hanging="452"/>
        <w:spacing w:after="0" w:line="288" w:lineRule="auto"/>
        <w:tabs>
          <w:tab w:leader="none" w:pos="460" w:val="left"/>
        </w:tabs>
        <w:numPr>
          <w:ilvl w:val="0"/>
          <w:numId w:val="22"/>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Our board of directors authorized an additional $1.5 billion in fiscal 2012 and $1.0 billion in fiscal 2013 and $250 million in fiscal 2015 to be used to repurchase our outstanding common shares under the share repurchase program for a total available under the program of $3.25 billion.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Quarterly Report on Form 10-Q.</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380"/>
          </w:cols>
          <w:pgMar w:left="240" w:top="459" w:right="27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500" w:type="dxa"/>
            <w:vAlign w:val="bottom"/>
          </w:tcPr>
          <w:p>
            <w:pPr>
              <w:spacing w:after="0"/>
              <w:rPr>
                <w:sz w:val="19"/>
                <w:szCs w:val="19"/>
                <w:color w:val="auto"/>
              </w:rPr>
            </w:pPr>
          </w:p>
        </w:tc>
        <w:tc>
          <w:tcPr>
            <w:tcW w:w="7920" w:type="dxa"/>
            <w:vAlign w:val="bottom"/>
            <w:gridSpan w:val="2"/>
          </w:tcPr>
          <w:p>
            <w:pPr>
              <w:ind w:left="232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3500" w:type="dxa"/>
            <w:vAlign w:val="bottom"/>
          </w:tcPr>
          <w:p>
            <w:pPr>
              <w:spacing w:after="0"/>
              <w:rPr>
                <w:sz w:val="20"/>
                <w:szCs w:val="20"/>
                <w:color w:val="auto"/>
              </w:rPr>
            </w:pPr>
            <w:r>
              <w:rPr>
                <w:rFonts w:ascii="Arial" w:cs="Arial" w:eastAsia="Arial" w:hAnsi="Arial"/>
                <w:sz w:val="18"/>
                <w:szCs w:val="18"/>
                <w:color w:val="auto"/>
              </w:rPr>
              <w:t>Date: July 21, 2016</w:t>
            </w:r>
          </w:p>
        </w:tc>
        <w:tc>
          <w:tcPr>
            <w:tcW w:w="7920" w:type="dxa"/>
            <w:vAlign w:val="bottom"/>
            <w:gridSpan w:val="2"/>
          </w:tcPr>
          <w:p>
            <w:pPr>
              <w:ind w:left="2320"/>
              <w:spacing w:after="0"/>
              <w:rPr>
                <w:sz w:val="20"/>
                <w:szCs w:val="20"/>
                <w:color w:val="auto"/>
              </w:rPr>
            </w:pPr>
            <w:r>
              <w:rPr>
                <w:rFonts w:ascii="Arial" w:cs="Arial" w:eastAsia="Arial" w:hAnsi="Arial"/>
                <w:sz w:val="18"/>
                <w:szCs w:val="18"/>
                <w:color w:val="auto"/>
              </w:rPr>
              <w:t>By:   /s/ DAVID P. EICHLER</w:t>
            </w:r>
          </w:p>
        </w:tc>
      </w:tr>
      <w:tr>
        <w:trPr>
          <w:trHeight w:val="190"/>
        </w:trPr>
        <w:tc>
          <w:tcPr>
            <w:tcW w:w="3500" w:type="dxa"/>
            <w:vAlign w:val="bottom"/>
          </w:tcPr>
          <w:p>
            <w:pPr>
              <w:spacing w:after="0"/>
              <w:rPr>
                <w:sz w:val="16"/>
                <w:szCs w:val="16"/>
                <w:color w:val="auto"/>
              </w:rPr>
            </w:pPr>
          </w:p>
        </w:tc>
        <w:tc>
          <w:tcPr>
            <w:tcW w:w="2680" w:type="dxa"/>
            <w:vAlign w:val="bottom"/>
          </w:tcPr>
          <w:p>
            <w:pPr>
              <w:ind w:left="2320"/>
              <w:spacing w:after="0"/>
              <w:rPr>
                <w:sz w:val="20"/>
                <w:szCs w:val="20"/>
                <w:color w:val="auto"/>
              </w:rPr>
            </w:pPr>
            <w:r>
              <w:rPr>
                <w:rFonts w:ascii="Arial" w:cs="Arial" w:eastAsia="Arial" w:hAnsi="Arial"/>
                <w:sz w:val="16"/>
                <w:szCs w:val="16"/>
                <w:b w:val="1"/>
                <w:bCs w:val="1"/>
                <w:color w:val="auto"/>
                <w:w w:val="77"/>
              </w:rPr>
              <w:t>David</w:t>
            </w:r>
          </w:p>
        </w:tc>
        <w:tc>
          <w:tcPr>
            <w:tcW w:w="5240" w:type="dxa"/>
            <w:vAlign w:val="bottom"/>
            <w:tcBorders>
              <w:top w:val="single" w:sz="8" w:color="auto"/>
            </w:tcBorders>
          </w:tcPr>
          <w:p>
            <w:pPr>
              <w:ind w:left="140"/>
              <w:spacing w:after="0" w:line="190" w:lineRule="exact"/>
              <w:rPr>
                <w:sz w:val="20"/>
                <w:szCs w:val="20"/>
                <w:color w:val="auto"/>
              </w:rPr>
            </w:pPr>
            <w:r>
              <w:rPr>
                <w:rFonts w:ascii="Arial" w:cs="Arial" w:eastAsia="Arial" w:hAnsi="Arial"/>
                <w:sz w:val="18"/>
                <w:szCs w:val="18"/>
                <w:b w:val="1"/>
                <w:bCs w:val="1"/>
                <w:color w:val="auto"/>
              </w:rPr>
              <w:t>P. Eichler</w:t>
            </w:r>
          </w:p>
        </w:tc>
      </w:tr>
      <w:tr>
        <w:trPr>
          <w:trHeight w:val="210"/>
        </w:trPr>
        <w:tc>
          <w:tcPr>
            <w:tcW w:w="3500" w:type="dxa"/>
            <w:vAlign w:val="bottom"/>
          </w:tcPr>
          <w:p>
            <w:pPr>
              <w:spacing w:after="0"/>
              <w:rPr>
                <w:sz w:val="18"/>
                <w:szCs w:val="18"/>
                <w:color w:val="auto"/>
              </w:rPr>
            </w:pPr>
          </w:p>
        </w:tc>
        <w:tc>
          <w:tcPr>
            <w:tcW w:w="7920" w:type="dxa"/>
            <w:vAlign w:val="bottom"/>
            <w:gridSpan w:val="2"/>
          </w:tcPr>
          <w:p>
            <w:pPr>
              <w:ind w:left="2320"/>
              <w:spacing w:after="0"/>
              <w:rPr>
                <w:sz w:val="20"/>
                <w:szCs w:val="20"/>
                <w:color w:val="auto"/>
              </w:rPr>
            </w:pPr>
            <w:r>
              <w:rPr>
                <w:rFonts w:ascii="Arial" w:cs="Arial" w:eastAsia="Arial" w:hAnsi="Arial"/>
                <w:sz w:val="18"/>
                <w:szCs w:val="18"/>
                <w:b w:val="1"/>
                <w:bCs w:val="1"/>
                <w:i w:val="1"/>
                <w:iCs w:val="1"/>
                <w:color w:val="auto"/>
              </w:rPr>
              <w:t>Interim Chief Financial Officer</w:t>
            </w:r>
          </w:p>
        </w:tc>
      </w:tr>
      <w:tr>
        <w:trPr>
          <w:trHeight w:val="228"/>
        </w:trPr>
        <w:tc>
          <w:tcPr>
            <w:tcW w:w="3500" w:type="dxa"/>
            <w:vAlign w:val="bottom"/>
          </w:tcPr>
          <w:p>
            <w:pPr>
              <w:spacing w:after="0"/>
              <w:rPr>
                <w:sz w:val="19"/>
                <w:szCs w:val="19"/>
                <w:color w:val="auto"/>
              </w:rPr>
            </w:pPr>
          </w:p>
        </w:tc>
        <w:tc>
          <w:tcPr>
            <w:tcW w:w="7920" w:type="dxa"/>
            <w:vAlign w:val="bottom"/>
            <w:gridSpan w:val="2"/>
          </w:tcPr>
          <w:p>
            <w:pPr>
              <w:ind w:left="2320"/>
              <w:spacing w:after="0"/>
              <w:rPr>
                <w:sz w:val="20"/>
                <w:szCs w:val="20"/>
                <w:color w:val="auto"/>
              </w:rPr>
            </w:pPr>
            <w:r>
              <w:rPr>
                <w:rFonts w:ascii="Arial" w:cs="Arial" w:eastAsia="Arial" w:hAnsi="Arial"/>
                <w:sz w:val="18"/>
                <w:szCs w:val="18"/>
                <w:b w:val="1"/>
                <w:bCs w:val="1"/>
                <w:color w:val="auto"/>
              </w:rPr>
              <w:t>(Principal Financial Officer)</w:t>
            </w:r>
          </w:p>
        </w:tc>
      </w:tr>
      <w:tr>
        <w:trPr>
          <w:trHeight w:val="365"/>
        </w:trPr>
        <w:tc>
          <w:tcPr>
            <w:tcW w:w="3500" w:type="dxa"/>
            <w:vAlign w:val="bottom"/>
          </w:tcPr>
          <w:p>
            <w:pPr>
              <w:spacing w:after="0"/>
              <w:rPr>
                <w:sz w:val="24"/>
                <w:szCs w:val="24"/>
                <w:color w:val="auto"/>
              </w:rPr>
            </w:pPr>
          </w:p>
        </w:tc>
        <w:tc>
          <w:tcPr>
            <w:tcW w:w="2680" w:type="dxa"/>
            <w:vAlign w:val="bottom"/>
          </w:tcPr>
          <w:p>
            <w:pPr>
              <w:ind w:left="2120"/>
              <w:spacing w:after="0"/>
              <w:rPr>
                <w:sz w:val="20"/>
                <w:szCs w:val="20"/>
                <w:color w:val="auto"/>
              </w:rPr>
            </w:pPr>
            <w:r>
              <w:rPr>
                <w:rFonts w:ascii="Arial" w:cs="Arial" w:eastAsia="Arial" w:hAnsi="Arial"/>
                <w:sz w:val="18"/>
                <w:szCs w:val="18"/>
                <w:color w:val="auto"/>
              </w:rPr>
              <w:t>60</w:t>
            </w:r>
          </w:p>
        </w:tc>
        <w:tc>
          <w:tcPr>
            <w:tcW w:w="524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40" w:type="dxa"/>
            <w:vAlign w:val="bottom"/>
          </w:tcPr>
          <w:p>
            <w:pPr>
              <w:spacing w:after="0"/>
              <w:rPr>
                <w:sz w:val="19"/>
                <w:szCs w:val="19"/>
                <w:color w:val="auto"/>
              </w:rPr>
            </w:pPr>
          </w:p>
        </w:tc>
        <w:tc>
          <w:tcPr>
            <w:tcW w:w="10440" w:type="dxa"/>
            <w:vAlign w:val="bottom"/>
          </w:tcPr>
          <w:p>
            <w:pPr>
              <w:ind w:left="4100"/>
              <w:spacing w:after="0"/>
              <w:rPr>
                <w:sz w:val="20"/>
                <w:szCs w:val="20"/>
                <w:color w:val="auto"/>
              </w:rPr>
            </w:pPr>
            <w:r>
              <w:rPr>
                <w:rFonts w:ascii="Arial" w:cs="Arial" w:eastAsia="Arial" w:hAnsi="Arial"/>
                <w:sz w:val="18"/>
                <w:szCs w:val="18"/>
                <w:b w:val="1"/>
                <w:bCs w:val="1"/>
                <w:color w:val="auto"/>
              </w:rPr>
              <w:t>EXHIBIT INDEX</w:t>
            </w:r>
          </w:p>
        </w:tc>
      </w:tr>
      <w:tr>
        <w:trPr>
          <w:trHeight w:val="366"/>
        </w:trPr>
        <w:tc>
          <w:tcPr>
            <w:tcW w:w="940" w:type="dxa"/>
            <w:vAlign w:val="bottom"/>
          </w:tcPr>
          <w:p>
            <w:pPr>
              <w:jc w:val="right"/>
              <w:ind w:right="113"/>
              <w:spacing w:after="0"/>
              <w:rPr>
                <w:sz w:val="20"/>
                <w:szCs w:val="20"/>
                <w:color w:val="auto"/>
              </w:rPr>
            </w:pPr>
            <w:r>
              <w:rPr>
                <w:rFonts w:ascii="Arial" w:cs="Arial" w:eastAsia="Arial" w:hAnsi="Arial"/>
                <w:sz w:val="14"/>
                <w:szCs w:val="14"/>
                <w:b w:val="1"/>
                <w:bCs w:val="1"/>
                <w:color w:val="auto"/>
                <w:w w:val="98"/>
              </w:rPr>
              <w:t>Exhibit No.</w:t>
            </w:r>
          </w:p>
        </w:tc>
        <w:tc>
          <w:tcPr>
            <w:tcW w:w="10440" w:type="dxa"/>
            <w:vAlign w:val="bottom"/>
          </w:tcPr>
          <w:p>
            <w:pPr>
              <w:ind w:left="5020"/>
              <w:spacing w:after="0"/>
              <w:rPr>
                <w:sz w:val="20"/>
                <w:szCs w:val="20"/>
                <w:color w:val="auto"/>
              </w:rPr>
            </w:pPr>
            <w:r>
              <w:rPr>
                <w:rFonts w:ascii="Arial" w:cs="Arial" w:eastAsia="Arial" w:hAnsi="Arial"/>
                <w:sz w:val="14"/>
                <w:szCs w:val="14"/>
                <w:b w:val="1"/>
                <w:bCs w:val="1"/>
                <w:color w:val="auto"/>
              </w:rPr>
              <w:t>Description</w:t>
            </w:r>
          </w:p>
        </w:tc>
      </w:tr>
      <w:tr>
        <w:trPr>
          <w:trHeight w:val="303"/>
        </w:trPr>
        <w:tc>
          <w:tcPr>
            <w:tcW w:w="940" w:type="dxa"/>
            <w:vAlign w:val="bottom"/>
          </w:tcPr>
          <w:p>
            <w:pPr>
              <w:jc w:val="right"/>
              <w:ind w:right="453"/>
              <w:spacing w:after="0"/>
              <w:rPr>
                <w:sz w:val="20"/>
                <w:szCs w:val="20"/>
                <w:color w:val="auto"/>
              </w:rPr>
            </w:pPr>
            <w:r>
              <w:rPr>
                <w:rFonts w:ascii="Arial" w:cs="Arial" w:eastAsia="Arial" w:hAnsi="Arial"/>
                <w:sz w:val="18"/>
                <w:szCs w:val="18"/>
                <w:color w:val="auto"/>
              </w:rPr>
              <w:t>3.1</w:t>
            </w:r>
          </w:p>
        </w:tc>
        <w:tc>
          <w:tcPr>
            <w:tcW w:w="10440" w:type="dxa"/>
            <w:vAlign w:val="bottom"/>
          </w:tcPr>
          <w:p>
            <w:pPr>
              <w:ind w:left="220"/>
              <w:spacing w:after="0"/>
              <w:rPr>
                <w:sz w:val="20"/>
                <w:szCs w:val="20"/>
                <w:color w:val="auto"/>
              </w:rPr>
            </w:pPr>
            <w:r>
              <w:rPr>
                <w:rFonts w:ascii="Arial" w:cs="Arial" w:eastAsia="Arial" w:hAnsi="Arial"/>
                <w:sz w:val="18"/>
                <w:szCs w:val="18"/>
                <w:color w:val="auto"/>
                <w:w w:val="95"/>
              </w:rPr>
              <w:t>Memorandum of Association of Marvell Technology Group Ltd., incorporated by reference to Exhibit 3.1 of the registrant’s Registration</w:t>
            </w:r>
          </w:p>
        </w:tc>
      </w:tr>
      <w:tr>
        <w:trPr>
          <w:trHeight w:val="222"/>
        </w:trPr>
        <w:tc>
          <w:tcPr>
            <w:tcW w:w="940" w:type="dxa"/>
            <w:vAlign w:val="bottom"/>
          </w:tcPr>
          <w:p>
            <w:pPr>
              <w:spacing w:after="0"/>
              <w:rPr>
                <w:sz w:val="19"/>
                <w:szCs w:val="19"/>
                <w:color w:val="auto"/>
              </w:rPr>
            </w:pPr>
          </w:p>
        </w:tc>
        <w:tc>
          <w:tcPr>
            <w:tcW w:w="10440" w:type="dxa"/>
            <w:vAlign w:val="bottom"/>
          </w:tcPr>
          <w:p>
            <w:pPr>
              <w:ind w:left="220"/>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318"/>
        </w:trPr>
        <w:tc>
          <w:tcPr>
            <w:tcW w:w="940" w:type="dxa"/>
            <w:vAlign w:val="bottom"/>
          </w:tcPr>
          <w:p>
            <w:pPr>
              <w:jc w:val="right"/>
              <w:ind w:right="453"/>
              <w:spacing w:after="0"/>
              <w:rPr>
                <w:sz w:val="20"/>
                <w:szCs w:val="20"/>
                <w:color w:val="auto"/>
              </w:rPr>
            </w:pPr>
            <w:r>
              <w:rPr>
                <w:rFonts w:ascii="Arial" w:cs="Arial" w:eastAsia="Arial" w:hAnsi="Arial"/>
                <w:sz w:val="18"/>
                <w:szCs w:val="18"/>
                <w:color w:val="auto"/>
              </w:rPr>
              <w:t>3.2</w:t>
            </w:r>
          </w:p>
        </w:tc>
        <w:tc>
          <w:tcPr>
            <w:tcW w:w="10440" w:type="dxa"/>
            <w:vAlign w:val="bottom"/>
          </w:tcPr>
          <w:p>
            <w:pPr>
              <w:ind w:left="220"/>
              <w:spacing w:after="0"/>
              <w:rPr>
                <w:sz w:val="20"/>
                <w:szCs w:val="20"/>
                <w:color w:val="auto"/>
              </w:rPr>
            </w:pPr>
            <w:r>
              <w:rPr>
                <w:rFonts w:ascii="Arial" w:cs="Arial" w:eastAsia="Arial" w:hAnsi="Arial"/>
                <w:sz w:val="18"/>
                <w:szCs w:val="18"/>
                <w:color w:val="auto"/>
                <w:w w:val="90"/>
              </w:rPr>
              <w:t>Third Amended and Restated Bye-Laws of Marvell Technology Group Ltd., incorporated by reference to Exhibit 3.1 of the registrant’s Current</w:t>
            </w:r>
          </w:p>
        </w:tc>
      </w:tr>
      <w:tr>
        <w:trPr>
          <w:trHeight w:val="222"/>
        </w:trPr>
        <w:tc>
          <w:tcPr>
            <w:tcW w:w="940" w:type="dxa"/>
            <w:vAlign w:val="bottom"/>
          </w:tcPr>
          <w:p>
            <w:pPr>
              <w:spacing w:after="0"/>
              <w:rPr>
                <w:sz w:val="19"/>
                <w:szCs w:val="19"/>
                <w:color w:val="auto"/>
              </w:rPr>
            </w:pPr>
          </w:p>
        </w:tc>
        <w:tc>
          <w:tcPr>
            <w:tcW w:w="10440" w:type="dxa"/>
            <w:vAlign w:val="bottom"/>
          </w:tcPr>
          <w:p>
            <w:pPr>
              <w:ind w:left="220"/>
              <w:spacing w:after="0"/>
              <w:rPr>
                <w:sz w:val="20"/>
                <w:szCs w:val="20"/>
                <w:color w:val="auto"/>
              </w:rPr>
            </w:pPr>
            <w:r>
              <w:rPr>
                <w:rFonts w:ascii="Arial" w:cs="Arial" w:eastAsia="Arial" w:hAnsi="Arial"/>
                <w:sz w:val="18"/>
                <w:szCs w:val="18"/>
                <w:color w:val="auto"/>
              </w:rPr>
              <w:t>Report on Form 8-K (file no. 000-30877) as filed on July 13, 2010</w:t>
            </w:r>
          </w:p>
        </w:tc>
      </w:tr>
      <w:tr>
        <w:trPr>
          <w:trHeight w:val="318"/>
        </w:trPr>
        <w:tc>
          <w:tcPr>
            <w:tcW w:w="940" w:type="dxa"/>
            <w:vAlign w:val="bottom"/>
          </w:tcPr>
          <w:p>
            <w:pPr>
              <w:jc w:val="right"/>
              <w:ind w:right="453"/>
              <w:spacing w:after="0"/>
              <w:rPr>
                <w:sz w:val="20"/>
                <w:szCs w:val="20"/>
                <w:color w:val="auto"/>
              </w:rPr>
            </w:pPr>
            <w:r>
              <w:rPr>
                <w:rFonts w:ascii="Arial" w:cs="Arial" w:eastAsia="Arial" w:hAnsi="Arial"/>
                <w:sz w:val="18"/>
                <w:szCs w:val="18"/>
                <w:color w:val="auto"/>
              </w:rPr>
              <w:t>3.3</w:t>
            </w:r>
          </w:p>
        </w:tc>
        <w:tc>
          <w:tcPr>
            <w:tcW w:w="10440" w:type="dxa"/>
            <w:vAlign w:val="bottom"/>
          </w:tcPr>
          <w:p>
            <w:pPr>
              <w:ind w:left="220"/>
              <w:spacing w:after="0"/>
              <w:rPr>
                <w:sz w:val="20"/>
                <w:szCs w:val="20"/>
                <w:color w:val="auto"/>
              </w:rPr>
            </w:pPr>
            <w:r>
              <w:rPr>
                <w:rFonts w:ascii="Arial" w:cs="Arial" w:eastAsia="Arial" w:hAnsi="Arial"/>
                <w:sz w:val="18"/>
                <w:szCs w:val="18"/>
                <w:color w:val="auto"/>
                <w:w w:val="89"/>
              </w:rPr>
              <w:t>Memorandum of Increase of Share Capital of Marvell Technology Group Ltd., incorporated by reference to Exhibit 3.1 of the registrant’s Current</w:t>
            </w:r>
          </w:p>
        </w:tc>
      </w:tr>
      <w:tr>
        <w:trPr>
          <w:trHeight w:val="222"/>
        </w:trPr>
        <w:tc>
          <w:tcPr>
            <w:tcW w:w="940" w:type="dxa"/>
            <w:vAlign w:val="bottom"/>
          </w:tcPr>
          <w:p>
            <w:pPr>
              <w:spacing w:after="0"/>
              <w:rPr>
                <w:sz w:val="19"/>
                <w:szCs w:val="19"/>
                <w:color w:val="auto"/>
              </w:rPr>
            </w:pPr>
          </w:p>
        </w:tc>
        <w:tc>
          <w:tcPr>
            <w:tcW w:w="10440" w:type="dxa"/>
            <w:vAlign w:val="bottom"/>
          </w:tcPr>
          <w:p>
            <w:pPr>
              <w:ind w:left="220"/>
              <w:spacing w:after="0"/>
              <w:rPr>
                <w:sz w:val="20"/>
                <w:szCs w:val="20"/>
                <w:color w:val="auto"/>
              </w:rPr>
            </w:pPr>
            <w:r>
              <w:rPr>
                <w:rFonts w:ascii="Arial" w:cs="Arial" w:eastAsia="Arial" w:hAnsi="Arial"/>
                <w:sz w:val="18"/>
                <w:szCs w:val="18"/>
                <w:color w:val="auto"/>
              </w:rPr>
              <w:t>Report on Form 8-K (file no. 000-30877) as filed on July 6, 2006</w:t>
            </w:r>
          </w:p>
        </w:tc>
      </w:tr>
      <w:tr>
        <w:trPr>
          <w:trHeight w:val="318"/>
        </w:trPr>
        <w:tc>
          <w:tcPr>
            <w:tcW w:w="940" w:type="dxa"/>
            <w:vAlign w:val="bottom"/>
          </w:tcPr>
          <w:p>
            <w:pPr>
              <w:jc w:val="right"/>
              <w:ind w:right="353"/>
              <w:spacing w:after="0"/>
              <w:rPr>
                <w:sz w:val="20"/>
                <w:szCs w:val="20"/>
                <w:color w:val="auto"/>
              </w:rPr>
            </w:pPr>
            <w:r>
              <w:rPr>
                <w:rFonts w:ascii="Arial" w:cs="Arial" w:eastAsia="Arial" w:hAnsi="Arial"/>
                <w:sz w:val="18"/>
                <w:szCs w:val="18"/>
                <w:color w:val="auto"/>
              </w:rPr>
              <w:t>10.1#</w:t>
            </w:r>
          </w:p>
        </w:tc>
        <w:tc>
          <w:tcPr>
            <w:tcW w:w="10440" w:type="dxa"/>
            <w:vAlign w:val="bottom"/>
          </w:tcPr>
          <w:p>
            <w:pPr>
              <w:ind w:left="220"/>
              <w:spacing w:after="0"/>
              <w:rPr>
                <w:sz w:val="20"/>
                <w:szCs w:val="20"/>
                <w:color w:val="auto"/>
              </w:rPr>
            </w:pPr>
            <w:r>
              <w:rPr>
                <w:rFonts w:ascii="Arial" w:cs="Arial" w:eastAsia="Arial" w:hAnsi="Arial"/>
                <w:sz w:val="18"/>
                <w:szCs w:val="18"/>
                <w:color w:val="auto"/>
                <w:w w:val="92"/>
              </w:rPr>
              <w:t>Marvell Technology Group Ltd. Executive Performance Incentive Plan, incorporated by reference to Exhibit 10.1 of the registrant’s Current</w:t>
            </w:r>
          </w:p>
        </w:tc>
      </w:tr>
      <w:tr>
        <w:trPr>
          <w:trHeight w:val="222"/>
        </w:trPr>
        <w:tc>
          <w:tcPr>
            <w:tcW w:w="940" w:type="dxa"/>
            <w:vAlign w:val="bottom"/>
          </w:tcPr>
          <w:p>
            <w:pPr>
              <w:spacing w:after="0"/>
              <w:rPr>
                <w:sz w:val="19"/>
                <w:szCs w:val="19"/>
                <w:color w:val="auto"/>
              </w:rPr>
            </w:pPr>
          </w:p>
        </w:tc>
        <w:tc>
          <w:tcPr>
            <w:tcW w:w="10440" w:type="dxa"/>
            <w:vAlign w:val="bottom"/>
          </w:tcPr>
          <w:p>
            <w:pPr>
              <w:ind w:left="220"/>
              <w:spacing w:after="0"/>
              <w:rPr>
                <w:sz w:val="20"/>
                <w:szCs w:val="20"/>
                <w:color w:val="auto"/>
              </w:rPr>
            </w:pPr>
            <w:r>
              <w:rPr>
                <w:rFonts w:ascii="Arial" w:cs="Arial" w:eastAsia="Arial" w:hAnsi="Arial"/>
                <w:sz w:val="18"/>
                <w:szCs w:val="18"/>
                <w:color w:val="auto"/>
              </w:rPr>
              <w:t>Report on Form 8-K (file no. 000-30877) as filed on July 2, 2015</w:t>
            </w:r>
          </w:p>
        </w:tc>
      </w:tr>
      <w:tr>
        <w:trPr>
          <w:trHeight w:val="318"/>
        </w:trPr>
        <w:tc>
          <w:tcPr>
            <w:tcW w:w="940" w:type="dxa"/>
            <w:vAlign w:val="bottom"/>
          </w:tcPr>
          <w:p>
            <w:pPr>
              <w:jc w:val="right"/>
              <w:ind w:right="353"/>
              <w:spacing w:after="0"/>
              <w:rPr>
                <w:sz w:val="20"/>
                <w:szCs w:val="20"/>
                <w:color w:val="auto"/>
              </w:rPr>
            </w:pPr>
            <w:r>
              <w:rPr>
                <w:rFonts w:ascii="Arial" w:cs="Arial" w:eastAsia="Arial" w:hAnsi="Arial"/>
                <w:sz w:val="18"/>
                <w:szCs w:val="18"/>
                <w:color w:val="auto"/>
              </w:rPr>
              <w:t>10.2#</w:t>
            </w:r>
          </w:p>
        </w:tc>
        <w:tc>
          <w:tcPr>
            <w:tcW w:w="10440" w:type="dxa"/>
            <w:vAlign w:val="bottom"/>
          </w:tcPr>
          <w:p>
            <w:pPr>
              <w:ind w:left="220"/>
              <w:spacing w:after="0"/>
              <w:rPr>
                <w:sz w:val="20"/>
                <w:szCs w:val="20"/>
                <w:color w:val="auto"/>
              </w:rPr>
            </w:pPr>
            <w:r>
              <w:rPr>
                <w:rFonts w:ascii="Arial" w:cs="Arial" w:eastAsia="Arial" w:hAnsi="Arial"/>
                <w:sz w:val="18"/>
                <w:szCs w:val="18"/>
                <w:color w:val="auto"/>
                <w:w w:val="91"/>
              </w:rPr>
              <w:t>Marvell Technology Group Ltd. Amended and Restated 1995 Stock Option Plan, incorporated by reference to Exhibit 10.2 of the registrant’s</w:t>
            </w:r>
          </w:p>
        </w:tc>
      </w:tr>
      <w:tr>
        <w:trPr>
          <w:trHeight w:val="222"/>
        </w:trPr>
        <w:tc>
          <w:tcPr>
            <w:tcW w:w="940" w:type="dxa"/>
            <w:vAlign w:val="bottom"/>
          </w:tcPr>
          <w:p>
            <w:pPr>
              <w:spacing w:after="0"/>
              <w:rPr>
                <w:sz w:val="19"/>
                <w:szCs w:val="19"/>
                <w:color w:val="auto"/>
              </w:rPr>
            </w:pPr>
          </w:p>
        </w:tc>
        <w:tc>
          <w:tcPr>
            <w:tcW w:w="10440" w:type="dxa"/>
            <w:vAlign w:val="bottom"/>
          </w:tcPr>
          <w:p>
            <w:pPr>
              <w:ind w:left="220"/>
              <w:spacing w:after="0"/>
              <w:rPr>
                <w:sz w:val="20"/>
                <w:szCs w:val="20"/>
                <w:color w:val="auto"/>
              </w:rPr>
            </w:pPr>
            <w:r>
              <w:rPr>
                <w:rFonts w:ascii="Arial" w:cs="Arial" w:eastAsia="Arial" w:hAnsi="Arial"/>
                <w:sz w:val="18"/>
                <w:szCs w:val="18"/>
                <w:color w:val="auto"/>
              </w:rPr>
              <w:t>Current Report on Form 8-K (file no. 000-30877) as filed on July 2, 2015</w:t>
            </w:r>
          </w:p>
        </w:tc>
      </w:tr>
      <w:tr>
        <w:trPr>
          <w:trHeight w:val="324"/>
        </w:trPr>
        <w:tc>
          <w:tcPr>
            <w:tcW w:w="940" w:type="dxa"/>
            <w:vAlign w:val="bottom"/>
          </w:tcPr>
          <w:p>
            <w:pPr>
              <w:jc w:val="right"/>
              <w:ind w:right="453"/>
              <w:spacing w:after="0"/>
              <w:rPr>
                <w:sz w:val="20"/>
                <w:szCs w:val="20"/>
                <w:color w:val="auto"/>
              </w:rPr>
            </w:pPr>
            <w:r>
              <w:rPr>
                <w:rFonts w:ascii="Arial" w:cs="Arial" w:eastAsia="Arial" w:hAnsi="Arial"/>
                <w:sz w:val="18"/>
                <w:szCs w:val="18"/>
                <w:color w:val="auto"/>
              </w:rPr>
              <w:t>31.1</w:t>
            </w:r>
          </w:p>
        </w:tc>
        <w:tc>
          <w:tcPr>
            <w:tcW w:w="10440" w:type="dxa"/>
            <w:vAlign w:val="bottom"/>
          </w:tcPr>
          <w:p>
            <w:pPr>
              <w:ind w:left="220"/>
              <w:spacing w:after="0"/>
              <w:rPr>
                <w:sz w:val="20"/>
                <w:szCs w:val="20"/>
                <w:color w:val="auto"/>
              </w:rPr>
            </w:pPr>
            <w:r>
              <w:rPr>
                <w:rFonts w:ascii="Arial" w:cs="Arial" w:eastAsia="Arial" w:hAnsi="Arial"/>
                <w:sz w:val="18"/>
                <w:szCs w:val="18"/>
                <w:color w:val="auto"/>
              </w:rPr>
              <w:t>Certification of Interim Principal Executive Officer as required pursuant to Section 302 of the Sarbanes-Oxley Act of 2002</w:t>
            </w:r>
          </w:p>
        </w:tc>
      </w:tr>
      <w:tr>
        <w:trPr>
          <w:trHeight w:val="324"/>
        </w:trPr>
        <w:tc>
          <w:tcPr>
            <w:tcW w:w="940" w:type="dxa"/>
            <w:vAlign w:val="bottom"/>
          </w:tcPr>
          <w:p>
            <w:pPr>
              <w:jc w:val="right"/>
              <w:ind w:right="453"/>
              <w:spacing w:after="0"/>
              <w:rPr>
                <w:sz w:val="20"/>
                <w:szCs w:val="20"/>
                <w:color w:val="auto"/>
              </w:rPr>
            </w:pPr>
            <w:r>
              <w:rPr>
                <w:rFonts w:ascii="Arial" w:cs="Arial" w:eastAsia="Arial" w:hAnsi="Arial"/>
                <w:sz w:val="18"/>
                <w:szCs w:val="18"/>
                <w:color w:val="auto"/>
              </w:rPr>
              <w:t>31.2</w:t>
            </w:r>
          </w:p>
        </w:tc>
        <w:tc>
          <w:tcPr>
            <w:tcW w:w="10440" w:type="dxa"/>
            <w:vAlign w:val="bottom"/>
          </w:tcPr>
          <w:p>
            <w:pPr>
              <w:ind w:left="220"/>
              <w:spacing w:after="0"/>
              <w:rPr>
                <w:sz w:val="20"/>
                <w:szCs w:val="20"/>
                <w:color w:val="auto"/>
              </w:rPr>
            </w:pPr>
            <w:r>
              <w:rPr>
                <w:rFonts w:ascii="Arial" w:cs="Arial" w:eastAsia="Arial" w:hAnsi="Arial"/>
                <w:sz w:val="18"/>
                <w:szCs w:val="18"/>
                <w:color w:val="auto"/>
              </w:rPr>
              <w:t>Certification of Interim Chief Financial Officer as required pursuant to Section 302 of the Sarbanes-Oxley Act of 2002</w:t>
            </w:r>
          </w:p>
        </w:tc>
      </w:tr>
      <w:tr>
        <w:trPr>
          <w:trHeight w:val="324"/>
        </w:trPr>
        <w:tc>
          <w:tcPr>
            <w:tcW w:w="940" w:type="dxa"/>
            <w:vAlign w:val="bottom"/>
          </w:tcPr>
          <w:p>
            <w:pPr>
              <w:jc w:val="right"/>
              <w:ind w:right="353"/>
              <w:spacing w:after="0"/>
              <w:rPr>
                <w:sz w:val="20"/>
                <w:szCs w:val="20"/>
                <w:color w:val="auto"/>
              </w:rPr>
            </w:pPr>
            <w:r>
              <w:rPr>
                <w:rFonts w:ascii="Arial" w:cs="Arial" w:eastAsia="Arial" w:hAnsi="Arial"/>
                <w:sz w:val="18"/>
                <w:szCs w:val="18"/>
                <w:color w:val="auto"/>
              </w:rPr>
              <w:t>32.1*</w:t>
            </w:r>
          </w:p>
        </w:tc>
        <w:tc>
          <w:tcPr>
            <w:tcW w:w="10440" w:type="dxa"/>
            <w:vAlign w:val="bottom"/>
          </w:tcPr>
          <w:p>
            <w:pPr>
              <w:ind w:left="220"/>
              <w:spacing w:after="0"/>
              <w:rPr>
                <w:sz w:val="20"/>
                <w:szCs w:val="20"/>
                <w:color w:val="auto"/>
              </w:rPr>
            </w:pPr>
            <w:r>
              <w:rPr>
                <w:rFonts w:ascii="Arial" w:cs="Arial" w:eastAsia="Arial" w:hAnsi="Arial"/>
                <w:sz w:val="18"/>
                <w:szCs w:val="18"/>
                <w:color w:val="auto"/>
              </w:rPr>
              <w:t>Certification of Interim Principal Executive Officer as required pursuant to Section 906 of the Sarbanes-Oxley Act of 2002</w:t>
            </w:r>
          </w:p>
        </w:tc>
      </w:tr>
      <w:tr>
        <w:trPr>
          <w:trHeight w:val="324"/>
        </w:trPr>
        <w:tc>
          <w:tcPr>
            <w:tcW w:w="940" w:type="dxa"/>
            <w:vAlign w:val="bottom"/>
          </w:tcPr>
          <w:p>
            <w:pPr>
              <w:jc w:val="right"/>
              <w:ind w:right="353"/>
              <w:spacing w:after="0"/>
              <w:rPr>
                <w:sz w:val="20"/>
                <w:szCs w:val="20"/>
                <w:color w:val="auto"/>
              </w:rPr>
            </w:pPr>
            <w:r>
              <w:rPr>
                <w:rFonts w:ascii="Arial" w:cs="Arial" w:eastAsia="Arial" w:hAnsi="Arial"/>
                <w:sz w:val="18"/>
                <w:szCs w:val="18"/>
                <w:color w:val="auto"/>
              </w:rPr>
              <w:t>32.2*</w:t>
            </w:r>
          </w:p>
        </w:tc>
        <w:tc>
          <w:tcPr>
            <w:tcW w:w="10440" w:type="dxa"/>
            <w:vAlign w:val="bottom"/>
          </w:tcPr>
          <w:p>
            <w:pPr>
              <w:ind w:left="220"/>
              <w:spacing w:after="0"/>
              <w:rPr>
                <w:sz w:val="20"/>
                <w:szCs w:val="20"/>
                <w:color w:val="auto"/>
              </w:rPr>
            </w:pPr>
            <w:r>
              <w:rPr>
                <w:rFonts w:ascii="Arial" w:cs="Arial" w:eastAsia="Arial" w:hAnsi="Arial"/>
                <w:sz w:val="18"/>
                <w:szCs w:val="18"/>
                <w:color w:val="auto"/>
              </w:rPr>
              <w:t>Certification of Interim Chief Financial Officer as required pursuant to Section 906 of the Sarbanes-Oxley Act of 2002</w:t>
            </w:r>
          </w:p>
        </w:tc>
      </w:tr>
      <w:tr>
        <w:trPr>
          <w:trHeight w:val="324"/>
        </w:trPr>
        <w:tc>
          <w:tcPr>
            <w:tcW w:w="940" w:type="dxa"/>
            <w:vAlign w:val="bottom"/>
          </w:tcPr>
          <w:p>
            <w:pPr>
              <w:spacing w:after="0"/>
              <w:rPr>
                <w:sz w:val="20"/>
                <w:szCs w:val="20"/>
                <w:color w:val="auto"/>
              </w:rPr>
            </w:pPr>
            <w:r>
              <w:rPr>
                <w:rFonts w:ascii="Arial" w:cs="Arial" w:eastAsia="Arial" w:hAnsi="Arial"/>
                <w:sz w:val="18"/>
                <w:szCs w:val="18"/>
                <w:color w:val="auto"/>
              </w:rPr>
              <w:t>101.INS</w:t>
            </w:r>
          </w:p>
        </w:tc>
        <w:tc>
          <w:tcPr>
            <w:tcW w:w="10440" w:type="dxa"/>
            <w:vAlign w:val="bottom"/>
          </w:tcPr>
          <w:p>
            <w:pPr>
              <w:ind w:left="220"/>
              <w:spacing w:after="0"/>
              <w:rPr>
                <w:sz w:val="20"/>
                <w:szCs w:val="20"/>
                <w:color w:val="auto"/>
              </w:rPr>
            </w:pPr>
            <w:r>
              <w:rPr>
                <w:rFonts w:ascii="Arial" w:cs="Arial" w:eastAsia="Arial" w:hAnsi="Arial"/>
                <w:sz w:val="18"/>
                <w:szCs w:val="18"/>
                <w:color w:val="auto"/>
              </w:rPr>
              <w:t>XBRL Instance Document</w:t>
            </w:r>
          </w:p>
        </w:tc>
      </w:tr>
      <w:tr>
        <w:trPr>
          <w:trHeight w:val="324"/>
        </w:trPr>
        <w:tc>
          <w:tcPr>
            <w:tcW w:w="940" w:type="dxa"/>
            <w:vAlign w:val="bottom"/>
          </w:tcPr>
          <w:p>
            <w:pPr>
              <w:spacing w:after="0"/>
              <w:rPr>
                <w:sz w:val="20"/>
                <w:szCs w:val="20"/>
                <w:color w:val="auto"/>
              </w:rPr>
            </w:pPr>
            <w:r>
              <w:rPr>
                <w:rFonts w:ascii="Arial" w:cs="Arial" w:eastAsia="Arial" w:hAnsi="Arial"/>
                <w:sz w:val="18"/>
                <w:szCs w:val="18"/>
                <w:color w:val="auto"/>
              </w:rPr>
              <w:t>101.SCH</w:t>
            </w:r>
          </w:p>
        </w:tc>
        <w:tc>
          <w:tcPr>
            <w:tcW w:w="10440" w:type="dxa"/>
            <w:vAlign w:val="bottom"/>
          </w:tcPr>
          <w:p>
            <w:pPr>
              <w:ind w:left="22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40" w:type="dxa"/>
            <w:vAlign w:val="bottom"/>
          </w:tcPr>
          <w:p>
            <w:pPr>
              <w:spacing w:after="0"/>
              <w:rPr>
                <w:sz w:val="20"/>
                <w:szCs w:val="20"/>
                <w:color w:val="auto"/>
              </w:rPr>
            </w:pPr>
            <w:r>
              <w:rPr>
                <w:rFonts w:ascii="Arial" w:cs="Arial" w:eastAsia="Arial" w:hAnsi="Arial"/>
                <w:sz w:val="18"/>
                <w:szCs w:val="18"/>
                <w:color w:val="auto"/>
              </w:rPr>
              <w:t>101.CAL</w:t>
            </w:r>
          </w:p>
        </w:tc>
        <w:tc>
          <w:tcPr>
            <w:tcW w:w="10440" w:type="dxa"/>
            <w:vAlign w:val="bottom"/>
          </w:tcPr>
          <w:p>
            <w:pPr>
              <w:ind w:left="22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40" w:type="dxa"/>
            <w:vAlign w:val="bottom"/>
          </w:tcPr>
          <w:p>
            <w:pPr>
              <w:spacing w:after="0"/>
              <w:rPr>
                <w:sz w:val="20"/>
                <w:szCs w:val="20"/>
                <w:color w:val="auto"/>
              </w:rPr>
            </w:pPr>
            <w:r>
              <w:rPr>
                <w:rFonts w:ascii="Arial" w:cs="Arial" w:eastAsia="Arial" w:hAnsi="Arial"/>
                <w:sz w:val="18"/>
                <w:szCs w:val="18"/>
                <w:color w:val="auto"/>
              </w:rPr>
              <w:t>101.DEF</w:t>
            </w:r>
          </w:p>
        </w:tc>
        <w:tc>
          <w:tcPr>
            <w:tcW w:w="10440" w:type="dxa"/>
            <w:vAlign w:val="bottom"/>
          </w:tcPr>
          <w:p>
            <w:pPr>
              <w:ind w:left="22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40" w:type="dxa"/>
            <w:vAlign w:val="bottom"/>
          </w:tcPr>
          <w:p>
            <w:pPr>
              <w:spacing w:after="0"/>
              <w:rPr>
                <w:sz w:val="20"/>
                <w:szCs w:val="20"/>
                <w:color w:val="auto"/>
              </w:rPr>
            </w:pPr>
            <w:r>
              <w:rPr>
                <w:rFonts w:ascii="Arial" w:cs="Arial" w:eastAsia="Arial" w:hAnsi="Arial"/>
                <w:sz w:val="18"/>
                <w:szCs w:val="18"/>
                <w:color w:val="auto"/>
              </w:rPr>
              <w:t>101.LAB</w:t>
            </w:r>
          </w:p>
        </w:tc>
        <w:tc>
          <w:tcPr>
            <w:tcW w:w="10440" w:type="dxa"/>
            <w:vAlign w:val="bottom"/>
          </w:tcPr>
          <w:p>
            <w:pPr>
              <w:ind w:left="22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40" w:type="dxa"/>
            <w:vAlign w:val="bottom"/>
          </w:tcPr>
          <w:p>
            <w:pPr>
              <w:spacing w:after="0"/>
              <w:rPr>
                <w:sz w:val="20"/>
                <w:szCs w:val="20"/>
                <w:color w:val="auto"/>
              </w:rPr>
            </w:pPr>
            <w:r>
              <w:rPr>
                <w:rFonts w:ascii="Arial" w:cs="Arial" w:eastAsia="Arial" w:hAnsi="Arial"/>
                <w:sz w:val="18"/>
                <w:szCs w:val="18"/>
                <w:color w:val="auto"/>
              </w:rPr>
              <w:t>101.PRE</w:t>
            </w:r>
          </w:p>
        </w:tc>
        <w:tc>
          <w:tcPr>
            <w:tcW w:w="10440" w:type="dxa"/>
            <w:vAlign w:val="bottom"/>
          </w:tcPr>
          <w:p>
            <w:pPr>
              <w:ind w:left="22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620" w:hanging="212"/>
        <w:spacing w:after="0" w:line="302" w:lineRule="auto"/>
        <w:tabs>
          <w:tab w:leader="none" w:pos="220"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380"/>
          </w:cols>
          <w:pgMar w:left="240" w:top="459" w:right="279" w:bottom="1440" w:gutter="0" w:footer="0" w:header="0"/>
        </w:sectPr>
      </w:pPr>
    </w:p>
    <w:bookmarkStart w:id="62" w:name="page63"/>
    <w:bookmarkEnd w:id="62"/>
    <w:p>
      <w:pPr>
        <w:jc w:val="right"/>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Richard S. Hill, certify that:</w:t>
      </w:r>
    </w:p>
    <w:p>
      <w:pPr>
        <w:spacing w:after="0" w:line="131" w:lineRule="exact"/>
        <w:rPr>
          <w:sz w:val="20"/>
          <w:szCs w:val="20"/>
          <w:color w:val="auto"/>
        </w:rPr>
      </w:pPr>
    </w:p>
    <w:p>
      <w:pPr>
        <w:ind w:left="460" w:hanging="452"/>
        <w:spacing w:after="0"/>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24"/>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24"/>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24"/>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RICHARD S. HILL</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Chairman of the Board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63" w:name="page64"/>
    <w:bookmarkEnd w:id="63"/>
    <w:p>
      <w:pPr>
        <w:jc w:val="right"/>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David P. Eichler, certify that:</w:t>
      </w:r>
    </w:p>
    <w:p>
      <w:pPr>
        <w:spacing w:after="0" w:line="131" w:lineRule="exact"/>
        <w:rPr>
          <w:sz w:val="20"/>
          <w:szCs w:val="20"/>
          <w:color w:val="auto"/>
        </w:rPr>
      </w:pPr>
    </w:p>
    <w:p>
      <w:pPr>
        <w:ind w:left="460" w:hanging="452"/>
        <w:spacing w:after="0"/>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2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2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DAVID P.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64" w:name="page65"/>
    <w:bookmarkEnd w:id="64"/>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color w:val="auto"/>
        </w:rPr>
        <w:t>I, Richard S. Hill, the Interim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740" w:hanging="446"/>
        <w:spacing w:after="0" w:line="277" w:lineRule="auto"/>
        <w:tabs>
          <w:tab w:leader="none" w:pos="90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August 1, 2015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RICHARD S. HILL</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Chairman of the Board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65" w:name="page66"/>
    <w:bookmarkEnd w:id="65"/>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00"/>
        <w:spacing w:after="0" w:line="277" w:lineRule="auto"/>
        <w:rPr>
          <w:sz w:val="20"/>
          <w:szCs w:val="20"/>
          <w:color w:val="auto"/>
        </w:rPr>
      </w:pPr>
      <w:r>
        <w:rPr>
          <w:rFonts w:ascii="Arial" w:cs="Arial" w:eastAsia="Arial" w:hAnsi="Arial"/>
          <w:sz w:val="18"/>
          <w:szCs w:val="18"/>
          <w:color w:val="auto"/>
        </w:rPr>
        <w:t>I, David P. Eichler, the Interim Chief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740" w:hanging="446"/>
        <w:spacing w:after="0" w:line="277" w:lineRule="auto"/>
        <w:tabs>
          <w:tab w:leader="none" w:pos="9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August 1, 2015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DAVID P.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DED7263"/>
    <w:multiLevelType w:val="hybridMultilevel"/>
    <w:lvl w:ilvl="0">
      <w:lvlJc w:val="left"/>
      <w:lvlText w:val="☒"/>
      <w:numFmt w:val="bullet"/>
      <w:start w:val="1"/>
    </w:lvl>
  </w:abstractNum>
  <w:abstractNum w:abstractNumId="1">
    <w:nsid w:val="7FDCC233"/>
    <w:multiLevelType w:val="hybridMultilevel"/>
    <w:lvl w:ilvl="0">
      <w:lvlJc w:val="left"/>
      <w:lvlText w:val="☐"/>
      <w:numFmt w:val="bullet"/>
      <w:start w:val="1"/>
    </w:lvl>
  </w:abstractNum>
  <w:abstractNum w:abstractNumId="2">
    <w:nsid w:val="1BEFD79F"/>
    <w:multiLevelType w:val="hybridMultilevel"/>
    <w:lvl w:ilvl="0">
      <w:lvlJc w:val="left"/>
      <w:lvlText w:val="•"/>
      <w:numFmt w:val="bullet"/>
      <w:start w:val="1"/>
    </w:lvl>
  </w:abstractNum>
  <w:abstractNum w:abstractNumId="3">
    <w:nsid w:val="41A7C4C9"/>
    <w:multiLevelType w:val="hybridMultilevel"/>
    <w:lvl w:ilvl="0">
      <w:lvlJc w:val="left"/>
      <w:lvlText w:val="•"/>
      <w:numFmt w:val="bullet"/>
      <w:start w:val="1"/>
    </w:lvl>
  </w:abstractNum>
  <w:abstractNum w:abstractNumId="4">
    <w:nsid w:val="6B68079A"/>
    <w:multiLevelType w:val="hybridMultilevel"/>
    <w:lvl w:ilvl="0">
      <w:lvlJc w:val="left"/>
      <w:lvlText w:val="•"/>
      <w:numFmt w:val="bullet"/>
      <w:start w:val="1"/>
    </w:lvl>
  </w:abstractNum>
  <w:abstractNum w:abstractNumId="5">
    <w:nsid w:val="4E6AFB66"/>
    <w:multiLevelType w:val="hybridMultilevel"/>
    <w:lvl w:ilvl="0">
      <w:lvlJc w:val="left"/>
      <w:lvlText w:val="(%1)"/>
      <w:numFmt w:val="lowerLetter"/>
      <w:start w:val="1"/>
    </w:lvl>
  </w:abstractNum>
  <w:abstractNum w:abstractNumId="6">
    <w:nsid w:val="25E45D32"/>
    <w:multiLevelType w:val="hybridMultilevel"/>
    <w:lvl w:ilvl="0">
      <w:lvlJc w:val="left"/>
      <w:lvlText w:val="•"/>
      <w:numFmt w:val="bullet"/>
      <w:start w:val="1"/>
    </w:lvl>
  </w:abstractNum>
  <w:abstractNum w:abstractNumId="7">
    <w:nsid w:val="519B500D"/>
    <w:multiLevelType w:val="hybridMultilevel"/>
    <w:lvl w:ilvl="0">
      <w:lvlJc w:val="left"/>
      <w:lvlText w:val="•"/>
      <w:numFmt w:val="bullet"/>
      <w:start w:val="1"/>
    </w:lvl>
  </w:abstractNum>
  <w:abstractNum w:abstractNumId="8">
    <w:nsid w:val="431BD7B7"/>
    <w:multiLevelType w:val="hybridMultilevel"/>
    <w:lvl w:ilvl="0">
      <w:lvlJc w:val="left"/>
      <w:lvlText w:val="•"/>
      <w:numFmt w:val="bullet"/>
      <w:start w:val="1"/>
    </w:lvl>
  </w:abstractNum>
  <w:abstractNum w:abstractNumId="9">
    <w:nsid w:val="3F2DBA31"/>
    <w:multiLevelType w:val="hybridMultilevel"/>
    <w:lvl w:ilvl="0">
      <w:lvlJc w:val="left"/>
      <w:lvlText w:val="•"/>
      <w:numFmt w:val="bullet"/>
      <w:start w:val="1"/>
    </w:lvl>
  </w:abstractNum>
  <w:abstractNum w:abstractNumId="10">
    <w:nsid w:val="7C83E458"/>
    <w:multiLevelType w:val="hybridMultilevel"/>
    <w:lvl w:ilvl="0">
      <w:lvlJc w:val="left"/>
      <w:lvlText w:val="•"/>
      <w:numFmt w:val="bullet"/>
      <w:start w:val="1"/>
    </w:lvl>
  </w:abstractNum>
  <w:abstractNum w:abstractNumId="11">
    <w:nsid w:val="257130A3"/>
    <w:multiLevelType w:val="hybridMultilevel"/>
    <w:lvl w:ilvl="0">
      <w:lvlJc w:val="left"/>
      <w:lvlText w:val="•"/>
      <w:numFmt w:val="bullet"/>
      <w:start w:val="1"/>
    </w:lvl>
  </w:abstractNum>
  <w:abstractNum w:abstractNumId="12">
    <w:nsid w:val="62BBD95A"/>
    <w:multiLevelType w:val="hybridMultilevel"/>
    <w:lvl w:ilvl="0">
      <w:lvlJc w:val="left"/>
      <w:lvlText w:val="•"/>
      <w:numFmt w:val="bullet"/>
      <w:start w:val="1"/>
    </w:lvl>
  </w:abstractNum>
  <w:abstractNum w:abstractNumId="13">
    <w:nsid w:val="436C6125"/>
    <w:multiLevelType w:val="hybridMultilevel"/>
    <w:lvl w:ilvl="0">
      <w:lvlJc w:val="left"/>
      <w:lvlText w:val="•"/>
      <w:numFmt w:val="bullet"/>
      <w:start w:val="1"/>
    </w:lvl>
  </w:abstractNum>
  <w:abstractNum w:abstractNumId="14">
    <w:nsid w:val="628C895D"/>
    <w:multiLevelType w:val="hybridMultilevel"/>
    <w:lvl w:ilvl="0">
      <w:lvlJc w:val="left"/>
      <w:lvlText w:val="•"/>
      <w:numFmt w:val="bullet"/>
      <w:start w:val="1"/>
    </w:lvl>
  </w:abstractNum>
  <w:abstractNum w:abstractNumId="15">
    <w:nsid w:val="333AB105"/>
    <w:multiLevelType w:val="hybridMultilevel"/>
    <w:lvl w:ilvl="0">
      <w:lvlJc w:val="left"/>
      <w:lvlText w:val="•"/>
      <w:numFmt w:val="bullet"/>
      <w:start w:val="1"/>
    </w:lvl>
  </w:abstractNum>
  <w:abstractNum w:abstractNumId="16">
    <w:nsid w:val="721DA317"/>
    <w:multiLevelType w:val="hybridMultilevel"/>
    <w:lvl w:ilvl="0">
      <w:lvlJc w:val="left"/>
      <w:lvlText w:val="•"/>
      <w:numFmt w:val="bullet"/>
      <w:start w:val="1"/>
    </w:lvl>
  </w:abstractNum>
  <w:abstractNum w:abstractNumId="17">
    <w:nsid w:val="2443A858"/>
    <w:multiLevelType w:val="hybridMultilevel"/>
    <w:lvl w:ilvl="0">
      <w:lvlJc w:val="left"/>
      <w:lvlText w:val="•"/>
      <w:numFmt w:val="bullet"/>
      <w:start w:val="1"/>
    </w:lvl>
  </w:abstractNum>
  <w:abstractNum w:abstractNumId="18">
    <w:nsid w:val="2D1D5AE9"/>
    <w:multiLevelType w:val="hybridMultilevel"/>
    <w:lvl w:ilvl="0">
      <w:lvlJc w:val="left"/>
      <w:lvlText w:val="•"/>
      <w:numFmt w:val="bullet"/>
      <w:start w:val="1"/>
    </w:lvl>
  </w:abstractNum>
  <w:abstractNum w:abstractNumId="19">
    <w:nsid w:val="6763845E"/>
    <w:multiLevelType w:val="hybridMultilevel"/>
    <w:lvl w:ilvl="0">
      <w:lvlJc w:val="left"/>
      <w:lvlText w:val="•"/>
      <w:numFmt w:val="bullet"/>
      <w:start w:val="1"/>
    </w:lvl>
  </w:abstractNum>
  <w:abstractNum w:abstractNumId="20">
    <w:nsid w:val="75A2A8D4"/>
    <w:multiLevelType w:val="hybridMultilevel"/>
    <w:lvl w:ilvl="0">
      <w:lvlJc w:val="left"/>
      <w:lvlText w:val="•"/>
      <w:numFmt w:val="bullet"/>
      <w:start w:val="1"/>
    </w:lvl>
  </w:abstractNum>
  <w:abstractNum w:abstractNumId="21">
    <w:nsid w:val="8EDBDAB"/>
    <w:multiLevelType w:val="hybridMultilevel"/>
    <w:lvl w:ilvl="0">
      <w:lvlJc w:val="left"/>
      <w:lvlText w:val="(%1)"/>
      <w:numFmt w:val="decimal"/>
      <w:start w:val="1"/>
    </w:lvl>
  </w:abstractNum>
  <w:abstractNum w:abstractNumId="22">
    <w:nsid w:val="79838CB2"/>
    <w:multiLevelType w:val="hybridMultilevel"/>
    <w:lvl w:ilvl="0">
      <w:lvlJc w:val="left"/>
      <w:lvlText w:val="*"/>
      <w:numFmt w:val="bullet"/>
      <w:start w:val="1"/>
    </w:lvl>
  </w:abstractNum>
  <w:abstractNum w:abstractNumId="23">
    <w:nsid w:val="4353D0CD"/>
    <w:multiLevelType w:val="hybridMultilevel"/>
    <w:lvl w:ilvl="0">
      <w:lvlJc w:val="left"/>
      <w:lvlText w:val="%1."/>
      <w:numFmt w:val="decimal"/>
      <w:start w:val="1"/>
    </w:lvl>
    <w:lvl w:ilvl="1">
      <w:lvlJc w:val="left"/>
      <w:lvlText w:val="%2)"/>
      <w:numFmt w:val="lowerLetter"/>
      <w:start w:val="1"/>
    </w:lvl>
  </w:abstractNum>
  <w:abstractNum w:abstractNumId="24">
    <w:nsid w:val="B03E0C6"/>
    <w:multiLevelType w:val="hybridMultilevel"/>
    <w:lvl w:ilvl="0">
      <w:lvlJc w:val="left"/>
      <w:lvlText w:val="%1."/>
      <w:numFmt w:val="decimal"/>
      <w:start w:val="1"/>
    </w:lvl>
    <w:lvl w:ilvl="1">
      <w:lvlJc w:val="left"/>
      <w:lvlText w:val="%2)"/>
      <w:numFmt w:val="lowerLetter"/>
      <w:start w:val="1"/>
    </w:lvl>
  </w:abstractNum>
  <w:abstractNum w:abstractNumId="25">
    <w:nsid w:val="189A769B"/>
    <w:multiLevelType w:val="hybridMultilevel"/>
    <w:lvl w:ilvl="0">
      <w:lvlJc w:val="left"/>
      <w:lvlText w:val="(%1)"/>
      <w:numFmt w:val="lowerRoman"/>
      <w:start w:val="1"/>
    </w:lvl>
  </w:abstractNum>
  <w:abstractNum w:abstractNumId="26">
    <w:nsid w:val="54E49EB4"/>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2019-12-29T11:45:33Z</dcterms:created>
  <dcterms:modified xsi:type="dcterms:W3CDTF">2019-12-29T11:45:33Z</dcterms:modified>
</cp:coreProperties>
</file>