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April 30, 2016</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July 29, 2016 was 511.2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8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8"/>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April 30, 2016 and January 30, 2016</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40" w:type="dxa"/>
            <w:vAlign w:val="bottom"/>
            <w:gridSpan w:val="2"/>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April 30, 2016 and May 2, 2015</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40" w:type="dxa"/>
            <w:vAlign w:val="bottom"/>
            <w:gridSpan w:val="2"/>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28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w w:val="92"/>
              </w:rPr>
            </w:pPr>
            <w:hyperlink w:anchor="page5">
              <w:r>
                <w:rPr>
                  <w:rFonts w:ascii="Arial" w:cs="Arial" w:eastAsia="Arial" w:hAnsi="Arial"/>
                  <w:sz w:val="18"/>
                  <w:szCs w:val="18"/>
                  <w:color w:val="0000EE"/>
                  <w:w w:val="92"/>
                </w:rPr>
                <w:t>Unaudited Condensed Consolidated Statements of Comprehensive Income (Loss) for the three months ended April 30, 2016 and May 2,</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5">
              <w:r>
                <w:rPr>
                  <w:rFonts w:ascii="Arial" w:cs="Arial" w:eastAsia="Arial" w:hAnsi="Arial"/>
                  <w:sz w:val="18"/>
                  <w:szCs w:val="18"/>
                  <w:color w:val="0000EE"/>
                  <w:w w:val="84"/>
                </w:rPr>
                <w:t>2015</w:t>
              </w:r>
            </w:hyperlink>
          </w:p>
        </w:tc>
        <w:tc>
          <w:tcPr>
            <w:tcW w:w="2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6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4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340" w:type="dxa"/>
            <w:vAlign w:val="bottom"/>
            <w:tcBorders>
              <w:top w:val="single" w:sz="8" w:color="0000EE"/>
            </w:tcBorders>
          </w:tcPr>
          <w:p>
            <w:pPr>
              <w:spacing w:after="0"/>
              <w:rPr>
                <w:sz w:val="17"/>
                <w:szCs w:val="17"/>
                <w:color w:val="auto"/>
              </w:rPr>
            </w:pPr>
          </w:p>
        </w:tc>
        <w:tc>
          <w:tcPr>
            <w:tcW w:w="194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940" w:type="dxa"/>
            <w:vAlign w:val="bottom"/>
            <w:tcBorders>
              <w:top w:val="single" w:sz="8" w:color="0000EE"/>
            </w:tcBorders>
          </w:tcPr>
          <w:p>
            <w:pPr>
              <w:spacing w:after="0"/>
              <w:rPr>
                <w:sz w:val="17"/>
                <w:szCs w:val="17"/>
                <w:color w:val="auto"/>
              </w:rPr>
            </w:pPr>
          </w:p>
        </w:tc>
        <w:tc>
          <w:tcPr>
            <w:tcW w:w="4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8640" w:type="dxa"/>
            <w:vAlign w:val="bottom"/>
            <w:tcBorders>
              <w:bottom w:val="single" w:sz="8" w:color="0000EE"/>
            </w:tcBorders>
            <w:gridSpan w:val="18"/>
          </w:tcPr>
          <w:p>
            <w:pPr>
              <w:spacing w:after="0" w:line="196" w:lineRule="exact"/>
              <w:rPr>
                <w:rFonts w:ascii="Arial" w:cs="Arial" w:eastAsia="Arial" w:hAnsi="Arial"/>
                <w:sz w:val="18"/>
                <w:szCs w:val="18"/>
                <w:color w:val="0000EE"/>
                <w:w w:val="87"/>
              </w:rPr>
            </w:pPr>
            <w:hyperlink w:anchor="page6">
              <w:r>
                <w:rPr>
                  <w:rFonts w:ascii="Arial" w:cs="Arial" w:eastAsia="Arial" w:hAnsi="Arial"/>
                  <w:sz w:val="18"/>
                  <w:szCs w:val="18"/>
                  <w:color w:val="0000EE"/>
                  <w:w w:val="87"/>
                </w:rPr>
                <w:t>Unaudited Condensed Consolidated Statements of Cash Flows for the three months ended April 30, 2016 and May 2, 2015</w:t>
              </w:r>
            </w:hyperlink>
          </w:p>
        </w:tc>
        <w:tc>
          <w:tcPr>
            <w:tcW w:w="140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4680" w:type="dxa"/>
            <w:vAlign w:val="bottom"/>
            <w:tcBorders>
              <w:bottom w:val="single" w:sz="8" w:color="0000EE"/>
            </w:tcBorders>
            <w:gridSpan w:val="12"/>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5360" w:type="dxa"/>
            <w:vAlign w:val="bottom"/>
            <w:gridSpan w:val="8"/>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0"/>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9"/>
              </w:rPr>
            </w:pPr>
            <w:hyperlink w:anchor="page32">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20"/>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38">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9"/>
          </w:tcPr>
          <w:p>
            <w:pPr>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Risk Factors</w:t>
              </w:r>
            </w:hyperlink>
          </w:p>
        </w:tc>
        <w:tc>
          <w:tcPr>
            <w:tcW w:w="87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360" w:type="dxa"/>
            <w:vAlign w:val="bottom"/>
            <w:gridSpan w:val="6"/>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0"/>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6.</w:t>
            </w:r>
          </w:p>
        </w:tc>
        <w:tc>
          <w:tcPr>
            <w:tcW w:w="6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1"/>
              </w:rPr>
            </w:pPr>
            <w:hyperlink w:anchor="page53">
              <w:r>
                <w:rPr>
                  <w:rFonts w:ascii="Arial" w:cs="Arial" w:eastAsia="Arial" w:hAnsi="Arial"/>
                  <w:sz w:val="18"/>
                  <w:szCs w:val="18"/>
                  <w:color w:val="0000EE"/>
                  <w:w w:val="91"/>
                </w:rPr>
                <w:t>Exhibits</w:t>
              </w:r>
            </w:hyperlink>
          </w:p>
        </w:tc>
        <w:tc>
          <w:tcPr>
            <w:tcW w:w="3640" w:type="dxa"/>
            <w:vAlign w:val="bottom"/>
            <w:tcBorders>
              <w:top w:val="single" w:sz="8" w:color="0000EE"/>
            </w:tcBorders>
            <w:gridSpan w:val="8"/>
          </w:tcPr>
          <w:p>
            <w:pPr>
              <w:spacing w:after="0"/>
              <w:rPr>
                <w:sz w:val="17"/>
                <w:szCs w:val="17"/>
                <w:color w:val="auto"/>
              </w:rPr>
            </w:pPr>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Signatures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EXPLANATORY NOTE</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previously reported, we were unable to timely file our Quarterly Reports on Form 10-Q for the first quarter of fiscal 2017 ended April 30, 2016, as a result of the resignation of our independent registered public accounting firm and an Audit Committee investigation as described in our Annual Report on Form 10-K for fiscal 2016 filed on July 21, 2016. As previously reported, we retained Deloitte &amp; Touche LLP as our independent registered public accounting firm and the Audit Committee subsequently completed its investigation.</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60"/>
          </w:cols>
          <w:pgMar w:left="240" w:top="459" w:right="29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54"/>
              <w:spacing w:after="0"/>
              <w:rPr>
                <w:sz w:val="20"/>
                <w:szCs w:val="20"/>
                <w:color w:val="auto"/>
              </w:rPr>
            </w:pPr>
            <w:r>
              <w:rPr>
                <w:rFonts w:ascii="Arial" w:cs="Arial" w:eastAsia="Arial" w:hAnsi="Arial"/>
                <w:sz w:val="14"/>
                <w:szCs w:val="14"/>
                <w:b w:val="1"/>
                <w:bCs w:val="1"/>
                <w:color w:val="auto"/>
                <w:w w:val="97"/>
              </w:rPr>
              <w:t>April 30,</w:t>
            </w:r>
          </w:p>
        </w:tc>
        <w:tc>
          <w:tcPr>
            <w:tcW w:w="300" w:type="dxa"/>
            <w:vAlign w:val="bottom"/>
          </w:tcPr>
          <w:p>
            <w:pPr>
              <w:spacing w:after="0"/>
              <w:rPr>
                <w:sz w:val="14"/>
                <w:szCs w:val="14"/>
                <w:color w:val="auto"/>
              </w:rPr>
            </w:pPr>
          </w:p>
        </w:tc>
        <w:tc>
          <w:tcPr>
            <w:tcW w:w="10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3"/>
              </w:rPr>
              <w:t>January 30,</w:t>
            </w: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220" w:type="dxa"/>
            <w:vAlign w:val="bottom"/>
            <w:tcBorders>
              <w:bottom w:val="single" w:sz="8" w:color="CCEEFF"/>
            </w:tcBorders>
          </w:tcPr>
          <w:p>
            <w:pPr>
              <w:spacing w:after="0"/>
              <w:rPr>
                <w:sz w:val="14"/>
                <w:szCs w:val="14"/>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780,222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1,278,180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835,018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280,658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323,300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196,739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210,017</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57,139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102,560</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2,149,776</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2,918,626</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283,584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299,540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15,064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18,010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169,778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164,710</w:t>
            </w:r>
          </w:p>
        </w:tc>
        <w:tc>
          <w:tcPr>
            <w:tcW w:w="220" w:type="dxa"/>
            <w:vAlign w:val="bottom"/>
            <w:shd w:val="clear" w:color="auto" w:fill="CCEEFF"/>
          </w:tcPr>
          <w:p>
            <w:pPr>
              <w:spacing w:after="0"/>
              <w:rPr>
                <w:sz w:val="18"/>
                <w:szCs w:val="18"/>
                <w:color w:val="auto"/>
              </w:rPr>
            </w:pPr>
          </w:p>
        </w:tc>
      </w:tr>
      <w:tr>
        <w:trPr>
          <w:trHeight w:val="222"/>
        </w:trPr>
        <w:tc>
          <w:tcPr>
            <w:tcW w:w="788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4,657,121</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tcPr>
          <w:p>
            <w:pPr>
              <w:spacing w:after="0"/>
              <w:rPr>
                <w:sz w:val="19"/>
                <w:szCs w:val="19"/>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r>
        <w:trPr>
          <w:trHeight w:val="211"/>
        </w:trPr>
        <w:tc>
          <w:tcPr>
            <w:tcW w:w="7880" w:type="dxa"/>
            <w:vAlign w:val="bottom"/>
            <w:shd w:val="clear" w:color="auto" w:fill="CCEEFF"/>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193,697</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180,372</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107,731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132,060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Carnegie Mellon University accrued litigation settlement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736,000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128,783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121,631</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54,488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55,722</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484,699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1,225,785</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50,046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49,256</w:t>
            </w:r>
          </w:p>
        </w:tc>
        <w:tc>
          <w:tcPr>
            <w:tcW w:w="220" w:type="dxa"/>
            <w:vAlign w:val="bottom"/>
            <w:shd w:val="clear" w:color="auto" w:fill="CCEEFF"/>
          </w:tcPr>
          <w:p>
            <w:pPr>
              <w:spacing w:after="0"/>
              <w:rPr>
                <w:sz w:val="18"/>
                <w:szCs w:val="18"/>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22,558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26,963</w:t>
            </w:r>
          </w:p>
        </w:tc>
        <w:tc>
          <w:tcPr>
            <w:tcW w:w="220" w:type="dxa"/>
            <w:vAlign w:val="bottom"/>
          </w:tcPr>
          <w:p>
            <w:pPr>
              <w:spacing w:after="0"/>
              <w:rPr>
                <w:sz w:val="19"/>
                <w:szCs w:val="19"/>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557,303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1,302,004</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1,015</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3,038,732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3,028,921</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2,222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(795)</w:t>
            </w: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1,057,842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1,110,982</w:t>
            </w:r>
          </w:p>
        </w:tc>
        <w:tc>
          <w:tcPr>
            <w:tcW w:w="220" w:type="dxa"/>
            <w:vAlign w:val="bottom"/>
            <w:shd w:val="clear" w:color="auto" w:fill="CCEEFF"/>
          </w:tcPr>
          <w:p>
            <w:pPr>
              <w:spacing w:after="0"/>
              <w:rPr>
                <w:sz w:val="18"/>
                <w:szCs w:val="18"/>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4,099,818</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4,140,123</w:t>
            </w:r>
          </w:p>
        </w:tc>
        <w:tc>
          <w:tcPr>
            <w:tcW w:w="220" w:type="dxa"/>
            <w:vAlign w:val="bottom"/>
          </w:tcPr>
          <w:p>
            <w:pPr>
              <w:spacing w:after="0"/>
              <w:rPr>
                <w:sz w:val="20"/>
                <w:szCs w:val="20"/>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4,657,121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shd w:val="clear" w:color="auto" w:fill="CCEEFF"/>
          </w:tcPr>
          <w:p>
            <w:pPr>
              <w:spacing w:after="0"/>
              <w:rPr>
                <w:sz w:val="18"/>
                <w:szCs w:val="18"/>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80" w:type="dxa"/>
            <w:vAlign w:val="bottom"/>
            <w:gridSpan w:val="5"/>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66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420"/>
              <w:spacing w:after="0" w:line="129" w:lineRule="exact"/>
              <w:rPr>
                <w:sz w:val="20"/>
                <w:szCs w:val="20"/>
                <w:color w:val="auto"/>
              </w:rPr>
            </w:pPr>
            <w:r>
              <w:rPr>
                <w:rFonts w:ascii="Arial" w:cs="Arial" w:eastAsia="Arial" w:hAnsi="Arial"/>
                <w:sz w:val="14"/>
                <w:szCs w:val="14"/>
                <w:b w:val="1"/>
                <w:bCs w:val="1"/>
                <w:color w:val="auto"/>
              </w:rPr>
              <w:t>April 30,</w:t>
            </w: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6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2016</w:t>
            </w:r>
          </w:p>
        </w:tc>
        <w:tc>
          <w:tcPr>
            <w:tcW w:w="3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6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540,822</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724,288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259,210</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351,153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240,458</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280,114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31,379</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31,995</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40,435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Restructuring and other related charges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660" w:type="dxa"/>
            <w:vAlign w:val="bottom"/>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2,461</w:t>
            </w:r>
          </w:p>
        </w:tc>
        <w:tc>
          <w:tcPr>
            <w:tcW w:w="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6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operating costs and expenses</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569,944</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711,036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660" w:type="dxa"/>
            <w:vAlign w:val="bottom"/>
          </w:tcPr>
          <w:p>
            <w:pPr>
              <w:spacing w:after="0"/>
              <w:rPr>
                <w:sz w:val="20"/>
                <w:szCs w:val="20"/>
                <w:color w:val="auto"/>
              </w:rPr>
            </w:pPr>
            <w:r>
              <w:rPr>
                <w:rFonts w:ascii="Arial" w:cs="Arial" w:eastAsia="Arial" w:hAnsi="Arial"/>
                <w:sz w:val="18"/>
                <w:szCs w:val="18"/>
                <w:color w:val="auto"/>
              </w:rPr>
              <w:t>Operating income (loss)</w:t>
            </w:r>
          </w:p>
        </w:tc>
        <w:tc>
          <w:tcPr>
            <w:tcW w:w="80" w:type="dxa"/>
            <w:vAlign w:val="bottom"/>
          </w:tcPr>
          <w:p>
            <w:pPr>
              <w:spacing w:after="0"/>
              <w:rPr>
                <w:sz w:val="19"/>
                <w:szCs w:val="19"/>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(29,122)</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13,252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1,488</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66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80" w:type="dxa"/>
            <w:vAlign w:val="bottom"/>
          </w:tcPr>
          <w:p>
            <w:pPr>
              <w:spacing w:after="0"/>
              <w:rPr>
                <w:sz w:val="19"/>
                <w:szCs w:val="19"/>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(27,634)</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18,419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6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(4,955)</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vMerge w:val="restart"/>
          </w:tcPr>
          <w:p>
            <w:pPr>
              <w:spacing w:after="0"/>
              <w:rPr>
                <w:sz w:val="20"/>
                <w:szCs w:val="20"/>
                <w:color w:val="auto"/>
              </w:rPr>
            </w:pPr>
            <w:r>
              <w:rPr>
                <w:rFonts w:ascii="Arial" w:cs="Arial" w:eastAsia="Arial" w:hAnsi="Arial"/>
                <w:sz w:val="18"/>
                <w:szCs w:val="18"/>
                <w:color w:val="auto"/>
              </w:rPr>
              <w:t>Net income (loss)</w:t>
            </w: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660" w:type="dxa"/>
            <w:vAlign w:val="bottom"/>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(22,679)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14,090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96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tcPr>
          <w:p>
            <w:pPr>
              <w:ind w:left="440"/>
              <w:spacing w:after="0"/>
              <w:rPr>
                <w:sz w:val="20"/>
                <w:szCs w:val="20"/>
                <w:color w:val="auto"/>
              </w:rPr>
            </w:pPr>
            <w:r>
              <w:rPr>
                <w:rFonts w:ascii="Arial" w:cs="Arial" w:eastAsia="Arial" w:hAnsi="Arial"/>
                <w:sz w:val="18"/>
                <w:szCs w:val="18"/>
                <w:color w:val="auto"/>
              </w:rPr>
              <w:t>Basic</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(0.04)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Diluted</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(0.04)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vMerge w:val="restart"/>
          </w:tcPr>
          <w:p>
            <w:pPr>
              <w:spacing w:after="0"/>
              <w:rPr>
                <w:sz w:val="20"/>
                <w:szCs w:val="20"/>
                <w:color w:val="auto"/>
              </w:rPr>
            </w:pPr>
            <w:r>
              <w:rPr>
                <w:rFonts w:ascii="Arial" w:cs="Arial" w:eastAsia="Arial" w:hAnsi="Arial"/>
                <w:sz w:val="18"/>
                <w:szCs w:val="18"/>
                <w:color w:val="auto"/>
              </w:rPr>
              <w:t>Weighted average shares: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9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508,794</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516,228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vMerge w:val="restart"/>
          </w:tcPr>
          <w:p>
            <w:pPr>
              <w:ind w:left="440"/>
              <w:spacing w:after="0"/>
              <w:rPr>
                <w:sz w:val="20"/>
                <w:szCs w:val="20"/>
                <w:color w:val="auto"/>
              </w:rPr>
            </w:pPr>
            <w:r>
              <w:rPr>
                <w:rFonts w:ascii="Arial" w:cs="Arial" w:eastAsia="Arial" w:hAnsi="Arial"/>
                <w:sz w:val="18"/>
                <w:szCs w:val="18"/>
                <w:color w:val="auto"/>
              </w:rPr>
              <w:t>Diluted</w:t>
            </w: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508,794</w:t>
            </w:r>
          </w:p>
        </w:tc>
        <w:tc>
          <w:tcPr>
            <w:tcW w:w="34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527,167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9660" w:type="dxa"/>
            <w:vAlign w:val="bottom"/>
            <w:shd w:val="clear" w:color="auto" w:fill="CCEEFF"/>
          </w:tcPr>
          <w:p>
            <w:pPr>
              <w:spacing w:after="0"/>
              <w:rPr>
                <w:sz w:val="20"/>
                <w:szCs w:val="20"/>
                <w:color w:val="auto"/>
              </w:rPr>
            </w:pPr>
            <w:r>
              <w:rPr>
                <w:rFonts w:ascii="Arial" w:cs="Arial" w:eastAsia="Arial" w:hAnsi="Arial"/>
                <w:sz w:val="18"/>
                <w:szCs w:val="18"/>
                <w:color w:val="auto"/>
              </w:rPr>
              <w:t>Cash dividend declared per share</w:t>
            </w: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660" w:type="dxa"/>
            <w:vAlign w:val="bottom"/>
            <w:gridSpan w:val="4"/>
          </w:tcPr>
          <w:p>
            <w:pPr>
              <w:jc w:val="right"/>
              <w:ind w:right="280"/>
              <w:spacing w:after="0"/>
              <w:rPr>
                <w:sz w:val="20"/>
                <w:szCs w:val="20"/>
                <w:color w:val="auto"/>
              </w:rPr>
            </w:pPr>
            <w:r>
              <w:rPr>
                <w:rFonts w:ascii="Arial" w:cs="Arial" w:eastAsia="Arial" w:hAnsi="Arial"/>
                <w:sz w:val="14"/>
                <w:szCs w:val="14"/>
                <w:b w:val="1"/>
                <w:bCs w:val="1"/>
                <w:color w:val="auto"/>
                <w:w w:val="98"/>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8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rPr>
              <w:t>April 30,</w:t>
            </w:r>
          </w:p>
        </w:tc>
        <w:tc>
          <w:tcPr>
            <w:tcW w:w="5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80" w:type="dxa"/>
            <w:vAlign w:val="bottom"/>
          </w:tcPr>
          <w:p>
            <w:pPr>
              <w:spacing w:after="0"/>
              <w:rPr>
                <w:sz w:val="14"/>
                <w:szCs w:val="14"/>
                <w:color w:val="auto"/>
              </w:rPr>
            </w:pPr>
          </w:p>
        </w:tc>
        <w:tc>
          <w:tcPr>
            <w:tcW w:w="3200" w:type="dxa"/>
            <w:vAlign w:val="bottom"/>
            <w:gridSpan w:val="2"/>
          </w:tcPr>
          <w:p>
            <w:pPr>
              <w:jc w:val="right"/>
              <w:ind w:right="99"/>
              <w:spacing w:after="0"/>
              <w:rPr>
                <w:sz w:val="20"/>
                <w:szCs w:val="20"/>
                <w:color w:val="auto"/>
              </w:rPr>
            </w:pPr>
            <w:r>
              <w:rPr>
                <w:rFonts w:ascii="Arial" w:cs="Arial" w:eastAsia="Arial" w:hAnsi="Arial"/>
                <w:sz w:val="14"/>
                <w:szCs w:val="14"/>
                <w:b w:val="1"/>
                <w:bCs w:val="1"/>
                <w:color w:val="auto"/>
              </w:rPr>
              <w:t>2016</w:t>
            </w:r>
          </w:p>
        </w:tc>
        <w:tc>
          <w:tcPr>
            <w:tcW w:w="340" w:type="dxa"/>
            <w:vAlign w:val="bottom"/>
          </w:tcPr>
          <w:p>
            <w:pPr>
              <w:spacing w:after="0"/>
              <w:rPr>
                <w:sz w:val="14"/>
                <w:szCs w:val="14"/>
                <w:color w:val="auto"/>
              </w:rPr>
            </w:pPr>
          </w:p>
        </w:tc>
        <w:tc>
          <w:tcPr>
            <w:tcW w:w="580" w:type="dxa"/>
            <w:vAlign w:val="bottom"/>
          </w:tcPr>
          <w:p>
            <w:pPr>
              <w:jc w:val="right"/>
              <w:ind w:right="77"/>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25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5"/>
              </w:rPr>
              <w:t>$ (22,679)</w:t>
            </w:r>
          </w:p>
        </w:tc>
        <w:tc>
          <w:tcPr>
            <w:tcW w:w="3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$14,090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25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3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2,433</w:t>
            </w:r>
          </w:p>
        </w:tc>
        <w:tc>
          <w:tcPr>
            <w:tcW w:w="3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2560" w:type="dxa"/>
            <w:vAlign w:val="bottom"/>
          </w:tcPr>
          <w:p>
            <w:pPr>
              <w:spacing w:after="0"/>
              <w:rPr>
                <w:sz w:val="18"/>
                <w:szCs w:val="18"/>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2560" w:type="dxa"/>
            <w:vAlign w:val="bottom"/>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w:t>
            </w:r>
          </w:p>
        </w:tc>
        <w:tc>
          <w:tcPr>
            <w:tcW w:w="34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180" w:type="dxa"/>
            <w:vAlign w:val="bottom"/>
          </w:tcPr>
          <w:p>
            <w:pPr>
              <w:ind w:left="860"/>
              <w:spacing w:after="0"/>
              <w:rPr>
                <w:sz w:val="20"/>
                <w:szCs w:val="20"/>
                <w:color w:val="auto"/>
              </w:rPr>
            </w:pPr>
            <w:r>
              <w:rPr>
                <w:rFonts w:ascii="Arial" w:cs="Arial" w:eastAsia="Arial" w:hAnsi="Arial"/>
                <w:sz w:val="18"/>
                <w:szCs w:val="18"/>
                <w:color w:val="auto"/>
              </w:rPr>
              <w:t>Other comprehensive income (loss), net of tax</w:t>
            </w:r>
          </w:p>
        </w:tc>
        <w:tc>
          <w:tcPr>
            <w:tcW w:w="256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3,017</w:t>
            </w:r>
          </w:p>
        </w:tc>
        <w:tc>
          <w:tcPr>
            <w:tcW w:w="340" w:type="dxa"/>
            <w:vAlign w:val="bottom"/>
          </w:tcPr>
          <w:p>
            <w:pPr>
              <w:spacing w:after="0"/>
              <w:rPr>
                <w:sz w:val="19"/>
                <w:szCs w:val="19"/>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80" w:type="dxa"/>
            <w:vAlign w:val="bottom"/>
          </w:tcPr>
          <w:p>
            <w:pPr>
              <w:spacing w:after="0"/>
              <w:rPr>
                <w:sz w:val="2"/>
                <w:szCs w:val="2"/>
                <w:color w:val="auto"/>
              </w:rPr>
            </w:pPr>
          </w:p>
        </w:tc>
        <w:tc>
          <w:tcPr>
            <w:tcW w:w="25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35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(19,662)</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13,862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2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w w:val="97"/>
              </w:rPr>
              <w:t>April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240" w:type="dxa"/>
            <w:vAlign w:val="bottom"/>
            <w:tcBorders>
              <w:bottom w:val="single" w:sz="8" w:color="CCEEFF"/>
            </w:tcBorders>
          </w:tcPr>
          <w:p>
            <w:pPr>
              <w:spacing w:after="0"/>
              <w:rPr>
                <w:sz w:val="14"/>
                <w:szCs w:val="14"/>
                <w:color w:val="auto"/>
              </w:rPr>
            </w:pPr>
          </w:p>
        </w:tc>
        <w:tc>
          <w:tcPr>
            <w:tcW w:w="10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2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Net income (loss)</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(22,679)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14,090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(loss) to net cash provided by (used in) operating activities: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21,788</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26,620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Share-based compensation</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24,453</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33,221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860"/>
              <w:spacing w:after="0"/>
              <w:rPr>
                <w:sz w:val="20"/>
                <w:szCs w:val="20"/>
                <w:color w:val="auto"/>
              </w:rPr>
            </w:pPr>
            <w:r>
              <w:rPr>
                <w:rFonts w:ascii="Arial" w:cs="Arial" w:eastAsia="Arial" w:hAnsi="Arial"/>
                <w:sz w:val="18"/>
                <w:szCs w:val="18"/>
                <w:color w:val="auto"/>
              </w:rPr>
              <w:t>Amortization of acquired intangible assets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2,946</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Non-cash restructuring and other related charges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860"/>
              <w:spacing w:after="0"/>
              <w:rPr>
                <w:sz w:val="20"/>
                <w:szCs w:val="20"/>
                <w:color w:val="auto"/>
              </w:rPr>
            </w:pPr>
            <w:r>
              <w:rPr>
                <w:rFonts w:ascii="Arial" w:cs="Arial" w:eastAsia="Arial" w:hAnsi="Arial"/>
                <w:sz w:val="18"/>
                <w:szCs w:val="18"/>
                <w:color w:val="auto"/>
              </w:rPr>
              <w:t>Other non-cash expense (income), net</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1,361</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share-based compensation</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42,642</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27,141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13,598</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(31,318)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38,056</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19,922</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17,125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 non-current liabilities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(22,502)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(11,576)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1280"/>
              <w:spacing w:after="0"/>
              <w:rPr>
                <w:sz w:val="20"/>
                <w:szCs w:val="20"/>
                <w:color w:val="auto"/>
              </w:rPr>
            </w:pPr>
            <w:r>
              <w:rPr>
                <w:rFonts w:ascii="Arial" w:cs="Arial" w:eastAsia="Arial" w:hAnsi="Arial"/>
                <w:sz w:val="18"/>
                <w:szCs w:val="18"/>
                <w:color w:val="auto"/>
              </w:rPr>
              <w:t>Carnegie Mellon University accrued litigation settlement</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(736,000)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employee compensation</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7,152</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(14,424)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(1,234)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(7,027)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(used in) operating activities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(609,601)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58,868</w:t>
            </w:r>
          </w:p>
        </w:tc>
        <w:tc>
          <w:tcPr>
            <w:tcW w:w="0" w:type="dxa"/>
            <w:vAlign w:val="bottom"/>
          </w:tcPr>
          <w:p>
            <w:pPr>
              <w:spacing w:after="0"/>
              <w:rPr>
                <w:sz w:val="1"/>
                <w:szCs w:val="1"/>
                <w:color w:val="auto"/>
              </w:rPr>
            </w:pPr>
          </w:p>
        </w:tc>
      </w:tr>
      <w:tr>
        <w:trPr>
          <w:trHeight w:val="222"/>
        </w:trPr>
        <w:tc>
          <w:tcPr>
            <w:tcW w:w="826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available-for-sale securities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(93,365)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(392,900)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Sales of available-for-sale securities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218,522</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152,568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Maturities of available-for-sale securities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97,788</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94,927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Purchases of time deposits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(50,000)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(4,050)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(6,542)</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(7,334)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 of equipment previously leased</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4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investing activities</w:t>
            </w:r>
          </w:p>
        </w:tc>
        <w:tc>
          <w:tcPr>
            <w:tcW w:w="10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8240" w:type="dxa"/>
            <w:vAlign w:val="bottom"/>
            <w:vMerge w:val="continue"/>
          </w:tcPr>
          <w:p>
            <w:pPr>
              <w:spacing w:after="0"/>
              <w:rPr>
                <w:sz w:val="20"/>
                <w:szCs w:val="20"/>
                <w:color w:val="auto"/>
              </w:rPr>
            </w:pPr>
          </w:p>
        </w:tc>
        <w:tc>
          <w:tcPr>
            <w:tcW w:w="10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162,353</w:t>
            </w:r>
          </w:p>
        </w:tc>
        <w:tc>
          <w:tcPr>
            <w:tcW w:w="4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(166,585)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(20,273)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13,013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(15,270)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(22,310)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Dividend payments to shareholders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(30,461)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tcPr>
          <w:p>
            <w:pPr>
              <w:ind w:left="420"/>
              <w:spacing w:after="0"/>
              <w:rPr>
                <w:sz w:val="20"/>
                <w:szCs w:val="20"/>
                <w:color w:val="auto"/>
              </w:rPr>
            </w:pPr>
            <w:r>
              <w:rPr>
                <w:rFonts w:ascii="Arial" w:cs="Arial" w:eastAsia="Arial" w:hAnsi="Arial"/>
                <w:sz w:val="18"/>
                <w:szCs w:val="18"/>
                <w:color w:val="auto"/>
              </w:rPr>
              <w:t>Payments on technology license obligations</w:t>
            </w: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(5,294)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share-based compensation</w:t>
            </w:r>
          </w:p>
        </w:tc>
        <w:tc>
          <w:tcPr>
            <w:tcW w:w="10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240" w:type="dxa"/>
            <w:vAlign w:val="bottom"/>
          </w:tcPr>
          <w:p>
            <w:pPr>
              <w:ind w:left="1720"/>
              <w:spacing w:after="0"/>
              <w:rPr>
                <w:sz w:val="20"/>
                <w:szCs w:val="20"/>
                <w:color w:val="auto"/>
              </w:rPr>
            </w:pPr>
            <w:r>
              <w:rPr>
                <w:rFonts w:ascii="Arial" w:cs="Arial" w:eastAsia="Arial" w:hAnsi="Arial"/>
                <w:sz w:val="18"/>
                <w:szCs w:val="18"/>
                <w:color w:val="auto"/>
              </w:rPr>
              <w:t>Net cash used in financing activities</w:t>
            </w: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(50,710)</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(64,529)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8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Net decrease in cash and cash equivalents</w:t>
            </w: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(497,958)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(172,246)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2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0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1,278,180</w:t>
            </w:r>
          </w:p>
        </w:tc>
        <w:tc>
          <w:tcPr>
            <w:tcW w:w="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1,210,977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780,222</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1,038,731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and its subsidiaries (the “Company”), is a fabless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2017 and 2016 each has a 52-week period.</w:t>
      </w:r>
    </w:p>
    <w:p>
      <w:pPr>
        <w:spacing w:after="0" w:line="14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unaudited condensed consolidated balance sheet as of April 30, 2016, the results of its operations for the three months ended April 30, 2016 and May 2, 2015, its comprehensive income (loss) for the three months ended April 30, 2016 and May 2, 2015, and its cash flows for the three months ended April 30, 2016 and May 2, 2015. The January 30, 2016 condensed consolidated balance sheet data was derived from the audited consolidated financial statements included in the Company’s Annual Report on Form 10-K for the fiscal year ended January 30, 2016, but does not include all disclosures required for annual periods.</w:t>
      </w:r>
    </w:p>
    <w:p>
      <w:pPr>
        <w:spacing w:after="0" w:line="118"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30, 2016 as filed on July 21, 2016 with the Securities and Exchange Commission. The results of operations for the three months ended April 30, 2016 are not necessarily indicative of the results that may be expected for any other interim period or for the full fiscal year.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April 2015, the Financial Accounting Standards Board issued new guidance to help entities evaluate the accounting for fees paid by a customer in a cloud computing arrangement, which was effective for the Company beginning in the first quarter of fiscal 2017. The guidance provides a basis for evaluating whether a cloud computing arrangement includes a software license and whether the license arrangement should be accounted for as an intangible asset. This guidance also strikes from previous authoritative guidance, the use by analogy to the accounting for capital leases, which the Company applied in the accounting for certain of its technology license agreements. As such, the Company will account for any new agreements on a prospective basis in accordance with the new guidance and will re-evaluate the accounting for any renewals to existing license agreements. There was no significant impact from this change in accounting policy in the three months ended April 30, 2016.</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740"/>
              <w:spacing w:after="0"/>
              <w:rPr>
                <w:sz w:val="20"/>
                <w:szCs w:val="20"/>
                <w:color w:val="auto"/>
              </w:rPr>
            </w:pPr>
            <w:r>
              <w:rPr>
                <w:rFonts w:ascii="Arial" w:cs="Arial" w:eastAsia="Arial" w:hAnsi="Arial"/>
                <w:sz w:val="14"/>
                <w:szCs w:val="14"/>
                <w:b w:val="1"/>
                <w:bCs w:val="1"/>
                <w:color w:val="auto"/>
              </w:rPr>
              <w:t>April 30, 2016</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90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475,447</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477,130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213,256</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(96)</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213,248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50,341</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50,439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50,000</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15,504</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28,693</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28,701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833,241</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(479)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8,974</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8,974</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60" w:type="dxa"/>
            <w:vAlign w:val="bottom"/>
            <w:gridSpan w:val="2"/>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842,215</w:t>
            </w:r>
          </w:p>
        </w:tc>
        <w:tc>
          <w:tcPr>
            <w:tcW w:w="260" w:type="dxa"/>
            <w:vAlign w:val="bottom"/>
          </w:tcPr>
          <w:p>
            <w:pPr>
              <w:spacing w:after="0"/>
              <w:rPr>
                <w:sz w:val="19"/>
                <w:szCs w:val="19"/>
                <w:color w:val="auto"/>
              </w:rPr>
            </w:pPr>
          </w:p>
        </w:tc>
        <w:tc>
          <w:tcPr>
            <w:tcW w:w="360" w:type="dxa"/>
            <w:vAlign w:val="bottom"/>
            <w:gridSpan w:val="2"/>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2,256</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(479)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843,992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20" w:type="dxa"/>
            <w:vAlign w:val="bottom"/>
          </w:tcPr>
          <w:p>
            <w:pPr>
              <w:spacing w:after="0"/>
              <w:rPr>
                <w:sz w:val="24"/>
                <w:szCs w:val="24"/>
                <w:color w:val="auto"/>
              </w:rPr>
            </w:pPr>
          </w:p>
        </w:tc>
        <w:tc>
          <w:tcPr>
            <w:tcW w:w="4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30, 2016</w:t>
            </w: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90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558,337</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317,595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64</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(254)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76,711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21,370</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31,211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1,005,224</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958</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(1,613)</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11,296</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11,296</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1,016,520</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(1,613)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As of April 30, 2016, the Company’s investment portfolio included auction rate securities with an aggregate par value of $10.0 million. Although these auction rate securities have continued to pay interest and the underlying collateral has not deteriorated, there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00"/>
          </w:cols>
          <w:pgMar w:left="240" w:top="459" w:right="3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is currently limited trading volume. The Company uses a discounted cash flow model to estimate the fair value of the auction rate securities based on its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w:t>
      </w:r>
    </w:p>
    <w:p>
      <w:pPr>
        <w:spacing w:after="0" w:line="10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Company made a determination in January 2016 that it did not expect to recover the par value of these auction rate securities and considers any impairment of these securities to be other-than-temporary. There has been no change in circumstances since January 2016 based upon the current time horizon for holding these securities and the continuation of an illiquid market. Based on the Company’s assessment of fair value as of April 30, 2016, the Company determined there was no further impairment of these auction rate securities.</w:t>
      </w:r>
    </w:p>
    <w:p>
      <w:pPr>
        <w:spacing w:after="0" w:line="14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During the three months ended April 30, 2016, the Company sold auction rate securities, which had an aggregate par value of $2.5 million, for net proceeds of $2.4 million. The carrying value of these auction rate securities was previously written down to $2.3 million and, therefore, resulted in a gain of $0.1 million upon its sale.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60" w:type="dxa"/>
            <w:vAlign w:val="bottom"/>
            <w:gridSpan w:val="8"/>
          </w:tcPr>
          <w:p>
            <w:pPr>
              <w:jc w:val="right"/>
              <w:ind w:right="342"/>
              <w:spacing w:after="0"/>
              <w:rPr>
                <w:sz w:val="20"/>
                <w:szCs w:val="20"/>
                <w:color w:val="auto"/>
              </w:rPr>
            </w:pPr>
            <w:r>
              <w:rPr>
                <w:rFonts w:ascii="Arial" w:cs="Arial" w:eastAsia="Arial" w:hAnsi="Arial"/>
                <w:sz w:val="14"/>
                <w:szCs w:val="14"/>
                <w:b w:val="1"/>
                <w:bCs w:val="1"/>
                <w:color w:val="auto"/>
                <w:w w:val="88"/>
              </w:rPr>
              <w:t>Three Months Ended</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3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4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w w:val="90"/>
              </w:rPr>
              <w:t>April 30,</w:t>
            </w: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8"/>
              </w:rPr>
              <w:t>May 2,</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40" w:type="dxa"/>
            <w:vAlign w:val="bottom"/>
            <w:gridSpan w:val="5"/>
          </w:tcPr>
          <w:p>
            <w:pPr>
              <w:jc w:val="right"/>
              <w:ind w:right="57"/>
              <w:spacing w:after="0"/>
              <w:rPr>
                <w:sz w:val="20"/>
                <w:szCs w:val="20"/>
                <w:color w:val="auto"/>
              </w:rPr>
            </w:pPr>
            <w:r>
              <w:rPr>
                <w:rFonts w:ascii="Arial" w:cs="Arial" w:eastAsia="Arial" w:hAnsi="Arial"/>
                <w:sz w:val="14"/>
                <w:szCs w:val="14"/>
                <w:b w:val="1"/>
                <w:bCs w:val="1"/>
                <w:color w:val="auto"/>
              </w:rPr>
              <w:t>2016</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2015</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53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68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388</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8"/>
              <w:spacing w:after="0"/>
              <w:rPr>
                <w:sz w:val="20"/>
                <w:szCs w:val="20"/>
                <w:color w:val="auto"/>
              </w:rPr>
            </w:pPr>
            <w:r>
              <w:rPr>
                <w:rFonts w:ascii="Arial" w:cs="Arial" w:eastAsia="Arial" w:hAnsi="Arial"/>
                <w:sz w:val="15"/>
                <w:szCs w:val="15"/>
                <w:color w:val="auto"/>
                <w:w w:val="71"/>
              </w:rPr>
              <w:t>$</w:t>
            </w: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443</w:t>
            </w: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Gross realized losses</w:t>
            </w:r>
          </w:p>
        </w:tc>
        <w:tc>
          <w:tcPr>
            <w:tcW w:w="6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gridSpan w:val="3"/>
          </w:tcPr>
          <w:p>
            <w:pPr>
              <w:jc w:val="right"/>
              <w:spacing w:after="0"/>
              <w:rPr>
                <w:sz w:val="20"/>
                <w:szCs w:val="20"/>
                <w:color w:val="auto"/>
              </w:rPr>
            </w:pPr>
            <w:r>
              <w:rPr>
                <w:rFonts w:ascii="Arial" w:cs="Arial" w:eastAsia="Arial" w:hAnsi="Arial"/>
                <w:sz w:val="18"/>
                <w:szCs w:val="18"/>
                <w:color w:val="auto"/>
                <w:w w:val="95"/>
              </w:rPr>
              <w:t>(224)</w:t>
            </w:r>
          </w:p>
        </w:tc>
        <w:tc>
          <w:tcPr>
            <w:tcW w:w="1080" w:type="dxa"/>
            <w:vAlign w:val="bottom"/>
            <w:gridSpan w:val="4"/>
          </w:tcPr>
          <w:p>
            <w:pPr>
              <w:jc w:val="right"/>
              <w:ind w:right="60"/>
              <w:spacing w:after="0"/>
              <w:rPr>
                <w:sz w:val="20"/>
                <w:szCs w:val="20"/>
                <w:color w:val="auto"/>
              </w:rPr>
            </w:pPr>
            <w:r>
              <w:rPr>
                <w:rFonts w:ascii="Arial" w:cs="Arial" w:eastAsia="Arial" w:hAnsi="Arial"/>
                <w:sz w:val="18"/>
                <w:szCs w:val="18"/>
                <w:color w:val="auto"/>
              </w:rPr>
              <w:t>(107)</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680" w:type="dxa"/>
            <w:vAlign w:val="bottom"/>
          </w:tcPr>
          <w:p>
            <w:pPr>
              <w:spacing w:after="0"/>
              <w:rPr>
                <w:sz w:val="2"/>
                <w:szCs w:val="2"/>
                <w:color w:val="auto"/>
              </w:rPr>
            </w:pPr>
          </w:p>
        </w:tc>
        <w:tc>
          <w:tcPr>
            <w:tcW w:w="4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6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8"/>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336</w:t>
            </w:r>
          </w:p>
        </w:tc>
        <w:tc>
          <w:tcPr>
            <w:tcW w:w="12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60" w:type="dxa"/>
            <w:vAlign w:val="bottom"/>
            <w:gridSpan w:val="4"/>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8040" w:type="dxa"/>
            <w:vAlign w:val="bottom"/>
            <w:gridSpan w:val="7"/>
          </w:tcPr>
          <w:p>
            <w:pPr>
              <w:spacing w:after="0"/>
              <w:rPr>
                <w:sz w:val="20"/>
                <w:szCs w:val="20"/>
                <w:color w:val="auto"/>
              </w:rPr>
            </w:pPr>
            <w:r>
              <w:rPr>
                <w:rFonts w:ascii="Arial" w:cs="Arial" w:eastAsia="Arial" w:hAnsi="Arial"/>
                <w:sz w:val="18"/>
                <w:szCs w:val="18"/>
                <w:color w:val="auto"/>
                <w:w w:val="93"/>
              </w:rPr>
              <w:t>The contractual maturities of available-for-sale securities are presented in the following table (in thousands):</w:t>
            </w: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5360" w:type="dxa"/>
            <w:vAlign w:val="bottom"/>
          </w:tcPr>
          <w:p>
            <w:pPr>
              <w:spacing w:after="0"/>
              <w:rPr>
                <w:sz w:val="24"/>
                <w:szCs w:val="24"/>
                <w:color w:val="auto"/>
              </w:rPr>
            </w:pPr>
          </w:p>
        </w:tc>
        <w:tc>
          <w:tcPr>
            <w:tcW w:w="17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April 30, 2016</w:t>
            </w: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80" w:type="dxa"/>
            <w:vAlign w:val="bottom"/>
            <w:gridSpan w:val="7"/>
          </w:tcPr>
          <w:p>
            <w:pPr>
              <w:ind w:left="400"/>
              <w:spacing w:after="0"/>
              <w:rPr>
                <w:sz w:val="20"/>
                <w:szCs w:val="20"/>
                <w:color w:val="auto"/>
              </w:rPr>
            </w:pPr>
            <w:r>
              <w:rPr>
                <w:rFonts w:ascii="Arial" w:cs="Arial" w:eastAsia="Arial" w:hAnsi="Arial"/>
                <w:sz w:val="14"/>
                <w:szCs w:val="14"/>
                <w:b w:val="1"/>
                <w:bCs w:val="1"/>
                <w:color w:val="auto"/>
              </w:rPr>
              <w:t>January 30, 2016</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36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4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ind w:right="28"/>
              <w:spacing w:after="0" w:line="129" w:lineRule="exact"/>
              <w:rPr>
                <w:sz w:val="20"/>
                <w:szCs w:val="20"/>
                <w:color w:val="auto"/>
              </w:rPr>
            </w:pPr>
            <w:r>
              <w:rPr>
                <w:rFonts w:ascii="Arial" w:cs="Arial" w:eastAsia="Arial" w:hAnsi="Arial"/>
                <w:sz w:val="14"/>
                <w:szCs w:val="14"/>
                <w:b w:val="1"/>
                <w:bCs w:val="1"/>
                <w:color w:val="auto"/>
                <w:w w:val="84"/>
              </w:rPr>
              <w:t>Amortized</w:t>
            </w:r>
          </w:p>
        </w:tc>
        <w:tc>
          <w:tcPr>
            <w:tcW w:w="2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6"/>
              <w:spacing w:after="0" w:line="129" w:lineRule="exact"/>
              <w:rPr>
                <w:sz w:val="20"/>
                <w:szCs w:val="20"/>
                <w:color w:val="auto"/>
              </w:rPr>
            </w:pPr>
            <w:r>
              <w:rPr>
                <w:rFonts w:ascii="Arial" w:cs="Arial" w:eastAsia="Arial" w:hAnsi="Arial"/>
                <w:sz w:val="14"/>
                <w:szCs w:val="14"/>
                <w:b w:val="1"/>
                <w:bCs w:val="1"/>
                <w:color w:val="auto"/>
                <w:w w:val="86"/>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680" w:type="dxa"/>
            <w:vAlign w:val="bottom"/>
          </w:tcPr>
          <w:p>
            <w:pPr>
              <w:jc w:val="right"/>
              <w:ind w:right="12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2"/>
              </w:rPr>
              <w:t>Fair Value</w:t>
            </w:r>
          </w:p>
        </w:tc>
        <w:tc>
          <w:tcPr>
            <w:tcW w:w="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ind w:right="188"/>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gridSpan w:val="3"/>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62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$265,259</w:t>
            </w:r>
          </w:p>
        </w:tc>
        <w:tc>
          <w:tcPr>
            <w:tcW w:w="4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2"/>
            <w:shd w:val="clear" w:color="auto" w:fill="CCEEFF"/>
          </w:tcPr>
          <w:p>
            <w:pPr>
              <w:jc w:val="center"/>
              <w:spacing w:after="0"/>
              <w:rPr>
                <w:sz w:val="20"/>
                <w:szCs w:val="20"/>
                <w:color w:val="auto"/>
              </w:rPr>
            </w:pPr>
            <w:r>
              <w:rPr>
                <w:rFonts w:ascii="Arial" w:cs="Arial" w:eastAsia="Arial" w:hAnsi="Arial"/>
                <w:sz w:val="18"/>
                <w:szCs w:val="18"/>
                <w:color w:val="auto"/>
                <w:w w:val="87"/>
              </w:rPr>
              <w:t>$265,285</w:t>
            </w:r>
          </w:p>
        </w:tc>
        <w:tc>
          <w:tcPr>
            <w:tcW w:w="2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304,117</w:t>
            </w:r>
          </w:p>
        </w:tc>
        <w:tc>
          <w:tcPr>
            <w:tcW w:w="38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304,035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gridSpan w:val="2"/>
          </w:tcPr>
          <w:p>
            <w:pPr>
              <w:spacing w:after="0"/>
              <w:rPr>
                <w:sz w:val="20"/>
                <w:szCs w:val="20"/>
                <w:color w:val="auto"/>
              </w:rPr>
            </w:pPr>
            <w:r>
              <w:rPr>
                <w:rFonts w:ascii="Arial" w:cs="Arial" w:eastAsia="Arial" w:hAnsi="Arial"/>
                <w:sz w:val="18"/>
                <w:szCs w:val="18"/>
                <w:color w:val="auto"/>
              </w:rPr>
              <w:t>Due between one and five years</w:t>
            </w:r>
          </w:p>
        </w:tc>
        <w:tc>
          <w:tcPr>
            <w:tcW w:w="680" w:type="dxa"/>
            <w:vAlign w:val="bottom"/>
          </w:tcPr>
          <w:p>
            <w:pPr>
              <w:jc w:val="right"/>
              <w:spacing w:after="0"/>
              <w:rPr>
                <w:sz w:val="20"/>
                <w:szCs w:val="20"/>
                <w:color w:val="auto"/>
              </w:rPr>
            </w:pPr>
            <w:r>
              <w:rPr>
                <w:rFonts w:ascii="Arial" w:cs="Arial" w:eastAsia="Arial" w:hAnsi="Arial"/>
                <w:sz w:val="18"/>
                <w:szCs w:val="18"/>
                <w:color w:val="auto"/>
              </w:rPr>
              <w:t>558,663</w:t>
            </w:r>
          </w:p>
        </w:tc>
        <w:tc>
          <w:tcPr>
            <w:tcW w:w="1080" w:type="dxa"/>
            <w:vAlign w:val="bottom"/>
            <w:gridSpan w:val="4"/>
          </w:tcPr>
          <w:p>
            <w:pPr>
              <w:jc w:val="right"/>
              <w:ind w:right="20"/>
              <w:spacing w:after="0"/>
              <w:rPr>
                <w:sz w:val="20"/>
                <w:szCs w:val="20"/>
                <w:color w:val="auto"/>
              </w:rPr>
            </w:pPr>
            <w:r>
              <w:rPr>
                <w:rFonts w:ascii="Arial" w:cs="Arial" w:eastAsia="Arial" w:hAnsi="Arial"/>
                <w:sz w:val="18"/>
                <w:szCs w:val="18"/>
                <w:color w:val="auto"/>
              </w:rPr>
              <w:t>560,405</w:t>
            </w: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689,847</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689,279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18,293</w:t>
            </w:r>
          </w:p>
        </w:tc>
        <w:tc>
          <w:tcPr>
            <w:tcW w:w="4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18,302</w:t>
            </w:r>
          </w:p>
        </w:tc>
        <w:tc>
          <w:tcPr>
            <w:tcW w:w="3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22,556</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gridSpan w:val="3"/>
            <w:shd w:val="clear" w:color="auto" w:fill="000000"/>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20" w:type="dxa"/>
            <w:vAlign w:val="bottom"/>
          </w:tcPr>
          <w:p>
            <w:pPr>
              <w:spacing w:after="0"/>
              <w:rPr>
                <w:sz w:val="19"/>
                <w:szCs w:val="19"/>
                <w:color w:val="auto"/>
              </w:rPr>
            </w:pPr>
          </w:p>
        </w:tc>
        <w:tc>
          <w:tcPr>
            <w:tcW w:w="536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842,215</w:t>
            </w:r>
          </w:p>
        </w:tc>
        <w:tc>
          <w:tcPr>
            <w:tcW w:w="1080" w:type="dxa"/>
            <w:vAlign w:val="bottom"/>
            <w:gridSpan w:val="4"/>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843,992</w:t>
            </w:r>
          </w:p>
        </w:tc>
        <w:tc>
          <w:tcPr>
            <w:tcW w:w="360" w:type="dxa"/>
            <w:vAlign w:val="bottom"/>
          </w:tcPr>
          <w:p>
            <w:pPr>
              <w:spacing w:after="0"/>
              <w:rPr>
                <w:sz w:val="19"/>
                <w:szCs w:val="19"/>
                <w:color w:val="auto"/>
              </w:rPr>
            </w:pPr>
          </w:p>
        </w:tc>
        <w:tc>
          <w:tcPr>
            <w:tcW w:w="820" w:type="dxa"/>
            <w:vAlign w:val="bottom"/>
            <w:gridSpan w:val="4"/>
          </w:tcPr>
          <w:p>
            <w:pPr>
              <w:jc w:val="right"/>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1,016,520</w:t>
            </w:r>
          </w:p>
        </w:tc>
        <w:tc>
          <w:tcPr>
            <w:tcW w:w="4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820" w:type="dxa"/>
            <w:vAlign w:val="bottom"/>
            <w:tcBorders>
              <w:bottom w:val="single" w:sz="8" w:color="auto"/>
            </w:tcBorders>
            <w:gridSpan w:val="6"/>
          </w:tcPr>
          <w:p>
            <w:pPr>
              <w:jc w:val="right"/>
              <w:ind w:right="660"/>
              <w:spacing w:after="0"/>
              <w:rPr>
                <w:sz w:val="20"/>
                <w:szCs w:val="20"/>
                <w:color w:val="auto"/>
              </w:rPr>
            </w:pPr>
            <w:r>
              <w:rPr>
                <w:rFonts w:ascii="Arial" w:cs="Arial" w:eastAsia="Arial" w:hAnsi="Arial"/>
                <w:sz w:val="14"/>
                <w:szCs w:val="14"/>
                <w:b w:val="1"/>
                <w:bCs w:val="1"/>
                <w:color w:val="auto"/>
              </w:rPr>
              <w:t>April 30, 2016</w:t>
            </w: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14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820" w:type="dxa"/>
            <w:vAlign w:val="bottom"/>
            <w:gridSpan w:val="6"/>
          </w:tcPr>
          <w:p>
            <w:pPr>
              <w:jc w:val="right"/>
              <w:ind w:right="520"/>
              <w:spacing w:after="0" w:line="142" w:lineRule="exact"/>
              <w:rPr>
                <w:sz w:val="20"/>
                <w:szCs w:val="20"/>
                <w:color w:val="auto"/>
              </w:rPr>
            </w:pPr>
            <w:r>
              <w:rPr>
                <w:rFonts w:ascii="Arial" w:cs="Arial" w:eastAsia="Arial" w:hAnsi="Arial"/>
                <w:sz w:val="14"/>
                <w:szCs w:val="14"/>
                <w:b w:val="1"/>
                <w:bCs w:val="1"/>
                <w:color w:val="auto"/>
              </w:rPr>
              <w:t>12 months or more</w:t>
            </w:r>
          </w:p>
        </w:tc>
        <w:tc>
          <w:tcPr>
            <w:tcW w:w="980" w:type="dxa"/>
            <w:vAlign w:val="bottom"/>
            <w:gridSpan w:val="2"/>
          </w:tcPr>
          <w:p>
            <w:pPr>
              <w:ind w:left="66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4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74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4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82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7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8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$ 116,376</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$23,597</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$139,973</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2640" w:type="dxa"/>
            <w:vAlign w:val="bottom"/>
            <w:gridSpan w:val="3"/>
          </w:tcPr>
          <w:p>
            <w:pPr>
              <w:jc w:val="right"/>
              <w:ind w:right="140"/>
              <w:spacing w:after="0"/>
              <w:rPr>
                <w:sz w:val="20"/>
                <w:szCs w:val="20"/>
                <w:color w:val="auto"/>
              </w:rPr>
            </w:pPr>
            <w:r>
              <w:rPr>
                <w:rFonts w:ascii="Arial" w:cs="Arial" w:eastAsia="Arial" w:hAnsi="Arial"/>
                <w:sz w:val="18"/>
                <w:szCs w:val="18"/>
                <w:color w:val="auto"/>
              </w:rPr>
              <w:t>110,771</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(90)</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4,993</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(6)</w:t>
            </w:r>
          </w:p>
        </w:tc>
        <w:tc>
          <w:tcPr>
            <w:tcW w:w="680" w:type="dxa"/>
            <w:vAlign w:val="bottom"/>
          </w:tcPr>
          <w:p>
            <w:pPr>
              <w:jc w:val="right"/>
              <w:spacing w:after="0"/>
              <w:rPr>
                <w:sz w:val="20"/>
                <w:szCs w:val="20"/>
                <w:color w:val="auto"/>
              </w:rPr>
            </w:pPr>
            <w:r>
              <w:rPr>
                <w:rFonts w:ascii="Arial" w:cs="Arial" w:eastAsia="Arial" w:hAnsi="Arial"/>
                <w:sz w:val="18"/>
                <w:szCs w:val="18"/>
                <w:color w:val="auto"/>
              </w:rPr>
              <w:t>115,764</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26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11,562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(17)</w:t>
            </w:r>
          </w:p>
        </w:tc>
        <w:tc>
          <w:tcPr>
            <w:tcW w:w="7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11,562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2640" w:type="dxa"/>
            <w:vAlign w:val="bottom"/>
            <w:gridSpan w:val="3"/>
          </w:tcPr>
          <w:p>
            <w:pPr>
              <w:jc w:val="right"/>
              <w:ind w:right="140"/>
              <w:spacing w:after="0"/>
              <w:rPr>
                <w:sz w:val="20"/>
                <w:szCs w:val="20"/>
                <w:color w:val="auto"/>
              </w:rPr>
            </w:pPr>
            <w:r>
              <w:rPr>
                <w:rFonts w:ascii="Arial" w:cs="Arial" w:eastAsia="Arial" w:hAnsi="Arial"/>
                <w:sz w:val="18"/>
                <w:szCs w:val="18"/>
                <w:color w:val="auto"/>
              </w:rPr>
              <w:t>8,847</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(8)</w:t>
            </w:r>
          </w:p>
        </w:tc>
        <w:tc>
          <w:tcPr>
            <w:tcW w:w="7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8,847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8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9,387</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414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8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vMerge w:val="continue"/>
          </w:tcPr>
          <w:p>
            <w:pPr>
              <w:spacing w:after="0"/>
              <w:rPr>
                <w:sz w:val="19"/>
                <w:szCs w:val="19"/>
                <w:color w:val="auto"/>
              </w:rPr>
            </w:pPr>
          </w:p>
        </w:tc>
        <w:tc>
          <w:tcPr>
            <w:tcW w:w="18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256,943</w:t>
            </w:r>
          </w:p>
        </w:tc>
        <w:tc>
          <w:tcPr>
            <w:tcW w:w="140" w:type="dxa"/>
            <w:vAlign w:val="bottom"/>
          </w:tcPr>
          <w:p>
            <w:pPr>
              <w:spacing w:after="0"/>
              <w:rPr>
                <w:sz w:val="19"/>
                <w:szCs w:val="19"/>
                <w:color w:val="auto"/>
              </w:rPr>
            </w:pP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(411)</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29,089</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(68)</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286,032</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(479)</w:t>
            </w:r>
          </w:p>
        </w:tc>
        <w:tc>
          <w:tcPr>
            <w:tcW w:w="0" w:type="dxa"/>
            <w:vAlign w:val="bottom"/>
          </w:tcPr>
          <w:p>
            <w:pPr>
              <w:spacing w:after="0"/>
              <w:rPr>
                <w:sz w:val="1"/>
                <w:szCs w:val="1"/>
                <w:color w:val="auto"/>
              </w:rPr>
            </w:pPr>
          </w:p>
        </w:tc>
      </w:tr>
      <w:tr>
        <w:trPr>
          <w:trHeight w:val="20"/>
        </w:trPr>
        <w:tc>
          <w:tcPr>
            <w:tcW w:w="4140" w:type="dxa"/>
            <w:vAlign w:val="bottom"/>
          </w:tcPr>
          <w:p>
            <w:pPr>
              <w:spacing w:after="0" w:line="20" w:lineRule="exact"/>
              <w:rPr>
                <w:sz w:val="1"/>
                <w:szCs w:val="1"/>
                <w:color w:val="auto"/>
              </w:rPr>
            </w:pPr>
          </w:p>
        </w:tc>
        <w:tc>
          <w:tcPr>
            <w:tcW w:w="1820" w:type="dxa"/>
            <w:vAlign w:val="bottom"/>
            <w:vMerge w:val="restart"/>
          </w:tcPr>
          <w:p>
            <w:pPr>
              <w:jc w:val="right"/>
              <w:ind w:right="112"/>
              <w:spacing w:after="0"/>
              <w:rPr>
                <w:sz w:val="20"/>
                <w:szCs w:val="20"/>
                <w:color w:val="auto"/>
              </w:rPr>
            </w:pPr>
            <w:r>
              <w:rPr>
                <w:rFonts w:ascii="Arial" w:cs="Arial" w:eastAsia="Arial" w:hAnsi="Arial"/>
                <w:sz w:val="18"/>
                <w:szCs w:val="18"/>
                <w:color w:val="auto"/>
              </w:rPr>
              <w:t>8</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140" w:type="dxa"/>
            <w:vAlign w:val="bottom"/>
          </w:tcPr>
          <w:p>
            <w:pPr>
              <w:spacing w:after="0"/>
              <w:rPr>
                <w:sz w:val="24"/>
                <w:szCs w:val="24"/>
                <w:color w:val="auto"/>
              </w:rPr>
            </w:pPr>
          </w:p>
        </w:tc>
        <w:tc>
          <w:tcPr>
            <w:tcW w:w="18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8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8"/>
          </w:tcPr>
          <w:p>
            <w:pPr>
              <w:jc w:val="center"/>
              <w:ind w:left="6"/>
              <w:spacing w:after="0"/>
              <w:rPr>
                <w:sz w:val="20"/>
                <w:szCs w:val="20"/>
                <w:color w:val="auto"/>
              </w:rPr>
            </w:pPr>
            <w:r>
              <w:rPr>
                <w:rFonts w:ascii="Arial" w:cs="Arial" w:eastAsia="Arial" w:hAnsi="Arial"/>
                <w:sz w:val="14"/>
                <w:szCs w:val="14"/>
                <w:b w:val="1"/>
                <w:bCs w:val="1"/>
                <w:color w:val="auto"/>
                <w:w w:val="87"/>
              </w:rPr>
              <w:t>January 30, 2016</w:t>
            </w:r>
          </w:p>
        </w:tc>
        <w:tc>
          <w:tcPr>
            <w:tcW w:w="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780" w:type="dxa"/>
            <w:vAlign w:val="bottom"/>
            <w:gridSpan w:val="6"/>
          </w:tcPr>
          <w:p>
            <w:pPr>
              <w:ind w:left="200"/>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12"/>
          </w:tcPr>
          <w:p>
            <w:pPr>
              <w:jc w:val="center"/>
              <w:ind w:right="14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3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40" w:type="dxa"/>
            <w:vAlign w:val="bottom"/>
            <w:tcBorders>
              <w:top w:val="single" w:sz="8" w:color="auto"/>
            </w:tcBorders>
            <w:gridSpan w:val="3"/>
          </w:tcPr>
          <w:p>
            <w:pPr>
              <w:ind w:left="160"/>
              <w:spacing w:after="0" w:line="129" w:lineRule="exact"/>
              <w:rPr>
                <w:sz w:val="20"/>
                <w:szCs w:val="20"/>
                <w:color w:val="auto"/>
              </w:rPr>
            </w:pPr>
            <w:r>
              <w:rPr>
                <w:rFonts w:ascii="Arial" w:cs="Arial" w:eastAsia="Arial" w:hAnsi="Arial"/>
                <w:sz w:val="14"/>
                <w:szCs w:val="14"/>
                <w:b w:val="1"/>
                <w:bCs w:val="1"/>
                <w:color w:val="auto"/>
              </w:rPr>
              <w:t>Fair</w:t>
            </w:r>
          </w:p>
        </w:tc>
        <w:tc>
          <w:tcPr>
            <w:tcW w:w="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8"/>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Pr>
          <w:p>
            <w:pPr>
              <w:spacing w:after="0"/>
              <w:rPr>
                <w:sz w:val="14"/>
                <w:szCs w:val="14"/>
                <w:color w:val="auto"/>
              </w:rPr>
            </w:pPr>
          </w:p>
        </w:tc>
        <w:tc>
          <w:tcPr>
            <w:tcW w:w="440" w:type="dxa"/>
            <w:vAlign w:val="bottom"/>
            <w:gridSpan w:val="3"/>
          </w:tcPr>
          <w:p>
            <w:pPr>
              <w:ind w:left="120"/>
              <w:spacing w:after="0"/>
              <w:rPr>
                <w:sz w:val="20"/>
                <w:szCs w:val="20"/>
                <w:color w:val="auto"/>
              </w:rPr>
            </w:pPr>
            <w:r>
              <w:rPr>
                <w:rFonts w:ascii="Arial" w:cs="Arial" w:eastAsia="Arial" w:hAnsi="Arial"/>
                <w:sz w:val="14"/>
                <w:szCs w:val="14"/>
                <w:b w:val="1"/>
                <w:bCs w:val="1"/>
                <w:color w:val="auto"/>
                <w:w w:val="80"/>
              </w:rPr>
              <w:t>Value</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gridSpan w:val="7"/>
          </w:tcPr>
          <w:p>
            <w:pPr>
              <w:jc w:val="center"/>
              <w:spacing w:after="0"/>
              <w:rPr>
                <w:sz w:val="20"/>
                <w:szCs w:val="20"/>
                <w:color w:val="auto"/>
              </w:rPr>
            </w:pPr>
            <w:r>
              <w:rPr>
                <w:rFonts w:ascii="Arial" w:cs="Arial" w:eastAsia="Arial" w:hAnsi="Arial"/>
                <w:sz w:val="14"/>
                <w:szCs w:val="14"/>
                <w:b w:val="1"/>
                <w:bCs w:val="1"/>
                <w:color w:val="auto"/>
                <w:w w:val="79"/>
              </w:rPr>
              <w:t>Loss</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$283,138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86"/>
              </w:rPr>
              <w:t>$14,383</w:t>
            </w:r>
          </w:p>
        </w:tc>
        <w:tc>
          <w:tcPr>
            <w:tcW w:w="3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9"/>
              <w:spacing w:after="0"/>
              <w:rPr>
                <w:sz w:val="20"/>
                <w:szCs w:val="20"/>
                <w:color w:val="auto"/>
              </w:rPr>
            </w:pPr>
            <w:r>
              <w:rPr>
                <w:rFonts w:ascii="Arial" w:cs="Arial" w:eastAsia="Arial" w:hAnsi="Arial"/>
                <w:sz w:val="15"/>
                <w:szCs w:val="15"/>
                <w:color w:val="auto"/>
                <w:w w:val="71"/>
              </w:rPr>
              <w:t>$</w:t>
            </w:r>
          </w:p>
        </w:tc>
        <w:tc>
          <w:tcPr>
            <w:tcW w:w="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74"/>
              </w:rPr>
              <w:t>(45)</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87"/>
              </w:rPr>
              <w:t>$297,521</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540" w:type="dxa"/>
            <w:vAlign w:val="bottom"/>
            <w:gridSpan w:val="3"/>
          </w:tcPr>
          <w:p>
            <w:pPr>
              <w:jc w:val="right"/>
              <w:ind w:right="160"/>
              <w:spacing w:after="0"/>
              <w:rPr>
                <w:sz w:val="20"/>
                <w:szCs w:val="20"/>
                <w:color w:val="auto"/>
              </w:rPr>
            </w:pPr>
            <w:r>
              <w:rPr>
                <w:rFonts w:ascii="Arial" w:cs="Arial" w:eastAsia="Arial" w:hAnsi="Arial"/>
                <w:sz w:val="18"/>
                <w:szCs w:val="18"/>
                <w:color w:val="auto"/>
              </w:rPr>
              <w:t>263,325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(254)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gridSpan w:val="3"/>
          </w:tcPr>
          <w:p>
            <w:pPr>
              <w:ind w:left="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gridSpan w:val="4"/>
          </w:tcPr>
          <w:p>
            <w:pPr>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263,325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(254)</w:t>
            </w: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5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46,646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(56)</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540" w:type="dxa"/>
            <w:vAlign w:val="bottom"/>
            <w:gridSpan w:val="3"/>
          </w:tcPr>
          <w:p>
            <w:pPr>
              <w:jc w:val="right"/>
              <w:ind w:right="160"/>
              <w:spacing w:after="0"/>
              <w:rPr>
                <w:sz w:val="20"/>
                <w:szCs w:val="20"/>
                <w:color w:val="auto"/>
              </w:rPr>
            </w:pPr>
            <w:r>
              <w:rPr>
                <w:rFonts w:ascii="Arial" w:cs="Arial" w:eastAsia="Arial" w:hAnsi="Arial"/>
                <w:sz w:val="18"/>
                <w:szCs w:val="18"/>
                <w:color w:val="auto"/>
              </w:rPr>
              <w:t>16,458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gridSpan w:val="3"/>
          </w:tcPr>
          <w:p>
            <w:pPr>
              <w:ind w:left="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gridSpan w:val="4"/>
          </w:tcPr>
          <w:p>
            <w:pPr>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16,458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7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2,943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7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2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4,514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528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7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280" w:type="dxa"/>
            <w:vAlign w:val="bottom"/>
            <w:gridSpan w:val="2"/>
            <w:vMerge w:val="continue"/>
          </w:tcPr>
          <w:p>
            <w:pPr>
              <w:spacing w:after="0"/>
              <w:rPr>
                <w:sz w:val="19"/>
                <w:szCs w:val="19"/>
                <w:color w:val="auto"/>
              </w:rPr>
            </w:pPr>
          </w:p>
        </w:tc>
        <w:tc>
          <w:tcPr>
            <w:tcW w:w="1540" w:type="dxa"/>
            <w:vAlign w:val="bottom"/>
            <w:gridSpan w:val="3"/>
          </w:tcPr>
          <w:p>
            <w:pPr>
              <w:jc w:val="right"/>
              <w:ind w:right="1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612,510</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(1,566)</w:t>
            </w:r>
          </w:p>
        </w:tc>
        <w:tc>
          <w:tcPr>
            <w:tcW w:w="700" w:type="dxa"/>
            <w:vAlign w:val="bottom"/>
            <w:gridSpan w:val="6"/>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15,954</w:t>
            </w:r>
          </w:p>
        </w:tc>
        <w:tc>
          <w:tcPr>
            <w:tcW w:w="480" w:type="dxa"/>
            <w:vAlign w:val="bottom"/>
            <w:gridSpan w:val="2"/>
          </w:tcPr>
          <w:p>
            <w:pPr>
              <w:jc w:val="right"/>
              <w:ind w:right="29"/>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gridSpan w:val="6"/>
          </w:tcPr>
          <w:p>
            <w:pPr>
              <w:jc w:val="right"/>
              <w:spacing w:after="0"/>
              <w:rPr>
                <w:sz w:val="20"/>
                <w:szCs w:val="20"/>
                <w:color w:val="auto"/>
              </w:rPr>
            </w:pPr>
            <w:r>
              <w:rPr>
                <w:rFonts w:ascii="Arial" w:cs="Arial" w:eastAsia="Arial" w:hAnsi="Arial"/>
                <w:sz w:val="18"/>
                <w:szCs w:val="18"/>
                <w:color w:val="auto"/>
                <w:w w:val="93"/>
              </w:rPr>
              <w:t>(47)</w:t>
            </w:r>
          </w:p>
        </w:tc>
        <w:tc>
          <w:tcPr>
            <w:tcW w:w="92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628,464</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(1,613)</w:t>
            </w:r>
          </w:p>
        </w:tc>
        <w:tc>
          <w:tcPr>
            <w:tcW w:w="0" w:type="dxa"/>
            <w:vAlign w:val="bottom"/>
          </w:tcPr>
          <w:p>
            <w:pPr>
              <w:spacing w:after="0"/>
              <w:rPr>
                <w:sz w:val="1"/>
                <w:szCs w:val="1"/>
                <w:color w:val="auto"/>
              </w:rPr>
            </w:pPr>
          </w:p>
        </w:tc>
      </w:tr>
      <w:tr>
        <w:trPr>
          <w:trHeight w:val="20"/>
        </w:trPr>
        <w:tc>
          <w:tcPr>
            <w:tcW w:w="52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7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280" w:type="dxa"/>
            <w:vAlign w:val="bottom"/>
            <w:gridSpan w:val="2"/>
            <w:vMerge w:val="continue"/>
          </w:tcPr>
          <w:p>
            <w:pPr>
              <w:spacing w:after="0"/>
              <w:rPr>
                <w:sz w:val="24"/>
                <w:szCs w:val="24"/>
                <w:color w:val="auto"/>
              </w:rPr>
            </w:pPr>
          </w:p>
        </w:tc>
        <w:tc>
          <w:tcPr>
            <w:tcW w:w="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280" w:type="dxa"/>
            <w:vAlign w:val="bottom"/>
            <w:gridSpan w:val="2"/>
          </w:tcPr>
          <w:p>
            <w:pPr>
              <w:ind w:left="46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38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40" w:type="dxa"/>
            <w:vAlign w:val="bottom"/>
            <w:gridSpan w:val="7"/>
          </w:tcPr>
          <w:p>
            <w:pPr>
              <w:ind w:left="120"/>
              <w:spacing w:after="0"/>
              <w:rPr>
                <w:sz w:val="20"/>
                <w:szCs w:val="20"/>
                <w:color w:val="auto"/>
              </w:rPr>
            </w:pPr>
            <w:r>
              <w:rPr>
                <w:rFonts w:ascii="Arial" w:cs="Arial" w:eastAsia="Arial" w:hAnsi="Arial"/>
                <w:sz w:val="14"/>
                <w:szCs w:val="14"/>
                <w:b w:val="1"/>
                <w:bCs w:val="1"/>
                <w:color w:val="auto"/>
              </w:rPr>
              <w:t>April 30,</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80" w:type="dxa"/>
            <w:vAlign w:val="bottom"/>
            <w:gridSpan w:val="10"/>
          </w:tcPr>
          <w:p>
            <w:pPr>
              <w:ind w:left="4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90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6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3"/>
          </w:tcPr>
          <w:p>
            <w:pPr>
              <w:ind w:left="100"/>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4"/>
          </w:tcPr>
          <w:p>
            <w:pPr>
              <w:jc w:val="right"/>
              <w:ind w:right="146"/>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3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60" w:type="dxa"/>
            <w:vAlign w:val="bottom"/>
            <w:gridSpan w:val="4"/>
          </w:tcPr>
          <w:p>
            <w:pPr>
              <w:ind w:left="420"/>
              <w:spacing w:after="0"/>
              <w:rPr>
                <w:sz w:val="20"/>
                <w:szCs w:val="20"/>
                <w:color w:val="auto"/>
              </w:rPr>
            </w:pPr>
            <w:r>
              <w:rPr>
                <w:rFonts w:ascii="Arial" w:cs="Arial" w:eastAsia="Arial" w:hAnsi="Arial"/>
                <w:sz w:val="18"/>
                <w:szCs w:val="18"/>
                <w:color w:val="auto"/>
              </w:rPr>
              <w:t>$</w:t>
            </w:r>
          </w:p>
        </w:tc>
        <w:tc>
          <w:tcPr>
            <w:tcW w:w="620" w:type="dxa"/>
            <w:vAlign w:val="bottom"/>
            <w:gridSpan w:val="4"/>
          </w:tcPr>
          <w:p>
            <w:pPr>
              <w:jc w:val="right"/>
              <w:spacing w:after="0"/>
              <w:rPr>
                <w:sz w:val="20"/>
                <w:szCs w:val="20"/>
                <w:color w:val="auto"/>
              </w:rPr>
            </w:pPr>
            <w:r>
              <w:rPr>
                <w:rFonts w:ascii="Arial" w:cs="Arial" w:eastAsia="Arial" w:hAnsi="Arial"/>
                <w:sz w:val="18"/>
                <w:szCs w:val="18"/>
                <w:color w:val="auto"/>
                <w:w w:val="92"/>
              </w:rPr>
              <w:t>128,183</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gridSpan w:val="4"/>
          </w:tcPr>
          <w:p>
            <w:pPr>
              <w:ind w:left="60"/>
              <w:spacing w:after="0"/>
              <w:rPr>
                <w:sz w:val="20"/>
                <w:szCs w:val="20"/>
                <w:color w:val="auto"/>
              </w:rPr>
            </w:pPr>
            <w:r>
              <w:rPr>
                <w:rFonts w:ascii="Arial" w:cs="Arial" w:eastAsia="Arial" w:hAnsi="Arial"/>
                <w:sz w:val="18"/>
                <w:szCs w:val="18"/>
                <w:color w:val="auto"/>
              </w:rPr>
              <w:t>$</w:t>
            </w:r>
          </w:p>
        </w:tc>
        <w:tc>
          <w:tcPr>
            <w:tcW w:w="600" w:type="dxa"/>
            <w:vAlign w:val="bottom"/>
            <w:gridSpan w:val="5"/>
          </w:tcPr>
          <w:p>
            <w:pPr>
              <w:jc w:val="right"/>
              <w:spacing w:after="0"/>
              <w:rPr>
                <w:sz w:val="20"/>
                <w:szCs w:val="20"/>
                <w:color w:val="auto"/>
              </w:rPr>
            </w:pPr>
            <w:r>
              <w:rPr>
                <w:rFonts w:ascii="Arial" w:cs="Arial" w:eastAsia="Arial" w:hAnsi="Arial"/>
                <w:sz w:val="18"/>
                <w:szCs w:val="18"/>
                <w:color w:val="auto"/>
                <w:w w:val="89"/>
              </w:rPr>
              <w:t>131,471</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68,556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78,546</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80" w:type="dxa"/>
            <w:vAlign w:val="bottom"/>
            <w:gridSpan w:val="2"/>
          </w:tcPr>
          <w:p>
            <w:pPr>
              <w:ind w:left="1380"/>
              <w:spacing w:after="0"/>
              <w:rPr>
                <w:sz w:val="20"/>
                <w:szCs w:val="20"/>
                <w:color w:val="auto"/>
              </w:rPr>
            </w:pPr>
            <w:r>
              <w:rPr>
                <w:rFonts w:ascii="Arial" w:cs="Arial" w:eastAsia="Arial" w:hAnsi="Arial"/>
                <w:sz w:val="18"/>
                <w:szCs w:val="18"/>
                <w:color w:val="auto"/>
              </w:rPr>
              <w:t>Total inventories</w:t>
            </w:r>
          </w:p>
        </w:tc>
        <w:tc>
          <w:tcPr>
            <w:tcW w:w="7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gridSpan w:val="4"/>
          </w:tcPr>
          <w:p>
            <w:pPr>
              <w:ind w:left="420"/>
              <w:spacing w:after="0"/>
              <w:rPr>
                <w:sz w:val="20"/>
                <w:szCs w:val="20"/>
                <w:color w:val="auto"/>
              </w:rPr>
            </w:pPr>
            <w:r>
              <w:rPr>
                <w:rFonts w:ascii="Arial" w:cs="Arial" w:eastAsia="Arial" w:hAnsi="Arial"/>
                <w:sz w:val="18"/>
                <w:szCs w:val="18"/>
                <w:color w:val="auto"/>
              </w:rPr>
              <w:t>$</w:t>
            </w:r>
          </w:p>
        </w:tc>
        <w:tc>
          <w:tcPr>
            <w:tcW w:w="620" w:type="dxa"/>
            <w:vAlign w:val="bottom"/>
            <w:gridSpan w:val="4"/>
          </w:tcPr>
          <w:p>
            <w:pPr>
              <w:jc w:val="right"/>
              <w:spacing w:after="0"/>
              <w:rPr>
                <w:sz w:val="20"/>
                <w:szCs w:val="20"/>
                <w:color w:val="auto"/>
              </w:rPr>
            </w:pPr>
            <w:r>
              <w:rPr>
                <w:rFonts w:ascii="Arial" w:cs="Arial" w:eastAsia="Arial" w:hAnsi="Arial"/>
                <w:sz w:val="18"/>
                <w:szCs w:val="18"/>
                <w:color w:val="auto"/>
                <w:w w:val="92"/>
              </w:rPr>
              <w:t>196,739</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gridSpan w:val="4"/>
          </w:tcPr>
          <w:p>
            <w:pPr>
              <w:ind w:left="60"/>
              <w:spacing w:after="0"/>
              <w:rPr>
                <w:sz w:val="20"/>
                <w:szCs w:val="20"/>
                <w:color w:val="auto"/>
              </w:rPr>
            </w:pPr>
            <w:r>
              <w:rPr>
                <w:rFonts w:ascii="Arial" w:cs="Arial" w:eastAsia="Arial" w:hAnsi="Arial"/>
                <w:sz w:val="18"/>
                <w:szCs w:val="18"/>
                <w:color w:val="auto"/>
              </w:rPr>
              <w:t>$</w:t>
            </w:r>
          </w:p>
        </w:tc>
        <w:tc>
          <w:tcPr>
            <w:tcW w:w="600" w:type="dxa"/>
            <w:vAlign w:val="bottom"/>
            <w:gridSpan w:val="5"/>
          </w:tcPr>
          <w:p>
            <w:pPr>
              <w:jc w:val="right"/>
              <w:spacing w:after="0"/>
              <w:rPr>
                <w:sz w:val="20"/>
                <w:szCs w:val="20"/>
                <w:color w:val="auto"/>
              </w:rPr>
            </w:pPr>
            <w:r>
              <w:rPr>
                <w:rFonts w:ascii="Arial" w:cs="Arial" w:eastAsia="Arial" w:hAnsi="Arial"/>
                <w:sz w:val="18"/>
                <w:szCs w:val="18"/>
                <w:color w:val="auto"/>
                <w:w w:val="89"/>
              </w:rPr>
              <w:t>210,017</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gridSpan w:val="2"/>
          </w:tcPr>
          <w:p>
            <w:pPr>
              <w:spacing w:after="0" w:line="20" w:lineRule="exact"/>
              <w:rPr>
                <w:sz w:val="1"/>
                <w:szCs w:val="1"/>
                <w:color w:val="auto"/>
              </w:rPr>
            </w:pPr>
          </w:p>
        </w:tc>
        <w:tc>
          <w:tcPr>
            <w:tcW w:w="600" w:type="dxa"/>
            <w:vAlign w:val="bottom"/>
            <w:tcBorders>
              <w:top w:val="single" w:sz="8" w:color="auto"/>
              <w:bottom w:val="single" w:sz="8" w:color="auto"/>
            </w:tcBorders>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5"/>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138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40" w:type="dxa"/>
            <w:vAlign w:val="bottom"/>
            <w:gridSpan w:val="7"/>
          </w:tcPr>
          <w:p>
            <w:pPr>
              <w:jc w:val="center"/>
              <w:ind w:right="320"/>
              <w:spacing w:after="0"/>
              <w:rPr>
                <w:sz w:val="20"/>
                <w:szCs w:val="20"/>
                <w:color w:val="auto"/>
              </w:rPr>
            </w:pPr>
            <w:r>
              <w:rPr>
                <w:rFonts w:ascii="Arial" w:cs="Arial" w:eastAsia="Arial" w:hAnsi="Arial"/>
                <w:sz w:val="14"/>
                <w:szCs w:val="14"/>
                <w:b w:val="1"/>
                <w:bCs w:val="1"/>
                <w:color w:val="auto"/>
                <w:w w:val="90"/>
              </w:rPr>
              <w:t>April 30,</w:t>
            </w:r>
          </w:p>
        </w:tc>
        <w:tc>
          <w:tcPr>
            <w:tcW w:w="20" w:type="dxa"/>
            <w:vAlign w:val="bottom"/>
          </w:tcPr>
          <w:p>
            <w:pPr>
              <w:spacing w:after="0"/>
              <w:rPr>
                <w:sz w:val="24"/>
                <w:szCs w:val="24"/>
                <w:color w:val="auto"/>
              </w:rPr>
            </w:pPr>
          </w:p>
        </w:tc>
        <w:tc>
          <w:tcPr>
            <w:tcW w:w="1520" w:type="dxa"/>
            <w:vAlign w:val="bottom"/>
            <w:gridSpan w:val="11"/>
          </w:tcPr>
          <w:p>
            <w:pPr>
              <w:ind w:left="4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90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6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3"/>
          </w:tcPr>
          <w:p>
            <w:pPr>
              <w:jc w:val="right"/>
              <w:ind w:right="54"/>
              <w:spacing w:after="0"/>
              <w:rPr>
                <w:sz w:val="20"/>
                <w:szCs w:val="20"/>
                <w:color w:val="auto"/>
              </w:rPr>
            </w:pPr>
            <w:r>
              <w:rPr>
                <w:rFonts w:ascii="Arial" w:cs="Arial" w:eastAsia="Arial" w:hAnsi="Arial"/>
                <w:sz w:val="14"/>
                <w:szCs w:val="14"/>
                <w:b w:val="1"/>
                <w:bCs w:val="1"/>
                <w:color w:val="auto"/>
                <w:w w:val="89"/>
              </w:rPr>
              <w:t>2016</w:t>
            </w:r>
          </w:p>
        </w:tc>
        <w:tc>
          <w:tcPr>
            <w:tcW w:w="18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6"/>
              </w:rPr>
              <w:t>2016</w:t>
            </w: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3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7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0" w:type="dxa"/>
            <w:vAlign w:val="bottom"/>
            <w:gridSpan w:val="3"/>
          </w:tcPr>
          <w:p>
            <w:pPr>
              <w:ind w:lef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w w:val="92"/>
              </w:rPr>
              <w:t>580,885</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gridSpan w:val="3"/>
          </w:tcPr>
          <w:p>
            <w:pPr>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80" w:type="dxa"/>
            <w:vAlign w:val="bottom"/>
            <w:gridSpan w:val="4"/>
          </w:tcPr>
          <w:p>
            <w:pPr>
              <w:jc w:val="right"/>
              <w:spacing w:after="0"/>
              <w:rPr>
                <w:sz w:val="20"/>
                <w:szCs w:val="20"/>
                <w:color w:val="auto"/>
              </w:rPr>
            </w:pPr>
            <w:r>
              <w:rPr>
                <w:rFonts w:ascii="Arial" w:cs="Arial" w:eastAsia="Arial" w:hAnsi="Arial"/>
                <w:sz w:val="18"/>
                <w:szCs w:val="18"/>
                <w:color w:val="auto"/>
                <w:w w:val="86"/>
              </w:rPr>
              <w:t>578,627</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2"/>
              </w:rPr>
              <w:t>144,320</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6"/>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rPr>
              <w:t>99,272</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4"/>
          </w:tcPr>
          <w:p>
            <w:pPr>
              <w:jc w:val="right"/>
              <w:spacing w:after="0"/>
              <w:rPr>
                <w:sz w:val="20"/>
                <w:szCs w:val="20"/>
                <w:color w:val="auto"/>
              </w:rPr>
            </w:pPr>
            <w:r>
              <w:rPr>
                <w:rFonts w:ascii="Arial" w:cs="Arial" w:eastAsia="Arial" w:hAnsi="Arial"/>
                <w:sz w:val="18"/>
                <w:szCs w:val="18"/>
                <w:color w:val="auto"/>
                <w:w w:val="86"/>
              </w:rPr>
              <w:t>102,928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rPr>
              <w:t>49,927</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4"/>
          </w:tcPr>
          <w:p>
            <w:pPr>
              <w:jc w:val="right"/>
              <w:spacing w:after="0"/>
              <w:rPr>
                <w:sz w:val="20"/>
                <w:szCs w:val="20"/>
                <w:color w:val="auto"/>
              </w:rPr>
            </w:pPr>
            <w:r>
              <w:rPr>
                <w:rFonts w:ascii="Arial" w:cs="Arial" w:eastAsia="Arial" w:hAnsi="Arial"/>
                <w:sz w:val="18"/>
                <w:szCs w:val="18"/>
                <w:color w:val="auto"/>
              </w:rPr>
              <w:t>49,927</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50,838</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50,192</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rPr>
              <w:t>25,658</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27,119</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653</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1,353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1380" w:type="dxa"/>
            <w:vAlign w:val="bottom"/>
          </w:tcPr>
          <w:p>
            <w:pPr>
              <w:spacing w:after="0"/>
              <w:rPr>
                <w:sz w:val="19"/>
                <w:szCs w:val="19"/>
                <w:color w:val="auto"/>
              </w:rPr>
            </w:pPr>
          </w:p>
        </w:tc>
        <w:tc>
          <w:tcPr>
            <w:tcW w:w="39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80" w:type="dxa"/>
            <w:vAlign w:val="bottom"/>
            <w:gridSpan w:val="8"/>
          </w:tcPr>
          <w:p>
            <w:pPr>
              <w:jc w:val="right"/>
              <w:spacing w:after="0"/>
              <w:rPr>
                <w:sz w:val="20"/>
                <w:szCs w:val="20"/>
                <w:color w:val="auto"/>
              </w:rPr>
            </w:pPr>
            <w:r>
              <w:rPr>
                <w:rFonts w:ascii="Arial" w:cs="Arial" w:eastAsia="Arial" w:hAnsi="Arial"/>
                <w:sz w:val="18"/>
                <w:szCs w:val="18"/>
                <w:color w:val="auto"/>
              </w:rPr>
              <w:t>1,004,926</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8"/>
          </w:tcPr>
          <w:p>
            <w:pPr>
              <w:jc w:val="right"/>
              <w:spacing w:after="0"/>
              <w:rPr>
                <w:sz w:val="20"/>
                <w:szCs w:val="20"/>
                <w:color w:val="auto"/>
              </w:rPr>
            </w:pPr>
            <w:r>
              <w:rPr>
                <w:rFonts w:ascii="Arial" w:cs="Arial" w:eastAsia="Arial" w:hAnsi="Arial"/>
                <w:sz w:val="18"/>
                <w:szCs w:val="18"/>
                <w:color w:val="auto"/>
                <w:w w:val="97"/>
              </w:rPr>
              <w:t>1,007,839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18"/>
                <w:szCs w:val="18"/>
                <w:color w:val="auto"/>
              </w:rPr>
            </w:pPr>
          </w:p>
        </w:tc>
        <w:tc>
          <w:tcPr>
            <w:tcW w:w="94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rPr>
              <w:t>(721,342)</w:t>
            </w:r>
          </w:p>
        </w:tc>
        <w:tc>
          <w:tcPr>
            <w:tcW w:w="120" w:type="dxa"/>
            <w:vAlign w:val="bottom"/>
            <w:shd w:val="clear" w:color="auto" w:fill="CCEEFF"/>
          </w:tcPr>
          <w:p>
            <w:pPr>
              <w:spacing w:after="0"/>
              <w:rPr>
                <w:sz w:val="18"/>
                <w:szCs w:val="18"/>
                <w:color w:val="auto"/>
              </w:rPr>
            </w:pPr>
          </w:p>
        </w:tc>
        <w:tc>
          <w:tcPr>
            <w:tcW w:w="920" w:type="dxa"/>
            <w:vAlign w:val="bottom"/>
            <w:gridSpan w:val="10"/>
            <w:shd w:val="clear" w:color="auto" w:fill="CCEEFF"/>
          </w:tcPr>
          <w:p>
            <w:pPr>
              <w:jc w:val="right"/>
              <w:ind w:right="60"/>
              <w:spacing w:after="0"/>
              <w:rPr>
                <w:sz w:val="20"/>
                <w:szCs w:val="20"/>
                <w:color w:val="auto"/>
              </w:rPr>
            </w:pPr>
            <w:r>
              <w:rPr>
                <w:rFonts w:ascii="Arial" w:cs="Arial" w:eastAsia="Arial" w:hAnsi="Arial"/>
                <w:sz w:val="18"/>
                <w:szCs w:val="18"/>
                <w:color w:val="auto"/>
              </w:rPr>
              <w:t>(708,299)</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80" w:type="dxa"/>
            <w:vAlign w:val="bottom"/>
            <w:gridSpan w:val="2"/>
            <w:vMerge w:val="restart"/>
          </w:tcPr>
          <w:p>
            <w:pPr>
              <w:ind w:left="1380"/>
              <w:spacing w:after="0"/>
              <w:rPr>
                <w:sz w:val="20"/>
                <w:szCs w:val="20"/>
                <w:color w:val="auto"/>
              </w:rPr>
            </w:pPr>
            <w:r>
              <w:rPr>
                <w:rFonts w:ascii="Arial" w:cs="Arial" w:eastAsia="Arial" w:hAnsi="Arial"/>
                <w:sz w:val="18"/>
                <w:szCs w:val="18"/>
                <w:color w:val="auto"/>
              </w:rPr>
              <w:t>Total property and equipment, net</w:t>
            </w:r>
          </w:p>
        </w:tc>
        <w:tc>
          <w:tcPr>
            <w:tcW w:w="7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gridSpan w:val="2"/>
            <w:vMerge w:val="continue"/>
          </w:tcPr>
          <w:p>
            <w:pPr>
              <w:spacing w:after="0"/>
              <w:rPr>
                <w:sz w:val="19"/>
                <w:szCs w:val="19"/>
                <w:color w:val="auto"/>
              </w:rPr>
            </w:pPr>
          </w:p>
        </w:tc>
        <w:tc>
          <w:tcPr>
            <w:tcW w:w="7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20" w:type="dxa"/>
            <w:vAlign w:val="bottom"/>
            <w:gridSpan w:val="3"/>
          </w:tcPr>
          <w:p>
            <w:pPr>
              <w:ind w:lef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w w:val="92"/>
              </w:rPr>
              <w:t>283,584</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gridSpan w:val="3"/>
          </w:tcPr>
          <w:p>
            <w:pPr>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80" w:type="dxa"/>
            <w:vAlign w:val="bottom"/>
            <w:gridSpan w:val="4"/>
          </w:tcPr>
          <w:p>
            <w:pPr>
              <w:jc w:val="right"/>
              <w:spacing w:after="0"/>
              <w:rPr>
                <w:sz w:val="20"/>
                <w:szCs w:val="20"/>
                <w:color w:val="auto"/>
              </w:rPr>
            </w:pPr>
            <w:r>
              <w:rPr>
                <w:rFonts w:ascii="Arial" w:cs="Arial" w:eastAsia="Arial" w:hAnsi="Arial"/>
                <w:sz w:val="18"/>
                <w:szCs w:val="18"/>
                <w:color w:val="auto"/>
                <w:w w:val="86"/>
              </w:rPr>
              <w:t>299,540</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5"/>
          </w:tcPr>
          <w:p>
            <w:pPr>
              <w:spacing w:after="0" w:line="20" w:lineRule="exact"/>
              <w:rPr>
                <w:sz w:val="1"/>
                <w:szCs w:val="1"/>
                <w:color w:val="auto"/>
              </w:rPr>
            </w:pPr>
          </w:p>
        </w:tc>
        <w:tc>
          <w:tcPr>
            <w:tcW w:w="740" w:type="dxa"/>
            <w:vAlign w:val="bottom"/>
            <w:gridSpan w:val="4"/>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138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80" w:type="dxa"/>
            <w:vAlign w:val="bottom"/>
            <w:gridSpan w:val="5"/>
          </w:tcPr>
          <w:p>
            <w:pPr>
              <w:ind w:left="80"/>
              <w:spacing w:after="0"/>
              <w:rPr>
                <w:sz w:val="20"/>
                <w:szCs w:val="20"/>
                <w:color w:val="auto"/>
              </w:rPr>
            </w:pPr>
            <w:r>
              <w:rPr>
                <w:rFonts w:ascii="Arial" w:cs="Arial" w:eastAsia="Arial" w:hAnsi="Arial"/>
                <w:sz w:val="14"/>
                <w:szCs w:val="14"/>
                <w:b w:val="1"/>
                <w:bCs w:val="1"/>
                <w:color w:val="auto"/>
              </w:rPr>
              <w:t>April 30,</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80" w:type="dxa"/>
            <w:vAlign w:val="bottom"/>
            <w:gridSpan w:val="10"/>
          </w:tcPr>
          <w:p>
            <w:pPr>
              <w:ind w:left="6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90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6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69"/>
              <w:spacing w:after="0"/>
              <w:rPr>
                <w:sz w:val="20"/>
                <w:szCs w:val="20"/>
                <w:color w:val="auto"/>
              </w:rPr>
            </w:pPr>
            <w:r>
              <w:rPr>
                <w:rFonts w:ascii="Arial" w:cs="Arial" w:eastAsia="Arial" w:hAnsi="Arial"/>
                <w:sz w:val="14"/>
                <w:szCs w:val="14"/>
                <w:b w:val="1"/>
                <w:bCs w:val="1"/>
                <w:color w:val="auto"/>
              </w:rPr>
              <w:t>2016</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126"/>
              <w:spacing w:after="0"/>
              <w:rPr>
                <w:sz w:val="20"/>
                <w:szCs w:val="20"/>
                <w:color w:val="auto"/>
              </w:rPr>
            </w:pPr>
            <w:r>
              <w:rPr>
                <w:rFonts w:ascii="Arial" w:cs="Arial" w:eastAsia="Arial" w:hAnsi="Arial"/>
                <w:sz w:val="14"/>
                <w:szCs w:val="14"/>
                <w:b w:val="1"/>
                <w:bCs w:val="1"/>
                <w:color w:val="auto"/>
                <w:w w:val="83"/>
              </w:rPr>
              <w:t>2016</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3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7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w w:val="94"/>
              </w:rPr>
              <w:t>46,078</w:t>
            </w:r>
          </w:p>
        </w:tc>
        <w:tc>
          <w:tcPr>
            <w:tcW w:w="120" w:type="dxa"/>
            <w:vAlign w:val="bottom"/>
          </w:tcPr>
          <w:p>
            <w:pPr>
              <w:spacing w:after="0"/>
              <w:rPr>
                <w:sz w:val="18"/>
                <w:szCs w:val="18"/>
                <w:color w:val="auto"/>
              </w:rPr>
            </w:pPr>
          </w:p>
        </w:tc>
        <w:tc>
          <w:tcPr>
            <w:tcW w:w="220" w:type="dxa"/>
            <w:vAlign w:val="bottom"/>
            <w:gridSpan w:val="4"/>
          </w:tcPr>
          <w:p>
            <w:pPr>
              <w:ind w:left="120"/>
              <w:spacing w:after="0"/>
              <w:rPr>
                <w:sz w:val="20"/>
                <w:szCs w:val="20"/>
                <w:color w:val="auto"/>
              </w:rPr>
            </w:pPr>
            <w:r>
              <w:rPr>
                <w:rFonts w:ascii="Arial" w:cs="Arial" w:eastAsia="Arial" w:hAnsi="Arial"/>
                <w:sz w:val="18"/>
                <w:szCs w:val="18"/>
                <w:color w:val="auto"/>
                <w:w w:val="79"/>
              </w:rPr>
              <w:t>$</w:t>
            </w: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gridSpan w:val="3"/>
          </w:tcPr>
          <w:p>
            <w:pPr>
              <w:jc w:val="right"/>
              <w:spacing w:after="0"/>
              <w:rPr>
                <w:sz w:val="20"/>
                <w:szCs w:val="20"/>
                <w:color w:val="auto"/>
              </w:rPr>
            </w:pPr>
            <w:r>
              <w:rPr>
                <w:rFonts w:ascii="Arial" w:cs="Arial" w:eastAsia="Arial" w:hAnsi="Arial"/>
                <w:sz w:val="18"/>
                <w:szCs w:val="18"/>
                <w:color w:val="auto"/>
                <w:w w:val="87"/>
              </w:rPr>
              <w:t>48,770</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36,981</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34,505</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5,804</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gridSpan w:val="3"/>
          </w:tcPr>
          <w:p>
            <w:pPr>
              <w:jc w:val="right"/>
              <w:spacing w:after="0"/>
              <w:rPr>
                <w:sz w:val="20"/>
                <w:szCs w:val="20"/>
                <w:color w:val="auto"/>
              </w:rPr>
            </w:pPr>
            <w:r>
              <w:rPr>
                <w:rFonts w:ascii="Arial" w:cs="Arial" w:eastAsia="Arial" w:hAnsi="Arial"/>
                <w:sz w:val="18"/>
                <w:szCs w:val="18"/>
                <w:color w:val="auto"/>
              </w:rPr>
              <w:t>5,804</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13,045</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13,123</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Deposits</w:t>
            </w: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w w:val="94"/>
              </w:rPr>
              <w:t>51,566</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gridSpan w:val="3"/>
          </w:tcPr>
          <w:p>
            <w:pPr>
              <w:jc w:val="right"/>
              <w:spacing w:after="0"/>
              <w:rPr>
                <w:sz w:val="20"/>
                <w:szCs w:val="20"/>
                <w:color w:val="auto"/>
              </w:rPr>
            </w:pPr>
            <w:r>
              <w:rPr>
                <w:rFonts w:ascii="Arial" w:cs="Arial" w:eastAsia="Arial" w:hAnsi="Arial"/>
                <w:sz w:val="18"/>
                <w:szCs w:val="18"/>
                <w:color w:val="auto"/>
                <w:w w:val="87"/>
              </w:rPr>
              <w:t>51,512</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4"/>
              </w:rPr>
              <w:t>16,304</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10,996</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280" w:type="dxa"/>
            <w:vAlign w:val="bottom"/>
            <w:gridSpan w:val="2"/>
          </w:tcPr>
          <w:p>
            <w:pPr>
              <w:ind w:left="1380"/>
              <w:spacing w:after="0"/>
              <w:rPr>
                <w:sz w:val="20"/>
                <w:szCs w:val="20"/>
                <w:color w:val="auto"/>
              </w:rPr>
            </w:pPr>
            <w:r>
              <w:rPr>
                <w:rFonts w:ascii="Arial" w:cs="Arial" w:eastAsia="Arial" w:hAnsi="Arial"/>
                <w:sz w:val="18"/>
                <w:szCs w:val="18"/>
                <w:color w:val="auto"/>
              </w:rPr>
              <w:t>Total other non-current assets</w:t>
            </w:r>
          </w:p>
        </w:tc>
        <w:tc>
          <w:tcPr>
            <w:tcW w:w="7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80" w:type="dxa"/>
            <w:vAlign w:val="bottom"/>
            <w:gridSpan w:val="5"/>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169,778</w:t>
            </w:r>
          </w:p>
        </w:tc>
        <w:tc>
          <w:tcPr>
            <w:tcW w:w="120" w:type="dxa"/>
            <w:vAlign w:val="bottom"/>
          </w:tcPr>
          <w:p>
            <w:pPr>
              <w:spacing w:after="0"/>
              <w:rPr>
                <w:sz w:val="19"/>
                <w:szCs w:val="19"/>
                <w:color w:val="auto"/>
              </w:rPr>
            </w:pPr>
          </w:p>
        </w:tc>
        <w:tc>
          <w:tcPr>
            <w:tcW w:w="820" w:type="dxa"/>
            <w:vAlign w:val="bottom"/>
            <w:gridSpan w:val="9"/>
          </w:tcPr>
          <w:p>
            <w:pPr>
              <w:jc w:val="right"/>
              <w:spacing w:after="0"/>
              <w:rPr>
                <w:sz w:val="20"/>
                <w:szCs w:val="20"/>
                <w:color w:val="auto"/>
              </w:rPr>
            </w:pPr>
            <w:r>
              <w:rPr>
                <w:rFonts w:ascii="Arial" w:cs="Arial" w:eastAsia="Arial" w:hAnsi="Arial"/>
                <w:sz w:val="18"/>
                <w:szCs w:val="18"/>
                <w:color w:val="auto"/>
                <w:w w:val="99"/>
              </w:rPr>
              <w:t>$ 164,710</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720" w:type="dxa"/>
            <w:vAlign w:val="bottom"/>
            <w:vMerge w:val="restart"/>
          </w:tcPr>
          <w:p>
            <w:pPr>
              <w:jc w:val="right"/>
              <w:ind w:right="152"/>
              <w:spacing w:after="0"/>
              <w:rPr>
                <w:sz w:val="20"/>
                <w:szCs w:val="20"/>
                <w:color w:val="auto"/>
              </w:rPr>
            </w:pPr>
            <w:r>
              <w:rPr>
                <w:rFonts w:ascii="Arial" w:cs="Arial" w:eastAsia="Arial" w:hAnsi="Arial"/>
                <w:sz w:val="18"/>
                <w:szCs w:val="18"/>
                <w:color w:val="auto"/>
              </w:rPr>
              <w:t>9</w:t>
            </w:r>
          </w:p>
        </w:tc>
        <w:tc>
          <w:tcPr>
            <w:tcW w:w="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38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720" w:type="dxa"/>
            <w:vAlign w:val="bottom"/>
            <w:vMerge w:val="continue"/>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0"/>
              </w:rPr>
              <w:t>April 30,</w:t>
            </w:r>
          </w:p>
        </w:tc>
        <w:tc>
          <w:tcPr>
            <w:tcW w:w="880" w:type="dxa"/>
            <w:vAlign w:val="bottom"/>
            <w:gridSpan w:val="4"/>
          </w:tcPr>
          <w:p>
            <w:pPr>
              <w:ind w:left="8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0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9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Accrued rebates</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20,346</w:t>
            </w:r>
          </w:p>
        </w:tc>
        <w:tc>
          <w:tcPr>
            <w:tcW w:w="1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41,320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15,823</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16,217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19,580</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17,985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8,218</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Accrued litigation</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3,350</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3,830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9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40,414</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42,947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040" w:type="dxa"/>
            <w:vAlign w:val="bottom"/>
            <w:gridSpan w:val="2"/>
          </w:tcPr>
          <w:p>
            <w:pPr>
              <w:spacing w:after="0"/>
              <w:rPr>
                <w:sz w:val="20"/>
                <w:szCs w:val="20"/>
                <w:color w:val="auto"/>
              </w:rPr>
            </w:pPr>
            <w:r>
              <w:rPr>
                <w:rFonts w:ascii="Arial" w:cs="Arial" w:eastAsia="Arial" w:hAnsi="Arial"/>
                <w:sz w:val="18"/>
                <w:szCs w:val="18"/>
                <w:color w:val="auto"/>
              </w:rPr>
              <w:t>Total accrued liabilities</w:t>
            </w:r>
          </w:p>
        </w:tc>
        <w:tc>
          <w:tcPr>
            <w:tcW w:w="20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107,731</w:t>
            </w:r>
          </w:p>
        </w:tc>
        <w:tc>
          <w:tcPr>
            <w:tcW w:w="100" w:type="dxa"/>
            <w:vAlign w:val="bottom"/>
          </w:tcPr>
          <w:p>
            <w:pPr>
              <w:spacing w:after="0"/>
              <w:rPr>
                <w:sz w:val="19"/>
                <w:szCs w:val="19"/>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w w:val="92"/>
              </w:rPr>
              <w:t>$ 132,060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0"/>
              </w:rPr>
              <w:t>April 30,</w:t>
            </w:r>
          </w:p>
        </w:tc>
        <w:tc>
          <w:tcPr>
            <w:tcW w:w="880" w:type="dxa"/>
            <w:vAlign w:val="bottom"/>
            <w:gridSpan w:val="4"/>
          </w:tcPr>
          <w:p>
            <w:pPr>
              <w:ind w:left="8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0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Deferred income:</w:t>
            </w:r>
          </w:p>
        </w:tc>
        <w:tc>
          <w:tcPr>
            <w:tcW w:w="19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Net deferred revenue</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76,412</w:t>
            </w:r>
          </w:p>
        </w:tc>
        <w:tc>
          <w:tcPr>
            <w:tcW w:w="1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77,935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Deferred cost of goods sold</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(21,924)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(22,213)</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Deferred income</w:t>
            </w:r>
          </w:p>
        </w:tc>
        <w:tc>
          <w:tcPr>
            <w:tcW w:w="19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40" w:type="dxa"/>
            <w:vAlign w:val="bottom"/>
            <w:gridSpan w:val="2"/>
            <w:vMerge w:val="continue"/>
          </w:tcPr>
          <w:p>
            <w:pPr>
              <w:spacing w:after="0"/>
              <w:rPr>
                <w:sz w:val="19"/>
                <w:szCs w:val="19"/>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54,488</w:t>
            </w:r>
          </w:p>
        </w:tc>
        <w:tc>
          <w:tcPr>
            <w:tcW w:w="100" w:type="dxa"/>
            <w:vAlign w:val="bottom"/>
          </w:tcPr>
          <w:p>
            <w:pPr>
              <w:spacing w:after="0"/>
              <w:rPr>
                <w:sz w:val="19"/>
                <w:szCs w:val="19"/>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55,722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0"/>
              </w:rPr>
              <w:t>April 30,</w:t>
            </w:r>
          </w:p>
        </w:tc>
        <w:tc>
          <w:tcPr>
            <w:tcW w:w="880" w:type="dxa"/>
            <w:vAlign w:val="bottom"/>
            <w:gridSpan w:val="4"/>
          </w:tcPr>
          <w:p>
            <w:pPr>
              <w:ind w:left="8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0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8,508</w:t>
            </w:r>
          </w:p>
        </w:tc>
        <w:tc>
          <w:tcPr>
            <w:tcW w:w="1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12,461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6,350</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Other</w:t>
            </w:r>
          </w:p>
        </w:tc>
        <w:tc>
          <w:tcPr>
            <w:tcW w:w="19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7,700</w:t>
            </w: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8,424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22,558</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26,963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(loss) by components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30, 2016</w:t>
      </w:r>
    </w:p>
    <w:p>
      <w:pPr>
        <w:spacing w:after="0" w:line="23" w:lineRule="exact"/>
        <w:rPr>
          <w:sz w:val="20"/>
          <w:szCs w:val="20"/>
          <w:color w:val="auto"/>
        </w:rPr>
      </w:pPr>
    </w:p>
    <w:p>
      <w:pPr>
        <w:ind w:left="900" w:right="6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loss</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gridSpan w:val="3"/>
          </w:tcPr>
          <w:p>
            <w:pPr>
              <w:jc w:val="center"/>
              <w:ind w:right="700"/>
              <w:spacing w:after="0"/>
              <w:rPr>
                <w:sz w:val="20"/>
                <w:szCs w:val="20"/>
                <w:color w:val="auto"/>
              </w:rPr>
            </w:pPr>
            <w:r>
              <w:rPr>
                <w:rFonts w:ascii="Arial" w:cs="Arial" w:eastAsia="Arial" w:hAnsi="Arial"/>
                <w:sz w:val="14"/>
                <w:szCs w:val="14"/>
                <w:b w:val="1"/>
                <w:bCs w:val="1"/>
                <w:color w:val="auto"/>
                <w:w w:val="88"/>
              </w:rPr>
              <w:t>Unrealized Gain</w:t>
            </w:r>
          </w:p>
        </w:tc>
        <w:tc>
          <w:tcPr>
            <w:tcW w:w="9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Unrealized Gain</w:t>
            </w: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2"/>
              </w:rPr>
              <w:t>(Loss) on</w:t>
            </w:r>
          </w:p>
        </w:tc>
        <w:tc>
          <w:tcPr>
            <w:tcW w:w="80" w:type="dxa"/>
            <w:vAlign w:val="bottom"/>
          </w:tcPr>
          <w:p>
            <w:pPr>
              <w:spacing w:after="0"/>
              <w:rPr>
                <w:sz w:val="12"/>
                <w:szCs w:val="12"/>
                <w:color w:val="auto"/>
              </w:rPr>
            </w:pPr>
          </w:p>
        </w:tc>
        <w:tc>
          <w:tcPr>
            <w:tcW w:w="880" w:type="dxa"/>
            <w:vAlign w:val="bottom"/>
          </w:tcPr>
          <w:p>
            <w:pPr>
              <w:jc w:val="center"/>
              <w:ind w:right="22"/>
              <w:spacing w:after="0" w:line="149" w:lineRule="exact"/>
              <w:rPr>
                <w:sz w:val="20"/>
                <w:szCs w:val="20"/>
                <w:color w:val="auto"/>
              </w:rPr>
            </w:pPr>
            <w:r>
              <w:rPr>
                <w:rFonts w:ascii="Arial" w:cs="Arial" w:eastAsia="Arial" w:hAnsi="Arial"/>
                <w:sz w:val="14"/>
                <w:szCs w:val="14"/>
                <w:b w:val="1"/>
                <w:bCs w:val="1"/>
                <w:color w:val="auto"/>
                <w:w w:val="85"/>
              </w:rPr>
              <w:t>(Loss) on</w:t>
            </w:r>
          </w:p>
        </w:tc>
        <w:tc>
          <w:tcPr>
            <w:tcW w:w="660" w:type="dxa"/>
            <w:vAlign w:val="bottom"/>
          </w:tcPr>
          <w:p>
            <w:pPr>
              <w:spacing w:after="0"/>
              <w:rPr>
                <w:sz w:val="12"/>
                <w:szCs w:val="12"/>
                <w:color w:val="auto"/>
              </w:rPr>
            </w:pPr>
          </w:p>
        </w:tc>
        <w:tc>
          <w:tcPr>
            <w:tcW w:w="13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880" w:type="dxa"/>
            <w:vAlign w:val="bottom"/>
          </w:tcPr>
          <w:p>
            <w:pPr>
              <w:jc w:val="center"/>
              <w:ind w:right="2"/>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660" w:type="dxa"/>
            <w:vAlign w:val="bottom"/>
          </w:tcPr>
          <w:p>
            <w:pPr>
              <w:spacing w:after="0"/>
              <w:rPr>
                <w:sz w:val="12"/>
                <w:szCs w:val="12"/>
                <w:color w:val="auto"/>
              </w:rPr>
            </w:pPr>
          </w:p>
        </w:tc>
        <w:tc>
          <w:tcPr>
            <w:tcW w:w="13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4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880" w:type="dxa"/>
            <w:vAlign w:val="bottom"/>
          </w:tcPr>
          <w:p>
            <w:pPr>
              <w:jc w:val="center"/>
              <w:ind w:right="22"/>
              <w:spacing w:after="0"/>
              <w:rPr>
                <w:sz w:val="20"/>
                <w:szCs w:val="20"/>
                <w:color w:val="auto"/>
              </w:rPr>
            </w:pPr>
            <w:r>
              <w:rPr>
                <w:rFonts w:ascii="Arial" w:cs="Arial" w:eastAsia="Arial" w:hAnsi="Arial"/>
                <w:sz w:val="14"/>
                <w:szCs w:val="14"/>
                <w:b w:val="1"/>
                <w:bCs w:val="1"/>
                <w:color w:val="auto"/>
                <w:w w:val="86"/>
              </w:rPr>
              <w:t>Securities</w:t>
            </w: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Flow Hedges</w:t>
            </w:r>
          </w:p>
        </w:tc>
        <w:tc>
          <w:tcPr>
            <w:tcW w:w="320" w:type="dxa"/>
            <w:vAlign w:val="bottom"/>
          </w:tcPr>
          <w:p>
            <w:pPr>
              <w:spacing w:after="0"/>
              <w:rPr>
                <w:sz w:val="14"/>
                <w:szCs w:val="14"/>
                <w:color w:val="auto"/>
              </w:rPr>
            </w:pPr>
          </w:p>
        </w:tc>
        <w:tc>
          <w:tcPr>
            <w:tcW w:w="56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(656)</w:t>
            </w:r>
          </w:p>
        </w:tc>
        <w:tc>
          <w:tcPr>
            <w:tcW w:w="70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ind w:left="600"/>
              <w:spacing w:after="0" w:line="201" w:lineRule="exact"/>
              <w:rPr>
                <w:sz w:val="20"/>
                <w:szCs w:val="20"/>
                <w:color w:val="auto"/>
              </w:rPr>
            </w:pPr>
            <w:r>
              <w:rPr>
                <w:rFonts w:ascii="Arial" w:cs="Arial" w:eastAsia="Arial" w:hAnsi="Arial"/>
                <w:sz w:val="18"/>
                <w:szCs w:val="18"/>
                <w:color w:val="auto"/>
              </w:rPr>
              <w:t>—</w:t>
            </w:r>
          </w:p>
        </w:tc>
        <w:tc>
          <w:tcPr>
            <w:tcW w:w="66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(139)</w:t>
            </w:r>
          </w:p>
        </w:tc>
        <w:tc>
          <w:tcPr>
            <w:tcW w:w="3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4"/>
              </w:rPr>
              <w:t>$ (795)</w:t>
            </w:r>
          </w:p>
        </w:tc>
        <w:tc>
          <w:tcPr>
            <w:tcW w:w="60" w:type="dxa"/>
            <w:vAlign w:val="bottom"/>
          </w:tcPr>
          <w:p>
            <w:pPr>
              <w:spacing w:after="0"/>
              <w:rPr>
                <w:sz w:val="17"/>
                <w:szCs w:val="17"/>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40" w:type="dxa"/>
            <w:vAlign w:val="bottom"/>
            <w:gridSpan w:val="2"/>
          </w:tcPr>
          <w:p>
            <w:pPr>
              <w:jc w:val="right"/>
              <w:ind w:right="700"/>
              <w:spacing w:after="0"/>
              <w:rPr>
                <w:sz w:val="20"/>
                <w:szCs w:val="20"/>
                <w:color w:val="auto"/>
              </w:rPr>
            </w:pPr>
            <w:r>
              <w:rPr>
                <w:rFonts w:ascii="Arial" w:cs="Arial" w:eastAsia="Arial" w:hAnsi="Arial"/>
                <w:sz w:val="18"/>
                <w:szCs w:val="18"/>
                <w:color w:val="auto"/>
              </w:rPr>
              <w:t>2,317</w:t>
            </w:r>
          </w:p>
        </w:tc>
        <w:tc>
          <w:tcPr>
            <w:tcW w:w="80" w:type="dxa"/>
            <w:vAlign w:val="bottom"/>
          </w:tcPr>
          <w:p>
            <w:pPr>
              <w:spacing w:after="0"/>
              <w:rPr>
                <w:sz w:val="19"/>
                <w:szCs w:val="19"/>
                <w:color w:val="auto"/>
              </w:rPr>
            </w:pPr>
          </w:p>
        </w:tc>
        <w:tc>
          <w:tcPr>
            <w:tcW w:w="880" w:type="dxa"/>
            <w:vAlign w:val="bottom"/>
          </w:tcPr>
          <w:p>
            <w:pPr>
              <w:ind w:left="60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527</w:t>
            </w:r>
          </w:p>
        </w:tc>
        <w:tc>
          <w:tcPr>
            <w:tcW w:w="380" w:type="dxa"/>
            <w:vAlign w:val="bottom"/>
          </w:tcPr>
          <w:p>
            <w:pPr>
              <w:spacing w:after="0"/>
              <w:rPr>
                <w:sz w:val="19"/>
                <w:szCs w:val="19"/>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2,844</w:t>
            </w:r>
          </w:p>
        </w:tc>
      </w:tr>
      <w:tr>
        <w:trPr>
          <w:trHeight w:val="43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540" w:type="dxa"/>
            <w:vAlign w:val="bottom"/>
            <w:gridSpan w:val="2"/>
          </w:tcPr>
          <w:p>
            <w:pPr>
              <w:jc w:val="right"/>
              <w:ind w:right="700"/>
              <w:spacing w:after="0"/>
              <w:rPr>
                <w:sz w:val="20"/>
                <w:szCs w:val="20"/>
                <w:color w:val="auto"/>
              </w:rPr>
            </w:pPr>
            <w:r>
              <w:rPr>
                <w:rFonts w:ascii="Arial" w:cs="Arial" w:eastAsia="Arial" w:hAnsi="Arial"/>
                <w:sz w:val="18"/>
                <w:szCs w:val="18"/>
                <w:color w:val="auto"/>
              </w:rPr>
              <w:t>116</w:t>
            </w:r>
          </w:p>
        </w:tc>
        <w:tc>
          <w:tcPr>
            <w:tcW w:w="80" w:type="dxa"/>
            <w:vAlign w:val="bottom"/>
          </w:tcPr>
          <w:p>
            <w:pPr>
              <w:spacing w:after="0"/>
              <w:rPr>
                <w:sz w:val="24"/>
                <w:szCs w:val="24"/>
                <w:color w:val="auto"/>
              </w:rPr>
            </w:pPr>
          </w:p>
        </w:tc>
        <w:tc>
          <w:tcPr>
            <w:tcW w:w="880" w:type="dxa"/>
            <w:vAlign w:val="bottom"/>
          </w:tcPr>
          <w:p>
            <w:pPr>
              <w:ind w:left="60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57</w:t>
            </w:r>
          </w:p>
        </w:tc>
        <w:tc>
          <w:tcPr>
            <w:tcW w:w="380" w:type="dxa"/>
            <w:vAlign w:val="bottom"/>
          </w:tcPr>
          <w:p>
            <w:pPr>
              <w:spacing w:after="0"/>
              <w:rPr>
                <w:sz w:val="24"/>
                <w:szCs w:val="24"/>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173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-3144520</wp:posOffset>
            </wp:positionH>
            <wp:positionV relativeFrom="paragraph">
              <wp:posOffset>-555625</wp:posOffset>
            </wp:positionV>
            <wp:extent cx="6663690" cy="1460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-3144520</wp:posOffset>
            </wp:positionH>
            <wp:positionV relativeFrom="paragraph">
              <wp:posOffset>-272415</wp:posOffset>
            </wp:positionV>
            <wp:extent cx="6663690" cy="2743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1" w:lineRule="exact"/>
        <w:rPr>
          <w:sz w:val="20"/>
          <w:szCs w:val="20"/>
          <w:color w:val="auto"/>
        </w:rPr>
      </w:pPr>
    </w:p>
    <w:p>
      <w:pPr>
        <w:sectPr>
          <w:pgSz w:w="11900" w:h="16838" w:orient="portrait"/>
          <w:cols w:equalWidth="0" w:num="2">
            <w:col w:w="4700" w:space="720"/>
            <w:col w:w="554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32"/>
        </w:trPr>
        <w:tc>
          <w:tcPr>
            <w:tcW w:w="20" w:type="dxa"/>
            <w:vAlign w:val="bottom"/>
          </w:tcPr>
          <w:p>
            <w:pPr>
              <w:spacing w:after="0"/>
              <w:rPr>
                <w:sz w:val="20"/>
                <w:szCs w:val="20"/>
                <w:color w:val="auto"/>
              </w:rPr>
            </w:pPr>
          </w:p>
        </w:tc>
        <w:tc>
          <w:tcPr>
            <w:tcW w:w="3940" w:type="dxa"/>
            <w:vAlign w:val="bottom"/>
          </w:tcPr>
          <w:p>
            <w:pPr>
              <w:ind w:left="860"/>
              <w:spacing w:after="0"/>
              <w:rPr>
                <w:sz w:val="20"/>
                <w:szCs w:val="20"/>
                <w:color w:val="auto"/>
              </w:rPr>
            </w:pPr>
            <w:r>
              <w:rPr>
                <w:rFonts w:ascii="Arial" w:cs="Arial" w:eastAsia="Arial" w:hAnsi="Arial"/>
                <w:sz w:val="18"/>
                <w:szCs w:val="18"/>
                <w:color w:val="auto"/>
              </w:rPr>
              <w:t>Other comprehensive income</w:t>
            </w:r>
          </w:p>
        </w:tc>
        <w:tc>
          <w:tcPr>
            <w:tcW w:w="1000" w:type="dxa"/>
            <w:vAlign w:val="bottom"/>
          </w:tcPr>
          <w:p>
            <w:pPr>
              <w:spacing w:after="0"/>
              <w:rPr>
                <w:sz w:val="20"/>
                <w:szCs w:val="20"/>
                <w:color w:val="auto"/>
              </w:rPr>
            </w:pPr>
          </w:p>
        </w:tc>
        <w:tc>
          <w:tcPr>
            <w:tcW w:w="14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2,433</w:t>
            </w:r>
          </w:p>
        </w:tc>
        <w:tc>
          <w:tcPr>
            <w:tcW w:w="700" w:type="dxa"/>
            <w:vAlign w:val="bottom"/>
          </w:tcPr>
          <w:p>
            <w:pPr>
              <w:spacing w:after="0"/>
              <w:rPr>
                <w:sz w:val="20"/>
                <w:szCs w:val="20"/>
                <w:color w:val="auto"/>
              </w:rPr>
            </w:pPr>
          </w:p>
        </w:tc>
        <w:tc>
          <w:tcPr>
            <w:tcW w:w="380" w:type="dxa"/>
            <w:vAlign w:val="bottom"/>
            <w:tcBorders>
              <w:top w:val="single" w:sz="8" w:color="auto"/>
              <w:bottom w:val="single" w:sz="8" w:color="auto"/>
            </w:tcBorders>
          </w:tcPr>
          <w:p>
            <w:pPr>
              <w:spacing w:after="0"/>
              <w:rPr>
                <w:sz w:val="20"/>
                <w:szCs w:val="20"/>
                <w:color w:val="auto"/>
              </w:rPr>
            </w:pPr>
          </w:p>
        </w:tc>
        <w:tc>
          <w:tcPr>
            <w:tcW w:w="580" w:type="dxa"/>
            <w:vAlign w:val="bottom"/>
            <w:tcBorders>
              <w:top w:val="single" w:sz="8" w:color="auto"/>
              <w:bottom w:val="single" w:sz="8" w:color="auto"/>
            </w:tcBorders>
          </w:tcPr>
          <w:p>
            <w:pPr>
              <w:ind w:left="30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0"/>
                <w:szCs w:val="20"/>
                <w:color w:val="auto"/>
              </w:rPr>
            </w:pPr>
          </w:p>
        </w:tc>
        <w:tc>
          <w:tcPr>
            <w:tcW w:w="400" w:type="dxa"/>
            <w:vAlign w:val="bottom"/>
            <w:tcBorders>
              <w:top w:val="single" w:sz="8" w:color="auto"/>
              <w:bottom w:val="single" w:sz="8" w:color="auto"/>
            </w:tcBorders>
          </w:tcPr>
          <w:p>
            <w:pPr>
              <w:spacing w:after="0"/>
              <w:rPr>
                <w:sz w:val="20"/>
                <w:szCs w:val="20"/>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584</w:t>
            </w:r>
          </w:p>
        </w:tc>
        <w:tc>
          <w:tcPr>
            <w:tcW w:w="700" w:type="dxa"/>
            <w:vAlign w:val="bottom"/>
          </w:tcPr>
          <w:p>
            <w:pPr>
              <w:spacing w:after="0"/>
              <w:rPr>
                <w:sz w:val="20"/>
                <w:szCs w:val="20"/>
                <w:color w:val="auto"/>
              </w:rPr>
            </w:pP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3,017</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2016</w:t>
            </w: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1,777</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445</w:t>
            </w:r>
          </w:p>
        </w:tc>
        <w:tc>
          <w:tcPr>
            <w:tcW w:w="13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2,222</w:t>
            </w:r>
          </w:p>
        </w:tc>
      </w:tr>
      <w:tr>
        <w:trPr>
          <w:trHeight w:val="20"/>
        </w:trPr>
        <w:tc>
          <w:tcPr>
            <w:tcW w:w="20" w:type="dxa"/>
            <w:vAlign w:val="bottom"/>
          </w:tcPr>
          <w:p>
            <w:pPr>
              <w:spacing w:after="0" w:line="20" w:lineRule="exact"/>
              <w:rPr>
                <w:sz w:val="1"/>
                <w:szCs w:val="1"/>
                <w:color w:val="auto"/>
              </w:rPr>
            </w:pPr>
          </w:p>
        </w:tc>
        <w:tc>
          <w:tcPr>
            <w:tcW w:w="39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20" w:type="dxa"/>
            <w:vAlign w:val="bottom"/>
          </w:tcPr>
          <w:p>
            <w:pPr>
              <w:jc w:val="right"/>
              <w:ind w:right="492"/>
              <w:spacing w:after="0"/>
              <w:rPr>
                <w:sz w:val="20"/>
                <w:szCs w:val="20"/>
                <w:color w:val="auto"/>
              </w:rPr>
            </w:pPr>
            <w:r>
              <w:rPr>
                <w:rFonts w:ascii="Arial" w:cs="Arial" w:eastAsia="Arial" w:hAnsi="Arial"/>
                <w:sz w:val="18"/>
                <w:szCs w:val="18"/>
                <w:color w:val="auto"/>
              </w:rPr>
              <w:t>10</w:t>
            </w:r>
          </w:p>
        </w:tc>
        <w:tc>
          <w:tcPr>
            <w:tcW w:w="7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0960"/>
          </w:cols>
          <w:pgMar w:left="240" w:top="459" w:right="69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3" w:lineRule="exact"/>
        <w:rPr>
          <w:sz w:val="20"/>
          <w:szCs w:val="20"/>
          <w:color w:val="auto"/>
        </w:rPr>
      </w:pPr>
    </w:p>
    <w:p>
      <w:pPr>
        <w:ind w:left="900" w:right="28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 (loss)</w:t>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0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90"/>
              </w:rPr>
              <w:t>Unrealized Gain</w:t>
            </w:r>
          </w:p>
        </w:tc>
        <w:tc>
          <w:tcPr>
            <w:tcW w:w="158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80" w:type="dxa"/>
            <w:vAlign w:val="bottom"/>
          </w:tcPr>
          <w:p>
            <w:pPr>
              <w:spacing w:after="0"/>
              <w:rPr>
                <w:sz w:val="12"/>
                <w:szCs w:val="12"/>
                <w:color w:val="auto"/>
              </w:rPr>
            </w:pPr>
          </w:p>
        </w:tc>
        <w:tc>
          <w:tcPr>
            <w:tcW w:w="150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5"/>
              </w:rPr>
              <w:t>(Loss) on</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150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48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150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48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3,768</w:t>
            </w:r>
          </w:p>
        </w:tc>
        <w:tc>
          <w:tcPr>
            <w:tcW w:w="64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(2,274)</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(1,186)</w:t>
            </w:r>
          </w:p>
        </w:tc>
        <w:tc>
          <w:tcPr>
            <w:tcW w:w="3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8"/>
              </w:rPr>
              <w:t>$ 308</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(1,528)</w:t>
            </w:r>
          </w:p>
        </w:tc>
        <w:tc>
          <w:tcPr>
            <w:tcW w:w="80" w:type="dxa"/>
            <w:vAlign w:val="bottom"/>
          </w:tcPr>
          <w:p>
            <w:pPr>
              <w:spacing w:after="0"/>
              <w:rPr>
                <w:sz w:val="19"/>
                <w:szCs w:val="19"/>
                <w:color w:val="auto"/>
              </w:rPr>
            </w:pPr>
          </w:p>
        </w:tc>
        <w:tc>
          <w:tcPr>
            <w:tcW w:w="1500" w:type="dxa"/>
            <w:vAlign w:val="bottom"/>
            <w:gridSpan w:val="2"/>
          </w:tcPr>
          <w:p>
            <w:pPr>
              <w:jc w:val="right"/>
              <w:ind w:right="560"/>
              <w:spacing w:after="0"/>
              <w:rPr>
                <w:sz w:val="20"/>
                <w:szCs w:val="20"/>
                <w:color w:val="auto"/>
              </w:rPr>
            </w:pPr>
            <w:r>
              <w:rPr>
                <w:rFonts w:ascii="Arial" w:cs="Arial" w:eastAsia="Arial" w:hAnsi="Arial"/>
                <w:sz w:val="18"/>
                <w:szCs w:val="18"/>
                <w:color w:val="auto"/>
              </w:rPr>
              <w:t>(115)</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803</w:t>
            </w:r>
          </w:p>
        </w:tc>
        <w:tc>
          <w:tcPr>
            <w:tcW w:w="360" w:type="dxa"/>
            <w:vAlign w:val="bottom"/>
          </w:tcPr>
          <w:p>
            <w:pPr>
              <w:spacing w:after="0"/>
              <w:rPr>
                <w:sz w:val="19"/>
                <w:szCs w:val="19"/>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(840)</w:t>
            </w:r>
          </w:p>
        </w:tc>
      </w:tr>
      <w:tr>
        <w:trPr>
          <w:trHeight w:val="432"/>
        </w:trPr>
        <w:tc>
          <w:tcPr>
            <w:tcW w:w="12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(332)</w:t>
            </w:r>
          </w:p>
        </w:tc>
        <w:tc>
          <w:tcPr>
            <w:tcW w:w="80" w:type="dxa"/>
            <w:vAlign w:val="bottom"/>
          </w:tcPr>
          <w:p>
            <w:pPr>
              <w:spacing w:after="0"/>
              <w:rPr>
                <w:sz w:val="24"/>
                <w:szCs w:val="24"/>
                <w:color w:val="auto"/>
              </w:rPr>
            </w:pPr>
          </w:p>
        </w:tc>
        <w:tc>
          <w:tcPr>
            <w:tcW w:w="150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944</w:t>
            </w:r>
          </w:p>
        </w:tc>
        <w:tc>
          <w:tcPr>
            <w:tcW w:w="360" w:type="dxa"/>
            <w:vAlign w:val="bottom"/>
          </w:tcPr>
          <w:p>
            <w:pPr>
              <w:spacing w:after="0"/>
              <w:rPr>
                <w:sz w:val="24"/>
                <w:szCs w:val="24"/>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612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-3284220</wp:posOffset>
            </wp:positionH>
            <wp:positionV relativeFrom="paragraph">
              <wp:posOffset>-555625</wp:posOffset>
            </wp:positionV>
            <wp:extent cx="666369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-3284220</wp:posOffset>
            </wp:positionH>
            <wp:positionV relativeFrom="paragraph">
              <wp:posOffset>-272415</wp:posOffset>
            </wp:positionV>
            <wp:extent cx="6663690" cy="27432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920" w:space="720"/>
            <w:col w:w="532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16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300" w:type="dxa"/>
            <w:vAlign w:val="bottom"/>
          </w:tcPr>
          <w:p>
            <w:pPr>
              <w:spacing w:after="0"/>
              <w:rPr>
                <w:sz w:val="17"/>
                <w:szCs w:val="17"/>
                <w:color w:val="auto"/>
              </w:rPr>
            </w:pPr>
          </w:p>
        </w:tc>
        <w:tc>
          <w:tcPr>
            <w:tcW w:w="1300" w:type="dxa"/>
            <w:vAlign w:val="bottom"/>
            <w:gridSpan w:val="2"/>
          </w:tcPr>
          <w:p>
            <w:pPr>
              <w:jc w:val="right"/>
              <w:ind w:right="580"/>
              <w:spacing w:after="0" w:line="204" w:lineRule="exact"/>
              <w:rPr>
                <w:sz w:val="20"/>
                <w:szCs w:val="20"/>
                <w:color w:val="auto"/>
              </w:rPr>
            </w:pPr>
            <w:r>
              <w:rPr>
                <w:rFonts w:ascii="Arial" w:cs="Arial" w:eastAsia="Arial" w:hAnsi="Arial"/>
                <w:sz w:val="18"/>
                <w:szCs w:val="18"/>
                <w:color w:val="auto"/>
              </w:rPr>
              <w:t>(1,860)</w:t>
            </w:r>
          </w:p>
        </w:tc>
        <w:tc>
          <w:tcPr>
            <w:tcW w:w="300" w:type="dxa"/>
            <w:vAlign w:val="bottom"/>
          </w:tcPr>
          <w:p>
            <w:pPr>
              <w:spacing w:after="0"/>
              <w:rPr>
                <w:sz w:val="17"/>
                <w:szCs w:val="17"/>
                <w:color w:val="auto"/>
              </w:rPr>
            </w:pPr>
          </w:p>
        </w:tc>
        <w:tc>
          <w:tcPr>
            <w:tcW w:w="1280" w:type="dxa"/>
            <w:vAlign w:val="bottom"/>
            <w:gridSpan w:val="2"/>
          </w:tcPr>
          <w:p>
            <w:pPr>
              <w:jc w:val="right"/>
              <w:ind w:right="560"/>
              <w:spacing w:after="0" w:line="204" w:lineRule="exact"/>
              <w:rPr>
                <w:sz w:val="20"/>
                <w:szCs w:val="20"/>
                <w:color w:val="auto"/>
              </w:rPr>
            </w:pPr>
            <w:r>
              <w:rPr>
                <w:rFonts w:ascii="Arial" w:cs="Arial" w:eastAsia="Arial" w:hAnsi="Arial"/>
                <w:sz w:val="18"/>
                <w:szCs w:val="18"/>
                <w:color w:val="auto"/>
              </w:rPr>
              <w:t>(115)</w:t>
            </w:r>
          </w:p>
        </w:tc>
        <w:tc>
          <w:tcPr>
            <w:tcW w:w="340" w:type="dxa"/>
            <w:vAlign w:val="bottom"/>
          </w:tcPr>
          <w:p>
            <w:pPr>
              <w:spacing w:after="0"/>
              <w:rPr>
                <w:sz w:val="17"/>
                <w:szCs w:val="17"/>
                <w:color w:val="auto"/>
              </w:rPr>
            </w:pPr>
          </w:p>
        </w:tc>
        <w:tc>
          <w:tcPr>
            <w:tcW w:w="620" w:type="dxa"/>
            <w:vAlign w:val="bottom"/>
          </w:tcPr>
          <w:p>
            <w:pPr>
              <w:jc w:val="right"/>
              <w:spacing w:after="0" w:line="204" w:lineRule="exact"/>
              <w:rPr>
                <w:sz w:val="20"/>
                <w:szCs w:val="20"/>
                <w:color w:val="auto"/>
              </w:rPr>
            </w:pPr>
            <w:r>
              <w:rPr>
                <w:rFonts w:ascii="Arial" w:cs="Arial" w:eastAsia="Arial" w:hAnsi="Arial"/>
                <w:sz w:val="18"/>
                <w:szCs w:val="18"/>
                <w:color w:val="auto"/>
              </w:rPr>
              <w:t>1,747</w:t>
            </w:r>
          </w:p>
        </w:tc>
        <w:tc>
          <w:tcPr>
            <w:tcW w:w="118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1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2015</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w:t>
            </w:r>
          </w:p>
        </w:tc>
        <w:tc>
          <w:tcPr>
            <w:tcW w:w="64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(2,389)</w:t>
            </w:r>
          </w:p>
        </w:tc>
        <w:tc>
          <w:tcPr>
            <w:tcW w:w="340" w:type="dxa"/>
            <w:vAlign w:val="bottom"/>
            <w:shd w:val="clear" w:color="auto" w:fill="CCEEFF"/>
          </w:tcPr>
          <w:p>
            <w:pPr>
              <w:jc w:val="right"/>
              <w:ind w:right="152"/>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w:t>
            </w:r>
          </w:p>
        </w:tc>
        <w:tc>
          <w:tcPr>
            <w:tcW w:w="11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80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380" w:type="dxa"/>
            <w:vAlign w:val="bottom"/>
            <w:gridSpan w:val="3"/>
            <w:vMerge w:val="restart"/>
          </w:tcPr>
          <w:p>
            <w:pPr>
              <w:ind w:left="920"/>
              <w:spacing w:after="0"/>
              <w:rPr>
                <w:sz w:val="20"/>
                <w:szCs w:val="20"/>
                <w:color w:val="auto"/>
              </w:rPr>
            </w:pPr>
            <w:r>
              <w:rPr>
                <w:rFonts w:ascii="Arial" w:cs="Arial" w:eastAsia="Arial" w:hAnsi="Arial"/>
                <w:sz w:val="14"/>
                <w:szCs w:val="14"/>
                <w:b w:val="1"/>
                <w:bCs w:val="1"/>
                <w:color w:val="auto"/>
              </w:rPr>
              <w:t>Affected Line Item in the</w:t>
            </w:r>
          </w:p>
        </w:tc>
        <w:tc>
          <w:tcPr>
            <w:tcW w:w="3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0" w:type="dxa"/>
            <w:vAlign w:val="bottom"/>
            <w:gridSpan w:val="6"/>
          </w:tcPr>
          <w:p>
            <w:pPr>
              <w:jc w:val="right"/>
              <w:ind w:right="280"/>
              <w:spacing w:after="0"/>
              <w:rPr>
                <w:sz w:val="20"/>
                <w:szCs w:val="20"/>
                <w:color w:val="auto"/>
              </w:rPr>
            </w:pPr>
            <w:r>
              <w:rPr>
                <w:rFonts w:ascii="Arial" w:cs="Arial" w:eastAsia="Arial" w:hAnsi="Arial"/>
                <w:sz w:val="14"/>
                <w:szCs w:val="14"/>
                <w:b w:val="1"/>
                <w:bCs w:val="1"/>
                <w:color w:val="auto"/>
                <w:w w:val="93"/>
              </w:rPr>
              <w:t>Three Months Ended</w:t>
            </w:r>
          </w:p>
        </w:tc>
        <w:tc>
          <w:tcPr>
            <w:tcW w:w="0" w:type="dxa"/>
            <w:vAlign w:val="bottom"/>
          </w:tcPr>
          <w:p>
            <w:pPr>
              <w:spacing w:after="0"/>
              <w:rPr>
                <w:sz w:val="1"/>
                <w:szCs w:val="1"/>
                <w:color w:val="auto"/>
              </w:rPr>
            </w:pPr>
          </w:p>
        </w:tc>
      </w:tr>
      <w:tr>
        <w:trPr>
          <w:trHeight w:val="116"/>
        </w:trPr>
        <w:tc>
          <w:tcPr>
            <w:tcW w:w="4380" w:type="dxa"/>
            <w:vAlign w:val="bottom"/>
            <w:gridSpan w:val="3"/>
            <w:vMerge w:val="continue"/>
          </w:tcPr>
          <w:p>
            <w:pPr>
              <w:spacing w:after="0"/>
              <w:rPr>
                <w:sz w:val="10"/>
                <w:szCs w:val="10"/>
                <w:color w:val="auto"/>
              </w:rPr>
            </w:pPr>
          </w:p>
        </w:tc>
        <w:tc>
          <w:tcPr>
            <w:tcW w:w="3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40" w:type="dxa"/>
            <w:vAlign w:val="bottom"/>
            <w:tcBorders>
              <w:top w:val="single" w:sz="8" w:color="auto"/>
            </w:tcBorders>
            <w:gridSpan w:val="3"/>
          </w:tcPr>
          <w:p>
            <w:pPr>
              <w:jc w:val="center"/>
              <w:ind w:right="300"/>
              <w:spacing w:after="0" w:line="116" w:lineRule="exact"/>
              <w:rPr>
                <w:sz w:val="20"/>
                <w:szCs w:val="20"/>
                <w:color w:val="auto"/>
              </w:rPr>
            </w:pPr>
            <w:r>
              <w:rPr>
                <w:rFonts w:ascii="Arial" w:cs="Arial" w:eastAsia="Arial" w:hAnsi="Arial"/>
                <w:sz w:val="12"/>
                <w:szCs w:val="12"/>
                <w:b w:val="1"/>
                <w:bCs w:val="1"/>
                <w:color w:val="auto"/>
              </w:rPr>
              <w:t>April 30,</w:t>
            </w:r>
          </w:p>
        </w:tc>
        <w:tc>
          <w:tcPr>
            <w:tcW w:w="220" w:type="dxa"/>
            <w:vAlign w:val="bottom"/>
            <w:tcBorders>
              <w:top w:val="single" w:sz="8" w:color="auto"/>
            </w:tcBorders>
          </w:tcPr>
          <w:p>
            <w:pPr>
              <w:spacing w:after="0"/>
              <w:rPr>
                <w:sz w:val="10"/>
                <w:szCs w:val="10"/>
                <w:color w:val="auto"/>
              </w:rPr>
            </w:pPr>
          </w:p>
        </w:tc>
        <w:tc>
          <w:tcPr>
            <w:tcW w:w="20" w:type="dxa"/>
            <w:vAlign w:val="bottom"/>
            <w:tcBorders>
              <w:top w:val="single" w:sz="8" w:color="auto"/>
            </w:tcBorders>
          </w:tcPr>
          <w:p>
            <w:pPr>
              <w:spacing w:after="0"/>
              <w:rPr>
                <w:sz w:val="10"/>
                <w:szCs w:val="10"/>
                <w:color w:val="auto"/>
              </w:rPr>
            </w:pPr>
          </w:p>
        </w:tc>
        <w:tc>
          <w:tcPr>
            <w:tcW w:w="480" w:type="dxa"/>
            <w:vAlign w:val="bottom"/>
            <w:tcBorders>
              <w:top w:val="single" w:sz="8" w:color="auto"/>
            </w:tcBorders>
          </w:tcPr>
          <w:p>
            <w:pPr>
              <w:jc w:val="center"/>
              <w:spacing w:after="0" w:line="116" w:lineRule="exact"/>
              <w:rPr>
                <w:sz w:val="20"/>
                <w:szCs w:val="20"/>
                <w:color w:val="auto"/>
              </w:rPr>
            </w:pPr>
            <w:r>
              <w:rPr>
                <w:rFonts w:ascii="Arial" w:cs="Arial" w:eastAsia="Arial" w:hAnsi="Arial"/>
                <w:sz w:val="12"/>
                <w:szCs w:val="12"/>
                <w:b w:val="1"/>
                <w:bCs w:val="1"/>
                <w:color w:val="auto"/>
              </w:rPr>
              <w:t>May 2,</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4380" w:type="dxa"/>
            <w:vAlign w:val="bottom"/>
            <w:gridSpan w:val="3"/>
          </w:tcPr>
          <w:p>
            <w:pPr>
              <w:ind w:left="920"/>
              <w:spacing w:after="0"/>
              <w:rPr>
                <w:sz w:val="20"/>
                <w:szCs w:val="20"/>
                <w:color w:val="auto"/>
              </w:rPr>
            </w:pPr>
            <w:r>
              <w:rPr>
                <w:rFonts w:ascii="Arial" w:cs="Arial" w:eastAsia="Arial" w:hAnsi="Arial"/>
                <w:sz w:val="14"/>
                <w:szCs w:val="14"/>
                <w:b w:val="1"/>
                <w:bCs w:val="1"/>
                <w:color w:val="auto"/>
              </w:rPr>
              <w:t>Statement of Operations</w:t>
            </w:r>
          </w:p>
        </w:tc>
        <w:tc>
          <w:tcPr>
            <w:tcW w:w="3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80" w:type="dxa"/>
            <w:vAlign w:val="bottom"/>
          </w:tcPr>
          <w:p>
            <w:pPr>
              <w:jc w:val="center"/>
              <w:ind w:right="18"/>
              <w:spacing w:after="0"/>
              <w:rPr>
                <w:sz w:val="20"/>
                <w:szCs w:val="20"/>
                <w:color w:val="auto"/>
              </w:rPr>
            </w:pPr>
            <w:r>
              <w:rPr>
                <w:rFonts w:ascii="Arial" w:cs="Arial" w:eastAsia="Arial" w:hAnsi="Arial"/>
                <w:sz w:val="14"/>
                <w:szCs w:val="14"/>
                <w:b w:val="1"/>
                <w:bCs w:val="1"/>
                <w:color w:val="auto"/>
                <w:w w:val="83"/>
              </w:rPr>
              <w:t>2016</w:t>
            </w:r>
          </w:p>
        </w:tc>
        <w:tc>
          <w:tcPr>
            <w:tcW w:w="280" w:type="dxa"/>
            <w:vAlign w:val="bottom"/>
          </w:tcPr>
          <w:p>
            <w:pPr>
              <w:spacing w:after="0"/>
              <w:rPr>
                <w:sz w:val="14"/>
                <w:szCs w:val="14"/>
                <w:color w:val="auto"/>
              </w:rPr>
            </w:pPr>
          </w:p>
        </w:tc>
        <w:tc>
          <w:tcPr>
            <w:tcW w:w="720" w:type="dxa"/>
            <w:vAlign w:val="bottom"/>
            <w:gridSpan w:val="3"/>
          </w:tcPr>
          <w:p>
            <w:pPr>
              <w:jc w:val="center"/>
              <w:ind w:left="156"/>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580" w:type="dxa"/>
            <w:vAlign w:val="bottom"/>
            <w:tcBorders>
              <w:bottom w:val="single" w:sz="8" w:color="CCEEFF"/>
            </w:tcBorders>
            <w:shd w:val="clear" w:color="auto" w:fill="000000"/>
          </w:tcPr>
          <w:p>
            <w:pPr>
              <w:spacing w:after="0" w:line="20" w:lineRule="exact"/>
              <w:rPr>
                <w:sz w:val="1"/>
                <w:szCs w:val="1"/>
                <w:color w:val="auto"/>
              </w:rPr>
            </w:pPr>
          </w:p>
        </w:tc>
        <w:tc>
          <w:tcPr>
            <w:tcW w:w="1880" w:type="dxa"/>
            <w:vAlign w:val="bottom"/>
            <w:tcBorders>
              <w:bottom w:val="single" w:sz="8" w:color="CCEEFF"/>
            </w:tcBorders>
          </w:tcPr>
          <w:p>
            <w:pPr>
              <w:spacing w:after="0" w:line="20" w:lineRule="exact"/>
              <w:rPr>
                <w:sz w:val="1"/>
                <w:szCs w:val="1"/>
                <w:color w:val="auto"/>
              </w:rPr>
            </w:pPr>
          </w:p>
        </w:tc>
        <w:tc>
          <w:tcPr>
            <w:tcW w:w="3520" w:type="dxa"/>
            <w:vAlign w:val="bottom"/>
            <w:tcBorders>
              <w:bottom w:val="single" w:sz="8" w:color="CCEEFF"/>
            </w:tcBorders>
          </w:tcPr>
          <w:p>
            <w:pPr>
              <w:spacing w:after="0" w:line="20" w:lineRule="exact"/>
              <w:rPr>
                <w:sz w:val="1"/>
                <w:szCs w:val="1"/>
                <w:color w:val="auto"/>
              </w:rPr>
            </w:pPr>
          </w:p>
        </w:tc>
        <w:tc>
          <w:tcPr>
            <w:tcW w:w="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2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920" w:type="dxa"/>
            <w:vAlign w:val="bottom"/>
          </w:tcPr>
          <w:p>
            <w:pPr>
              <w:spacing w:after="0"/>
              <w:rPr>
                <w:sz w:val="16"/>
                <w:szCs w:val="16"/>
                <w:color w:val="auto"/>
              </w:rPr>
            </w:pPr>
          </w:p>
        </w:tc>
        <w:tc>
          <w:tcPr>
            <w:tcW w:w="346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352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480" w:type="dxa"/>
            <w:vAlign w:val="bottom"/>
            <w:tcBorders>
              <w:right w:val="single" w:sz="8" w:color="CCEEFF"/>
            </w:tcBorders>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tcPr>
          <w:p>
            <w:pPr>
              <w:spacing w:after="0"/>
              <w:rPr>
                <w:sz w:val="20"/>
                <w:szCs w:val="20"/>
                <w:color w:val="auto"/>
              </w:rPr>
            </w:pPr>
            <w:r>
              <w:rPr>
                <w:rFonts w:ascii="Arial" w:cs="Arial" w:eastAsia="Arial" w:hAnsi="Arial"/>
                <w:sz w:val="18"/>
                <w:szCs w:val="18"/>
                <w:color w:val="auto"/>
              </w:rPr>
              <w:t>Available-for-sale securities:</w:t>
            </w:r>
          </w:p>
        </w:tc>
        <w:tc>
          <w:tcPr>
            <w:tcW w:w="3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Marketable securities</w:t>
            </w:r>
          </w:p>
        </w:tc>
        <w:tc>
          <w:tcPr>
            <w:tcW w:w="3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(116)</w:t>
            </w: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tcPr>
          <w:p>
            <w:pPr>
              <w:spacing w:after="0"/>
              <w:rPr>
                <w:sz w:val="20"/>
                <w:szCs w:val="20"/>
                <w:color w:val="auto"/>
              </w:rPr>
            </w:pPr>
            <w:r>
              <w:rPr>
                <w:rFonts w:ascii="Arial" w:cs="Arial" w:eastAsia="Arial" w:hAnsi="Arial"/>
                <w:sz w:val="18"/>
                <w:szCs w:val="18"/>
                <w:color w:val="auto"/>
              </w:rPr>
              <w:t>Cash flow hedges:</w:t>
            </w:r>
          </w:p>
        </w:tc>
        <w:tc>
          <w:tcPr>
            <w:tcW w:w="3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35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w:t>
            </w:r>
          </w:p>
        </w:tc>
        <w:tc>
          <w:tcPr>
            <w:tcW w:w="8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(864)</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3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(1)</w:t>
            </w:r>
          </w:p>
        </w:tc>
        <w:tc>
          <w:tcPr>
            <w:tcW w:w="840" w:type="dxa"/>
            <w:vAlign w:val="bottom"/>
            <w:gridSpan w:val="4"/>
          </w:tcPr>
          <w:p>
            <w:pPr>
              <w:jc w:val="right"/>
              <w:ind w:right="6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35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w:t>
            </w:r>
          </w:p>
        </w:tc>
        <w:tc>
          <w:tcPr>
            <w:tcW w:w="8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0"/>
        </w:trPr>
        <w:tc>
          <w:tcPr>
            <w:tcW w:w="4380" w:type="dxa"/>
            <w:vAlign w:val="bottom"/>
            <w:gridSpan w:val="3"/>
            <w:vMerge w:val="restart"/>
          </w:tcPr>
          <w:p>
            <w:pPr>
              <w:ind w:left="920"/>
              <w:spacing w:after="0"/>
              <w:rPr>
                <w:sz w:val="20"/>
                <w:szCs w:val="20"/>
                <w:color w:val="auto"/>
              </w:rPr>
            </w:pPr>
            <w:r>
              <w:rPr>
                <w:rFonts w:ascii="Arial" w:cs="Arial" w:eastAsia="Arial" w:hAnsi="Arial"/>
                <w:sz w:val="18"/>
                <w:szCs w:val="18"/>
                <w:color w:val="auto"/>
              </w:rPr>
              <w:t>Total</w:t>
            </w:r>
          </w:p>
        </w:tc>
        <w:tc>
          <w:tcPr>
            <w:tcW w:w="3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80" w:type="dxa"/>
            <w:vAlign w:val="bottom"/>
            <w:tcBorders>
              <w:right w:val="single" w:sz="8" w:color="auto"/>
            </w:tcBorders>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80" w:type="dxa"/>
            <w:vAlign w:val="bottom"/>
            <w:gridSpan w:val="3"/>
            <w:vMerge w:val="continue"/>
          </w:tcPr>
          <w:p>
            <w:pPr>
              <w:spacing w:after="0"/>
              <w:rPr>
                <w:sz w:val="19"/>
                <w:szCs w:val="19"/>
                <w:color w:val="auto"/>
              </w:rPr>
            </w:pPr>
          </w:p>
        </w:tc>
        <w:tc>
          <w:tcPr>
            <w:tcW w:w="36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(173)</w:t>
            </w:r>
          </w:p>
        </w:tc>
        <w:tc>
          <w:tcPr>
            <w:tcW w:w="840" w:type="dxa"/>
            <w:vAlign w:val="bottom"/>
            <w:gridSpan w:val="4"/>
          </w:tcPr>
          <w:p>
            <w:pPr>
              <w:jc w:val="right"/>
              <w:ind w:right="60"/>
              <w:spacing w:after="0"/>
              <w:rPr>
                <w:sz w:val="20"/>
                <w:szCs w:val="20"/>
                <w:color w:val="auto"/>
              </w:rPr>
            </w:pPr>
            <w:r>
              <w:rPr>
                <w:rFonts w:ascii="Arial" w:cs="Arial" w:eastAsia="Arial" w:hAnsi="Arial"/>
                <w:sz w:val="18"/>
                <w:szCs w:val="18"/>
                <w:color w:val="auto"/>
              </w:rPr>
              <w:t>$ (612)</w:t>
            </w:r>
          </w:p>
        </w:tc>
        <w:tc>
          <w:tcPr>
            <w:tcW w:w="0" w:type="dxa"/>
            <w:vAlign w:val="bottom"/>
          </w:tcPr>
          <w:p>
            <w:pPr>
              <w:spacing w:after="0"/>
              <w:rPr>
                <w:sz w:val="1"/>
                <w:szCs w:val="1"/>
                <w:color w:val="auto"/>
              </w:rPr>
            </w:pPr>
          </w:p>
        </w:tc>
      </w:tr>
      <w:tr>
        <w:trPr>
          <w:trHeight w:val="20"/>
        </w:trPr>
        <w:tc>
          <w:tcPr>
            <w:tcW w:w="4380" w:type="dxa"/>
            <w:vAlign w:val="bottom"/>
            <w:gridSpan w:val="3"/>
            <w:vMerge w:val="restart"/>
          </w:tcPr>
          <w:p>
            <w:pPr>
              <w:spacing w:after="0"/>
              <w:rPr>
                <w:sz w:val="20"/>
                <w:szCs w:val="20"/>
                <w:color w:val="auto"/>
              </w:rPr>
            </w:pPr>
            <w:r>
              <w:rPr>
                <w:rFonts w:ascii="Arial" w:cs="Arial" w:eastAsia="Arial" w:hAnsi="Arial"/>
                <w:sz w:val="18"/>
                <w:szCs w:val="18"/>
                <w:b w:val="1"/>
                <w:bCs w:val="1"/>
                <w:i w:val="1"/>
                <w:iCs w:val="1"/>
                <w:color w:val="auto"/>
              </w:rPr>
              <w:t>Consolidated Statement of Operations</w:t>
            </w:r>
          </w:p>
        </w:tc>
        <w:tc>
          <w:tcPr>
            <w:tcW w:w="3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380" w:type="dxa"/>
            <w:vAlign w:val="bottom"/>
            <w:gridSpan w:val="3"/>
            <w:vMerge w:val="continue"/>
          </w:tcPr>
          <w:p>
            <w:pPr>
              <w:spacing w:after="0"/>
              <w:rPr>
                <w:sz w:val="24"/>
                <w:szCs w:val="24"/>
                <w:color w:val="auto"/>
              </w:rPr>
            </w:pPr>
          </w:p>
        </w:tc>
        <w:tc>
          <w:tcPr>
            <w:tcW w:w="3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0" w:type="dxa"/>
            <w:vAlign w:val="bottom"/>
            <w:gridSpan w:val="6"/>
          </w:tcPr>
          <w:p>
            <w:pPr>
              <w:jc w:val="right"/>
              <w:ind w:right="300"/>
              <w:spacing w:after="0"/>
              <w:rPr>
                <w:sz w:val="20"/>
                <w:szCs w:val="20"/>
                <w:color w:val="auto"/>
              </w:rPr>
            </w:pPr>
            <w:r>
              <w:rPr>
                <w:rFonts w:ascii="Arial" w:cs="Arial" w:eastAsia="Arial" w:hAnsi="Arial"/>
                <w:sz w:val="14"/>
                <w:szCs w:val="14"/>
                <w:b w:val="1"/>
                <w:bCs w:val="1"/>
                <w:color w:val="auto"/>
                <w:w w:val="92"/>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94"/>
              </w:rPr>
              <w:t>April 30,</w:t>
            </w:r>
          </w:p>
        </w:tc>
        <w:tc>
          <w:tcPr>
            <w:tcW w:w="22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80" w:type="dxa"/>
            <w:vAlign w:val="bottom"/>
          </w:tcPr>
          <w:p>
            <w:pPr>
              <w:jc w:val="center"/>
              <w:ind w:right="38"/>
              <w:spacing w:after="0"/>
              <w:rPr>
                <w:sz w:val="20"/>
                <w:szCs w:val="20"/>
                <w:color w:val="auto"/>
              </w:rPr>
            </w:pPr>
            <w:r>
              <w:rPr>
                <w:rFonts w:ascii="Arial" w:cs="Arial" w:eastAsia="Arial" w:hAnsi="Arial"/>
                <w:sz w:val="14"/>
                <w:szCs w:val="14"/>
                <w:b w:val="1"/>
                <w:bCs w:val="1"/>
                <w:color w:val="auto"/>
                <w:w w:val="89"/>
              </w:rPr>
              <w:t>2016</w:t>
            </w:r>
          </w:p>
        </w:tc>
        <w:tc>
          <w:tcPr>
            <w:tcW w:w="280" w:type="dxa"/>
            <w:vAlign w:val="bottom"/>
          </w:tcPr>
          <w:p>
            <w:pPr>
              <w:spacing w:after="0"/>
              <w:rPr>
                <w:sz w:val="14"/>
                <w:szCs w:val="14"/>
                <w:color w:val="auto"/>
              </w:rPr>
            </w:pPr>
          </w:p>
        </w:tc>
        <w:tc>
          <w:tcPr>
            <w:tcW w:w="720" w:type="dxa"/>
            <w:vAlign w:val="bottom"/>
            <w:gridSpan w:val="3"/>
          </w:tcPr>
          <w:p>
            <w:pPr>
              <w:jc w:val="center"/>
              <w:ind w:left="136"/>
              <w:spacing w:after="0"/>
              <w:rPr>
                <w:sz w:val="20"/>
                <w:szCs w:val="20"/>
                <w:color w:val="auto"/>
              </w:rPr>
            </w:pPr>
            <w:r>
              <w:rPr>
                <w:rFonts w:ascii="Arial" w:cs="Arial" w:eastAsia="Arial" w:hAnsi="Arial"/>
                <w:sz w:val="14"/>
                <w:szCs w:val="14"/>
                <w:b w:val="1"/>
                <w:bCs w:val="1"/>
                <w:color w:val="auto"/>
                <w:w w:val="83"/>
              </w:rPr>
              <w:t>2015</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34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35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right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4100" w:type="dxa"/>
            <w:vAlign w:val="bottom"/>
            <w:gridSpan w:val="4"/>
          </w:tcPr>
          <w:p>
            <w:pPr>
              <w:jc w:val="right"/>
              <w:spacing w:after="0"/>
              <w:rPr>
                <w:sz w:val="20"/>
                <w:szCs w:val="20"/>
                <w:color w:val="auto"/>
              </w:rPr>
            </w:pPr>
            <w:r>
              <w:rPr>
                <w:rFonts w:ascii="Arial" w:cs="Arial" w:eastAsia="Arial" w:hAnsi="Arial"/>
                <w:sz w:val="18"/>
                <w:szCs w:val="18"/>
                <w:color w:val="auto"/>
              </w:rPr>
              <w:t>$ 3,442</w:t>
            </w:r>
          </w:p>
        </w:tc>
        <w:tc>
          <w:tcPr>
            <w:tcW w:w="28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$4,077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realized gain on investments</w:t>
            </w:r>
          </w:p>
        </w:tc>
        <w:tc>
          <w:tcPr>
            <w:tcW w:w="35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2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tcPr>
          <w:p>
            <w:pPr>
              <w:spacing w:after="0"/>
              <w:rPr>
                <w:sz w:val="20"/>
                <w:szCs w:val="20"/>
                <w:color w:val="auto"/>
              </w:rPr>
            </w:pPr>
            <w:r>
              <w:rPr>
                <w:rFonts w:ascii="Arial" w:cs="Arial" w:eastAsia="Arial" w:hAnsi="Arial"/>
                <w:sz w:val="18"/>
                <w:szCs w:val="18"/>
                <w:color w:val="auto"/>
              </w:rPr>
              <w:t>Foreign currency exchange gain (loss)</w:t>
            </w:r>
          </w:p>
        </w:tc>
        <w:tc>
          <w:tcPr>
            <w:tcW w:w="3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w w:val="87"/>
              </w:rPr>
              <w:t>(1,941)</w:t>
            </w: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407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 (loss)</w:t>
            </w:r>
          </w:p>
        </w:tc>
        <w:tc>
          <w:tcPr>
            <w:tcW w:w="35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w:t>
            </w: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567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346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3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(118)</w:t>
            </w:r>
          </w:p>
        </w:tc>
        <w:tc>
          <w:tcPr>
            <w:tcW w:w="840" w:type="dxa"/>
            <w:vAlign w:val="bottom"/>
            <w:gridSpan w:val="4"/>
          </w:tcPr>
          <w:p>
            <w:pPr>
              <w:jc w:val="right"/>
              <w:ind w:right="60"/>
              <w:spacing w:after="0"/>
              <w:rPr>
                <w:sz w:val="20"/>
                <w:szCs w:val="20"/>
                <w:color w:val="auto"/>
              </w:rPr>
            </w:pPr>
            <w:r>
              <w:rPr>
                <w:rFonts w:ascii="Arial" w:cs="Arial" w:eastAsia="Arial" w:hAnsi="Arial"/>
                <w:sz w:val="18"/>
                <w:szCs w:val="18"/>
                <w:color w:val="auto"/>
              </w:rPr>
              <w:t>(220)</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1580" w:type="dxa"/>
            <w:vAlign w:val="bottom"/>
            <w:shd w:val="clear" w:color="auto" w:fill="CCEEFF"/>
          </w:tcPr>
          <w:p>
            <w:pPr>
              <w:spacing w:after="0"/>
              <w:rPr>
                <w:sz w:val="18"/>
                <w:szCs w:val="18"/>
                <w:color w:val="auto"/>
              </w:rPr>
            </w:pPr>
          </w:p>
        </w:tc>
        <w:tc>
          <w:tcPr>
            <w:tcW w:w="1880" w:type="dxa"/>
            <w:vAlign w:val="bottom"/>
            <w:shd w:val="clear" w:color="auto" w:fill="CCEEFF"/>
          </w:tcPr>
          <w:p>
            <w:pPr>
              <w:spacing w:after="0"/>
              <w:rPr>
                <w:sz w:val="18"/>
                <w:szCs w:val="18"/>
                <w:color w:val="auto"/>
              </w:rPr>
            </w:pPr>
          </w:p>
        </w:tc>
        <w:tc>
          <w:tcPr>
            <w:tcW w:w="3520" w:type="dxa"/>
            <w:vAlign w:val="bottom"/>
            <w:shd w:val="clear" w:color="auto" w:fill="CCEEFF"/>
          </w:tcPr>
          <w:p>
            <w:pPr>
              <w:spacing w:after="0"/>
              <w:rPr>
                <w:sz w:val="18"/>
                <w:szCs w:val="18"/>
                <w:color w:val="auto"/>
              </w:rPr>
            </w:pPr>
          </w:p>
        </w:tc>
        <w:tc>
          <w:tcPr>
            <w:tcW w:w="580" w:type="dxa"/>
            <w:vAlign w:val="bottom"/>
            <w:tcBorders>
              <w:top w:val="single" w:sz="8" w:color="auto"/>
              <w:bottom w:val="single" w:sz="8" w:color="auto"/>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w w:val="89"/>
              </w:rPr>
              <w:t>$ 1,488</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5,167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3520" w:type="dxa"/>
            <w:vAlign w:val="bottom"/>
            <w:vMerge w:val="restart"/>
          </w:tcPr>
          <w:p>
            <w:pPr>
              <w:jc w:val="right"/>
              <w:ind w:right="2472"/>
              <w:spacing w:after="0"/>
              <w:rPr>
                <w:sz w:val="20"/>
                <w:szCs w:val="20"/>
                <w:color w:val="auto"/>
              </w:rPr>
            </w:pPr>
            <w:r>
              <w:rPr>
                <w:rFonts w:ascii="Arial" w:cs="Arial" w:eastAsia="Arial" w:hAnsi="Arial"/>
                <w:sz w:val="18"/>
                <w:szCs w:val="18"/>
                <w:color w:val="auto"/>
              </w:rPr>
              <w:t>11</w:t>
            </w: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92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352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6"/>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482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960" w:type="dxa"/>
            <w:vAlign w:val="bottom"/>
            <w:tcBorders>
              <w:top w:val="single" w:sz="8" w:color="auto"/>
            </w:tcBorders>
            <w:gridSpan w:val="3"/>
          </w:tcPr>
          <w:p>
            <w:pPr>
              <w:jc w:val="right"/>
              <w:ind w:right="360"/>
              <w:spacing w:after="0" w:line="129" w:lineRule="exact"/>
              <w:rPr>
                <w:sz w:val="20"/>
                <w:szCs w:val="20"/>
                <w:color w:val="auto"/>
              </w:rPr>
            </w:pPr>
            <w:r>
              <w:rPr>
                <w:rFonts w:ascii="Arial" w:cs="Arial" w:eastAsia="Arial" w:hAnsi="Arial"/>
                <w:sz w:val="14"/>
                <w:szCs w:val="14"/>
                <w:b w:val="1"/>
                <w:bCs w:val="1"/>
                <w:color w:val="auto"/>
              </w:rPr>
              <w:t>April 30,</w:t>
            </w:r>
          </w:p>
        </w:tc>
        <w:tc>
          <w:tcPr>
            <w:tcW w:w="2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7"/>
              <w:spacing w:after="0" w:line="129" w:lineRule="exact"/>
              <w:rPr>
                <w:sz w:val="20"/>
                <w:szCs w:val="20"/>
                <w:color w:val="auto"/>
              </w:rPr>
            </w:pPr>
            <w:r>
              <w:rPr>
                <w:rFonts w:ascii="Arial" w:cs="Arial" w:eastAsia="Arial" w:hAnsi="Arial"/>
                <w:sz w:val="14"/>
                <w:szCs w:val="14"/>
                <w:b w:val="1"/>
                <w:bCs w:val="1"/>
                <w:color w:val="auto"/>
                <w:w w:val="98"/>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20" w:type="dxa"/>
            <w:vAlign w:val="bottom"/>
            <w:tcBorders>
              <w:bottom w:val="single" w:sz="8" w:color="CCEEFF"/>
            </w:tcBorders>
          </w:tcPr>
          <w:p>
            <w:pPr>
              <w:spacing w:after="0"/>
              <w:rPr>
                <w:sz w:val="14"/>
                <w:szCs w:val="14"/>
                <w:color w:val="auto"/>
              </w:rPr>
            </w:pPr>
          </w:p>
        </w:tc>
        <w:tc>
          <w:tcPr>
            <w:tcW w:w="18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2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8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2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1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(22,679)</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14,090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1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508,794</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516,228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82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8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10,939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8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508,794</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527,167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18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vMerge w:val="continue"/>
          </w:tcPr>
          <w:p>
            <w:pPr>
              <w:spacing w:after="0"/>
              <w:rPr>
                <w:sz w:val="18"/>
                <w:szCs w:val="18"/>
                <w:color w:val="auto"/>
              </w:rPr>
            </w:pPr>
          </w:p>
        </w:tc>
        <w:tc>
          <w:tcPr>
            <w:tcW w:w="1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8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Basic</w:t>
            </w:r>
          </w:p>
        </w:tc>
        <w:tc>
          <w:tcPr>
            <w:tcW w:w="1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(0.04)</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tcPr>
          <w:p>
            <w:pPr>
              <w:ind w:left="860"/>
              <w:spacing w:after="0"/>
              <w:rPr>
                <w:sz w:val="20"/>
                <w:szCs w:val="20"/>
                <w:color w:val="auto"/>
              </w:rPr>
            </w:pPr>
            <w:r>
              <w:rPr>
                <w:rFonts w:ascii="Arial" w:cs="Arial" w:eastAsia="Arial" w:hAnsi="Arial"/>
                <w:sz w:val="18"/>
                <w:szCs w:val="18"/>
                <w:color w:val="auto"/>
              </w:rPr>
              <w:t>Diluted</w:t>
            </w:r>
          </w:p>
        </w:tc>
        <w:tc>
          <w:tcPr>
            <w:tcW w:w="1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(0.04)</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7140" w:type="dxa"/>
            <w:vAlign w:val="bottom"/>
          </w:tcPr>
          <w:p>
            <w:pPr>
              <w:spacing w:after="0"/>
              <w:rPr>
                <w:sz w:val="14"/>
                <w:szCs w:val="14"/>
                <w:color w:val="auto"/>
              </w:rPr>
            </w:pPr>
          </w:p>
        </w:tc>
        <w:tc>
          <w:tcPr>
            <w:tcW w:w="1540" w:type="dxa"/>
            <w:vAlign w:val="bottom"/>
            <w:gridSpan w:val="4"/>
          </w:tcPr>
          <w:p>
            <w:pPr>
              <w:ind w:left="10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7140" w:type="dxa"/>
            <w:vAlign w:val="bottom"/>
          </w:tcPr>
          <w:p>
            <w:pPr>
              <w:spacing w:after="0"/>
              <w:rPr>
                <w:sz w:val="11"/>
                <w:szCs w:val="11"/>
                <w:color w:val="auto"/>
              </w:rPr>
            </w:pPr>
          </w:p>
        </w:tc>
        <w:tc>
          <w:tcPr>
            <w:tcW w:w="5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April 30,</w:t>
            </w:r>
          </w:p>
        </w:tc>
        <w:tc>
          <w:tcPr>
            <w:tcW w:w="3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r>
      <w:tr>
        <w:trPr>
          <w:trHeight w:val="161"/>
        </w:trPr>
        <w:tc>
          <w:tcPr>
            <w:tcW w:w="7140" w:type="dxa"/>
            <w:vAlign w:val="bottom"/>
          </w:tcPr>
          <w:p>
            <w:pPr>
              <w:spacing w:after="0"/>
              <w:rPr>
                <w:sz w:val="14"/>
                <w:szCs w:val="14"/>
                <w:color w:val="auto"/>
              </w:rPr>
            </w:pPr>
          </w:p>
        </w:tc>
        <w:tc>
          <w:tcPr>
            <w:tcW w:w="560" w:type="dxa"/>
            <w:vAlign w:val="bottom"/>
          </w:tcPr>
          <w:p>
            <w:pPr>
              <w:jc w:val="right"/>
              <w:ind w:right="87"/>
              <w:spacing w:after="0"/>
              <w:rPr>
                <w:sz w:val="20"/>
                <w:szCs w:val="20"/>
                <w:color w:val="auto"/>
              </w:rPr>
            </w:pPr>
            <w:r>
              <w:rPr>
                <w:rFonts w:ascii="Arial" w:cs="Arial" w:eastAsia="Arial" w:hAnsi="Arial"/>
                <w:sz w:val="14"/>
                <w:szCs w:val="14"/>
                <w:b w:val="1"/>
                <w:bCs w:val="1"/>
                <w:color w:val="auto"/>
              </w:rPr>
              <w:t>2016</w:t>
            </w:r>
          </w:p>
        </w:tc>
        <w:tc>
          <w:tcPr>
            <w:tcW w:w="88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96"/>
        </w:trPr>
        <w:tc>
          <w:tcPr>
            <w:tcW w:w="71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5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7140" w:type="dxa"/>
            <w:vAlign w:val="bottom"/>
          </w:tcPr>
          <w:p>
            <w:pPr>
              <w:spacing w:after="0"/>
              <w:rPr>
                <w:sz w:val="20"/>
                <w:szCs w:val="20"/>
                <w:color w:val="auto"/>
              </w:rPr>
            </w:pPr>
            <w:r>
              <w:rPr>
                <w:rFonts w:ascii="Arial" w:cs="Arial" w:eastAsia="Arial" w:hAnsi="Arial"/>
                <w:sz w:val="18"/>
                <w:szCs w:val="18"/>
                <w:color w:val="auto"/>
              </w:rPr>
              <w:t>Share-based awards</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42,955</w:t>
            </w:r>
          </w:p>
        </w:tc>
        <w:tc>
          <w:tcPr>
            <w:tcW w:w="880" w:type="dxa"/>
            <w:vAlign w:val="bottom"/>
            <w:gridSpan w:val="2"/>
          </w:tcPr>
          <w:p>
            <w:pPr>
              <w:ind w:left="400"/>
              <w:spacing w:after="0"/>
              <w:rPr>
                <w:sz w:val="20"/>
                <w:szCs w:val="20"/>
                <w:color w:val="auto"/>
              </w:rPr>
            </w:pPr>
            <w:r>
              <w:rPr>
                <w:rFonts w:ascii="Arial" w:cs="Arial" w:eastAsia="Arial" w:hAnsi="Arial"/>
                <w:sz w:val="18"/>
                <w:szCs w:val="18"/>
                <w:color w:val="auto"/>
                <w:w w:val="83"/>
              </w:rPr>
              <w:t>58,387</w:t>
            </w:r>
          </w:p>
        </w:tc>
        <w:tc>
          <w:tcPr>
            <w:tcW w:w="100" w:type="dxa"/>
            <w:vAlign w:val="bottom"/>
          </w:tcPr>
          <w:p>
            <w:pPr>
              <w:spacing w:after="0"/>
              <w:rPr>
                <w:sz w:val="18"/>
                <w:szCs w:val="18"/>
                <w:color w:val="auto"/>
              </w:rPr>
            </w:pPr>
          </w:p>
        </w:tc>
      </w:tr>
      <w:tr>
        <w:trPr>
          <w:trHeight w:val="20"/>
        </w:trPr>
        <w:tc>
          <w:tcPr>
            <w:tcW w:w="714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three months ended April 30, 2016 due to the reported net loss.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880" w:type="dxa"/>
            <w:vAlign w:val="bottom"/>
            <w:gridSpan w:val="4"/>
          </w:tcPr>
          <w:p>
            <w:pPr>
              <w:ind w:left="46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86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4"/>
              </w:rPr>
              <w:t>April 30,</w:t>
            </w:r>
          </w:p>
        </w:tc>
        <w:tc>
          <w:tcPr>
            <w:tcW w:w="1200" w:type="dxa"/>
            <w:vAlign w:val="bottom"/>
            <w:tcBorders>
              <w:top w:val="single" w:sz="8" w:color="auto"/>
            </w:tcBorders>
            <w:gridSpan w:val="2"/>
          </w:tcPr>
          <w:p>
            <w:pPr>
              <w:jc w:val="center"/>
              <w:ind w:left="432"/>
              <w:spacing w:after="0" w:line="129" w:lineRule="exact"/>
              <w:rPr>
                <w:sz w:val="20"/>
                <w:szCs w:val="20"/>
                <w:color w:val="auto"/>
              </w:rPr>
            </w:pPr>
            <w:r>
              <w:rPr>
                <w:rFonts w:ascii="Arial" w:cs="Arial" w:eastAsia="Arial" w:hAnsi="Arial"/>
                <w:sz w:val="14"/>
                <w:szCs w:val="14"/>
                <w:b w:val="1"/>
                <w:bCs w:val="1"/>
                <w:color w:val="auto"/>
                <w:w w:val="90"/>
              </w:rPr>
              <w:t>January 31,</w:t>
            </w:r>
          </w:p>
        </w:tc>
        <w:tc>
          <w:tcPr>
            <w:tcW w:w="100" w:type="dxa"/>
            <w:vAlign w:val="bottom"/>
          </w:tcPr>
          <w:p>
            <w:pPr>
              <w:spacing w:after="0"/>
              <w:rPr>
                <w:sz w:val="11"/>
                <w:szCs w:val="11"/>
                <w:color w:val="auto"/>
              </w:rPr>
            </w:pPr>
          </w:p>
        </w:tc>
      </w:tr>
      <w:tr>
        <w:trPr>
          <w:trHeight w:val="161"/>
        </w:trPr>
        <w:tc>
          <w:tcPr>
            <w:tcW w:w="3860" w:type="dxa"/>
            <w:vAlign w:val="bottom"/>
          </w:tcPr>
          <w:p>
            <w:pPr>
              <w:spacing w:after="0"/>
              <w:rPr>
                <w:sz w:val="14"/>
                <w:szCs w:val="14"/>
                <w:color w:val="auto"/>
              </w:rPr>
            </w:pPr>
          </w:p>
        </w:tc>
        <w:tc>
          <w:tcPr>
            <w:tcW w:w="3520" w:type="dxa"/>
            <w:vAlign w:val="bottom"/>
            <w:gridSpan w:val="2"/>
          </w:tcPr>
          <w:p>
            <w:pPr>
              <w:jc w:val="center"/>
              <w:ind w:left="2852"/>
              <w:spacing w:after="0"/>
              <w:rPr>
                <w:sz w:val="20"/>
                <w:szCs w:val="20"/>
                <w:color w:val="auto"/>
              </w:rPr>
            </w:pPr>
            <w:r>
              <w:rPr>
                <w:rFonts w:ascii="Arial" w:cs="Arial" w:eastAsia="Arial" w:hAnsi="Arial"/>
                <w:sz w:val="14"/>
                <w:szCs w:val="14"/>
                <w:b w:val="1"/>
                <w:bCs w:val="1"/>
                <w:color w:val="auto"/>
                <w:w w:val="89"/>
              </w:rPr>
              <w:t>2016</w:t>
            </w:r>
          </w:p>
        </w:tc>
        <w:tc>
          <w:tcPr>
            <w:tcW w:w="1200" w:type="dxa"/>
            <w:vAlign w:val="bottom"/>
            <w:gridSpan w:val="2"/>
          </w:tcPr>
          <w:p>
            <w:pPr>
              <w:jc w:val="center"/>
              <w:ind w:left="432"/>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Pr>
          <w:p>
            <w:pPr>
              <w:spacing w:after="0"/>
              <w:rPr>
                <w:sz w:val="14"/>
                <w:szCs w:val="14"/>
                <w:color w:val="auto"/>
              </w:rPr>
            </w:pPr>
          </w:p>
        </w:tc>
      </w:tr>
      <w:tr>
        <w:trPr>
          <w:trHeight w:val="210"/>
        </w:trPr>
        <w:tc>
          <w:tcPr>
            <w:tcW w:w="3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9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11,301</w:t>
            </w:r>
          </w:p>
        </w:tc>
        <w:tc>
          <w:tcPr>
            <w:tcW w:w="5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19,082</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25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7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w w:val="90"/>
              </w:rPr>
              <w:t>Amount of Gains (Losses) in Statement of Operations</w:t>
            </w: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19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4"/>
              </w:rPr>
              <w:t>Location of Gains (Losses)</w:t>
            </w:r>
          </w:p>
        </w:tc>
        <w:tc>
          <w:tcPr>
            <w:tcW w:w="8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620" w:type="dxa"/>
            <w:vAlign w:val="bottom"/>
            <w:tcBorders>
              <w:bottom w:val="single" w:sz="8" w:color="auto"/>
            </w:tcBorders>
            <w:gridSpan w:val="3"/>
          </w:tcPr>
          <w:p>
            <w:pPr>
              <w:jc w:val="right"/>
              <w:ind w:right="120"/>
              <w:spacing w:after="0"/>
              <w:rPr>
                <w:sz w:val="20"/>
                <w:szCs w:val="20"/>
                <w:color w:val="auto"/>
              </w:rPr>
            </w:pPr>
            <w:r>
              <w:rPr>
                <w:rFonts w:ascii="Arial" w:cs="Arial" w:eastAsia="Arial" w:hAnsi="Arial"/>
                <w:sz w:val="14"/>
                <w:szCs w:val="14"/>
                <w:b w:val="1"/>
                <w:bCs w:val="1"/>
                <w:color w:val="auto"/>
              </w:rPr>
              <w:t>for the three months ended</w:t>
            </w:r>
          </w:p>
        </w:tc>
        <w:tc>
          <w:tcPr>
            <w:tcW w:w="10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3740" w:type="dxa"/>
            <w:vAlign w:val="bottom"/>
          </w:tcPr>
          <w:p>
            <w:pPr>
              <w:spacing w:after="0"/>
              <w:rPr>
                <w:sz w:val="10"/>
                <w:szCs w:val="10"/>
                <w:color w:val="auto"/>
              </w:rPr>
            </w:pPr>
          </w:p>
        </w:tc>
        <w:tc>
          <w:tcPr>
            <w:tcW w:w="1920" w:type="dxa"/>
            <w:vAlign w:val="bottom"/>
            <w:vMerge w:val="continue"/>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140" w:type="dxa"/>
            <w:vAlign w:val="bottom"/>
          </w:tcPr>
          <w:p>
            <w:pPr>
              <w:jc w:val="right"/>
              <w:ind w:right="363"/>
              <w:spacing w:after="0" w:line="116" w:lineRule="exact"/>
              <w:rPr>
                <w:sz w:val="20"/>
                <w:szCs w:val="20"/>
                <w:color w:val="auto"/>
              </w:rPr>
            </w:pPr>
            <w:r>
              <w:rPr>
                <w:rFonts w:ascii="Arial" w:cs="Arial" w:eastAsia="Arial" w:hAnsi="Arial"/>
                <w:sz w:val="12"/>
                <w:szCs w:val="12"/>
                <w:b w:val="1"/>
                <w:bCs w:val="1"/>
                <w:color w:val="auto"/>
              </w:rPr>
              <w:t>April 30,</w:t>
            </w:r>
          </w:p>
        </w:tc>
        <w:tc>
          <w:tcPr>
            <w:tcW w:w="11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20" w:type="dxa"/>
            <w:vAlign w:val="bottom"/>
          </w:tcPr>
          <w:p>
            <w:pPr>
              <w:jc w:val="right"/>
              <w:ind w:right="420"/>
              <w:spacing w:after="0" w:line="116" w:lineRule="exact"/>
              <w:rPr>
                <w:sz w:val="20"/>
                <w:szCs w:val="20"/>
                <w:color w:val="auto"/>
              </w:rPr>
            </w:pPr>
            <w:r>
              <w:rPr>
                <w:rFonts w:ascii="Arial" w:cs="Arial" w:eastAsia="Arial" w:hAnsi="Arial"/>
                <w:sz w:val="12"/>
                <w:szCs w:val="12"/>
                <w:b w:val="1"/>
                <w:bCs w:val="1"/>
                <w:color w:val="auto"/>
              </w:rPr>
              <w:t>May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5"/>
        </w:trPr>
        <w:tc>
          <w:tcPr>
            <w:tcW w:w="3740" w:type="dxa"/>
            <w:vAlign w:val="bottom"/>
            <w:tcBorders>
              <w:bottom w:val="single" w:sz="8" w:color="CCEEFF"/>
            </w:tcBorders>
          </w:tcPr>
          <w:p>
            <w:pPr>
              <w:spacing w:after="0"/>
              <w:rPr>
                <w:sz w:val="15"/>
                <w:szCs w:val="15"/>
                <w:color w:val="auto"/>
              </w:rPr>
            </w:pPr>
          </w:p>
        </w:tc>
        <w:tc>
          <w:tcPr>
            <w:tcW w:w="19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in Statement of Operations</w:t>
            </w:r>
          </w:p>
        </w:tc>
        <w:tc>
          <w:tcPr>
            <w:tcW w:w="88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ind w:right="483"/>
              <w:spacing w:after="0"/>
              <w:rPr>
                <w:sz w:val="20"/>
                <w:szCs w:val="20"/>
                <w:color w:val="auto"/>
              </w:rPr>
            </w:pPr>
            <w:r>
              <w:rPr>
                <w:rFonts w:ascii="Arial" w:cs="Arial" w:eastAsia="Arial" w:hAnsi="Arial"/>
                <w:sz w:val="14"/>
                <w:szCs w:val="14"/>
                <w:b w:val="1"/>
                <w:bCs w:val="1"/>
                <w:color w:val="auto"/>
              </w:rPr>
              <w:t>2016</w:t>
            </w:r>
          </w:p>
        </w:tc>
        <w:tc>
          <w:tcPr>
            <w:tcW w:w="1100" w:type="dxa"/>
            <w:vAlign w:val="bottom"/>
            <w:tcBorders>
              <w:bottom w:val="single" w:sz="8" w:color="CCEEFF"/>
            </w:tcBorders>
          </w:tcPr>
          <w:p>
            <w:pPr>
              <w:spacing w:after="0"/>
              <w:rPr>
                <w:sz w:val="15"/>
                <w:szCs w:val="15"/>
                <w:color w:val="auto"/>
              </w:rPr>
            </w:pPr>
          </w:p>
        </w:tc>
        <w:tc>
          <w:tcPr>
            <w:tcW w:w="38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480"/>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8"/>
        </w:trPr>
        <w:tc>
          <w:tcPr>
            <w:tcW w:w="3740" w:type="dxa"/>
            <w:vAlign w:val="bottom"/>
            <w:shd w:val="clear" w:color="auto" w:fill="CCEEFF"/>
          </w:tcPr>
          <w:p>
            <w:pPr>
              <w:spacing w:after="0" w:line="188" w:lineRule="exact"/>
              <w:rPr>
                <w:sz w:val="20"/>
                <w:szCs w:val="20"/>
                <w:color w:val="auto"/>
              </w:rPr>
            </w:pPr>
            <w:r>
              <w:rPr>
                <w:rFonts w:ascii="Arial" w:cs="Arial" w:eastAsia="Arial" w:hAnsi="Arial"/>
                <w:sz w:val="18"/>
                <w:szCs w:val="18"/>
                <w:color w:val="auto"/>
              </w:rPr>
              <w:t>Derivatives designated as cash flow</w:t>
            </w:r>
          </w:p>
        </w:tc>
        <w:tc>
          <w:tcPr>
            <w:tcW w:w="1920" w:type="dxa"/>
            <w:vAlign w:val="bottom"/>
            <w:shd w:val="clear" w:color="auto" w:fill="CCEEFF"/>
          </w:tcPr>
          <w:p>
            <w:pPr>
              <w:spacing w:after="0"/>
              <w:rPr>
                <w:sz w:val="16"/>
                <w:szCs w:val="16"/>
                <w:color w:val="auto"/>
              </w:rPr>
            </w:pPr>
          </w:p>
        </w:tc>
        <w:tc>
          <w:tcPr>
            <w:tcW w:w="88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10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7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hedges:</w:t>
            </w:r>
          </w:p>
        </w:tc>
        <w:tc>
          <w:tcPr>
            <w:tcW w:w="1920" w:type="dxa"/>
            <w:vAlign w:val="bottom"/>
            <w:shd w:val="clear" w:color="auto" w:fill="CCEEFF"/>
          </w:tcPr>
          <w:p>
            <w:pPr>
              <w:spacing w:after="0"/>
              <w:rPr>
                <w:sz w:val="19"/>
                <w:szCs w:val="19"/>
                <w:color w:val="auto"/>
              </w:rPr>
            </w:pPr>
          </w:p>
        </w:tc>
        <w:tc>
          <w:tcPr>
            <w:tcW w:w="8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1920" w:type="dxa"/>
            <w:vAlign w:val="bottom"/>
          </w:tcPr>
          <w:p>
            <w:pPr>
              <w:jc w:val="center"/>
              <w:spacing w:after="0"/>
              <w:rPr>
                <w:sz w:val="20"/>
                <w:szCs w:val="20"/>
                <w:color w:val="auto"/>
              </w:rPr>
            </w:pPr>
            <w:r>
              <w:rPr>
                <w:rFonts w:ascii="Arial" w:cs="Arial" w:eastAsia="Arial" w:hAnsi="Arial"/>
                <w:sz w:val="18"/>
                <w:szCs w:val="18"/>
                <w:color w:val="auto"/>
                <w:w w:val="86"/>
              </w:rPr>
              <w:t>Research and development</w:t>
            </w:r>
          </w:p>
        </w:tc>
        <w:tc>
          <w:tcPr>
            <w:tcW w:w="11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186</w:t>
            </w:r>
          </w:p>
        </w:tc>
        <w:tc>
          <w:tcPr>
            <w:tcW w:w="14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(991)</w:t>
            </w: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18"/>
                <w:szCs w:val="18"/>
                <w:color w:val="auto"/>
              </w:rPr>
            </w:pPr>
          </w:p>
        </w:tc>
        <w:tc>
          <w:tcPr>
            <w:tcW w:w="19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1920" w:type="dxa"/>
            <w:vAlign w:val="bottom"/>
          </w:tcPr>
          <w:p>
            <w:pPr>
              <w:jc w:val="center"/>
              <w:spacing w:after="0"/>
              <w:rPr>
                <w:sz w:val="20"/>
                <w:szCs w:val="20"/>
                <w:color w:val="auto"/>
              </w:rPr>
            </w:pPr>
            <w:r>
              <w:rPr>
                <w:rFonts w:ascii="Arial" w:cs="Arial" w:eastAsia="Arial" w:hAnsi="Arial"/>
                <w:sz w:val="18"/>
                <w:szCs w:val="18"/>
                <w:color w:val="auto"/>
                <w:w w:val="88"/>
              </w:rPr>
              <w:t>General and administrative</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22</w:t>
            </w:r>
          </w:p>
        </w:tc>
        <w:tc>
          <w:tcPr>
            <w:tcW w:w="1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7"/>
        </w:trPr>
        <w:tc>
          <w:tcPr>
            <w:tcW w:w="3740" w:type="dxa"/>
            <w:vAlign w:val="bottom"/>
          </w:tcPr>
          <w:p>
            <w:pPr>
              <w:spacing w:after="0"/>
              <w:rPr>
                <w:sz w:val="2"/>
                <w:szCs w:val="2"/>
                <w:color w:val="auto"/>
              </w:rPr>
            </w:pPr>
          </w:p>
        </w:tc>
        <w:tc>
          <w:tcPr>
            <w:tcW w:w="192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740" w:type="dxa"/>
            <w:vAlign w:val="bottom"/>
            <w:shd w:val="clear" w:color="auto" w:fill="CCEEFF"/>
          </w:tcPr>
          <w:p>
            <w:pPr>
              <w:spacing w:after="0"/>
              <w:rPr>
                <w:sz w:val="18"/>
                <w:szCs w:val="18"/>
                <w:color w:val="auto"/>
              </w:rPr>
            </w:pPr>
          </w:p>
        </w:tc>
        <w:tc>
          <w:tcPr>
            <w:tcW w:w="19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w:t>
            </w:r>
          </w:p>
        </w:tc>
        <w:tc>
          <w:tcPr>
            <w:tcW w:w="14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(1,082)</w:t>
            </w: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portion of gains (losses) excluded from the assessment of hedge effectiveness are included in interest and other income, net, and these amounts were not material in the three months ended April 30, 2016 and May 2, 2015. In addition, realized losses from forward contracts that are not designated as hedging instruments that are included in interest and other income, net, were not material in the three months ended April 30, 2016 and May 2, 2015. The Company also reports hedge ineffectiveness from derivative financial instruments in current earnings, which was not material in the three months ended April 30, 2016 and May 2, 2015. No cash flow hedges were terminated as a result of forecasted transactions that did not occur.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fair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foreign currency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 auction rate securities are valued using a discounted cash flow model. Some of the inputs to the discounted cash flow model are unobservable in the market. The total amount of assets measured using Level 3 valuation methodologies represented 0.2% of total assets as of April 30, 2016.</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financial assets and liabilities that were accounted for at fair value. The tables do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580" w:type="dxa"/>
            <w:vAlign w:val="bottom"/>
            <w:tcBorders>
              <w:bottom w:val="single" w:sz="8" w:color="auto"/>
            </w:tcBorders>
            <w:gridSpan w:val="10"/>
          </w:tcPr>
          <w:p>
            <w:pPr>
              <w:jc w:val="right"/>
              <w:ind w:right="40"/>
              <w:spacing w:after="0"/>
              <w:rPr>
                <w:sz w:val="20"/>
                <w:szCs w:val="20"/>
                <w:color w:val="auto"/>
              </w:rPr>
            </w:pPr>
            <w:r>
              <w:rPr>
                <w:rFonts w:ascii="Arial" w:cs="Arial" w:eastAsia="Arial" w:hAnsi="Arial"/>
                <w:sz w:val="14"/>
                <w:szCs w:val="14"/>
                <w:b w:val="1"/>
                <w:bCs w:val="1"/>
                <w:color w:val="auto"/>
                <w:w w:val="90"/>
              </w:rPr>
              <w:t>Fair Value Measurements at April 30, 2016</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jc w:val="right"/>
              <w:ind w:right="33"/>
              <w:spacing w:after="0" w:line="142" w:lineRule="exact"/>
              <w:rPr>
                <w:sz w:val="20"/>
                <w:szCs w:val="20"/>
                <w:color w:val="auto"/>
              </w:rPr>
            </w:pPr>
            <w:r>
              <w:rPr>
                <w:rFonts w:ascii="Arial" w:cs="Arial" w:eastAsia="Arial" w:hAnsi="Arial"/>
                <w:sz w:val="14"/>
                <w:szCs w:val="14"/>
                <w:b w:val="1"/>
                <w:bCs w:val="1"/>
                <w:color w:val="auto"/>
                <w:w w:val="92"/>
              </w:rPr>
              <w:t>Level 1</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rPr>
              <w:t>Level 2</w:t>
            </w:r>
          </w:p>
        </w:tc>
        <w:tc>
          <w:tcPr>
            <w:tcW w:w="220" w:type="dxa"/>
            <w:vAlign w:val="bottom"/>
          </w:tcPr>
          <w:p>
            <w:pPr>
              <w:spacing w:after="0"/>
              <w:rPr>
                <w:sz w:val="12"/>
                <w:szCs w:val="12"/>
                <w:color w:val="auto"/>
              </w:rPr>
            </w:pPr>
          </w:p>
        </w:tc>
        <w:tc>
          <w:tcPr>
            <w:tcW w:w="72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Level 3</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153"/>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12,398</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12,398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136,733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136,733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10,200</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5,796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2,590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2,590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213,248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213,248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477,130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477,130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Asset backed securities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50,439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50,439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50,000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15,500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28,701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Long-term investments: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8,974</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735</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080" w:type="dxa"/>
            <w:vAlign w:val="bottom"/>
          </w:tcPr>
          <w:p>
            <w:pPr>
              <w:spacing w:after="0"/>
              <w:rPr>
                <w:sz w:val="20"/>
                <w:szCs w:val="20"/>
                <w:color w:val="auto"/>
              </w:rPr>
            </w:pPr>
            <w:r>
              <w:rPr>
                <w:rFonts w:ascii="Arial" w:cs="Arial" w:eastAsia="Arial" w:hAnsi="Arial"/>
                <w:sz w:val="18"/>
                <w:szCs w:val="18"/>
                <w:color w:val="auto"/>
              </w:rPr>
              <w:t>Total assets</w:t>
            </w:r>
          </w:p>
        </w:tc>
        <w:tc>
          <w:tcPr>
            <w:tcW w:w="15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235,846</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768,028</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20" w:type="dxa"/>
            <w:vAlign w:val="bottom"/>
            <w:gridSpan w:val="2"/>
          </w:tcPr>
          <w:p>
            <w:pPr>
              <w:spacing w:after="0"/>
              <w:rPr>
                <w:sz w:val="20"/>
                <w:szCs w:val="20"/>
                <w:color w:val="auto"/>
              </w:rPr>
            </w:pPr>
            <w:r>
              <w:rPr>
                <w:rFonts w:ascii="Arial" w:cs="Arial" w:eastAsia="Arial" w:hAnsi="Arial"/>
                <w:sz w:val="18"/>
                <w:szCs w:val="18"/>
                <w:color w:val="auto"/>
              </w:rPr>
              <w:t>8,974</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1,012,848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1460" w:type="dxa"/>
            <w:vAlign w:val="bottom"/>
            <w:vMerge w:val="restart"/>
          </w:tcPr>
          <w:p>
            <w:pPr>
              <w:jc w:val="right"/>
              <w:ind w:right="572"/>
              <w:spacing w:after="0"/>
              <w:rPr>
                <w:sz w:val="20"/>
                <w:szCs w:val="20"/>
                <w:color w:val="auto"/>
              </w:rPr>
            </w:pPr>
            <w:r>
              <w:rPr>
                <w:rFonts w:ascii="Arial" w:cs="Arial" w:eastAsia="Arial" w:hAnsi="Arial"/>
                <w:sz w:val="18"/>
                <w:szCs w:val="18"/>
                <w:color w:val="auto"/>
              </w:rPr>
              <w:t>14</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080" w:type="dxa"/>
            <w:vAlign w:val="bottom"/>
          </w:tcPr>
          <w:p>
            <w:pPr>
              <w:spacing w:after="0"/>
              <w:rPr>
                <w:sz w:val="24"/>
                <w:szCs w:val="24"/>
                <w:color w:val="auto"/>
              </w:rPr>
            </w:pPr>
          </w:p>
        </w:tc>
        <w:tc>
          <w:tcPr>
            <w:tcW w:w="14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520" w:type="dxa"/>
            <w:vAlign w:val="bottom"/>
            <w:tcBorders>
              <w:bottom w:val="single" w:sz="8" w:color="auto"/>
            </w:tcBorders>
            <w:gridSpan w:val="20"/>
          </w:tcPr>
          <w:p>
            <w:pPr>
              <w:ind w:left="520"/>
              <w:spacing w:after="0"/>
              <w:rPr>
                <w:sz w:val="20"/>
                <w:szCs w:val="20"/>
                <w:color w:val="auto"/>
              </w:rPr>
            </w:pPr>
            <w:r>
              <w:rPr>
                <w:rFonts w:ascii="Arial" w:cs="Arial" w:eastAsia="Arial" w:hAnsi="Arial"/>
                <w:sz w:val="14"/>
                <w:szCs w:val="14"/>
                <w:b w:val="1"/>
                <w:bCs w:val="1"/>
                <w:color w:val="auto"/>
                <w:w w:val="98"/>
              </w:rPr>
              <w:t>Fair Value Measurements at January 30, 2016</w:t>
            </w: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Level 1</w:t>
            </w:r>
          </w:p>
        </w:tc>
        <w:tc>
          <w:tcPr>
            <w:tcW w:w="140" w:type="dxa"/>
            <w:vAlign w:val="bottom"/>
          </w:tcPr>
          <w:p>
            <w:pPr>
              <w:spacing w:after="0"/>
              <w:rPr>
                <w:sz w:val="12"/>
                <w:szCs w:val="12"/>
                <w:color w:val="auto"/>
              </w:rPr>
            </w:pPr>
          </w:p>
        </w:tc>
        <w:tc>
          <w:tcPr>
            <w:tcW w:w="740" w:type="dxa"/>
            <w:vAlign w:val="bottom"/>
            <w:gridSpan w:val="4"/>
          </w:tcPr>
          <w:p>
            <w:pPr>
              <w:ind w:left="120"/>
              <w:spacing w:after="0" w:line="142" w:lineRule="exact"/>
              <w:rPr>
                <w:sz w:val="20"/>
                <w:szCs w:val="20"/>
                <w:color w:val="auto"/>
              </w:rPr>
            </w:pPr>
            <w:r>
              <w:rPr>
                <w:rFonts w:ascii="Arial" w:cs="Arial" w:eastAsia="Arial" w:hAnsi="Arial"/>
                <w:sz w:val="14"/>
                <w:szCs w:val="14"/>
                <w:b w:val="1"/>
                <w:bCs w:val="1"/>
                <w:color w:val="auto"/>
              </w:rPr>
              <w:t>Level 2</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4"/>
          </w:tcPr>
          <w:p>
            <w:pPr>
              <w:jc w:val="right"/>
              <w:ind w:right="204"/>
              <w:spacing w:after="0" w:line="142" w:lineRule="exact"/>
              <w:rPr>
                <w:sz w:val="20"/>
                <w:szCs w:val="20"/>
                <w:color w:val="auto"/>
              </w:rPr>
            </w:pPr>
            <w:r>
              <w:rPr>
                <w:rFonts w:ascii="Arial" w:cs="Arial" w:eastAsia="Arial" w:hAnsi="Arial"/>
                <w:sz w:val="14"/>
                <w:szCs w:val="14"/>
                <w:b w:val="1"/>
                <w:bCs w:val="1"/>
                <w:color w:val="auto"/>
              </w:rPr>
              <w:t>Level 3</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4"/>
          </w:tcPr>
          <w:p>
            <w:pPr>
              <w:jc w:val="right"/>
              <w:ind w:right="166"/>
              <w:spacing w:after="0" w:line="142" w:lineRule="exact"/>
              <w:rPr>
                <w:sz w:val="20"/>
                <w:szCs w:val="20"/>
                <w:color w:val="auto"/>
              </w:rPr>
            </w:pPr>
            <w:r>
              <w:rPr>
                <w:rFonts w:ascii="Arial" w:cs="Arial" w:eastAsia="Arial" w:hAnsi="Arial"/>
                <w:sz w:val="14"/>
                <w:szCs w:val="14"/>
                <w:b w:val="1"/>
                <w:bCs w:val="1"/>
                <w:color w:val="auto"/>
              </w:rPr>
              <w:t>Total</w:t>
            </w:r>
          </w:p>
        </w:tc>
        <w:tc>
          <w:tcPr>
            <w:tcW w:w="460" w:type="dxa"/>
            <w:vAlign w:val="bottom"/>
            <w:gridSpan w:val="2"/>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60" w:type="dxa"/>
            <w:vAlign w:val="bottom"/>
          </w:tcPr>
          <w:p>
            <w:pPr>
              <w:spacing w:after="0"/>
              <w:rPr>
                <w:sz w:val="17"/>
                <w:szCs w:val="17"/>
                <w:color w:val="auto"/>
              </w:rPr>
            </w:pPr>
          </w:p>
        </w:tc>
        <w:tc>
          <w:tcPr>
            <w:tcW w:w="44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80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right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right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Assets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ind w:left="440"/>
              <w:spacing w:after="0"/>
              <w:rPr>
                <w:sz w:val="20"/>
                <w:szCs w:val="20"/>
                <w:color w:val="auto"/>
              </w:rPr>
            </w:pPr>
            <w:r>
              <w:rPr>
                <w:rFonts w:ascii="Arial" w:cs="Arial" w:eastAsia="Arial" w:hAnsi="Arial"/>
                <w:sz w:val="18"/>
                <w:szCs w:val="18"/>
                <w:color w:val="auto"/>
              </w:rPr>
              <w:t>Money market funds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gridSpan w:val="5"/>
          </w:tcPr>
          <w:p>
            <w:pPr>
              <w:ind w:left="160"/>
              <w:spacing w:after="0"/>
              <w:rPr>
                <w:sz w:val="20"/>
                <w:szCs w:val="20"/>
                <w:color w:val="auto"/>
              </w:rPr>
            </w:pPr>
            <w:r>
              <w:rPr>
                <w:rFonts w:ascii="Arial" w:cs="Arial" w:eastAsia="Arial" w:hAnsi="Arial"/>
                <w:sz w:val="18"/>
                <w:szCs w:val="18"/>
                <w:color w:val="auto"/>
                <w:w w:val="87"/>
              </w:rPr>
              <w:t>$160,400</w:t>
            </w:r>
          </w:p>
        </w:tc>
        <w:tc>
          <w:tcPr>
            <w:tcW w:w="260" w:type="dxa"/>
            <w:vAlign w:val="bottom"/>
          </w:tcPr>
          <w:p>
            <w:pPr>
              <w:spacing w:after="0"/>
              <w:rPr>
                <w:sz w:val="18"/>
                <w:szCs w:val="18"/>
                <w:color w:val="auto"/>
              </w:rPr>
            </w:pPr>
          </w:p>
        </w:tc>
        <w:tc>
          <w:tcPr>
            <w:tcW w:w="4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00" w:type="dxa"/>
            <w:vAlign w:val="bottom"/>
            <w:gridSpan w:val="2"/>
          </w:tcPr>
          <w:p>
            <w:pPr>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80" w:type="dxa"/>
            <w:vAlign w:val="bottom"/>
            <w:gridSpan w:val="2"/>
          </w:tcPr>
          <w:p>
            <w:pPr>
              <w:jc w:val="right"/>
              <w:ind w:right="204"/>
              <w:spacing w:after="0"/>
              <w:rPr>
                <w:sz w:val="20"/>
                <w:szCs w:val="20"/>
                <w:color w:val="auto"/>
              </w:rPr>
            </w:pPr>
            <w:r>
              <w:rPr>
                <w:rFonts w:ascii="Arial" w:cs="Arial" w:eastAsia="Arial" w:hAnsi="Arial"/>
                <w:sz w:val="18"/>
                <w:szCs w:val="18"/>
                <w:color w:val="auto"/>
                <w:w w:val="99"/>
              </w:rPr>
              <w:t>—</w:t>
            </w:r>
          </w:p>
        </w:tc>
        <w:tc>
          <w:tcPr>
            <w:tcW w:w="2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4"/>
          </w:tcPr>
          <w:p>
            <w:pPr>
              <w:jc w:val="right"/>
              <w:spacing w:after="0"/>
              <w:rPr>
                <w:sz w:val="20"/>
                <w:szCs w:val="20"/>
                <w:color w:val="auto"/>
              </w:rPr>
            </w:pPr>
            <w:r>
              <w:rPr>
                <w:rFonts w:ascii="Arial" w:cs="Arial" w:eastAsia="Arial" w:hAnsi="Arial"/>
                <w:sz w:val="18"/>
                <w:szCs w:val="18"/>
                <w:color w:val="auto"/>
              </w:rPr>
              <w:t>160,400</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209,405</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209,405</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ind w:left="440"/>
              <w:spacing w:after="0"/>
              <w:rPr>
                <w:sz w:val="20"/>
                <w:szCs w:val="20"/>
                <w:color w:val="auto"/>
              </w:rPr>
            </w:pPr>
            <w:r>
              <w:rPr>
                <w:rFonts w:ascii="Arial" w:cs="Arial" w:eastAsia="Arial" w:hAnsi="Arial"/>
                <w:sz w:val="18"/>
                <w:szCs w:val="18"/>
                <w:color w:val="auto"/>
              </w:rPr>
              <w:t>U.S. government and agency debt</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spacing w:after="0"/>
              <w:rPr>
                <w:sz w:val="20"/>
                <w:szCs w:val="20"/>
                <w:color w:val="auto"/>
              </w:rPr>
            </w:pPr>
            <w:r>
              <w:rPr>
                <w:rFonts w:ascii="Arial" w:cs="Arial" w:eastAsia="Arial" w:hAnsi="Arial"/>
                <w:sz w:val="18"/>
                <w:szCs w:val="18"/>
                <w:color w:val="auto"/>
                <w:w w:val="86"/>
              </w:rPr>
              <w:t>184,374</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gridSpan w:val="2"/>
          </w:tcPr>
          <w:p>
            <w:pPr>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0" w:type="dxa"/>
            <w:vAlign w:val="bottom"/>
            <w:gridSpan w:val="2"/>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4"/>
          </w:tcPr>
          <w:p>
            <w:pPr>
              <w:jc w:val="right"/>
              <w:spacing w:after="0"/>
              <w:rPr>
                <w:sz w:val="20"/>
                <w:szCs w:val="20"/>
                <w:color w:val="auto"/>
              </w:rPr>
            </w:pPr>
            <w:r>
              <w:rPr>
                <w:rFonts w:ascii="Arial" w:cs="Arial" w:eastAsia="Arial" w:hAnsi="Arial"/>
                <w:sz w:val="18"/>
                <w:szCs w:val="18"/>
                <w:color w:val="auto"/>
              </w:rPr>
              <w:t>184,374</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54,689</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54,689</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6"/>
              </w:rPr>
              <w:t>317,405</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ind w:left="440"/>
              <w:spacing w:after="0"/>
              <w:rPr>
                <w:sz w:val="20"/>
                <w:szCs w:val="20"/>
                <w:color w:val="auto"/>
              </w:rPr>
            </w:pPr>
            <w:r>
              <w:rPr>
                <w:rFonts w:ascii="Arial" w:cs="Arial" w:eastAsia="Arial" w:hAnsi="Arial"/>
                <w:sz w:val="18"/>
                <w:szCs w:val="18"/>
                <w:color w:val="auto"/>
              </w:rPr>
              <w:t>Corporate debt securities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557,821</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0" w:type="dxa"/>
            <w:vAlign w:val="bottom"/>
            <w:gridSpan w:val="2"/>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4"/>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ind w:left="440"/>
              <w:spacing w:after="0"/>
              <w:rPr>
                <w:sz w:val="20"/>
                <w:szCs w:val="20"/>
                <w:color w:val="auto"/>
              </w:rPr>
            </w:pPr>
            <w:r>
              <w:rPr>
                <w:rFonts w:ascii="Arial" w:cs="Arial" w:eastAsia="Arial" w:hAnsi="Arial"/>
                <w:sz w:val="18"/>
                <w:szCs w:val="18"/>
                <w:color w:val="auto"/>
              </w:rPr>
              <w:t>Foreign government and agency debt</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21,358</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0" w:type="dxa"/>
            <w:vAlign w:val="bottom"/>
            <w:gridSpan w:val="2"/>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4"/>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Prepaid expenses and other current assets: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30</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5"/>
            <w:shd w:val="clear" w:color="auto" w:fill="CCEEFF"/>
          </w:tcPr>
          <w:p>
            <w:pPr>
              <w:jc w:val="right"/>
              <w:ind w:right="124"/>
              <w:spacing w:after="0"/>
              <w:rPr>
                <w:sz w:val="20"/>
                <w:szCs w:val="20"/>
                <w:color w:val="auto"/>
              </w:rPr>
            </w:pPr>
            <w:r>
              <w:rPr>
                <w:rFonts w:ascii="Arial" w:cs="Arial" w:eastAsia="Arial" w:hAnsi="Arial"/>
                <w:sz w:val="18"/>
                <w:szCs w:val="18"/>
                <w:color w:val="auto"/>
              </w:rPr>
              <w:t>11,296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right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74"/>
              </w:rPr>
              <w:t>678</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28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2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678</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60" w:type="dxa"/>
            <w:vAlign w:val="bottom"/>
            <w:gridSpan w:val="3"/>
          </w:tcPr>
          <w:p>
            <w:pPr>
              <w:ind w:left="460"/>
              <w:spacing w:after="0"/>
              <w:rPr>
                <w:sz w:val="20"/>
                <w:szCs w:val="20"/>
                <w:color w:val="auto"/>
              </w:rPr>
            </w:pPr>
            <w:r>
              <w:rPr>
                <w:rFonts w:ascii="Arial" w:cs="Arial" w:eastAsia="Arial" w:hAnsi="Arial"/>
                <w:sz w:val="18"/>
                <w:szCs w:val="18"/>
                <w:color w:val="auto"/>
              </w:rPr>
              <w:t>Total assets</w:t>
            </w: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40" w:type="dxa"/>
            <w:vAlign w:val="bottom"/>
            <w:gridSpan w:val="5"/>
          </w:tcPr>
          <w:p>
            <w:pPr>
              <w:ind w:left="1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662,179</w:t>
            </w:r>
          </w:p>
        </w:tc>
        <w:tc>
          <w:tcPr>
            <w:tcW w:w="260" w:type="dxa"/>
            <w:vAlign w:val="bottom"/>
          </w:tcPr>
          <w:p>
            <w:pPr>
              <w:spacing w:after="0"/>
              <w:rPr>
                <w:sz w:val="19"/>
                <w:szCs w:val="19"/>
                <w:color w:val="auto"/>
              </w:rPr>
            </w:pPr>
          </w:p>
        </w:tc>
        <w:tc>
          <w:tcPr>
            <w:tcW w:w="80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951,966</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5"/>
          </w:tcPr>
          <w:p>
            <w:pPr>
              <w:ind w:lef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11,296</w:t>
            </w:r>
          </w:p>
        </w:tc>
        <w:tc>
          <w:tcPr>
            <w:tcW w:w="2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4"/>
          </w:tcPr>
          <w:p>
            <w:pPr>
              <w:jc w:val="right"/>
              <w:spacing w:after="0"/>
              <w:rPr>
                <w:sz w:val="20"/>
                <w:szCs w:val="20"/>
                <w:color w:val="auto"/>
              </w:rPr>
            </w:pPr>
            <w:r>
              <w:rPr>
                <w:rFonts w:ascii="Arial" w:cs="Arial" w:eastAsia="Arial" w:hAnsi="Arial"/>
                <w:sz w:val="18"/>
                <w:szCs w:val="18"/>
                <w:color w:val="auto"/>
                <w:w w:val="84"/>
              </w:rPr>
              <w:t>1,625,441</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60" w:type="dxa"/>
            <w:vAlign w:val="bottom"/>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Liabilities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6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w w:val="79"/>
              </w:rPr>
              <w:t>$</w:t>
            </w:r>
          </w:p>
        </w:tc>
        <w:tc>
          <w:tcPr>
            <w:tcW w:w="8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74"/>
              </w:rPr>
              <w:t>195</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4"/>
              <w:spacing w:after="0"/>
              <w:rPr>
                <w:sz w:val="20"/>
                <w:szCs w:val="20"/>
                <w:color w:val="auto"/>
              </w:rPr>
            </w:pPr>
            <w:r>
              <w:rPr>
                <w:rFonts w:ascii="Arial" w:cs="Arial" w:eastAsia="Arial" w:hAnsi="Arial"/>
                <w:sz w:val="18"/>
                <w:szCs w:val="18"/>
                <w:color w:val="auto"/>
                <w:w w:val="99"/>
              </w:rPr>
              <w:t>—</w:t>
            </w:r>
          </w:p>
        </w:tc>
        <w:tc>
          <w:tcPr>
            <w:tcW w:w="2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195</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00" w:type="dxa"/>
            <w:vAlign w:val="bottom"/>
            <w:gridSpan w:val="7"/>
            <w:vMerge w:val="restart"/>
          </w:tcPr>
          <w:p>
            <w:pPr>
              <w:ind w:left="460"/>
              <w:spacing w:after="0"/>
              <w:rPr>
                <w:sz w:val="20"/>
                <w:szCs w:val="20"/>
                <w:color w:val="auto"/>
              </w:rPr>
            </w:pPr>
            <w:r>
              <w:rPr>
                <w:rFonts w:ascii="Arial" w:cs="Arial" w:eastAsia="Arial" w:hAnsi="Arial"/>
                <w:sz w:val="18"/>
                <w:szCs w:val="18"/>
                <w:color w:val="auto"/>
                <w:w w:val="88"/>
              </w:rPr>
              <w:t>The following table summarizes the change in fair value for Level 3 assets (in thousands):</w:t>
            </w: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800" w:type="dxa"/>
            <w:vAlign w:val="bottom"/>
            <w:gridSpan w:val="7"/>
            <w:vMerge w:val="continue"/>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gridSpan w:val="9"/>
          </w:tcPr>
          <w:p>
            <w:pPr>
              <w:ind w:left="60"/>
              <w:spacing w:after="0"/>
              <w:rPr>
                <w:sz w:val="20"/>
                <w:szCs w:val="20"/>
                <w:color w:val="auto"/>
              </w:rPr>
            </w:pPr>
            <w:r>
              <w:rPr>
                <w:rFonts w:ascii="Arial" w:cs="Arial" w:eastAsia="Arial" w:hAnsi="Arial"/>
                <w:sz w:val="14"/>
                <w:szCs w:val="14"/>
                <w:b w:val="1"/>
                <w:bCs w:val="1"/>
                <w:color w:val="auto"/>
                <w:w w:val="95"/>
              </w:rPr>
              <w:t>Three Months Ended</w:t>
            </w:r>
          </w:p>
        </w:tc>
        <w:tc>
          <w:tcPr>
            <w:tcW w:w="6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34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80" w:type="dxa"/>
            <w:vAlign w:val="bottom"/>
            <w:gridSpan w:val="5"/>
          </w:tcPr>
          <w:p>
            <w:pPr>
              <w:jc w:val="center"/>
              <w:ind w:right="120"/>
              <w:spacing w:after="0" w:line="129" w:lineRule="exact"/>
              <w:rPr>
                <w:sz w:val="20"/>
                <w:szCs w:val="20"/>
                <w:color w:val="auto"/>
              </w:rPr>
            </w:pPr>
            <w:r>
              <w:rPr>
                <w:rFonts w:ascii="Arial" w:cs="Arial" w:eastAsia="Arial" w:hAnsi="Arial"/>
                <w:sz w:val="14"/>
                <w:szCs w:val="14"/>
                <w:b w:val="1"/>
                <w:bCs w:val="1"/>
                <w:color w:val="auto"/>
                <w:w w:val="94"/>
              </w:rPr>
              <w:t>April 30,</w:t>
            </w:r>
          </w:p>
        </w:tc>
        <w:tc>
          <w:tcPr>
            <w:tcW w:w="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8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May 2,</w:t>
            </w: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3480" w:type="dxa"/>
            <w:vAlign w:val="bottom"/>
            <w:tcBorders>
              <w:bottom w:val="single" w:sz="8" w:color="CCEEFF"/>
            </w:tcBorders>
          </w:tcPr>
          <w:p>
            <w:pPr>
              <w:spacing w:after="0"/>
              <w:rPr>
                <w:sz w:val="14"/>
                <w:szCs w:val="14"/>
                <w:color w:val="auto"/>
              </w:rPr>
            </w:pPr>
          </w:p>
        </w:tc>
        <w:tc>
          <w:tcPr>
            <w:tcW w:w="8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89"/>
              </w:rPr>
              <w:t>2016</w:t>
            </w: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24"/>
              <w:spacing w:after="0"/>
              <w:rPr>
                <w:sz w:val="20"/>
                <w:szCs w:val="20"/>
                <w:color w:val="auto"/>
              </w:rPr>
            </w:pPr>
            <w:r>
              <w:rPr>
                <w:rFonts w:ascii="Arial" w:cs="Arial" w:eastAsia="Arial" w:hAnsi="Arial"/>
                <w:sz w:val="14"/>
                <w:szCs w:val="14"/>
                <w:b w:val="1"/>
                <w:bCs w:val="1"/>
                <w:color w:val="auto"/>
              </w:rPr>
              <w:t>2015</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34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spacing w:after="0"/>
              <w:rPr>
                <w:sz w:val="18"/>
                <w:szCs w:val="18"/>
                <w:color w:val="auto"/>
              </w:rPr>
            </w:pPr>
          </w:p>
        </w:tc>
        <w:tc>
          <w:tcPr>
            <w:tcW w:w="5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2"/>
              </w:rPr>
              <w:t>$11,296</w:t>
            </w: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spacing w:after="0"/>
              <w:rPr>
                <w:sz w:val="18"/>
                <w:szCs w:val="18"/>
                <w:color w:val="auto"/>
              </w:rPr>
            </w:pPr>
          </w:p>
        </w:tc>
        <w:tc>
          <w:tcPr>
            <w:tcW w:w="5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6"/>
              </w:rPr>
              <w:t>$10,226</w:t>
            </w:r>
          </w:p>
        </w:tc>
        <w:tc>
          <w:tcPr>
            <w:tcW w:w="12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Sales and redemptions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4"/>
          </w:tcPr>
          <w:p>
            <w:pPr>
              <w:jc w:val="right"/>
              <w:ind w:right="60"/>
              <w:spacing w:after="0"/>
              <w:rPr>
                <w:sz w:val="20"/>
                <w:szCs w:val="20"/>
                <w:color w:val="auto"/>
              </w:rPr>
            </w:pPr>
            <w:r>
              <w:rPr>
                <w:rFonts w:ascii="Arial" w:cs="Arial" w:eastAsia="Arial" w:hAnsi="Arial"/>
                <w:sz w:val="18"/>
                <w:szCs w:val="18"/>
                <w:color w:val="auto"/>
                <w:w w:val="84"/>
              </w:rPr>
              <w:t>(2,322)</w:t>
            </w: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5420" w:type="dxa"/>
            <w:vAlign w:val="bottom"/>
            <w:gridSpan w:val="5"/>
            <w:shd w:val="clear" w:color="auto" w:fill="CCEEFF"/>
          </w:tcPr>
          <w:p>
            <w:pPr>
              <w:spacing w:after="0"/>
              <w:rPr>
                <w:sz w:val="20"/>
                <w:szCs w:val="20"/>
                <w:color w:val="auto"/>
              </w:rPr>
            </w:pPr>
            <w:r>
              <w:rPr>
                <w:rFonts w:ascii="Arial" w:cs="Arial" w:eastAsia="Arial" w:hAnsi="Arial"/>
                <w:sz w:val="18"/>
                <w:szCs w:val="18"/>
                <w:color w:val="auto"/>
                <w:w w:val="93"/>
              </w:rPr>
              <w:t>Unrealized losses included in accumulated other comprehensive income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3"/>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400" w:type="dxa"/>
            <w:vAlign w:val="bottom"/>
            <w:gridSpan w:val="2"/>
            <w:vMerge w:val="restart"/>
          </w:tcPr>
          <w:p>
            <w:pPr>
              <w:ind w:left="920"/>
              <w:spacing w:after="0"/>
              <w:rPr>
                <w:sz w:val="20"/>
                <w:szCs w:val="20"/>
                <w:color w:val="auto"/>
              </w:rPr>
            </w:pPr>
            <w:r>
              <w:rPr>
                <w:rFonts w:ascii="Arial" w:cs="Arial" w:eastAsia="Arial" w:hAnsi="Arial"/>
                <w:sz w:val="18"/>
                <w:szCs w:val="18"/>
                <w:color w:val="auto"/>
              </w:rPr>
              <w:t>Ending balance</w:t>
            </w: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120" w:type="dxa"/>
            <w:vAlign w:val="bottom"/>
            <w:tcBorders>
              <w:right w:val="single" w:sz="8" w:color="auto"/>
            </w:tcBorders>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20" w:type="dxa"/>
            <w:vAlign w:val="bottom"/>
            <w:tcBorders>
              <w:right w:val="single" w:sz="8" w:color="auto"/>
            </w:tcBorders>
            <w:gridSpan w:val="2"/>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0" w:type="dxa"/>
            <w:vAlign w:val="bottom"/>
          </w:tcPr>
          <w:p>
            <w:pPr>
              <w:spacing w:after="0"/>
              <w:rPr>
                <w:sz w:val="19"/>
                <w:szCs w:val="19"/>
                <w:color w:val="auto"/>
              </w:rPr>
            </w:pPr>
          </w:p>
        </w:tc>
        <w:tc>
          <w:tcPr>
            <w:tcW w:w="4400" w:type="dxa"/>
            <w:vAlign w:val="bottom"/>
            <w:gridSpan w:val="2"/>
            <w:vMerge w:val="continue"/>
          </w:tcPr>
          <w:p>
            <w:pPr>
              <w:spacing w:after="0"/>
              <w:rPr>
                <w:sz w:val="19"/>
                <w:szCs w:val="19"/>
                <w:color w:val="auto"/>
              </w:rPr>
            </w:pP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60" w:type="dxa"/>
            <w:vAlign w:val="bottom"/>
            <w:gridSpan w:val="3"/>
          </w:tcPr>
          <w:p>
            <w:pPr>
              <w:jc w:val="right"/>
              <w:spacing w:after="0"/>
              <w:rPr>
                <w:sz w:val="20"/>
                <w:szCs w:val="20"/>
                <w:color w:val="auto"/>
              </w:rPr>
            </w:pPr>
            <w:r>
              <w:rPr>
                <w:rFonts w:ascii="Arial" w:cs="Arial" w:eastAsia="Arial" w:hAnsi="Arial"/>
                <w:sz w:val="18"/>
                <w:szCs w:val="18"/>
                <w:color w:val="auto"/>
                <w:w w:val="93"/>
              </w:rPr>
              <w:t>8,974</w:t>
            </w:r>
          </w:p>
        </w:tc>
        <w:tc>
          <w:tcPr>
            <w:tcW w:w="100" w:type="dxa"/>
            <w:vAlign w:val="bottom"/>
          </w:tcPr>
          <w:p>
            <w:pPr>
              <w:spacing w:after="0"/>
              <w:rPr>
                <w:sz w:val="19"/>
                <w:szCs w:val="19"/>
                <w:color w:val="auto"/>
              </w:rPr>
            </w:pPr>
          </w:p>
        </w:tc>
        <w:tc>
          <w:tcPr>
            <w:tcW w:w="900" w:type="dxa"/>
            <w:vAlign w:val="bottom"/>
            <w:gridSpan w:val="6"/>
          </w:tcPr>
          <w:p>
            <w:pPr>
              <w:jc w:val="right"/>
              <w:spacing w:after="0"/>
              <w:rPr>
                <w:sz w:val="20"/>
                <w:szCs w:val="20"/>
                <w:color w:val="auto"/>
              </w:rPr>
            </w:pPr>
            <w:r>
              <w:rPr>
                <w:rFonts w:ascii="Arial" w:cs="Arial" w:eastAsia="Arial" w:hAnsi="Arial"/>
                <w:sz w:val="18"/>
                <w:szCs w:val="18"/>
                <w:color w:val="auto"/>
              </w:rPr>
              <w:t>$ 10,111</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6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Note 7. Acquired Intangible Assets, Net</w:t>
            </w: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860" w:type="dxa"/>
            <w:vAlign w:val="bottom"/>
            <w:gridSpan w:val="3"/>
            <w:vMerge w:val="continue"/>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800" w:type="dxa"/>
            <w:vAlign w:val="bottom"/>
            <w:gridSpan w:val="7"/>
          </w:tcPr>
          <w:p>
            <w:pPr>
              <w:ind w:left="460"/>
              <w:spacing w:after="0"/>
              <w:rPr>
                <w:sz w:val="20"/>
                <w:szCs w:val="20"/>
                <w:color w:val="auto"/>
              </w:rPr>
            </w:pPr>
            <w:r>
              <w:rPr>
                <w:rFonts w:ascii="Arial" w:cs="Arial" w:eastAsia="Arial" w:hAnsi="Arial"/>
                <w:sz w:val="18"/>
                <w:szCs w:val="18"/>
                <w:color w:val="auto"/>
                <w:w w:val="93"/>
              </w:rPr>
              <w:t>The carrying amount of acquired intangible assets, net, are as follows (in thousands):</w:t>
            </w: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gridSpan w:val="6"/>
          </w:tcPr>
          <w:p>
            <w:pPr>
              <w:jc w:val="center"/>
              <w:ind w:right="260"/>
              <w:spacing w:after="0"/>
              <w:rPr>
                <w:sz w:val="20"/>
                <w:szCs w:val="20"/>
                <w:color w:val="auto"/>
              </w:rPr>
            </w:pPr>
            <w:r>
              <w:rPr>
                <w:rFonts w:ascii="Arial" w:cs="Arial" w:eastAsia="Arial" w:hAnsi="Arial"/>
                <w:sz w:val="14"/>
                <w:szCs w:val="14"/>
                <w:b w:val="1"/>
                <w:bCs w:val="1"/>
                <w:color w:val="auto"/>
                <w:w w:val="88"/>
              </w:rPr>
              <w:t>April 30, 2016</w:t>
            </w:r>
          </w:p>
        </w:tc>
        <w:tc>
          <w:tcPr>
            <w:tcW w:w="14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gridSpan w:val="7"/>
          </w:tcPr>
          <w:p>
            <w:pPr>
              <w:jc w:val="center"/>
              <w:ind w:left="36"/>
              <w:spacing w:after="0"/>
              <w:rPr>
                <w:sz w:val="20"/>
                <w:szCs w:val="20"/>
                <w:color w:val="auto"/>
              </w:rPr>
            </w:pPr>
            <w:r>
              <w:rPr>
                <w:rFonts w:ascii="Arial" w:cs="Arial" w:eastAsia="Arial" w:hAnsi="Arial"/>
                <w:sz w:val="14"/>
                <w:szCs w:val="14"/>
                <w:b w:val="1"/>
                <w:bCs w:val="1"/>
                <w:color w:val="auto"/>
                <w:w w:val="87"/>
              </w:rPr>
              <w:t>January 30, 2016</w:t>
            </w:r>
          </w:p>
        </w:tc>
        <w:tc>
          <w:tcPr>
            <w:tcW w:w="1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34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80" w:type="dxa"/>
            <w:vAlign w:val="bottom"/>
            <w:gridSpan w:val="5"/>
          </w:tcPr>
          <w:p>
            <w:pPr>
              <w:jc w:val="center"/>
              <w:ind w:right="2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00" w:type="dxa"/>
            <w:vAlign w:val="bottom"/>
            <w:gridSpan w:val="6"/>
          </w:tcPr>
          <w:p>
            <w:pPr>
              <w:spacing w:after="0" w:line="129" w:lineRule="exact"/>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8"/>
              </w:rPr>
              <w:t>Gross</w:t>
            </w:r>
          </w:p>
        </w:tc>
        <w:tc>
          <w:tcPr>
            <w:tcW w:w="20" w:type="dxa"/>
            <w:vAlign w:val="bottom"/>
          </w:tcPr>
          <w:p>
            <w:pPr>
              <w:spacing w:after="0"/>
              <w:rPr>
                <w:sz w:val="12"/>
                <w:szCs w:val="12"/>
                <w:color w:val="auto"/>
              </w:rPr>
            </w:pPr>
          </w:p>
        </w:tc>
        <w:tc>
          <w:tcPr>
            <w:tcW w:w="1080" w:type="dxa"/>
            <w:vAlign w:val="bottom"/>
            <w:gridSpan w:val="5"/>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40" w:type="dxa"/>
            <w:vAlign w:val="bottom"/>
          </w:tcPr>
          <w:p>
            <w:pPr>
              <w:spacing w:after="0"/>
              <w:rPr>
                <w:sz w:val="12"/>
                <w:szCs w:val="12"/>
                <w:color w:val="auto"/>
              </w:rPr>
            </w:pPr>
          </w:p>
        </w:tc>
        <w:tc>
          <w:tcPr>
            <w:tcW w:w="440" w:type="dxa"/>
            <w:vAlign w:val="bottom"/>
            <w:gridSpan w:val="2"/>
          </w:tcPr>
          <w:p>
            <w:pPr>
              <w:jc w:val="center"/>
              <w:ind w:right="42"/>
              <w:spacing w:after="0" w:line="149" w:lineRule="exact"/>
              <w:rPr>
                <w:sz w:val="20"/>
                <w:szCs w:val="20"/>
                <w:color w:val="auto"/>
              </w:rPr>
            </w:pPr>
            <w:r>
              <w:rPr>
                <w:rFonts w:ascii="Arial" w:cs="Arial" w:eastAsia="Arial" w:hAnsi="Arial"/>
                <w:sz w:val="14"/>
                <w:szCs w:val="14"/>
                <w:b w:val="1"/>
                <w:bCs w:val="1"/>
                <w:color w:val="auto"/>
                <w:w w:val="88"/>
              </w:rPr>
              <w:t>Net</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2"/>
                <w:szCs w:val="12"/>
                <w:color w:val="auto"/>
              </w:rPr>
            </w:pPr>
          </w:p>
        </w:tc>
        <w:tc>
          <w:tcPr>
            <w:tcW w:w="900" w:type="dxa"/>
            <w:vAlign w:val="bottom"/>
            <w:gridSpan w:val="6"/>
          </w:tcPr>
          <w:p>
            <w:pPr>
              <w:spacing w:after="0" w:line="149" w:lineRule="exact"/>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10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Range of</w:t>
            </w: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3"/>
          </w:tcPr>
          <w:p>
            <w:pPr>
              <w:jc w:val="center"/>
              <w:ind w:right="520"/>
              <w:spacing w:after="0" w:line="149" w:lineRule="exact"/>
              <w:rPr>
                <w:sz w:val="20"/>
                <w:szCs w:val="20"/>
                <w:color w:val="auto"/>
              </w:rPr>
            </w:pPr>
            <w:r>
              <w:rPr>
                <w:rFonts w:ascii="Arial" w:cs="Arial" w:eastAsia="Arial" w:hAnsi="Arial"/>
                <w:sz w:val="14"/>
                <w:szCs w:val="14"/>
                <w:b w:val="1"/>
                <w:bCs w:val="1"/>
                <w:color w:val="auto"/>
                <w:w w:val="80"/>
              </w:rPr>
              <w:t>and</w:t>
            </w:r>
          </w:p>
        </w:tc>
        <w:tc>
          <w:tcPr>
            <w:tcW w:w="880" w:type="dxa"/>
            <w:vAlign w:val="bottom"/>
            <w:gridSpan w:val="5"/>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Carrying</w:t>
            </w:r>
          </w:p>
        </w:tc>
        <w:tc>
          <w:tcPr>
            <w:tcW w:w="62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80" w:type="dxa"/>
            <w:vAlign w:val="bottom"/>
            <w:gridSpan w:val="3"/>
          </w:tcPr>
          <w:p>
            <w:pPr>
              <w:jc w:val="right"/>
              <w:spacing w:after="0" w:line="149" w:lineRule="exact"/>
              <w:rPr>
                <w:sz w:val="20"/>
                <w:szCs w:val="20"/>
                <w:color w:val="auto"/>
              </w:rPr>
            </w:pPr>
            <w:r>
              <w:rPr>
                <w:rFonts w:ascii="Arial" w:cs="Arial" w:eastAsia="Arial" w:hAnsi="Arial"/>
                <w:sz w:val="14"/>
                <w:szCs w:val="14"/>
                <w:b w:val="1"/>
                <w:bCs w:val="1"/>
                <w:color w:val="auto"/>
              </w:rPr>
              <w:t>and</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4"/>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100" w:type="dxa"/>
            <w:vAlign w:val="bottom"/>
            <w:gridSpan w:val="2"/>
          </w:tcPr>
          <w:p>
            <w:pPr>
              <w:ind w:left="40"/>
              <w:spacing w:after="0"/>
              <w:rPr>
                <w:sz w:val="20"/>
                <w:szCs w:val="20"/>
                <w:color w:val="auto"/>
              </w:rPr>
            </w:pPr>
            <w:r>
              <w:rPr>
                <w:rFonts w:ascii="Arial" w:cs="Arial" w:eastAsia="Arial" w:hAnsi="Arial"/>
                <w:sz w:val="14"/>
                <w:szCs w:val="14"/>
                <w:b w:val="1"/>
                <w:bCs w:val="1"/>
                <w:color w:val="auto"/>
              </w:rPr>
              <w:t>Useful Lives</w:t>
            </w:r>
          </w:p>
        </w:tc>
        <w:tc>
          <w:tcPr>
            <w:tcW w:w="8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Amounts</w:t>
            </w:r>
          </w:p>
        </w:tc>
        <w:tc>
          <w:tcPr>
            <w:tcW w:w="20" w:type="dxa"/>
            <w:vAlign w:val="bottom"/>
          </w:tcPr>
          <w:p>
            <w:pPr>
              <w:spacing w:after="0"/>
              <w:rPr>
                <w:sz w:val="14"/>
                <w:szCs w:val="14"/>
                <w:color w:val="auto"/>
              </w:rPr>
            </w:pPr>
          </w:p>
        </w:tc>
        <w:tc>
          <w:tcPr>
            <w:tcW w:w="1080" w:type="dxa"/>
            <w:vAlign w:val="bottom"/>
            <w:gridSpan w:val="5"/>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5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Amount</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gridSpan w:val="5"/>
          </w:tcPr>
          <w:p>
            <w:pPr>
              <w:jc w:val="center"/>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900" w:type="dxa"/>
            <w:vAlign w:val="bottom"/>
            <w:gridSpan w:val="6"/>
          </w:tcPr>
          <w:p>
            <w:pPr>
              <w:jc w:val="center"/>
              <w:ind w:right="160"/>
              <w:spacing w:after="0"/>
              <w:rPr>
                <w:sz w:val="20"/>
                <w:szCs w:val="20"/>
                <w:color w:val="auto"/>
              </w:rPr>
            </w:pPr>
            <w:r>
              <w:rPr>
                <w:rFonts w:ascii="Arial" w:cs="Arial" w:eastAsia="Arial" w:hAnsi="Arial"/>
                <w:sz w:val="14"/>
                <w:szCs w:val="14"/>
                <w:b w:val="1"/>
                <w:bCs w:val="1"/>
                <w:color w:val="auto"/>
                <w:w w:val="91"/>
              </w:rPr>
              <w:t>Write-Offs</w:t>
            </w:r>
          </w:p>
        </w:tc>
        <w:tc>
          <w:tcPr>
            <w:tcW w:w="160" w:type="dxa"/>
            <w:vAlign w:val="bottom"/>
          </w:tcPr>
          <w:p>
            <w:pPr>
              <w:spacing w:after="0"/>
              <w:rPr>
                <w:sz w:val="14"/>
                <w:szCs w:val="14"/>
                <w:color w:val="auto"/>
              </w:rPr>
            </w:pPr>
          </w:p>
        </w:tc>
        <w:tc>
          <w:tcPr>
            <w:tcW w:w="680" w:type="dxa"/>
            <w:vAlign w:val="bottom"/>
            <w:gridSpan w:val="4"/>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86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Purchased and core technology</w:t>
            </w:r>
          </w:p>
        </w:tc>
        <w:tc>
          <w:tcPr>
            <w:tcW w:w="80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4"/>
              </w:rPr>
              <w:t>4 - 8 years</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2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77"/>
              </w:rPr>
              <w:t>(23,463)</w:t>
            </w:r>
          </w:p>
        </w:tc>
        <w:tc>
          <w:tcPr>
            <w:tcW w:w="280" w:type="dxa"/>
            <w:vAlign w:val="bottom"/>
            <w:tcBorders>
              <w:top w:val="single" w:sz="8" w:color="CCEEFF"/>
            </w:tcBorders>
            <w:gridSpan w:val="2"/>
            <w:shd w:val="clear" w:color="auto" w:fill="CCEEFF"/>
          </w:tcPr>
          <w:p>
            <w:pPr>
              <w:spacing w:after="0"/>
              <w:rPr>
                <w:sz w:val="18"/>
                <w:szCs w:val="18"/>
                <w:color w:val="auto"/>
              </w:rPr>
            </w:pPr>
          </w:p>
        </w:tc>
        <w:tc>
          <w:tcPr>
            <w:tcW w:w="580" w:type="dxa"/>
            <w:vAlign w:val="bottom"/>
            <w:tcBorders>
              <w:top w:val="single" w:sz="8" w:color="auto"/>
              <w:right w:val="single" w:sz="8" w:color="CCEEFF"/>
            </w:tcBorders>
            <w:gridSpan w:val="3"/>
            <w:shd w:val="clear" w:color="auto" w:fill="CCEEFF"/>
          </w:tcPr>
          <w:p>
            <w:pPr>
              <w:jc w:val="center"/>
              <w:spacing w:after="0"/>
              <w:rPr>
                <w:sz w:val="20"/>
                <w:szCs w:val="20"/>
                <w:color w:val="auto"/>
              </w:rPr>
            </w:pPr>
            <w:r>
              <w:rPr>
                <w:rFonts w:ascii="Arial" w:cs="Arial" w:eastAsia="Arial" w:hAnsi="Arial"/>
                <w:sz w:val="18"/>
                <w:szCs w:val="18"/>
                <w:color w:val="auto"/>
                <w:w w:val="89"/>
              </w:rPr>
              <w:t>$12,035</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4"/>
            <w:shd w:val="clear" w:color="auto" w:fill="CCEEFF"/>
          </w:tcPr>
          <w:p>
            <w:pPr>
              <w:jc w:val="center"/>
              <w:spacing w:after="0"/>
              <w:rPr>
                <w:sz w:val="20"/>
                <w:szCs w:val="20"/>
                <w:color w:val="auto"/>
              </w:rPr>
            </w:pPr>
            <w:r>
              <w:rPr>
                <w:rFonts w:ascii="Arial" w:cs="Arial" w:eastAsia="Arial" w:hAnsi="Arial"/>
                <w:sz w:val="18"/>
                <w:szCs w:val="18"/>
                <w:color w:val="auto"/>
                <w:w w:val="89"/>
              </w:rPr>
              <w:t>$35,498</w:t>
            </w:r>
          </w:p>
        </w:tc>
        <w:tc>
          <w:tcPr>
            <w:tcW w:w="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right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gridSpan w:val="4"/>
            <w:shd w:val="clear" w:color="auto" w:fill="CCEEFF"/>
          </w:tcPr>
          <w:p>
            <w:pPr>
              <w:ind w:left="20"/>
              <w:spacing w:after="0"/>
              <w:rPr>
                <w:sz w:val="20"/>
                <w:szCs w:val="20"/>
                <w:color w:val="auto"/>
              </w:rPr>
            </w:pPr>
            <w:r>
              <w:rPr>
                <w:rFonts w:ascii="Arial" w:cs="Arial" w:eastAsia="Arial" w:hAnsi="Arial"/>
                <w:sz w:val="18"/>
                <w:szCs w:val="18"/>
                <w:color w:val="auto"/>
                <w:w w:val="77"/>
              </w:rPr>
              <w:t>(21,910)</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6"/>
              </w:rPr>
              <w:t>$13,588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gridSpan w:val="3"/>
          </w:tcPr>
          <w:p>
            <w:pPr>
              <w:spacing w:after="0"/>
              <w:rPr>
                <w:sz w:val="20"/>
                <w:szCs w:val="20"/>
                <w:color w:val="auto"/>
              </w:rPr>
            </w:pPr>
            <w:r>
              <w:rPr>
                <w:rFonts w:ascii="Arial" w:cs="Arial" w:eastAsia="Arial" w:hAnsi="Arial"/>
                <w:sz w:val="18"/>
                <w:szCs w:val="18"/>
                <w:color w:val="auto"/>
              </w:rPr>
              <w:t>Customer intangibles</w:t>
            </w:r>
          </w:p>
        </w:tc>
        <w:tc>
          <w:tcPr>
            <w:tcW w:w="1100" w:type="dxa"/>
            <w:vAlign w:val="bottom"/>
            <w:gridSpan w:val="2"/>
          </w:tcPr>
          <w:p>
            <w:pPr>
              <w:ind w:left="60"/>
              <w:spacing w:after="0"/>
              <w:rPr>
                <w:sz w:val="20"/>
                <w:szCs w:val="20"/>
                <w:color w:val="auto"/>
              </w:rPr>
            </w:pPr>
            <w:r>
              <w:rPr>
                <w:rFonts w:ascii="Arial" w:cs="Arial" w:eastAsia="Arial" w:hAnsi="Arial"/>
                <w:sz w:val="18"/>
                <w:szCs w:val="18"/>
                <w:color w:val="auto"/>
              </w:rPr>
              <w:t>5 - 7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ind w:left="20"/>
              <w:spacing w:after="0"/>
              <w:rPr>
                <w:sz w:val="20"/>
                <w:szCs w:val="20"/>
                <w:color w:val="auto"/>
              </w:rPr>
            </w:pPr>
            <w:r>
              <w:rPr>
                <w:rFonts w:ascii="Arial" w:cs="Arial" w:eastAsia="Arial" w:hAnsi="Arial"/>
                <w:sz w:val="18"/>
                <w:szCs w:val="18"/>
                <w:color w:val="auto"/>
              </w:rPr>
              <w:t>(25,571)</w:t>
            </w:r>
          </w:p>
        </w:tc>
        <w:tc>
          <w:tcPr>
            <w:tcW w:w="800" w:type="dxa"/>
            <w:vAlign w:val="bottom"/>
            <w:gridSpan w:val="4"/>
          </w:tcPr>
          <w:p>
            <w:pPr>
              <w:jc w:val="right"/>
              <w:ind w:right="137"/>
              <w:spacing w:after="0"/>
              <w:rPr>
                <w:sz w:val="20"/>
                <w:szCs w:val="20"/>
                <w:color w:val="auto"/>
              </w:rPr>
            </w:pPr>
            <w:r>
              <w:rPr>
                <w:rFonts w:ascii="Arial" w:cs="Arial" w:eastAsia="Arial" w:hAnsi="Arial"/>
                <w:sz w:val="18"/>
                <w:szCs w:val="18"/>
                <w:color w:val="auto"/>
              </w:rPr>
              <w:t>3,029</w:t>
            </w:r>
          </w:p>
        </w:tc>
        <w:tc>
          <w:tcPr>
            <w:tcW w:w="80" w:type="dxa"/>
            <w:vAlign w:val="bottom"/>
          </w:tcPr>
          <w:p>
            <w:pPr>
              <w:spacing w:after="0"/>
              <w:rPr>
                <w:sz w:val="18"/>
                <w:szCs w:val="18"/>
                <w:color w:val="auto"/>
              </w:rPr>
            </w:pPr>
          </w:p>
        </w:tc>
        <w:tc>
          <w:tcPr>
            <w:tcW w:w="620" w:type="dxa"/>
            <w:vAlign w:val="bottom"/>
            <w:gridSpan w:val="5"/>
          </w:tcPr>
          <w:p>
            <w:pPr>
              <w:jc w:val="right"/>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gridSpan w:val="5"/>
          </w:tcPr>
          <w:p>
            <w:pPr>
              <w:ind w:left="20"/>
              <w:spacing w:after="0"/>
              <w:rPr>
                <w:sz w:val="20"/>
                <w:szCs w:val="20"/>
                <w:color w:val="auto"/>
              </w:rPr>
            </w:pPr>
            <w:r>
              <w:rPr>
                <w:rFonts w:ascii="Arial" w:cs="Arial" w:eastAsia="Arial" w:hAnsi="Arial"/>
                <w:sz w:val="18"/>
                <w:szCs w:val="18"/>
                <w:color w:val="auto"/>
                <w:w w:val="98"/>
              </w:rPr>
              <w:t>(24,178)</w:t>
            </w:r>
          </w:p>
        </w:tc>
        <w:tc>
          <w:tcPr>
            <w:tcW w:w="740" w:type="dxa"/>
            <w:vAlign w:val="bottom"/>
            <w:gridSpan w:val="4"/>
          </w:tcPr>
          <w:p>
            <w:pPr>
              <w:jc w:val="right"/>
              <w:spacing w:after="0"/>
              <w:rPr>
                <w:sz w:val="20"/>
                <w:szCs w:val="20"/>
                <w:color w:val="auto"/>
              </w:rPr>
            </w:pPr>
            <w:r>
              <w:rPr>
                <w:rFonts w:ascii="Arial" w:cs="Arial" w:eastAsia="Arial" w:hAnsi="Arial"/>
                <w:sz w:val="18"/>
                <w:szCs w:val="18"/>
                <w:color w:val="auto"/>
              </w:rPr>
              <w:t>4,422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tcPr>
          <w:p>
            <w:pPr>
              <w:spacing w:after="0"/>
              <w:rPr>
                <w:sz w:val="2"/>
                <w:szCs w:val="2"/>
                <w:color w:val="auto"/>
              </w:rPr>
            </w:pPr>
          </w:p>
        </w:tc>
        <w:tc>
          <w:tcPr>
            <w:tcW w:w="920" w:type="dxa"/>
            <w:vAlign w:val="bottom"/>
          </w:tcPr>
          <w:p>
            <w:pPr>
              <w:spacing w:after="0"/>
              <w:rPr>
                <w:sz w:val="2"/>
                <w:szCs w:val="2"/>
                <w:color w:val="auto"/>
              </w:rPr>
            </w:pPr>
          </w:p>
        </w:tc>
        <w:tc>
          <w:tcPr>
            <w:tcW w:w="3480" w:type="dxa"/>
            <w:vAlign w:val="bottom"/>
          </w:tcPr>
          <w:p>
            <w:pPr>
              <w:spacing w:after="0"/>
              <w:rPr>
                <w:sz w:val="2"/>
                <w:szCs w:val="2"/>
                <w:color w:val="auto"/>
              </w:rPr>
            </w:pPr>
          </w:p>
        </w:tc>
        <w:tc>
          <w:tcPr>
            <w:tcW w:w="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120" w:type="dxa"/>
            <w:vAlign w:val="bottom"/>
            <w:tcBorders>
              <w:right w:val="single" w:sz="8" w:color="auto"/>
            </w:tcBorders>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280" w:type="dxa"/>
            <w:vAlign w:val="bottom"/>
            <w:tcBorders>
              <w:right w:val="single" w:sz="8" w:color="auto"/>
            </w:tcBorders>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86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64,098</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(49,034)</w:t>
            </w:r>
          </w:p>
        </w:tc>
        <w:tc>
          <w:tcPr>
            <w:tcW w:w="800" w:type="dxa"/>
            <w:vAlign w:val="bottom"/>
            <w:gridSpan w:val="4"/>
            <w:shd w:val="clear" w:color="auto" w:fill="CCEEFF"/>
          </w:tcPr>
          <w:p>
            <w:pPr>
              <w:jc w:val="right"/>
              <w:ind w:right="137"/>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15,064</w:t>
            </w:r>
          </w:p>
        </w:tc>
        <w:tc>
          <w:tcPr>
            <w:tcW w:w="80" w:type="dxa"/>
            <w:vAlign w:val="bottom"/>
            <w:shd w:val="clear" w:color="auto" w:fill="CCEEFF"/>
          </w:tcPr>
          <w:p>
            <w:pPr>
              <w:spacing w:after="0"/>
              <w:rPr>
                <w:sz w:val="18"/>
                <w:szCs w:val="18"/>
                <w:color w:val="auto"/>
              </w:rPr>
            </w:pPr>
          </w:p>
        </w:tc>
        <w:tc>
          <w:tcPr>
            <w:tcW w:w="62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64,098</w:t>
            </w:r>
          </w:p>
        </w:tc>
        <w:tc>
          <w:tcPr>
            <w:tcW w:w="4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700" w:type="dxa"/>
            <w:vAlign w:val="bottom"/>
            <w:gridSpan w:val="5"/>
            <w:shd w:val="clear" w:color="auto" w:fill="CCEEFF"/>
          </w:tcPr>
          <w:p>
            <w:pPr>
              <w:ind w:left="20"/>
              <w:spacing w:after="0"/>
              <w:rPr>
                <w:sz w:val="20"/>
                <w:szCs w:val="20"/>
                <w:color w:val="auto"/>
              </w:rPr>
            </w:pPr>
            <w:r>
              <w:rPr>
                <w:rFonts w:ascii="Arial" w:cs="Arial" w:eastAsia="Arial" w:hAnsi="Arial"/>
                <w:sz w:val="18"/>
                <w:szCs w:val="18"/>
                <w:color w:val="auto"/>
                <w:w w:val="98"/>
              </w:rPr>
              <w:t>(46,088)</w:t>
            </w:r>
          </w:p>
        </w:tc>
        <w:tc>
          <w:tcPr>
            <w:tcW w:w="74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1100" w:type="dxa"/>
            <w:vAlign w:val="bottom"/>
            <w:gridSpan w:val="2"/>
            <w:vMerge w:val="restart"/>
          </w:tcPr>
          <w:p>
            <w:pPr>
              <w:ind w:left="760"/>
              <w:spacing w:after="0"/>
              <w:rPr>
                <w:sz w:val="20"/>
                <w:szCs w:val="20"/>
                <w:color w:val="auto"/>
              </w:rPr>
            </w:pPr>
            <w:r>
              <w:rPr>
                <w:rFonts w:ascii="Arial" w:cs="Arial" w:eastAsia="Arial" w:hAnsi="Arial"/>
                <w:sz w:val="18"/>
                <w:szCs w:val="18"/>
                <w:color w:val="auto"/>
              </w:rPr>
              <w:t>15</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10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Based on the identified intangible assets recorded at April 30, 2016, the future amortization expense of identified intangible assets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2017</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2018</w:t>
            </w: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5,508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2020 and thereafter</w:t>
            </w:r>
          </w:p>
        </w:tc>
        <w:tc>
          <w:tcPr>
            <w:tcW w:w="2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15,064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Other Related Charges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table provides detail of restructuring and other related charges as presented in the unaudited condensed consolidated statements of operations related to the restructuring actions described below (in thousands):</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6"/>
          </w:tcPr>
          <w:p>
            <w:pPr>
              <w:ind w:left="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20" w:type="dxa"/>
            <w:vAlign w:val="bottom"/>
          </w:tcPr>
          <w:p>
            <w:pPr>
              <w:spacing w:after="0"/>
              <w:rPr>
                <w:sz w:val="11"/>
                <w:szCs w:val="11"/>
                <w:color w:val="auto"/>
              </w:rPr>
            </w:pPr>
          </w:p>
        </w:tc>
        <w:tc>
          <w:tcPr>
            <w:tcW w:w="4880" w:type="dxa"/>
            <w:vAlign w:val="bottom"/>
          </w:tcPr>
          <w:p>
            <w:pPr>
              <w:spacing w:after="0"/>
              <w:rPr>
                <w:sz w:val="11"/>
                <w:szCs w:val="11"/>
                <w:color w:val="auto"/>
              </w:rPr>
            </w:pPr>
          </w:p>
        </w:tc>
        <w:tc>
          <w:tcPr>
            <w:tcW w:w="2120" w:type="dxa"/>
            <w:vAlign w:val="bottom"/>
          </w:tcPr>
          <w:p>
            <w:pPr>
              <w:spacing w:after="0"/>
              <w:rPr>
                <w:sz w:val="11"/>
                <w:szCs w:val="11"/>
                <w:color w:val="auto"/>
              </w:rPr>
            </w:pPr>
          </w:p>
        </w:tc>
        <w:tc>
          <w:tcPr>
            <w:tcW w:w="84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w w:val="90"/>
              </w:rPr>
              <w:t>April 30,</w:t>
            </w:r>
          </w:p>
        </w:tc>
        <w:tc>
          <w:tcPr>
            <w:tcW w:w="24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8"/>
              </w:rPr>
              <w:t>May 2,</w:t>
            </w:r>
          </w:p>
        </w:tc>
        <w:tc>
          <w:tcPr>
            <w:tcW w:w="10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2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89"/>
              </w:rPr>
              <w:t>2016</w:t>
            </w:r>
          </w:p>
        </w:tc>
        <w:tc>
          <w:tcPr>
            <w:tcW w:w="2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Borders>
              <w:bottom w:val="single" w:sz="8" w:color="CCEEFF"/>
            </w:tcBorders>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48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Facilities and related costs</w:t>
            </w:r>
          </w:p>
        </w:tc>
        <w:tc>
          <w:tcPr>
            <w:tcW w:w="2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3,631</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Release of reserves:</w:t>
            </w:r>
          </w:p>
        </w:tc>
        <w:tc>
          <w:tcPr>
            <w:tcW w:w="2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Severance</w:t>
            </w:r>
          </w:p>
        </w:tc>
        <w:tc>
          <w:tcPr>
            <w:tcW w:w="2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1"/>
        </w:trPr>
        <w:tc>
          <w:tcPr>
            <w:tcW w:w="20" w:type="dxa"/>
            <w:vAlign w:val="bottom"/>
          </w:tcPr>
          <w:p>
            <w:pPr>
              <w:spacing w:after="0"/>
              <w:rPr>
                <w:sz w:val="19"/>
                <w:szCs w:val="19"/>
                <w:color w:val="auto"/>
              </w:rPr>
            </w:pPr>
          </w:p>
        </w:tc>
        <w:tc>
          <w:tcPr>
            <w:tcW w:w="4880" w:type="dxa"/>
            <w:vAlign w:val="bottom"/>
          </w:tcPr>
          <w:p>
            <w:pPr>
              <w:spacing w:after="0"/>
              <w:rPr>
                <w:sz w:val="19"/>
                <w:szCs w:val="19"/>
                <w:color w:val="auto"/>
              </w:rPr>
            </w:pPr>
          </w:p>
        </w:tc>
        <w:tc>
          <w:tcPr>
            <w:tcW w:w="2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7"/>
              </w:rPr>
              <w:t>3,545</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3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19"/>
                <w:szCs w:val="19"/>
                <w:color w:val="auto"/>
              </w:rPr>
            </w:pPr>
          </w:p>
        </w:tc>
      </w:tr>
      <w:tr>
        <w:trPr>
          <w:trHeight w:val="218"/>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Impairment loss and write-off of assets:</w:t>
            </w:r>
          </w:p>
        </w:tc>
        <w:tc>
          <w:tcPr>
            <w:tcW w:w="2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80" w:type="dxa"/>
            <w:vAlign w:val="bottom"/>
          </w:tcPr>
          <w:p>
            <w:pPr>
              <w:ind w:left="420"/>
              <w:spacing w:after="0"/>
              <w:rPr>
                <w:sz w:val="20"/>
                <w:szCs w:val="20"/>
                <w:color w:val="auto"/>
              </w:rPr>
            </w:pPr>
            <w:r>
              <w:rPr>
                <w:rFonts w:ascii="Arial" w:cs="Arial" w:eastAsia="Arial" w:hAnsi="Arial"/>
                <w:sz w:val="18"/>
                <w:szCs w:val="18"/>
                <w:color w:val="auto"/>
              </w:rPr>
              <w:t>Equipment</w:t>
            </w:r>
          </w:p>
        </w:tc>
        <w:tc>
          <w:tcPr>
            <w:tcW w:w="2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896</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Restructuring and other related charges</w:t>
            </w:r>
          </w:p>
        </w:tc>
        <w:tc>
          <w:tcPr>
            <w:tcW w:w="2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4,441</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Company recorded a total $4.4 million in the three months ended April 30, 2016, respectively, in connection with restructuring and other related charges as described in the following paragraphs:</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connection with the Company’s decision to further reduce its research and development operations in Israel announced in May 2015, the Company and the landlord of its facility located in Israel reached agreement for the Company to completely vacate and release certain floors back to the landlord for purposes of future sublease. As a result, the Company recorded a $3.6 million charge for the remaining lease obligation, net of estimated sublease income, associated with those floors it vacated.</w:t>
      </w:r>
    </w:p>
    <w:p>
      <w:pPr>
        <w:spacing w:after="0" w:line="143"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connection with the restructuring of its mobile platform business announced in September 2015, the Company also recorded net charges of $0.8 million, primarily for the write off of certain mobile-related equipment it originally identified as held for sale since it was unable to locate a buyer. Of the remaining actions that were expected to be completed in the first half of fiscal 2017 related to restructuring of the mobile platform business, substantially all of the activities were completed by the end of April 2016. Total cumulative charges recorded in fiscal 2016 through the three months ended April 30, 2016 related to this restructuring action were $45.3 million, which included $28.1 million of severance benefits, a $1.6 million loss on early contract termination, $7.6 million for impairment of technology licenses and certain equipment, and a $8.0 million write down of inventory.</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00" w:type="dxa"/>
            <w:vAlign w:val="bottom"/>
            <w:gridSpan w:val="4"/>
          </w:tcPr>
          <w:p>
            <w:pPr>
              <w:jc w:val="right"/>
              <w:ind w:right="680"/>
              <w:spacing w:after="0"/>
              <w:rPr>
                <w:sz w:val="20"/>
                <w:szCs w:val="20"/>
                <w:color w:val="auto"/>
              </w:rPr>
            </w:pPr>
            <w:r>
              <w:rPr>
                <w:rFonts w:ascii="Arial" w:cs="Arial" w:eastAsia="Arial" w:hAnsi="Arial"/>
                <w:sz w:val="14"/>
                <w:szCs w:val="14"/>
                <w:b w:val="1"/>
                <w:bCs w:val="1"/>
                <w:color w:val="auto"/>
                <w:w w:val="85"/>
              </w:rPr>
              <w:t>Severance</w:t>
            </w:r>
          </w:p>
        </w:tc>
        <w:tc>
          <w:tcPr>
            <w:tcW w:w="100" w:type="dxa"/>
            <w:vAlign w:val="bottom"/>
          </w:tcPr>
          <w:p>
            <w:pPr>
              <w:spacing w:after="0"/>
              <w:rPr>
                <w:sz w:val="14"/>
                <w:szCs w:val="14"/>
                <w:color w:val="auto"/>
              </w:rPr>
            </w:pPr>
          </w:p>
        </w:tc>
        <w:tc>
          <w:tcPr>
            <w:tcW w:w="122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58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0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3"/>
          </w:tcPr>
          <w:p>
            <w:pPr>
              <w:jc w:val="right"/>
              <w:ind w:right="800"/>
              <w:spacing w:after="0"/>
              <w:rPr>
                <w:sz w:val="20"/>
                <w:szCs w:val="20"/>
                <w:color w:val="auto"/>
              </w:rPr>
            </w:pPr>
            <w:r>
              <w:rPr>
                <w:rFonts w:ascii="Arial" w:cs="Arial" w:eastAsia="Arial" w:hAnsi="Arial"/>
                <w:sz w:val="14"/>
                <w:szCs w:val="14"/>
                <w:b w:val="1"/>
                <w:bCs w:val="1"/>
                <w:color w:val="auto"/>
                <w:w w:val="92"/>
              </w:rPr>
              <w:t>Costs</w:t>
            </w:r>
          </w:p>
        </w:tc>
        <w:tc>
          <w:tcPr>
            <w:tcW w:w="100" w:type="dxa"/>
            <w:vAlign w:val="bottom"/>
          </w:tcPr>
          <w:p>
            <w:pPr>
              <w:spacing w:after="0"/>
              <w:rPr>
                <w:sz w:val="14"/>
                <w:szCs w:val="14"/>
                <w:color w:val="auto"/>
              </w:rPr>
            </w:pPr>
          </w:p>
        </w:tc>
        <w:tc>
          <w:tcPr>
            <w:tcW w:w="122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rPr>
              <w:t>Costs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7"/>
              </w:rPr>
              <w:t>Costs</w:t>
            </w:r>
          </w:p>
        </w:tc>
        <w:tc>
          <w:tcPr>
            <w:tcW w:w="28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r>
      <w:tr>
        <w:trPr>
          <w:trHeight w:val="210"/>
        </w:trPr>
        <w:tc>
          <w:tcPr>
            <w:tcW w:w="5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1,155</w:t>
            </w:r>
          </w:p>
        </w:tc>
        <w:tc>
          <w:tcPr>
            <w:tcW w:w="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1,043</w:t>
            </w:r>
          </w:p>
        </w:tc>
        <w:tc>
          <w:tcPr>
            <w:tcW w:w="6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$ 3,842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3"/>
          </w:tcPr>
          <w:p>
            <w:pPr>
              <w:jc w:val="right"/>
              <w:ind w:right="7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3,631</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3,631</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(825)</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(839)</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(200)</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(1,864)</w:t>
            </w: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Release of reserves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3"/>
          </w:tcPr>
          <w:p>
            <w:pPr>
              <w:jc w:val="right"/>
              <w:ind w:right="560"/>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rPr>
                <w:sz w:val="18"/>
                <w:szCs w:val="18"/>
                <w:color w:val="auto"/>
              </w:rPr>
            </w:pPr>
          </w:p>
        </w:tc>
        <w:tc>
          <w:tcPr>
            <w:tcW w:w="122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(86)</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Exchange rate adjustment</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w:t>
            </w:r>
          </w:p>
        </w:tc>
        <w:tc>
          <w:tcPr>
            <w:tcW w:w="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w:t>
            </w:r>
          </w:p>
        </w:tc>
        <w:tc>
          <w:tcPr>
            <w:tcW w:w="100" w:type="dxa"/>
            <w:vAlign w:val="bottom"/>
            <w:shd w:val="clear" w:color="auto" w:fill="CCEEFF"/>
          </w:tcPr>
          <w:p>
            <w:pPr>
              <w:spacing w:after="0"/>
              <w:rPr>
                <w:sz w:val="18"/>
                <w:szCs w:val="18"/>
                <w:color w:val="auto"/>
              </w:rPr>
            </w:pPr>
          </w:p>
        </w:tc>
      </w:tr>
      <w:tr>
        <w:trPr>
          <w:trHeight w:val="222"/>
        </w:trPr>
        <w:tc>
          <w:tcPr>
            <w:tcW w:w="5840" w:type="dxa"/>
            <w:vAlign w:val="bottom"/>
          </w:tcPr>
          <w:p>
            <w:pPr>
              <w:spacing w:after="0"/>
              <w:rPr>
                <w:sz w:val="20"/>
                <w:szCs w:val="20"/>
                <w:color w:val="auto"/>
              </w:rPr>
            </w:pPr>
            <w:r>
              <w:rPr>
                <w:rFonts w:ascii="Arial" w:cs="Arial" w:eastAsia="Arial" w:hAnsi="Arial"/>
                <w:sz w:val="18"/>
                <w:szCs w:val="18"/>
                <w:color w:val="auto"/>
              </w:rPr>
              <w:t>Balance at April 30, 2016</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252</w:t>
            </w:r>
          </w:p>
        </w:tc>
        <w:tc>
          <w:tcPr>
            <w:tcW w:w="6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3,930</w:t>
            </w:r>
          </w:p>
        </w:tc>
        <w:tc>
          <w:tcPr>
            <w:tcW w:w="6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1,444</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$ 5,626</w:t>
            </w:r>
          </w:p>
        </w:tc>
      </w:tr>
      <w:tr>
        <w:trPr>
          <w:trHeight w:val="20"/>
        </w:trPr>
        <w:tc>
          <w:tcPr>
            <w:tcW w:w="58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balance at April 30, 2016 for facilities and related costs includes remaining payments under lease obligations related to vacated space that are expected to be paid through fiscal 2019.</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income tax benefit for the three months ended April 30, 2016 included the current income tax benefit of $2.7 million, a deferred tax benefit of $2.5 million for the portion of a payment to the Company’s former Chief Executive Officer that became deductible after his departure from the Company in April 2016, offset by a net increase in unrecognized tax benefits of $0.2 million. The net increase in unrecognized tax benefits arose from penalties and interest of $0.7 million accrued on the outstanding unrecognized tax benefit balance, partially offset by the release of $0.5 million due to expiration of the statute of limitations in a non-U.S. jurisdiction.</w:t>
      </w:r>
    </w:p>
    <w:p>
      <w:pPr>
        <w:spacing w:after="0" w:line="143"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income tax provision for the three months ended May 2, 2015 included the current income tax liability of $4.3 million, plus an additional provision of $3.1 million related to a $15.4 million payment to the Company’s former Chief Executive Officer, which were offset by a net reduction in unrecognized tax benefits of $3.1 million. The net reduction in unrecognized tax benefits arose from the release of $4.0 million due to the expiration of the statute of limitations in a non-U.S. jurisdiction, which was partially offset by penalties and interest of $0.9 million accrued on the outstanding unrecognized tax benefit balance.</w:t>
      </w:r>
    </w:p>
    <w:p>
      <w:pPr>
        <w:spacing w:after="0" w:line="113"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$16.3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$0.9 million and $3.3 million in the three months ended April 30, 2016 and May 2, 2015, respectively. The benefit of the tax incentives on net income per share was less than $0.01 per share for the three months ended April 30, 2016 and $0.01 per share for the three months ended May 2, 2015.</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Company’s principal source of liquidity as of April 30, 2016 consisted of approximately $1.6 billion of cash, cash equivalents and short-term investments, of which approximately $760 million was held by foreign subsidiaries (outside Bermuda). Approximately $570 million of this amount held by foreign subsidiaries is related to undistributed earnings, which have been indefinitely reinvested outside of Bermuda. These funds are primarily held in China, Israel,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$175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April 30, 2016, these foundries had incurred approximately $168.5 million of manufacturing costs and expenses relating to the Company’s outstanding purchase orders.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vigorously defend against the allegations in these matters.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As of April 30, 2016, the Company has an accrued litigation balance of $3.4 million related to certain legal proceedings in the section described below. Unless otherwise stated, the Company is currently unable to predict the final outcome of these lawsuits and therefore cannot determine the likelihood of loss nor estimate a range of possible loss.</w:t>
      </w:r>
    </w:p>
    <w:p>
      <w:pPr>
        <w:spacing w:after="0" w:line="14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13 – Carnegie Mellon University Settlement” for additional information on the effect of the settlement. The Company expects the action to be finally dismissed in the third quarter of fiscal 2017, approximately 6 months after payment of the full amount of the settlement payment.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Any bond specific indemnity agreement will be terminated and released upon final dismissal of the action.</w:t>
      </w:r>
    </w:p>
    <w:p>
      <w:pPr>
        <w:spacing w:after="0" w:line="12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(“E.D. of Texas”), in which USEI accused a number of system manufacturers, including the Company’s customers, of patent infringement (the “USEI litigation”). Specifically, USEI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On May 4, 2010, Marvell Semiconductor, Inc. (“MSI”) filed a motion to intervene in the USEI litigation, which was granted on May 19, 2010. On July 13, 2010, the E.D. of Texas issued an order granting the defendants’ motion to transfer the action to the U.S. District Court for the Northern District of California (“N.D. of California”); the case was formally transferred on August 23, 2010. On</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September 14, 2011, USEI withdrew its allegations against MSI for the ‘459 patent. On August 16, 2013, the N.D. of California granted defendants’ summary judgment motion to preclude the plaintiff from recovering certain pre-suit damages. On November 7, 2014, on summary judgment, the N.D. of California found that all the patents-in-suit were either invalid or not infringed. On December 1, 2014, the N.D. of California entered a judgment in favor of defendants and awarded defendants’ costs. On December 29, 2014, USEI filed a motion to alter or amend the N.D. of California’s summary judgment order, which the N.D. of California denied on March 31, 2015. On April 24, 2015, USEI filed its notice of appeal. On April 25, 2016, the Federal Circuit affirmed the N.D. of California’s judgment in favor of MSI. On June 29, 2016, the Federal Circuit denied USEI’s petition for rehearing.</w:t>
      </w:r>
    </w:p>
    <w:p>
      <w:pPr>
        <w:spacing w:after="0" w:line="120"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 xml:space="preserve">Innovatio Litigation. </w:t>
      </w:r>
      <w:r>
        <w:rPr>
          <w:rFonts w:ascii="Arial" w:cs="Arial" w:eastAsia="Arial" w:hAnsi="Arial"/>
          <w:sz w:val="16"/>
          <w:szCs w:val="16"/>
          <w:color w:val="auto"/>
        </w:rPr>
        <w:t>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Luna Litigation and Consolidated Cases. </w:t>
      </w:r>
      <w:r>
        <w:rPr>
          <w:rFonts w:ascii="Arial" w:cs="Arial" w:eastAsia="Arial" w:hAnsi="Arial"/>
          <w:sz w:val="16"/>
          <w:szCs w:val="16"/>
          <w:color w:val="auto"/>
        </w:rPr>
        <w:t>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w:t>
      </w:r>
    </w:p>
    <w:p>
      <w:pPr>
        <w:spacing w:after="0" w:line="11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Saratoga Litigation. </w:t>
      </w:r>
      <w:r>
        <w:rPr>
          <w:rFonts w:ascii="Arial" w:cs="Arial" w:eastAsia="Arial" w:hAnsi="Arial"/>
          <w:sz w:val="16"/>
          <w:szCs w:val="16"/>
          <w:color w:val="auto"/>
        </w:rPr>
        <w:t>On October 16, 2015, Saratoga Advantage Trust Technology &amp; Communications Portfolio (“Saratoga”) filed an action asserting</w:t>
      </w:r>
      <w:r>
        <w:rPr>
          <w:rFonts w:ascii="Arial" w:cs="Arial" w:eastAsia="Arial" w:hAnsi="Arial"/>
          <w:sz w:val="16"/>
          <w:szCs w:val="16"/>
          <w:i w:val="1"/>
          <w:iCs w:val="1"/>
          <w:color w:val="auto"/>
        </w:rPr>
        <w:t xml:space="preserve"> </w:t>
      </w:r>
      <w:r>
        <w:rPr>
          <w:rFonts w:ascii="Arial" w:cs="Arial" w:eastAsia="Arial" w:hAnsi="Arial"/>
          <w:sz w:val="16"/>
          <w:szCs w:val="16"/>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1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On October 23, 2015, the Company removed the action to the N.D. of California. On December 21, 2015, the N.D. of California denied Saratoga’s motion to remand. On December 21, 2015, the N.D. of California granted the Company’s motion to deem the action related to the consolidated Luna actions, discussed above. On January 22, 2016, the Company filed a motion to dismiss the complaint; on March 25, 2016, the N.D. of California held a hearing on the motion and took the matter under submission. To the Company’s knowledge, none of the individual defendants has yet been served.</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 that each of the sureties have the right to demand to be placed in funds or call for collateral under pre-defined events.</w:t>
      </w:r>
    </w:p>
    <w:p>
      <w:pPr>
        <w:spacing w:after="0" w:line="147"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$131.4 million at April 30, 2016.</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The underlying indemnity agreements will terminate upon the final dismissal of the case which the Company expects will occur in the third quarter of fiscal 2017. For additional information, see CMU litigation under “Contingencies” above.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2220" w:type="dxa"/>
            <w:vAlign w:val="bottom"/>
            <w:gridSpan w:val="6"/>
          </w:tcPr>
          <w:p>
            <w:pPr>
              <w:ind w:left="340"/>
              <w:spacing w:after="0"/>
              <w:rPr>
                <w:sz w:val="20"/>
                <w:szCs w:val="20"/>
                <w:color w:val="auto"/>
              </w:rPr>
            </w:pPr>
            <w:r>
              <w:rPr>
                <w:rFonts w:ascii="Arial" w:cs="Arial" w:eastAsia="Arial" w:hAnsi="Arial"/>
                <w:sz w:val="14"/>
                <w:szCs w:val="14"/>
                <w:b w:val="1"/>
                <w:bCs w:val="1"/>
                <w:color w:val="auto"/>
              </w:rPr>
              <w:t>Time-Based Options</w:t>
            </w:r>
          </w:p>
        </w:tc>
        <w:tc>
          <w:tcPr>
            <w:tcW w:w="2240" w:type="dxa"/>
            <w:vAlign w:val="bottom"/>
            <w:gridSpan w:val="6"/>
          </w:tcPr>
          <w:p>
            <w:pPr>
              <w:ind w:left="280"/>
              <w:spacing w:after="0"/>
              <w:rPr>
                <w:sz w:val="20"/>
                <w:szCs w:val="20"/>
                <w:color w:val="auto"/>
              </w:rPr>
            </w:pPr>
            <w:r>
              <w:rPr>
                <w:rFonts w:ascii="Arial" w:cs="Arial" w:eastAsia="Arial" w:hAnsi="Arial"/>
                <w:sz w:val="14"/>
                <w:szCs w:val="14"/>
                <w:b w:val="1"/>
                <w:bCs w:val="1"/>
                <w:color w:val="auto"/>
              </w:rPr>
              <w:t>Market-Based Options</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22"/>
              <w:spacing w:after="0" w:line="129" w:lineRule="exact"/>
              <w:rPr>
                <w:sz w:val="20"/>
                <w:szCs w:val="20"/>
                <w:color w:val="auto"/>
              </w:rPr>
            </w:pPr>
            <w:r>
              <w:rPr>
                <w:rFonts w:ascii="Arial" w:cs="Arial" w:eastAsia="Arial" w:hAnsi="Arial"/>
                <w:sz w:val="14"/>
                <w:szCs w:val="14"/>
                <w:b w:val="1"/>
                <w:bCs w:val="1"/>
                <w:color w:val="auto"/>
                <w:w w:val="85"/>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5"/>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4"/>
                <w:szCs w:val="14"/>
                <w:color w:val="auto"/>
              </w:rPr>
            </w:pP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40,874</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13.59</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43,030</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1,881</w:t>
            </w:r>
          </w:p>
        </w:tc>
        <w:tc>
          <w:tcPr>
            <w:tcW w:w="220" w:type="dxa"/>
            <w:vAlign w:val="bottom"/>
          </w:tcPr>
          <w:p>
            <w:pPr>
              <w:spacing w:after="0"/>
              <w:rPr>
                <w:sz w:val="18"/>
                <w:szCs w:val="18"/>
                <w:color w:val="auto"/>
              </w:rPr>
            </w:pP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9.78</w:t>
            </w:r>
          </w:p>
        </w:tc>
        <w:tc>
          <w:tcPr>
            <w:tcW w:w="38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1,881</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9.78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(1,849)</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22.90</w:t>
            </w:r>
          </w:p>
        </w:tc>
        <w:tc>
          <w:tcPr>
            <w:tcW w:w="38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(2,156)</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15.43</w:t>
            </w:r>
          </w:p>
        </w:tc>
        <w:tc>
          <w:tcPr>
            <w:tcW w:w="38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(4,005)</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3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2016</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40,861</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40,861</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April 30, 2016</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gridSpan w:val="2"/>
            <w:vMerge w:val="restart"/>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12.99</w:t>
            </w:r>
          </w:p>
        </w:tc>
        <w:tc>
          <w:tcPr>
            <w:tcW w:w="38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38,788</w:t>
            </w:r>
          </w:p>
        </w:tc>
        <w:tc>
          <w:tcPr>
            <w:tcW w:w="220" w:type="dxa"/>
            <w:vAlign w:val="bottom"/>
          </w:tcPr>
          <w:p>
            <w:pPr>
              <w:spacing w:after="0"/>
              <w:rPr>
                <w:sz w:val="18"/>
                <w:szCs w:val="18"/>
                <w:color w:val="auto"/>
              </w:rPr>
            </w:pPr>
          </w:p>
        </w:tc>
        <w:tc>
          <w:tcPr>
            <w:tcW w:w="280" w:type="dxa"/>
            <w:vAlign w:val="bottom"/>
            <w:gridSpan w:val="2"/>
            <w:vMerge w:val="continue"/>
          </w:tcPr>
          <w:p>
            <w:pPr>
              <w:spacing w:after="0"/>
              <w:rPr>
                <w:sz w:val="18"/>
                <w:szCs w:val="18"/>
                <w:color w:val="auto"/>
              </w:rPr>
            </w:pPr>
          </w:p>
        </w:tc>
        <w:tc>
          <w:tcPr>
            <w:tcW w:w="700" w:type="dxa"/>
            <w:vAlign w:val="bottom"/>
            <w:vMerge w:val="continue"/>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April 30, 2016</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24,777</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12.98</w:t>
            </w: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80" w:firstLine="456"/>
        <w:spacing w:after="0" w:line="303" w:lineRule="auto"/>
        <w:rPr>
          <w:sz w:val="20"/>
          <w:szCs w:val="20"/>
          <w:color w:val="auto"/>
        </w:rPr>
      </w:pPr>
      <w:r>
        <w:rPr>
          <w:rFonts w:ascii="Arial" w:cs="Arial" w:eastAsia="Arial" w:hAnsi="Arial"/>
          <w:sz w:val="15"/>
          <w:szCs w:val="15"/>
          <w:color w:val="auto"/>
        </w:rPr>
        <w:t>For time-based stock options vested and expected to vest at April 30, 2016, the aggregate intrinsic value was $10.9 million and the weighted average remaining contractual term was 5.8 years. For time-based stock options exercisable at April 30, 2016, the aggregate intrinsic value was $10.3 million and the weighted average remaining contractual term was 4.5 years. The aggregate intrinsic value of stock options exercised during the three months ended April 30,</w:t>
      </w:r>
    </w:p>
    <w:p>
      <w:pPr>
        <w:spacing w:after="0" w:line="1" w:lineRule="exact"/>
        <w:rPr>
          <w:sz w:val="20"/>
          <w:szCs w:val="20"/>
          <w:color w:val="auto"/>
        </w:rPr>
      </w:pPr>
    </w:p>
    <w:p>
      <w:pPr>
        <w:jc w:val="both"/>
        <w:spacing w:after="0" w:line="302" w:lineRule="auto"/>
        <w:rPr>
          <w:sz w:val="20"/>
          <w:szCs w:val="20"/>
          <w:color w:val="auto"/>
        </w:rPr>
      </w:pPr>
      <w:r>
        <w:rPr>
          <w:rFonts w:ascii="Arial" w:cs="Arial" w:eastAsia="Arial" w:hAnsi="Arial"/>
          <w:sz w:val="16"/>
          <w:szCs w:val="16"/>
          <w:color w:val="auto"/>
        </w:rPr>
        <w:t>2016 and May 2, 2015 was $0.1 million and $6.3 million, respectively. The market-based stock options automatically expired in April 2016 since the market price conditions were not met within the required five years from date of grant. The Company’s closing stock price of $9.98 as reported on the NASDAQ Global Select Market for all in-the-money options as of April 29, 2016 was used to calculate the aggregate intrinsic value.</w:t>
      </w:r>
    </w:p>
    <w:p>
      <w:pPr>
        <w:spacing w:after="0" w:line="109"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As of April 30, 2016, the unamortized compensation expense for time-based stock options was $36.2 million and market-based stock options were fully amortized in fiscal 2014. The unamortized compensation expense for time-based stock options will be amortized on a straight-line basis and is expected to be recognized over a weighted average period of 2.1 years.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2020" w:type="dxa"/>
            <w:vAlign w:val="bottom"/>
            <w:gridSpan w:val="6"/>
          </w:tcPr>
          <w:p>
            <w:pPr>
              <w:ind w:left="480"/>
              <w:spacing w:after="0"/>
              <w:rPr>
                <w:sz w:val="20"/>
                <w:szCs w:val="20"/>
                <w:color w:val="auto"/>
              </w:rPr>
            </w:pPr>
            <w:r>
              <w:rPr>
                <w:rFonts w:ascii="Arial" w:cs="Arial" w:eastAsia="Arial" w:hAnsi="Arial"/>
                <w:sz w:val="14"/>
                <w:szCs w:val="14"/>
                <w:b w:val="1"/>
                <w:bCs w:val="1"/>
                <w:color w:val="auto"/>
              </w:rPr>
              <w:t>Time-Based</w:t>
            </w:r>
          </w:p>
        </w:tc>
        <w:tc>
          <w:tcPr>
            <w:tcW w:w="2000" w:type="dxa"/>
            <w:vAlign w:val="bottom"/>
            <w:gridSpan w:val="6"/>
          </w:tcPr>
          <w:p>
            <w:pPr>
              <w:ind w:left="260"/>
              <w:spacing w:after="0"/>
              <w:rPr>
                <w:sz w:val="20"/>
                <w:szCs w:val="20"/>
                <w:color w:val="auto"/>
              </w:rPr>
            </w:pPr>
            <w:r>
              <w:rPr>
                <w:rFonts w:ascii="Arial" w:cs="Arial" w:eastAsia="Arial" w:hAnsi="Arial"/>
                <w:sz w:val="14"/>
                <w:szCs w:val="14"/>
                <w:b w:val="1"/>
                <w:bCs w:val="1"/>
                <w:color w:val="auto"/>
              </w:rPr>
              <w:t>Performance-Based</w:t>
            </w:r>
          </w:p>
        </w:tc>
        <w:tc>
          <w:tcPr>
            <w:tcW w:w="2020" w:type="dxa"/>
            <w:vAlign w:val="bottom"/>
            <w:gridSpan w:val="5"/>
          </w:tcPr>
          <w:p>
            <w:pPr>
              <w:ind w:left="420"/>
              <w:spacing w:after="0"/>
              <w:rPr>
                <w:sz w:val="20"/>
                <w:szCs w:val="20"/>
                <w:color w:val="auto"/>
              </w:rPr>
            </w:pPr>
            <w:r>
              <w:rPr>
                <w:rFonts w:ascii="Arial" w:cs="Arial" w:eastAsia="Arial" w:hAnsi="Arial"/>
                <w:sz w:val="14"/>
                <w:szCs w:val="14"/>
                <w:b w:val="1"/>
                <w:bCs w:val="1"/>
                <w:color w:val="auto"/>
              </w:rPr>
              <w:t>Market-Based</w:t>
            </w:r>
          </w:p>
        </w:tc>
        <w:tc>
          <w:tcPr>
            <w:tcW w:w="640" w:type="dxa"/>
            <w:vAlign w:val="bottom"/>
          </w:tcPr>
          <w:p>
            <w:pPr>
              <w:spacing w:after="0"/>
              <w:rPr>
                <w:sz w:val="14"/>
                <w:szCs w:val="14"/>
                <w:color w:val="auto"/>
              </w:rPr>
            </w:pPr>
          </w:p>
        </w:tc>
        <w:tc>
          <w:tcPr>
            <w:tcW w:w="340" w:type="dxa"/>
            <w:vAlign w:val="bottom"/>
          </w:tcPr>
          <w:p>
            <w:pPr>
              <w:jc w:val="right"/>
              <w:spacing w:after="0"/>
              <w:rPr>
                <w:sz w:val="20"/>
                <w:szCs w:val="20"/>
                <w:color w:val="auto"/>
              </w:rPr>
            </w:pPr>
            <w:r>
              <w:rPr>
                <w:rFonts w:ascii="Arial" w:cs="Arial" w:eastAsia="Arial" w:hAnsi="Arial"/>
                <w:sz w:val="14"/>
                <w:szCs w:val="14"/>
                <w:b w:val="1"/>
                <w:bCs w:val="1"/>
                <w:color w:val="auto"/>
                <w:w w:val="83"/>
              </w:rPr>
              <w:t>Total</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36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34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Weighted</w:t>
            </w: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Weighted</w:t>
            </w: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Weighted</w:t>
            </w: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Average</w:t>
            </w: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6"/>
              </w:rPr>
              <w:t>Grant</w:t>
            </w:r>
          </w:p>
        </w:tc>
      </w:tr>
      <w:tr>
        <w:trPr>
          <w:trHeight w:val="149"/>
        </w:trPr>
        <w:tc>
          <w:tcPr>
            <w:tcW w:w="2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980" w:type="dxa"/>
            <w:vAlign w:val="bottom"/>
            <w:gridSpan w:val="2"/>
          </w:tcPr>
          <w:p>
            <w:pPr>
              <w:jc w:val="right"/>
              <w:ind w:right="292"/>
              <w:spacing w:after="0" w:line="149" w:lineRule="exact"/>
              <w:rPr>
                <w:sz w:val="20"/>
                <w:szCs w:val="20"/>
                <w:color w:val="auto"/>
              </w:rPr>
            </w:pPr>
            <w:r>
              <w:rPr>
                <w:rFonts w:ascii="Arial" w:cs="Arial" w:eastAsia="Arial" w:hAnsi="Arial"/>
                <w:sz w:val="14"/>
                <w:szCs w:val="14"/>
                <w:b w:val="1"/>
                <w:bCs w:val="1"/>
                <w:color w:val="auto"/>
                <w:w w:val="85"/>
              </w:rPr>
              <w:t>Number of</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Date</w:t>
            </w:r>
          </w:p>
        </w:tc>
      </w:tr>
      <w:tr>
        <w:trPr>
          <w:trHeight w:val="161"/>
        </w:trPr>
        <w:tc>
          <w:tcPr>
            <w:tcW w:w="2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0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9"/>
              </w:rPr>
              <w:t>Fair Value</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100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9"/>
              </w:rPr>
              <w:t>Fair Value</w:t>
            </w:r>
          </w:p>
        </w:tc>
        <w:tc>
          <w:tcPr>
            <w:tcW w:w="1000" w:type="dxa"/>
            <w:vAlign w:val="bottom"/>
            <w:gridSpan w:val="2"/>
          </w:tcPr>
          <w:p>
            <w:pPr>
              <w:ind w:left="120"/>
              <w:spacing w:after="0"/>
              <w:rPr>
                <w:sz w:val="20"/>
                <w:szCs w:val="20"/>
                <w:color w:val="auto"/>
              </w:rPr>
            </w:pPr>
            <w:r>
              <w:rPr>
                <w:rFonts w:ascii="Arial" w:cs="Arial" w:eastAsia="Arial" w:hAnsi="Arial"/>
                <w:sz w:val="14"/>
                <w:szCs w:val="14"/>
                <w:b w:val="1"/>
                <w:bCs w:val="1"/>
                <w:color w:val="auto"/>
              </w:rPr>
              <w:t>Shares</w:t>
            </w:r>
          </w:p>
        </w:tc>
        <w:tc>
          <w:tcPr>
            <w:tcW w:w="102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98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Shares</w:t>
            </w:r>
          </w:p>
        </w:tc>
        <w:tc>
          <w:tcPr>
            <w:tcW w:w="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20" w:type="dxa"/>
            <w:vAlign w:val="bottom"/>
          </w:tcPr>
          <w:p>
            <w:pPr>
              <w:spacing w:after="0"/>
              <w:rPr>
                <w:sz w:val="18"/>
                <w:szCs w:val="18"/>
                <w:color w:val="auto"/>
              </w:rPr>
            </w:pPr>
          </w:p>
        </w:tc>
        <w:tc>
          <w:tcPr>
            <w:tcW w:w="36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8,343</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13.57</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977</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w w:val="79"/>
              </w:rPr>
              <w:t>14.43</w:t>
            </w:r>
          </w:p>
        </w:tc>
        <w:tc>
          <w:tcPr>
            <w:tcW w:w="34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8"/>
                <w:szCs w:val="18"/>
                <w:color w:val="auto"/>
                <w:w w:val="79"/>
              </w:rPr>
              <w:t>353</w:t>
            </w:r>
          </w:p>
        </w:tc>
        <w:tc>
          <w:tcPr>
            <w:tcW w:w="3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12.24</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9,673</w:t>
            </w:r>
          </w:p>
        </w:tc>
        <w:tc>
          <w:tcPr>
            <w:tcW w:w="34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60" w:type="dxa"/>
            <w:vAlign w:val="bottom"/>
          </w:tcPr>
          <w:p>
            <w:pPr>
              <w:ind w:left="42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7,394</w:t>
            </w:r>
          </w:p>
        </w:tc>
        <w:tc>
          <w:tcPr>
            <w:tcW w:w="200" w:type="dxa"/>
            <w:vAlign w:val="bottom"/>
          </w:tcPr>
          <w:p>
            <w:pPr>
              <w:spacing w:after="0"/>
              <w:rPr>
                <w:sz w:val="18"/>
                <w:szCs w:val="18"/>
                <w:color w:val="auto"/>
              </w:rPr>
            </w:pPr>
          </w:p>
        </w:tc>
        <w:tc>
          <w:tcPr>
            <w:tcW w:w="260" w:type="dxa"/>
            <w:vAlign w:val="bottom"/>
            <w:gridSpan w:val="2"/>
          </w:tcPr>
          <w:p>
            <w:pPr>
              <w:ind w:left="1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9.43</w:t>
            </w:r>
          </w:p>
        </w:tc>
        <w:tc>
          <w:tcPr>
            <w:tcW w:w="36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7,394</w:t>
            </w:r>
          </w:p>
        </w:tc>
        <w:tc>
          <w:tcPr>
            <w:tcW w:w="340" w:type="dxa"/>
            <w:vAlign w:val="bottom"/>
          </w:tcPr>
          <w:p>
            <w:pPr>
              <w:spacing w:after="0"/>
              <w:rPr>
                <w:sz w:val="18"/>
                <w:szCs w:val="18"/>
                <w:color w:val="auto"/>
              </w:rPr>
            </w:pPr>
          </w:p>
        </w:tc>
        <w:tc>
          <w:tcPr>
            <w:tcW w:w="120" w:type="dxa"/>
            <w:vAlign w:val="bottom"/>
            <w:gridSpan w:val="2"/>
          </w:tcPr>
          <w:p>
            <w:pPr>
              <w:ind w:left="20"/>
              <w:spacing w:after="0"/>
              <w:rPr>
                <w:sz w:val="20"/>
                <w:szCs w:val="20"/>
                <w:color w:val="auto"/>
              </w:rPr>
            </w:pPr>
            <w:r>
              <w:rPr>
                <w:rFonts w:ascii="Arial" w:cs="Arial" w:eastAsia="Arial" w:hAnsi="Arial"/>
                <w:sz w:val="18"/>
                <w:szCs w:val="18"/>
                <w:color w:val="auto"/>
                <w:w w:val="7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9.43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(4,946)</w:t>
            </w:r>
          </w:p>
        </w:tc>
        <w:tc>
          <w:tcPr>
            <w:tcW w:w="2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w:t>
            </w:r>
          </w:p>
        </w:tc>
        <w:tc>
          <w:tcPr>
            <w:tcW w:w="3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(155)</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14.15</w:t>
            </w:r>
          </w:p>
        </w:tc>
        <w:tc>
          <w:tcPr>
            <w:tcW w:w="10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(5,101)</w:t>
            </w:r>
          </w:p>
        </w:tc>
        <w:tc>
          <w:tcPr>
            <w:tcW w:w="1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6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(218)</w:t>
            </w:r>
          </w:p>
        </w:tc>
        <w:tc>
          <w:tcPr>
            <w:tcW w:w="260" w:type="dxa"/>
            <w:vAlign w:val="bottom"/>
            <w:gridSpan w:val="2"/>
          </w:tcPr>
          <w:p>
            <w:pPr>
              <w:ind w:left="1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12.85</w:t>
            </w:r>
          </w:p>
        </w:tc>
        <w:tc>
          <w:tcPr>
            <w:tcW w:w="36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(822)</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ind w:left="180"/>
              <w:spacing w:after="0"/>
              <w:rPr>
                <w:sz w:val="20"/>
                <w:szCs w:val="20"/>
                <w:color w:val="auto"/>
              </w:rPr>
            </w:pPr>
            <w:r>
              <w:rPr>
                <w:rFonts w:ascii="Arial" w:cs="Arial" w:eastAsia="Arial" w:hAnsi="Arial"/>
                <w:sz w:val="18"/>
                <w:szCs w:val="18"/>
                <w:color w:val="auto"/>
              </w:rPr>
              <w:t>14.49</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(299)</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12.24</w:t>
            </w:r>
          </w:p>
        </w:tc>
        <w:tc>
          <w:tcPr>
            <w:tcW w:w="360" w:type="dxa"/>
            <w:vAlign w:val="bottom"/>
          </w:tcPr>
          <w:p>
            <w:pPr>
              <w:spacing w:after="0"/>
              <w:rPr>
                <w:sz w:val="19"/>
                <w:szCs w:val="19"/>
                <w:color w:val="auto"/>
              </w:rPr>
            </w:pPr>
          </w:p>
        </w:tc>
        <w:tc>
          <w:tcPr>
            <w:tcW w:w="980" w:type="dxa"/>
            <w:vAlign w:val="bottom"/>
            <w:gridSpan w:val="2"/>
          </w:tcPr>
          <w:p>
            <w:pPr>
              <w:jc w:val="right"/>
              <w:ind w:right="212"/>
              <w:spacing w:after="0"/>
              <w:rPr>
                <w:sz w:val="20"/>
                <w:szCs w:val="20"/>
                <w:color w:val="auto"/>
              </w:rPr>
            </w:pPr>
            <w:r>
              <w:rPr>
                <w:rFonts w:ascii="Arial" w:cs="Arial" w:eastAsia="Arial" w:hAnsi="Arial"/>
                <w:sz w:val="18"/>
                <w:szCs w:val="18"/>
                <w:color w:val="auto"/>
              </w:rPr>
              <w:t>(1,339)</w:t>
            </w:r>
          </w:p>
        </w:tc>
        <w:tc>
          <w:tcPr>
            <w:tcW w:w="120" w:type="dxa"/>
            <w:vAlign w:val="bottom"/>
            <w:gridSpan w:val="2"/>
          </w:tcPr>
          <w:p>
            <w:pPr>
              <w:ind w:left="20"/>
              <w:spacing w:after="0"/>
              <w:rPr>
                <w:sz w:val="20"/>
                <w:szCs w:val="20"/>
                <w:color w:val="auto"/>
              </w:rPr>
            </w:pPr>
            <w:r>
              <w:rPr>
                <w:rFonts w:ascii="Arial" w:cs="Arial" w:eastAsia="Arial" w:hAnsi="Arial"/>
                <w:sz w:val="18"/>
                <w:szCs w:val="18"/>
                <w:color w:val="auto"/>
                <w:w w:val="7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13.72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2016</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10,573</w:t>
            </w:r>
          </w:p>
        </w:tc>
        <w:tc>
          <w:tcPr>
            <w:tcW w:w="2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10.41</w:t>
            </w:r>
          </w:p>
        </w:tc>
        <w:tc>
          <w:tcPr>
            <w:tcW w:w="36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w:t>
            </w:r>
          </w:p>
        </w:tc>
        <w:tc>
          <w:tcPr>
            <w:tcW w:w="36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10,627</w:t>
            </w:r>
          </w:p>
        </w:tc>
        <w:tc>
          <w:tcPr>
            <w:tcW w:w="3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1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Company recognizes expense from performance-based equity awards when it becomes probable that the performance conditions will be met. Once it becomes probable that a performance-based award will vest, the Company recognizes share-based compensation expense equal to the number of shares expected to vest multiplied by the fair value of the award at the grant date, which is amortized using the accelerated method.</w:t>
      </w:r>
    </w:p>
    <w:p>
      <w:pPr>
        <w:spacing w:after="0" w:line="10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aggregate intrinsic value of restricted stock units expected to vest as of April 30, 2016 was $95.1 million. The number of restricted stock units that are expected to vest is 9.5 million shares. As of April 30, 2016, unamortized compensation expense related to restricted stock units was $93.6 million. The unamortized compensation expense for restricted stock units will be amortized on a straight-line basis and is expected to be recognized over a weighted average period of 1.8 years.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During the three months ended April 30, 2016 and May 2, 2015, the Company issued no shares under the 2000 Employee Stock Purchase Plan, as amended and restated (the “ESPP”). As of April 30, 2016, there was $38.4 million of unrecognized compensation cost related to the ESPP.</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300" w:firstLine="456"/>
        <w:spacing w:after="0" w:line="294" w:lineRule="auto"/>
        <w:rPr>
          <w:sz w:val="20"/>
          <w:szCs w:val="20"/>
          <w:color w:val="auto"/>
        </w:rPr>
      </w:pPr>
      <w:r>
        <w:rPr>
          <w:rFonts w:ascii="Arial" w:cs="Arial" w:eastAsia="Arial" w:hAnsi="Arial"/>
          <w:sz w:val="16"/>
          <w:szCs w:val="16"/>
          <w:color w:val="auto"/>
        </w:rPr>
        <w:t>There were no share repurchases during the three months ended April 30, 2016. The Company repurchased 1.4 million of its common shares for $22.1 million during the three months ended May 2, 2015. The repurchased shares were retired immediately after the repurchases were completed. The Company records all repurchases, as well as investment purchases and sales, based on trade date. As of April 30, 2016, a total of 241.6 million shares have been repurchased to date under the Company’s share repurchase program for a total $3.1 billion in cash and there was $182.6 million remaining available for future share repurchases. The Company has made no subsequent share repurchases since its third quarter of fiscal 2016.</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69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April 30,</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w w:val="88"/>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w w:val="96"/>
              </w:rPr>
              <w:t>2016</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8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8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30,461</w:t>
            </w:r>
          </w:p>
        </w:tc>
        <w:tc>
          <w:tcPr>
            <w:tcW w:w="5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30,910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statutory requirements under Bermuda law and other factors that the Company’s board of directors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40"/>
        <w:spacing w:after="0" w:line="306" w:lineRule="auto"/>
        <w:rPr>
          <w:sz w:val="20"/>
          <w:szCs w:val="20"/>
          <w:color w:val="auto"/>
        </w:rPr>
      </w:pPr>
      <w:r>
        <w:rPr>
          <w:rFonts w:ascii="Arial" w:cs="Arial" w:eastAsia="Arial" w:hAnsi="Arial"/>
          <w:sz w:val="16"/>
          <w:szCs w:val="16"/>
          <w:color w:val="auto"/>
        </w:rPr>
        <w:t>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07"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May 18, 2016, the Company announced that its board of directors declared a cash dividend of $0.06 per share paid on July 12, 2016 to shareholders of record as of June 14, 2016.</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2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820" w:type="dxa"/>
            <w:vAlign w:val="bottom"/>
            <w:tcBorders>
              <w:top w:val="single" w:sz="8" w:color="auto"/>
            </w:tcBorders>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w w:val="94"/>
              </w:rPr>
              <w:t>April 30,</w:t>
            </w:r>
          </w:p>
        </w:tc>
        <w:tc>
          <w:tcPr>
            <w:tcW w:w="2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2,</w:t>
            </w:r>
          </w:p>
        </w:tc>
        <w:tc>
          <w:tcPr>
            <w:tcW w:w="100" w:type="dxa"/>
            <w:vAlign w:val="bottom"/>
          </w:tcPr>
          <w:p>
            <w:pPr>
              <w:spacing w:after="0"/>
              <w:rPr>
                <w:sz w:val="11"/>
                <w:szCs w:val="1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25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2016</w:t>
            </w: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210"/>
        </w:trPr>
        <w:tc>
          <w:tcPr>
            <w:tcW w:w="4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1,802</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24,396</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24,781</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2,942</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w w:val="91"/>
              </w:rPr>
              <w:t>(4,687)</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4,316</w:t>
            </w:r>
          </w:p>
        </w:tc>
        <w:tc>
          <w:tcPr>
            <w:tcW w:w="100" w:type="dxa"/>
            <w:vAlign w:val="bottom"/>
          </w:tcPr>
          <w:p>
            <w:pPr>
              <w:spacing w:after="0"/>
              <w:rPr>
                <w:sz w:val="18"/>
                <w:szCs w:val="18"/>
                <w:color w:val="auto"/>
              </w:rPr>
            </w:pPr>
          </w:p>
        </w:tc>
      </w:tr>
      <w:tr>
        <w:trPr>
          <w:trHeight w:val="27"/>
        </w:trPr>
        <w:tc>
          <w:tcPr>
            <w:tcW w:w="4440" w:type="dxa"/>
            <w:vAlign w:val="bottom"/>
          </w:tcPr>
          <w:p>
            <w:pPr>
              <w:spacing w:after="0"/>
              <w:rPr>
                <w:sz w:val="2"/>
                <w:szCs w:val="2"/>
                <w:color w:val="auto"/>
              </w:rPr>
            </w:pPr>
          </w:p>
        </w:tc>
        <w:tc>
          <w:tcPr>
            <w:tcW w:w="2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440" w:type="dxa"/>
            <w:vAlign w:val="bottom"/>
            <w:shd w:val="clear" w:color="auto" w:fill="CCEEFF"/>
          </w:tcPr>
          <w:p>
            <w:pPr>
              <w:spacing w:after="0"/>
              <w:rPr>
                <w:sz w:val="18"/>
                <w:szCs w:val="18"/>
                <w:color w:val="auto"/>
              </w:rPr>
            </w:pP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24,453</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33,221</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Upon the termination of certain members of our executive management in April 2016, it was determined that the vesting in certain of their unvested stock awards was not probable. As a result, the Company recorded a $6.9 million reversal of the previously recognized related share-based compensation expense in the first quarter of fiscal 2017. Share-based compensation capitalized in inventory was $1.8 million at April 30, 2016 and $1.5 million at January 30, 2016.</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equity award on the date of grant using the Black-Scholes option pricing model:</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00" w:type="dxa"/>
            <w:vAlign w:val="bottom"/>
          </w:tcPr>
          <w:p>
            <w:pPr>
              <w:spacing w:after="0"/>
              <w:rPr>
                <w:sz w:val="11"/>
                <w:szCs w:val="11"/>
                <w:color w:val="auto"/>
              </w:rPr>
            </w:pPr>
          </w:p>
        </w:tc>
        <w:tc>
          <w:tcPr>
            <w:tcW w:w="236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6"/>
              </w:rPr>
              <w:t>April 30,</w:t>
            </w:r>
          </w:p>
        </w:tc>
        <w:tc>
          <w:tcPr>
            <w:tcW w:w="30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May 2,</w:t>
            </w:r>
          </w:p>
        </w:tc>
        <w:tc>
          <w:tcPr>
            <w:tcW w:w="200" w:type="dxa"/>
            <w:vAlign w:val="bottom"/>
          </w:tcPr>
          <w:p>
            <w:pPr>
              <w:spacing w:after="0"/>
              <w:rPr>
                <w:sz w:val="11"/>
                <w:szCs w:val="11"/>
                <w:color w:val="auto"/>
              </w:rPr>
            </w:pPr>
          </w:p>
        </w:tc>
      </w:tr>
      <w:tr>
        <w:trPr>
          <w:trHeight w:val="161"/>
        </w:trPr>
        <w:tc>
          <w:tcPr>
            <w:tcW w:w="4400" w:type="dxa"/>
            <w:vAlign w:val="bottom"/>
          </w:tcPr>
          <w:p>
            <w:pPr>
              <w:spacing w:after="0"/>
              <w:rPr>
                <w:sz w:val="14"/>
                <w:szCs w:val="14"/>
                <w:color w:val="auto"/>
              </w:rPr>
            </w:pPr>
          </w:p>
        </w:tc>
        <w:tc>
          <w:tcPr>
            <w:tcW w:w="288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2016</w:t>
            </w:r>
          </w:p>
        </w:tc>
        <w:tc>
          <w:tcPr>
            <w:tcW w:w="440" w:type="dxa"/>
            <w:vAlign w:val="bottom"/>
          </w:tcPr>
          <w:p>
            <w:pPr>
              <w:spacing w:after="0"/>
              <w:rPr>
                <w:sz w:val="14"/>
                <w:szCs w:val="14"/>
                <w:color w:val="auto"/>
              </w:rPr>
            </w:pPr>
          </w:p>
        </w:tc>
        <w:tc>
          <w:tcPr>
            <w:tcW w:w="76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r>
      <w:tr>
        <w:trPr>
          <w:trHeight w:val="196"/>
        </w:trPr>
        <w:tc>
          <w:tcPr>
            <w:tcW w:w="44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36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880" w:type="dxa"/>
            <w:vAlign w:val="bottom"/>
            <w:gridSpan w:val="2"/>
          </w:tcPr>
          <w:p>
            <w:pPr>
              <w:jc w:val="right"/>
              <w:spacing w:after="0"/>
              <w:rPr>
                <w:sz w:val="20"/>
                <w:szCs w:val="20"/>
                <w:color w:val="auto"/>
              </w:rPr>
            </w:pPr>
            <w:r>
              <w:rPr>
                <w:rFonts w:ascii="Arial" w:cs="Arial" w:eastAsia="Arial" w:hAnsi="Arial"/>
                <w:sz w:val="18"/>
                <w:szCs w:val="18"/>
                <w:color w:val="auto"/>
              </w:rPr>
              <w:t>$  2.87</w:t>
            </w:r>
          </w:p>
        </w:tc>
        <w:tc>
          <w:tcPr>
            <w:tcW w:w="4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$ 4.54</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33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40%</w:t>
            </w: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34%</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8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4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3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1.3%</w:t>
            </w: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3320" w:type="dxa"/>
            <w:vAlign w:val="bottom"/>
            <w:gridSpan w:val="3"/>
          </w:tcPr>
          <w:p>
            <w:pPr>
              <w:jc w:val="right"/>
              <w:ind w:right="300"/>
              <w:spacing w:after="0"/>
              <w:rPr>
                <w:sz w:val="20"/>
                <w:szCs w:val="20"/>
                <w:color w:val="auto"/>
              </w:rPr>
            </w:pPr>
            <w:r>
              <w:rPr>
                <w:rFonts w:ascii="Arial" w:cs="Arial" w:eastAsia="Arial" w:hAnsi="Arial"/>
                <w:sz w:val="18"/>
                <w:szCs w:val="18"/>
                <w:color w:val="auto"/>
              </w:rPr>
              <w:t>2.5%</w:t>
            </w: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1.6%</w:t>
            </w: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Under the ESPP, there were no stock purchase rights granted in the three months ended April 30, 2016 and May 2, 2015.</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Carnegie Mellon University Settlement</w:t>
      </w:r>
    </w:p>
    <w:p>
      <w:pPr>
        <w:spacing w:after="0" w:line="96"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paid an aggregate of $750 million to CMU in the three months ended April 30, 2016. See CMU litigation under “Note 10 – Commitments and Contingencies” for further information about the lawsuit.</w:t>
      </w:r>
    </w:p>
    <w:p>
      <w:pPr>
        <w:spacing w:after="0" w:line="143"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40" w:firstLine="456"/>
        <w:spacing w:after="0" w:line="298" w:lineRule="auto"/>
        <w:rPr>
          <w:sz w:val="20"/>
          <w:szCs w:val="20"/>
          <w:color w:val="auto"/>
        </w:rPr>
      </w:pPr>
      <w:r>
        <w:rPr>
          <w:rFonts w:ascii="Arial" w:cs="Arial" w:eastAsia="Arial" w:hAnsi="Arial"/>
          <w:sz w:val="16"/>
          <w:szCs w:val="16"/>
          <w:color w:val="auto"/>
        </w:rPr>
        <w:t>The $654.7 million for the mutual release of claims and covenant not to sue was recorded in fiscal 2016 as a settlement charge in operating expenses since there is no future benefit. The $81.3 million license fee was recorded in fiscal 2016 as a charge in cost of goods sold for past use of the license. The $14.0 million representing the future use of the license, is to be recognized in cost of goods sold over the remaining term of the license from February 2016 through April 2018. Accordingly, the Company recorded $1.6 million to cost of goods sold in the three months ended April 30, 2016.</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considered its existing cash, cash equivalents and short-term investments was sufficient to cover payment of the $750 million settlement, and in April 2016, the Company completed full payment of the $750 million to CMU.</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Changes in the Company’s Organization</w:t>
      </w:r>
    </w:p>
    <w:p>
      <w:pPr>
        <w:spacing w:after="0" w:line="96"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In April 2016, the employment of Dr. Sehat Sutardja as Chief Executive Officer and Weili Dai as President was terminated by the Company’s Board of Directors. Dr. Sutardja and Ms. Dai remain on the Board of Directors at this time.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w:t>
      </w:r>
    </w:p>
    <w:p>
      <w:pPr>
        <w:spacing w:after="0" w:line="14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The agreement specifies that the Board will recommend and the Company will support and solicit proxies only for the election at the 2016 annual general meeting of Messrs. Feld, Hill, Khaykin, Murphy, Strachan and Switz and the four independent directors serving on the Board immediately prior to the execution of the agreement, Dr. Juergen Gromer, Dr. John G. Kassakian, Arturo Krueger and Dr. Randhir Thakur.</w:t>
      </w:r>
    </w:p>
    <w:p>
      <w:pPr>
        <w:spacing w:after="0" w:line="116"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In May 2016, Mr. Hill replaced Dr. Sutardja as the Chairman of the Board. In June 2016, the Board of Directors appointed Matthew J. Murphy to serve as the Company’s President and Chief Executive Officer, effective July 11, 2016. Ms. Strelar-Migotti and Dr. Alexopoulos returned to their roles as Executive Vice Presidents of the Company effective upon Mr. Murphy’s commencement of employment.</w:t>
      </w:r>
    </w:p>
    <w:p>
      <w:pPr>
        <w:spacing w:after="0" w:line="14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Upon the commencement of Mr. Murphy’s employment, the Board subsequently appointed Richard S. Hill, the Chairman of the Board, as the Company’s Interim Principal Executive Officer, to serve in that capacity until the Company files its Quarterly Report on Form 10-Q for the second quarter of fiscal 2017 (“Q217 Form 10-Q”). Mr. Murphy will assume the role of the Company’s principal executive officer immediately following the filing of the Q217 Form 10-Q. Mr. Murphy also joined the Board of Directors on July 11, 2016.</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6"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wireless connectivity, and multimedia</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solutions.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3"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In the first quarter of fiscal 2017, we saw revenue decline by 12% sequentially from the fourth quarter of fiscal 2016, mainly due to normal seasonal weakness compounded by a decline in the HDD market and the previously anticipated drop off in our mobile and wireless sales as a result of the Company’s decision to exit the mobile handset platform business. Despite the aforementioned declines, sales of our networking and solid state drive (“SSD”) products increased in the first quarter of fiscal 2017 and partially offset weakness in other areas. Revenue for the first quarter of fiscal 2017 declined 25% on a year-over-year basis compared to the first quarter of fiscal 2016, which was mainly driven by a decline in the HDD market, soft demand for our networking products, and the anticipated decline in our mobile and wireless sales as a result of restructuring the mobile handset platform business. There was also no effect on revenue for the first quarter of fiscal 2017 related to pull-in transactions since our policy is not to engage in such transactions beginning in fiscal 2017.</w:t>
      </w:r>
    </w:p>
    <w:p>
      <w:pPr>
        <w:spacing w:after="0" w:line="37" w:lineRule="exact"/>
        <w:rPr>
          <w:sz w:val="20"/>
          <w:szCs w:val="20"/>
          <w:color w:val="auto"/>
        </w:rPr>
      </w:pPr>
    </w:p>
    <w:p>
      <w:pPr>
        <w:ind w:left="900" w:right="240" w:hanging="325"/>
        <w:spacing w:after="0" w:line="306"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storage market, our HDD SoC revenues were negatively affected by continued pressure on overall HDD industry builds, which is correlated with a persistently weak PC demand environment. The HDD decline was partially offset by growth in SSD controller sales, which was driven by improved demand for SSDs. We continue to invest in comprehensive solutions that build upon our leading position in the storage market.</w:t>
      </w:r>
    </w:p>
    <w:p>
      <w:pPr>
        <w:spacing w:after="0" w:line="25" w:lineRule="exact"/>
        <w:rPr>
          <w:rFonts w:ascii="Arial" w:cs="Arial" w:eastAsia="Arial" w:hAnsi="Arial"/>
          <w:sz w:val="16"/>
          <w:szCs w:val="16"/>
          <w:color w:val="auto"/>
        </w:rPr>
      </w:pPr>
    </w:p>
    <w:p>
      <w:pPr>
        <w:ind w:left="900" w:right="10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networking market, sales of our networking solutions grew sequentially in the first quarter of fiscal 2017 compared to the fourth quarter of fiscal 2016 due to increased demand for enterprise and datacenter applications. In fiscal 2016, we focused our engineering and marketing efforts to our core networking technologies for Ethernet switches, PHYs and embedded networking processors. These efforts enable us to address growth opportunities in cloud data center, enterprise and carrier migration towards infrastructure with higher bandwidths and speed, as well as opportunities that arise from our investment in 5G network products. These efforts have started to manifest in a number of new designs that will enable growth of our networking revenues and improve our market share.</w:t>
      </w:r>
    </w:p>
    <w:p>
      <w:pPr>
        <w:spacing w:after="0" w:line="39" w:lineRule="exact"/>
        <w:rPr>
          <w:rFonts w:ascii="Arial" w:cs="Arial" w:eastAsia="Arial" w:hAnsi="Arial"/>
          <w:sz w:val="16"/>
          <w:szCs w:val="16"/>
          <w:color w:val="auto"/>
        </w:rPr>
      </w:pPr>
    </w:p>
    <w:p>
      <w:pPr>
        <w:ind w:left="900" w:right="2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wireless connectivity market, our wireless connectivity revenues declined in the first quarter of fiscal 2017 given sales for handset-oriented wireless connectivity combo chips were unfavorably affected by our decision to restructure the mobile platform business announced in September 2015. The decline in the mobile handset-related business was partially offset by increased demand from gaming and multimedia applications. We continue to see greater demand and growth opportunities in enterprise access points, gaming and set top box/streaming devices with our new generation of WiFi solutions. We believe the increased bandwidth of our new solutions with advanced signal processing and location capabilities will enable a significant upgrade cycle in enterprise, service provider and connected home appliances.</w:t>
      </w:r>
    </w:p>
    <w:p>
      <w:pPr>
        <w:spacing w:after="0" w:line="39" w:lineRule="exact"/>
        <w:rPr>
          <w:rFonts w:ascii="Arial" w:cs="Arial" w:eastAsia="Arial" w:hAnsi="Arial"/>
          <w:sz w:val="16"/>
          <w:szCs w:val="16"/>
          <w:color w:val="auto"/>
        </w:rPr>
      </w:pPr>
    </w:p>
    <w:p>
      <w:pPr>
        <w:ind w:left="900" w:right="12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mobile market, sales of our mobile solutions, which include our integrated applications processor/baseband modem solutions, declined due to the anticipated drop off from restructuring our mobile handset platform business. We entered the final phases of restructuring this business and anticipate the ramp down in revenues to continue through fiscal 2017.</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believe our financial position is strong and we remain committed to deliver shareholder value through our share repurchase and dividend programs. Our cash, cash equivalents and short-term investments were $1.6 billion at April 30, 2016. We used cash flow from operations of $609.6 million during the first quarter of fiscal 2017. We also paid cash dividends of $0.06 per share for a total of $30.5 million in the first quarter of fiscal 2017. In May 2016, we announced a dividend of $0.06 per share that was paid in the second quarter of fiscal 2017.</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was 17% from one customer and 11% from a second customer for the three months ended April 30, 2016. Net revenue was 20% from one customer, 14% from a second customer and 10% from a third customer for the three months ended May 2, 2015. We also had net revenue from one distributor representing 11% and 12% for the three months ended April 30, 2016 and May 2, 2015, respectively. We continuously monitor the creditworthiness of our distributors and believe these distributors’ sales to diverse end customers and geographies further serve to mitigate our exposure to credit risk.</w:t>
      </w:r>
    </w:p>
    <w:p>
      <w:pPr>
        <w:spacing w:after="0" w:line="116"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Most of our sales are made to customers located outside of the United States, primarily in Asia. Sales to customers located in Asia represented 94% and 95% of our net revenue for the three months ended April 30, 2016 and May 2, 2015, respectively. Because many manufacturers and manufacturing subcontractors of our customers are located in Asia, we expect that most of our net revenue will continue to be represented by sales to our customers in that region.</w:t>
      </w:r>
    </w:p>
    <w:p>
      <w:pPr>
        <w:spacing w:after="0" w:line="88"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8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30, 2016.</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1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190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100" w:type="dxa"/>
            <w:vAlign w:val="bottom"/>
          </w:tcPr>
          <w:p>
            <w:pPr>
              <w:spacing w:after="0"/>
              <w:rPr>
                <w:sz w:val="11"/>
                <w:szCs w:val="11"/>
                <w:color w:val="auto"/>
              </w:rPr>
            </w:pPr>
          </w:p>
        </w:tc>
        <w:tc>
          <w:tcPr>
            <w:tcW w:w="1680" w:type="dxa"/>
            <w:vAlign w:val="bottom"/>
          </w:tcPr>
          <w:p>
            <w:pPr>
              <w:spacing w:after="0"/>
              <w:rPr>
                <w:sz w:val="11"/>
                <w:szCs w:val="11"/>
                <w:color w:val="auto"/>
              </w:rPr>
            </w:pPr>
          </w:p>
        </w:tc>
        <w:tc>
          <w:tcPr>
            <w:tcW w:w="1240" w:type="dxa"/>
            <w:vAlign w:val="bottom"/>
            <w:tcBorders>
              <w:top w:val="single" w:sz="8" w:color="auto"/>
            </w:tcBorders>
            <w:gridSpan w:val="2"/>
          </w:tcPr>
          <w:p>
            <w:pPr>
              <w:jc w:val="right"/>
              <w:ind w:right="720"/>
              <w:spacing w:after="0" w:line="129" w:lineRule="exact"/>
              <w:rPr>
                <w:sz w:val="20"/>
                <w:szCs w:val="20"/>
                <w:color w:val="auto"/>
              </w:rPr>
            </w:pPr>
            <w:r>
              <w:rPr>
                <w:rFonts w:ascii="Arial" w:cs="Arial" w:eastAsia="Arial" w:hAnsi="Arial"/>
                <w:sz w:val="14"/>
                <w:szCs w:val="14"/>
                <w:b w:val="1"/>
                <w:bCs w:val="1"/>
                <w:color w:val="auto"/>
                <w:w w:val="90"/>
              </w:rPr>
              <w:t>April 30,</w:t>
            </w: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May 2,</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100" w:type="dxa"/>
            <w:vAlign w:val="bottom"/>
            <w:tcBorders>
              <w:bottom w:val="single" w:sz="8" w:color="CCEEFF"/>
            </w:tcBorders>
          </w:tcPr>
          <w:p>
            <w:pPr>
              <w:spacing w:after="0"/>
              <w:rPr>
                <w:sz w:val="14"/>
                <w:szCs w:val="14"/>
                <w:color w:val="auto"/>
              </w:rPr>
            </w:pPr>
          </w:p>
        </w:tc>
        <w:tc>
          <w:tcPr>
            <w:tcW w:w="1680" w:type="dxa"/>
            <w:vAlign w:val="bottom"/>
            <w:tcBorders>
              <w:bottom w:val="single" w:sz="8" w:color="CCEEFF"/>
            </w:tcBorders>
          </w:tcPr>
          <w:p>
            <w:pPr>
              <w:spacing w:after="0"/>
              <w:rPr>
                <w:sz w:val="14"/>
                <w:szCs w:val="14"/>
                <w:color w:val="auto"/>
              </w:rPr>
            </w:pPr>
          </w:p>
        </w:tc>
        <w:tc>
          <w:tcPr>
            <w:tcW w:w="52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rPr>
              <w:t>2016</w:t>
            </w:r>
          </w:p>
        </w:tc>
        <w:tc>
          <w:tcPr>
            <w:tcW w:w="72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1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6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100.0%</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100.0%</w:t>
            </w:r>
          </w:p>
        </w:tc>
        <w:tc>
          <w:tcPr>
            <w:tcW w:w="0" w:type="dxa"/>
            <w:vAlign w:val="bottom"/>
          </w:tcPr>
          <w:p>
            <w:pPr>
              <w:spacing w:after="0"/>
              <w:rPr>
                <w:sz w:val="1"/>
                <w:szCs w:val="1"/>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47.9</w:t>
            </w: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0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44.5</w:t>
            </w:r>
          </w:p>
        </w:tc>
        <w:tc>
          <w:tcPr>
            <w:tcW w:w="7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38.7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0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5.9</w:t>
            </w:r>
          </w:p>
        </w:tc>
        <w:tc>
          <w:tcPr>
            <w:tcW w:w="7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5.6</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Restructuring and other related charges</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100" w:type="dxa"/>
            <w:vAlign w:val="bottom"/>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1680" w:type="dxa"/>
            <w:vAlign w:val="bottom"/>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720" w:type="dxa"/>
            <w:vAlign w:val="bottom"/>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costs and expenses</w:t>
            </w:r>
          </w:p>
        </w:tc>
        <w:tc>
          <w:tcPr>
            <w:tcW w:w="1680" w:type="dxa"/>
            <w:vAlign w:val="bottom"/>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w:t>
            </w:r>
          </w:p>
        </w:tc>
        <w:tc>
          <w:tcPr>
            <w:tcW w:w="720" w:type="dxa"/>
            <w:vAlign w:val="bottom"/>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00" w:type="dxa"/>
            <w:vAlign w:val="bottom"/>
          </w:tcPr>
          <w:p>
            <w:pPr>
              <w:spacing w:after="0"/>
              <w:rPr>
                <w:sz w:val="20"/>
                <w:szCs w:val="20"/>
                <w:color w:val="auto"/>
              </w:rPr>
            </w:pPr>
            <w:r>
              <w:rPr>
                <w:rFonts w:ascii="Arial" w:cs="Arial" w:eastAsia="Arial" w:hAnsi="Arial"/>
                <w:sz w:val="18"/>
                <w:szCs w:val="18"/>
                <w:color w:val="auto"/>
              </w:rPr>
              <w:t>Operating income (loss)</w:t>
            </w:r>
          </w:p>
        </w:tc>
        <w:tc>
          <w:tcPr>
            <w:tcW w:w="2920" w:type="dxa"/>
            <w:vAlign w:val="bottom"/>
            <w:gridSpan w:val="3"/>
          </w:tcPr>
          <w:p>
            <w:pPr>
              <w:jc w:val="right"/>
              <w:ind w:right="660"/>
              <w:spacing w:after="0"/>
              <w:rPr>
                <w:sz w:val="20"/>
                <w:szCs w:val="20"/>
                <w:color w:val="auto"/>
              </w:rPr>
            </w:pPr>
            <w:r>
              <w:rPr>
                <w:rFonts w:ascii="Arial" w:cs="Arial" w:eastAsia="Arial" w:hAnsi="Arial"/>
                <w:sz w:val="18"/>
                <w:szCs w:val="18"/>
                <w:color w:val="auto"/>
              </w:rPr>
              <w:t>(5.4)</w:t>
            </w:r>
          </w:p>
        </w:tc>
        <w:tc>
          <w:tcPr>
            <w:tcW w:w="460" w:type="dxa"/>
            <w:vAlign w:val="bottom"/>
          </w:tcPr>
          <w:p>
            <w:pPr>
              <w:jc w:val="right"/>
              <w:spacing w:after="0"/>
              <w:rPr>
                <w:sz w:val="20"/>
                <w:szCs w:val="20"/>
                <w:color w:val="auto"/>
              </w:rPr>
            </w:pPr>
            <w:r>
              <w:rPr>
                <w:rFonts w:ascii="Arial" w:cs="Arial" w:eastAsia="Arial" w:hAnsi="Arial"/>
                <w:sz w:val="18"/>
                <w:szCs w:val="18"/>
                <w:color w:val="auto"/>
              </w:rPr>
              <w:t>1.8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80" w:type="dxa"/>
            <w:vAlign w:val="bottom"/>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720" w:type="dxa"/>
            <w:vAlign w:val="bottom"/>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0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2920" w:type="dxa"/>
            <w:vAlign w:val="bottom"/>
            <w:gridSpan w:val="3"/>
          </w:tcPr>
          <w:p>
            <w:pPr>
              <w:jc w:val="right"/>
              <w:ind w:right="660"/>
              <w:spacing w:after="0"/>
              <w:rPr>
                <w:sz w:val="20"/>
                <w:szCs w:val="20"/>
                <w:color w:val="auto"/>
              </w:rPr>
            </w:pPr>
            <w:r>
              <w:rPr>
                <w:rFonts w:ascii="Arial" w:cs="Arial" w:eastAsia="Arial" w:hAnsi="Arial"/>
                <w:sz w:val="18"/>
                <w:szCs w:val="18"/>
                <w:color w:val="auto"/>
              </w:rPr>
              <w:t>(5.1)</w:t>
            </w:r>
          </w:p>
        </w:tc>
        <w:tc>
          <w:tcPr>
            <w:tcW w:w="460" w:type="dxa"/>
            <w:vAlign w:val="bottom"/>
          </w:tcPr>
          <w:p>
            <w:pPr>
              <w:jc w:val="right"/>
              <w:spacing w:after="0"/>
              <w:rPr>
                <w:sz w:val="20"/>
                <w:szCs w:val="20"/>
                <w:color w:val="auto"/>
              </w:rPr>
            </w:pPr>
            <w:r>
              <w:rPr>
                <w:rFonts w:ascii="Arial" w:cs="Arial" w:eastAsia="Arial" w:hAnsi="Arial"/>
                <w:sz w:val="18"/>
                <w:szCs w:val="18"/>
                <w:color w:val="auto"/>
              </w:rPr>
              <w:t>2.5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6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(0.9)</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00" w:type="dxa"/>
            <w:vAlign w:val="bottom"/>
            <w:vMerge w:val="restart"/>
          </w:tcPr>
          <w:p>
            <w:pPr>
              <w:spacing w:after="0"/>
              <w:rPr>
                <w:sz w:val="20"/>
                <w:szCs w:val="20"/>
                <w:color w:val="auto"/>
              </w:rPr>
            </w:pPr>
            <w:r>
              <w:rPr>
                <w:rFonts w:ascii="Arial" w:cs="Arial" w:eastAsia="Arial" w:hAnsi="Arial"/>
                <w:sz w:val="18"/>
                <w:szCs w:val="18"/>
                <w:color w:val="auto"/>
              </w:rPr>
              <w:t>Net income (loss)</w:t>
            </w:r>
          </w:p>
        </w:tc>
        <w:tc>
          <w:tcPr>
            <w:tcW w:w="1680" w:type="dxa"/>
            <w:vAlign w:val="bottom"/>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100" w:type="dxa"/>
            <w:vAlign w:val="bottom"/>
            <w:vMerge w:val="continue"/>
          </w:tcPr>
          <w:p>
            <w:pPr>
              <w:spacing w:after="0"/>
              <w:rPr>
                <w:sz w:val="19"/>
                <w:szCs w:val="19"/>
                <w:color w:val="auto"/>
              </w:rPr>
            </w:pPr>
          </w:p>
        </w:tc>
        <w:tc>
          <w:tcPr>
            <w:tcW w:w="1680" w:type="dxa"/>
            <w:vAlign w:val="bottom"/>
          </w:tcPr>
          <w:p>
            <w:pPr>
              <w:spacing w:after="0"/>
              <w:rPr>
                <w:sz w:val="19"/>
                <w:szCs w:val="19"/>
                <w:color w:val="auto"/>
              </w:rPr>
            </w:pPr>
          </w:p>
        </w:tc>
        <w:tc>
          <w:tcPr>
            <w:tcW w:w="1240" w:type="dxa"/>
            <w:vAlign w:val="bottom"/>
            <w:gridSpan w:val="2"/>
          </w:tcPr>
          <w:p>
            <w:pPr>
              <w:jc w:val="right"/>
              <w:ind w:right="520"/>
              <w:spacing w:after="0"/>
              <w:rPr>
                <w:sz w:val="20"/>
                <w:szCs w:val="20"/>
                <w:color w:val="auto"/>
              </w:rPr>
            </w:pPr>
            <w:r>
              <w:rPr>
                <w:rFonts w:ascii="Arial" w:cs="Arial" w:eastAsia="Arial" w:hAnsi="Arial"/>
                <w:sz w:val="18"/>
                <w:szCs w:val="18"/>
                <w:color w:val="auto"/>
              </w:rPr>
              <w:t>(4.2)%</w:t>
            </w: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0"/>
        </w:trPr>
        <w:tc>
          <w:tcPr>
            <w:tcW w:w="51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2016 and May 2, 2015</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400" w:type="dxa"/>
            <w:vAlign w:val="bottom"/>
            <w:gridSpan w:val="3"/>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94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April 30,</w:t>
            </w:r>
          </w:p>
        </w:tc>
        <w:tc>
          <w:tcPr>
            <w:tcW w:w="940" w:type="dxa"/>
            <w:vAlign w:val="bottom"/>
            <w:tcBorders>
              <w:top w:val="single" w:sz="8" w:color="auto"/>
            </w:tcBorders>
          </w:tcPr>
          <w:p>
            <w:pPr>
              <w:ind w:left="400"/>
              <w:spacing w:after="0" w:line="129" w:lineRule="exact"/>
              <w:rPr>
                <w:sz w:val="20"/>
                <w:szCs w:val="20"/>
                <w:color w:val="auto"/>
              </w:rPr>
            </w:pPr>
            <w:r>
              <w:rPr>
                <w:rFonts w:ascii="Arial" w:cs="Arial" w:eastAsia="Arial" w:hAnsi="Arial"/>
                <w:sz w:val="14"/>
                <w:szCs w:val="14"/>
                <w:b w:val="1"/>
                <w:bCs w:val="1"/>
                <w:color w:val="auto"/>
              </w:rPr>
              <w:t>May 2,</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940" w:type="dxa"/>
            <w:vAlign w:val="bottom"/>
          </w:tcPr>
          <w:p>
            <w:pPr>
              <w:jc w:val="right"/>
              <w:ind w:right="408"/>
              <w:spacing w:after="0"/>
              <w:rPr>
                <w:sz w:val="20"/>
                <w:szCs w:val="20"/>
                <w:color w:val="auto"/>
              </w:rPr>
            </w:pPr>
            <w:r>
              <w:rPr>
                <w:rFonts w:ascii="Arial" w:cs="Arial" w:eastAsia="Arial" w:hAnsi="Arial"/>
                <w:sz w:val="14"/>
                <w:szCs w:val="14"/>
                <w:b w:val="1"/>
                <w:bCs w:val="1"/>
                <w:color w:val="auto"/>
              </w:rPr>
              <w:t>2016</w:t>
            </w:r>
          </w:p>
        </w:tc>
        <w:tc>
          <w:tcPr>
            <w:tcW w:w="940" w:type="dxa"/>
            <w:vAlign w:val="bottom"/>
          </w:tcPr>
          <w:p>
            <w:pPr>
              <w:jc w:val="right"/>
              <w:ind w:right="126"/>
              <w:spacing w:after="0"/>
              <w:rPr>
                <w:sz w:val="20"/>
                <w:szCs w:val="20"/>
                <w:color w:val="auto"/>
              </w:rPr>
            </w:pPr>
            <w:r>
              <w:rPr>
                <w:rFonts w:ascii="Arial" w:cs="Arial" w:eastAsia="Arial" w:hAnsi="Arial"/>
                <w:sz w:val="14"/>
                <w:szCs w:val="14"/>
                <w:b w:val="1"/>
                <w:bCs w:val="1"/>
                <w:color w:val="auto"/>
              </w:rPr>
              <w:t>2015</w:t>
            </w:r>
          </w:p>
        </w:tc>
        <w:tc>
          <w:tcPr>
            <w:tcW w:w="5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2400" w:type="dxa"/>
            <w:vAlign w:val="bottom"/>
            <w:tcBorders>
              <w:top w:val="single" w:sz="8" w:color="auto"/>
            </w:tcBorders>
            <w:gridSpan w:val="3"/>
          </w:tcPr>
          <w:p>
            <w:pPr>
              <w:ind w:left="460"/>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40" w:type="dxa"/>
            <w:vAlign w:val="bottom"/>
            <w:shd w:val="clear" w:color="auto" w:fill="CCEEFF"/>
          </w:tcPr>
          <w:p>
            <w:pPr>
              <w:jc w:val="right"/>
              <w:ind w:right="188"/>
              <w:spacing w:after="0"/>
              <w:rPr>
                <w:sz w:val="20"/>
                <w:szCs w:val="20"/>
                <w:color w:val="auto"/>
              </w:rPr>
            </w:pPr>
            <w:r>
              <w:rPr>
                <w:rFonts w:ascii="Arial" w:cs="Arial" w:eastAsia="Arial" w:hAnsi="Arial"/>
                <w:sz w:val="18"/>
                <w:szCs w:val="18"/>
                <w:color w:val="auto"/>
                <w:w w:val="87"/>
              </w:rPr>
              <w:t>$540,822</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$724,288</w:t>
            </w:r>
          </w:p>
        </w:tc>
        <w:tc>
          <w:tcPr>
            <w:tcW w:w="5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(25.3)%</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Net revenue for the three months ended April 30, 2016 decreased by $183.5 million compared to the three months ended May 2, 2015 due to overall lower sales of products to customers, as we experienced a decline in demand from certain key customers in the storage end market combined with expected lower sales of products in our mobile end market, where we have undertaken a significant restructuring as announced in September 2015. Unit shipments were 30% lower while weighted average selling prices increased 8% in the three months ended April 30, 2016, compared to the three months ended May 2, 2015, for an overall decline of 25%.</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From time to time prior to fiscal 2017, our customers agreed to take shipments in an earlier fiscal quarter than the fiscal quarter they originally requested delivery. When such agreement would not have occurred but for the request made by Marvell, we refer to such transactions internally as “pull-ins.” Beginning in fiscal 2017, our policy is not to engage in pull-in transactions and, as a result, there were no such transactions in the first quarter of fiscal 2017. Net revenue related to pull-in sales for shipments taken early by our customers were approximately 9% of net revenue in the first quarter of fiscal 2016.</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40"/>
          </w:cols>
          <w:pgMar w:left="240" w:top="459" w:right="31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254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80" w:type="dxa"/>
            <w:vAlign w:val="bottom"/>
          </w:tcPr>
          <w:p>
            <w:pPr>
              <w:spacing w:after="0"/>
              <w:rPr>
                <w:sz w:val="11"/>
                <w:szCs w:val="11"/>
                <w:color w:val="auto"/>
              </w:rPr>
            </w:pPr>
          </w:p>
        </w:tc>
        <w:tc>
          <w:tcPr>
            <w:tcW w:w="1060" w:type="dxa"/>
            <w:vAlign w:val="bottom"/>
            <w:tcBorders>
              <w:top w:val="single" w:sz="8" w:color="auto"/>
            </w:tcBorders>
          </w:tcPr>
          <w:p>
            <w:pPr>
              <w:jc w:val="right"/>
              <w:ind w:right="386"/>
              <w:spacing w:after="0" w:line="129" w:lineRule="exact"/>
              <w:rPr>
                <w:sz w:val="20"/>
                <w:szCs w:val="20"/>
                <w:color w:val="auto"/>
              </w:rPr>
            </w:pPr>
            <w:r>
              <w:rPr>
                <w:rFonts w:ascii="Arial" w:cs="Arial" w:eastAsia="Arial" w:hAnsi="Arial"/>
                <w:sz w:val="14"/>
                <w:szCs w:val="14"/>
                <w:b w:val="1"/>
                <w:bCs w:val="1"/>
                <w:color w:val="auto"/>
              </w:rPr>
              <w:t>April 30,</w:t>
            </w:r>
          </w:p>
        </w:tc>
        <w:tc>
          <w:tcPr>
            <w:tcW w:w="92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2,</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80" w:type="dxa"/>
            <w:vAlign w:val="bottom"/>
          </w:tcPr>
          <w:p>
            <w:pPr>
              <w:spacing w:after="0"/>
              <w:rPr>
                <w:sz w:val="14"/>
                <w:szCs w:val="14"/>
                <w:color w:val="auto"/>
              </w:rPr>
            </w:pPr>
          </w:p>
        </w:tc>
        <w:tc>
          <w:tcPr>
            <w:tcW w:w="1060" w:type="dxa"/>
            <w:vAlign w:val="bottom"/>
          </w:tcPr>
          <w:p>
            <w:pPr>
              <w:jc w:val="right"/>
              <w:ind w:right="506"/>
              <w:spacing w:after="0"/>
              <w:rPr>
                <w:sz w:val="20"/>
                <w:szCs w:val="20"/>
                <w:color w:val="auto"/>
              </w:rPr>
            </w:pPr>
            <w:r>
              <w:rPr>
                <w:rFonts w:ascii="Arial" w:cs="Arial" w:eastAsia="Arial" w:hAnsi="Arial"/>
                <w:sz w:val="14"/>
                <w:szCs w:val="14"/>
                <w:b w:val="1"/>
                <w:bCs w:val="1"/>
                <w:color w:val="auto"/>
              </w:rPr>
              <w:t>2016</w:t>
            </w:r>
          </w:p>
        </w:tc>
        <w:tc>
          <w:tcPr>
            <w:tcW w:w="9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56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80" w:type="dxa"/>
            <w:vAlign w:val="bottom"/>
          </w:tcPr>
          <w:p>
            <w:pPr>
              <w:spacing w:after="0"/>
              <w:rPr>
                <w:sz w:val="12"/>
                <w:szCs w:val="12"/>
                <w:color w:val="auto"/>
              </w:rPr>
            </w:pPr>
          </w:p>
        </w:tc>
        <w:tc>
          <w:tcPr>
            <w:tcW w:w="25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6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7"/>
              </w:rPr>
              <w:t>$259,210</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$351,153</w:t>
            </w:r>
          </w:p>
        </w:tc>
        <w:tc>
          <w:tcPr>
            <w:tcW w:w="5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(26.2)%</w:t>
            </w:r>
          </w:p>
        </w:tc>
        <w:tc>
          <w:tcPr>
            <w:tcW w:w="0" w:type="dxa"/>
            <w:vAlign w:val="bottom"/>
          </w:tcPr>
          <w:p>
            <w:pPr>
              <w:spacing w:after="0"/>
              <w:rPr>
                <w:sz w:val="1"/>
                <w:szCs w:val="1"/>
                <w:color w:val="auto"/>
              </w:rPr>
            </w:pPr>
          </w:p>
        </w:tc>
      </w:tr>
      <w:tr>
        <w:trPr>
          <w:trHeight w:val="222"/>
        </w:trPr>
        <w:tc>
          <w:tcPr>
            <w:tcW w:w="628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tcPr>
          <w:p>
            <w:pPr>
              <w:jc w:val="right"/>
              <w:ind w:right="166"/>
              <w:spacing w:after="0"/>
              <w:rPr>
                <w:sz w:val="20"/>
                <w:szCs w:val="20"/>
                <w:color w:val="auto"/>
              </w:rPr>
            </w:pPr>
            <w:r>
              <w:rPr>
                <w:rFonts w:ascii="Arial" w:cs="Arial" w:eastAsia="Arial" w:hAnsi="Arial"/>
                <w:sz w:val="18"/>
                <w:szCs w:val="18"/>
                <w:color w:val="auto"/>
              </w:rPr>
              <w:t>47.9%</w:t>
            </w:r>
          </w:p>
        </w:tc>
        <w:tc>
          <w:tcPr>
            <w:tcW w:w="1480" w:type="dxa"/>
            <w:vAlign w:val="bottom"/>
            <w:gridSpan w:val="2"/>
          </w:tcPr>
          <w:p>
            <w:pPr>
              <w:jc w:val="right"/>
              <w:ind w:right="420"/>
              <w:spacing w:after="0"/>
              <w:rPr>
                <w:sz w:val="20"/>
                <w:szCs w:val="20"/>
                <w:color w:val="auto"/>
              </w:rPr>
            </w:pPr>
            <w:r>
              <w:rPr>
                <w:rFonts w:ascii="Arial" w:cs="Arial" w:eastAsia="Arial" w:hAnsi="Arial"/>
                <w:sz w:val="18"/>
                <w:szCs w:val="18"/>
                <w:color w:val="auto"/>
              </w:rPr>
              <w:t>48.5%</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Cost of goods sold as a percentage of net revenue was lower for the three months ended April 30, 2016 primarily due to overall lower net revenue. Cost of goods sold as a percentage of net revenue was lower due to improvement in the mix of products, as revenue from our mobile and wireless products, which have a higher average cost of goods sold as a percentage of revenue, continued to decline.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2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820" w:type="dxa"/>
            <w:vAlign w:val="bottom"/>
            <w:tcBorders>
              <w:top w:val="single" w:sz="8" w:color="auto"/>
            </w:tcBorders>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w w:val="94"/>
              </w:rPr>
              <w:t>April 30,</w:t>
            </w:r>
          </w:p>
        </w:tc>
        <w:tc>
          <w:tcPr>
            <w:tcW w:w="2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2,</w:t>
            </w:r>
          </w:p>
        </w:tc>
        <w:tc>
          <w:tcPr>
            <w:tcW w:w="100" w:type="dxa"/>
            <w:vAlign w:val="bottom"/>
          </w:tcPr>
          <w:p>
            <w:pPr>
              <w:spacing w:after="0"/>
              <w:rPr>
                <w:sz w:val="11"/>
                <w:szCs w:val="11"/>
                <w:color w:val="auto"/>
              </w:rPr>
            </w:pPr>
          </w:p>
        </w:tc>
      </w:t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rPr>
              <w:t>2016</w:t>
            </w: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444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520" w:type="dxa"/>
            <w:vAlign w:val="bottom"/>
            <w:gridSpan w:val="5"/>
          </w:tcPr>
          <w:p>
            <w:pPr>
              <w:jc w:val="right"/>
              <w:ind w:right="318"/>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1,802</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24,396</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24,781</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2,942</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w w:val="91"/>
              </w:rPr>
              <w:t>(4,687)</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4,316</w:t>
            </w:r>
          </w:p>
        </w:tc>
        <w:tc>
          <w:tcPr>
            <w:tcW w:w="100" w:type="dxa"/>
            <w:vAlign w:val="bottom"/>
          </w:tcPr>
          <w:p>
            <w:pPr>
              <w:spacing w:after="0"/>
              <w:rPr>
                <w:sz w:val="18"/>
                <w:szCs w:val="18"/>
                <w:color w:val="auto"/>
              </w:rPr>
            </w:pPr>
          </w:p>
        </w:tc>
      </w:tr>
      <w:tr>
        <w:trPr>
          <w:trHeight w:val="27"/>
        </w:trPr>
        <w:tc>
          <w:tcPr>
            <w:tcW w:w="4440" w:type="dxa"/>
            <w:vAlign w:val="bottom"/>
          </w:tcPr>
          <w:p>
            <w:pPr>
              <w:spacing w:after="0"/>
              <w:rPr>
                <w:sz w:val="2"/>
                <w:szCs w:val="2"/>
                <w:color w:val="auto"/>
              </w:rPr>
            </w:pPr>
          </w:p>
        </w:tc>
        <w:tc>
          <w:tcPr>
            <w:tcW w:w="2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440" w:type="dxa"/>
            <w:vAlign w:val="bottom"/>
            <w:shd w:val="clear" w:color="auto" w:fill="CCEEFF"/>
          </w:tcPr>
          <w:p>
            <w:pPr>
              <w:spacing w:after="0"/>
              <w:rPr>
                <w:sz w:val="18"/>
                <w:szCs w:val="18"/>
                <w:color w:val="auto"/>
              </w:rPr>
            </w:pP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24,453</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33,221</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Share-based compensation expense decreased by $8.8 million for the three months ended April 30, 2016 compared to the three months ended May 2, 2015. The decrease is attributable to lower headcount due to the restructuring of the mobile platform business in September 2015, combined with the effect from a $6.9 million reversal of previously recognized expense associated with unvested stock awards for which vesting was determined as not probable upon the termination in April 2016 of certain members of our executive management. These decreases were partially offset by an increase in expense associated with the employee stock purchase plan from the effect of a reset of the offering price in December 2015.</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6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Three Months Ended</w:t>
            </w:r>
          </w:p>
        </w:tc>
      </w:tr>
      <w:tr>
        <w:trPr>
          <w:trHeight w:val="129"/>
        </w:trPr>
        <w:tc>
          <w:tcPr>
            <w:tcW w:w="4880" w:type="dxa"/>
            <w:vAlign w:val="bottom"/>
          </w:tcPr>
          <w:p>
            <w:pPr>
              <w:spacing w:after="0"/>
              <w:rPr>
                <w:sz w:val="11"/>
                <w:szCs w:val="11"/>
                <w:color w:val="auto"/>
              </w:rPr>
            </w:pPr>
          </w:p>
        </w:tc>
        <w:tc>
          <w:tcPr>
            <w:tcW w:w="2140" w:type="dxa"/>
            <w:vAlign w:val="bottom"/>
          </w:tcPr>
          <w:p>
            <w:pPr>
              <w:spacing w:after="0"/>
              <w:rPr>
                <w:sz w:val="11"/>
                <w:szCs w:val="11"/>
                <w:color w:val="auto"/>
              </w:rPr>
            </w:pPr>
          </w:p>
        </w:tc>
        <w:tc>
          <w:tcPr>
            <w:tcW w:w="82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April 30,</w:t>
            </w:r>
          </w:p>
        </w:tc>
        <w:tc>
          <w:tcPr>
            <w:tcW w:w="740" w:type="dxa"/>
            <w:vAlign w:val="bottom"/>
            <w:tcBorders>
              <w:top w:val="single" w:sz="8" w:color="auto"/>
            </w:tcBorders>
          </w:tcPr>
          <w:p>
            <w:pPr>
              <w:ind w:left="300"/>
              <w:spacing w:after="0" w:line="129" w:lineRule="exact"/>
              <w:rPr>
                <w:sz w:val="20"/>
                <w:szCs w:val="20"/>
                <w:color w:val="auto"/>
              </w:rPr>
            </w:pPr>
            <w:r>
              <w:rPr>
                <w:rFonts w:ascii="Arial" w:cs="Arial" w:eastAsia="Arial" w:hAnsi="Arial"/>
                <w:sz w:val="14"/>
                <w:szCs w:val="14"/>
                <w:b w:val="1"/>
                <w:bCs w:val="1"/>
                <w:color w:val="auto"/>
                <w:w w:val="98"/>
              </w:rPr>
              <w:t>May 2,</w:t>
            </w:r>
          </w:p>
        </w:tc>
        <w:tc>
          <w:tcPr>
            <w:tcW w:w="100" w:type="dxa"/>
            <w:vAlign w:val="bottom"/>
          </w:tcPr>
          <w:p>
            <w:pPr>
              <w:spacing w:after="0"/>
              <w:rPr>
                <w:sz w:val="11"/>
                <w:szCs w:val="11"/>
                <w:color w:val="auto"/>
              </w:rPr>
            </w:pPr>
          </w:p>
        </w:tc>
      </w:tr>
      <w:tr>
        <w:trPr>
          <w:trHeight w:val="161"/>
        </w:trPr>
        <w:tc>
          <w:tcPr>
            <w:tcW w:w="4880" w:type="dxa"/>
            <w:vAlign w:val="bottom"/>
          </w:tcPr>
          <w:p>
            <w:pPr>
              <w:spacing w:after="0"/>
              <w:rPr>
                <w:sz w:val="14"/>
                <w:szCs w:val="14"/>
                <w:color w:val="auto"/>
              </w:rPr>
            </w:pPr>
          </w:p>
        </w:tc>
        <w:tc>
          <w:tcPr>
            <w:tcW w:w="296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2016</w:t>
            </w:r>
          </w:p>
        </w:tc>
        <w:tc>
          <w:tcPr>
            <w:tcW w:w="740" w:type="dxa"/>
            <w:vAlign w:val="bottom"/>
          </w:tcPr>
          <w:p>
            <w:pPr>
              <w:jc w:val="right"/>
              <w:ind w:right="46"/>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48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56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100" w:type="dxa"/>
            <w:vAlign w:val="bottom"/>
          </w:tcPr>
          <w:p>
            <w:pPr>
              <w:spacing w:after="0"/>
              <w:rPr>
                <w:sz w:val="12"/>
                <w:szCs w:val="12"/>
                <w:color w:val="auto"/>
              </w:rPr>
            </w:pPr>
          </w:p>
        </w:tc>
      </w:tr>
      <w:tr>
        <w:trPr>
          <w:trHeight w:val="216"/>
        </w:trPr>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Restructuring and other related charges</w:t>
            </w:r>
          </w:p>
        </w:tc>
        <w:tc>
          <w:tcPr>
            <w:tcW w:w="2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$ 4,441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592</w:t>
            </w:r>
          </w:p>
        </w:tc>
        <w:tc>
          <w:tcPr>
            <w:tcW w:w="100" w:type="dxa"/>
            <w:vAlign w:val="bottom"/>
            <w:shd w:val="clear" w:color="auto" w:fill="CCEEFF"/>
          </w:tcPr>
          <w:p>
            <w:pPr>
              <w:spacing w:after="0"/>
              <w:rPr>
                <w:sz w:val="18"/>
                <w:szCs w:val="18"/>
                <w:color w:val="auto"/>
              </w:rPr>
            </w:pPr>
          </w:p>
        </w:tc>
      </w:tr>
    </w:tbl>
    <w:p>
      <w:pPr>
        <w:spacing w:after="0" w:line="154"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We recorded a total of $4.4 million in restructuring charges in the three months ended April 30, 2016 primarily related to the vacating of certain floors of our facility in Israel, for which we recorded a $3.6 million charge for the remaining lease obligation, net of estimated sublease income, associated with those floors. There were no other significant activities that occurred in the three months ended April 30, 2016. See “Note 8 – Restructuring and Other Related Charges” in the Notes to the Unaudited Condensed Consolidated Financial Statements set forth in Part I, Item 1 of this Quarterly Report on Form 10-Q for further discussion.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320" w:type="dxa"/>
            <w:vAlign w:val="bottom"/>
          </w:tcPr>
          <w:p>
            <w:pPr>
              <w:spacing w:after="0"/>
              <w:rPr>
                <w:sz w:val="14"/>
                <w:szCs w:val="14"/>
                <w:color w:val="auto"/>
              </w:rPr>
            </w:pPr>
          </w:p>
        </w:tc>
        <w:tc>
          <w:tcPr>
            <w:tcW w:w="250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20" w:type="dxa"/>
            <w:vAlign w:val="bottom"/>
          </w:tcPr>
          <w:p>
            <w:pPr>
              <w:spacing w:after="0"/>
              <w:rPr>
                <w:sz w:val="11"/>
                <w:szCs w:val="11"/>
                <w:color w:val="auto"/>
              </w:rPr>
            </w:pPr>
          </w:p>
        </w:tc>
        <w:tc>
          <w:tcPr>
            <w:tcW w:w="1040" w:type="dxa"/>
            <w:vAlign w:val="bottom"/>
            <w:tcBorders>
              <w:top w:val="single" w:sz="8" w:color="auto"/>
            </w:tcBorders>
          </w:tcPr>
          <w:p>
            <w:pPr>
              <w:jc w:val="right"/>
              <w:ind w:right="386"/>
              <w:spacing w:after="0" w:line="129" w:lineRule="exact"/>
              <w:rPr>
                <w:sz w:val="20"/>
                <w:szCs w:val="20"/>
                <w:color w:val="auto"/>
              </w:rPr>
            </w:pPr>
            <w:r>
              <w:rPr>
                <w:rFonts w:ascii="Arial" w:cs="Arial" w:eastAsia="Arial" w:hAnsi="Arial"/>
                <w:sz w:val="14"/>
                <w:szCs w:val="14"/>
                <w:b w:val="1"/>
                <w:bCs w:val="1"/>
                <w:color w:val="auto"/>
              </w:rPr>
              <w:t>April 30,</w:t>
            </w:r>
          </w:p>
        </w:tc>
        <w:tc>
          <w:tcPr>
            <w:tcW w:w="90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2,</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20" w:type="dxa"/>
            <w:vAlign w:val="bottom"/>
          </w:tcPr>
          <w:p>
            <w:pPr>
              <w:spacing w:after="0"/>
              <w:rPr>
                <w:sz w:val="14"/>
                <w:szCs w:val="14"/>
                <w:color w:val="auto"/>
              </w:rPr>
            </w:pPr>
          </w:p>
        </w:tc>
        <w:tc>
          <w:tcPr>
            <w:tcW w:w="1040" w:type="dxa"/>
            <w:vAlign w:val="bottom"/>
          </w:tcPr>
          <w:p>
            <w:pPr>
              <w:jc w:val="right"/>
              <w:ind w:right="506"/>
              <w:spacing w:after="0"/>
              <w:rPr>
                <w:sz w:val="20"/>
                <w:szCs w:val="20"/>
                <w:color w:val="auto"/>
              </w:rPr>
            </w:pPr>
            <w:r>
              <w:rPr>
                <w:rFonts w:ascii="Arial" w:cs="Arial" w:eastAsia="Arial" w:hAnsi="Arial"/>
                <w:sz w:val="14"/>
                <w:szCs w:val="14"/>
                <w:b w:val="1"/>
                <w:bCs w:val="1"/>
                <w:color w:val="auto"/>
              </w:rPr>
              <w:t>2016</w:t>
            </w:r>
          </w:p>
        </w:tc>
        <w:tc>
          <w:tcPr>
            <w:tcW w:w="9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56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320" w:type="dxa"/>
            <w:vAlign w:val="bottom"/>
          </w:tcPr>
          <w:p>
            <w:pPr>
              <w:spacing w:after="0"/>
              <w:rPr>
                <w:sz w:val="12"/>
                <w:szCs w:val="12"/>
                <w:color w:val="auto"/>
              </w:rPr>
            </w:pPr>
          </w:p>
        </w:tc>
        <w:tc>
          <w:tcPr>
            <w:tcW w:w="250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4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5"/>
              </w:rPr>
              <w:t>$240,458</w:t>
            </w:r>
          </w:p>
        </w:tc>
        <w:tc>
          <w:tcPr>
            <w:tcW w:w="14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$280,114</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(14.2)%</w:t>
            </w:r>
          </w:p>
        </w:tc>
        <w:tc>
          <w:tcPr>
            <w:tcW w:w="0" w:type="dxa"/>
            <w:vAlign w:val="bottom"/>
          </w:tcPr>
          <w:p>
            <w:pPr>
              <w:spacing w:after="0"/>
              <w:rPr>
                <w:sz w:val="1"/>
                <w:szCs w:val="1"/>
                <w:color w:val="auto"/>
              </w:rPr>
            </w:pPr>
          </w:p>
        </w:tc>
      </w:tr>
      <w:tr>
        <w:trPr>
          <w:trHeight w:val="222"/>
        </w:trPr>
        <w:tc>
          <w:tcPr>
            <w:tcW w:w="6320" w:type="dxa"/>
            <w:vAlign w:val="bottom"/>
          </w:tcPr>
          <w:p>
            <w:pPr>
              <w:spacing w:after="0"/>
              <w:rPr>
                <w:sz w:val="20"/>
                <w:szCs w:val="20"/>
                <w:color w:val="auto"/>
              </w:rPr>
            </w:pPr>
            <w:r>
              <w:rPr>
                <w:rFonts w:ascii="Arial" w:cs="Arial" w:eastAsia="Arial" w:hAnsi="Arial"/>
                <w:sz w:val="18"/>
                <w:szCs w:val="18"/>
                <w:color w:val="auto"/>
              </w:rPr>
              <w:t>% of net revenue</w:t>
            </w:r>
          </w:p>
        </w:tc>
        <w:tc>
          <w:tcPr>
            <w:tcW w:w="1040" w:type="dxa"/>
            <w:vAlign w:val="bottom"/>
          </w:tcPr>
          <w:p>
            <w:pPr>
              <w:jc w:val="right"/>
              <w:ind w:right="146"/>
              <w:spacing w:after="0"/>
              <w:rPr>
                <w:sz w:val="20"/>
                <w:szCs w:val="20"/>
                <w:color w:val="auto"/>
              </w:rPr>
            </w:pPr>
            <w:r>
              <w:rPr>
                <w:rFonts w:ascii="Arial" w:cs="Arial" w:eastAsia="Arial" w:hAnsi="Arial"/>
                <w:sz w:val="18"/>
                <w:szCs w:val="18"/>
                <w:color w:val="auto"/>
              </w:rPr>
              <w:t>44.5%</w:t>
            </w:r>
          </w:p>
        </w:tc>
        <w:tc>
          <w:tcPr>
            <w:tcW w:w="1460" w:type="dxa"/>
            <w:vAlign w:val="bottom"/>
            <w:gridSpan w:val="2"/>
          </w:tcPr>
          <w:p>
            <w:pPr>
              <w:jc w:val="right"/>
              <w:ind w:right="420"/>
              <w:spacing w:after="0"/>
              <w:rPr>
                <w:sz w:val="20"/>
                <w:szCs w:val="20"/>
                <w:color w:val="auto"/>
              </w:rPr>
            </w:pPr>
            <w:r>
              <w:rPr>
                <w:rFonts w:ascii="Arial" w:cs="Arial" w:eastAsia="Arial" w:hAnsi="Arial"/>
                <w:sz w:val="18"/>
                <w:szCs w:val="18"/>
                <w:color w:val="auto"/>
              </w:rPr>
              <w:t>38.7%</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Research and development expense decreased by $39.7 million for the three months ended April 30, 2016 compared to the three months ended May 2, 2015. The decrease was attributable to $26.2 million of lower personnel-related costs due to headcount reduction for which a large part was from the restructuring of our mobile platform business announced in September 2015, which has substantially been completed. As a result, we anticipate total annual cost savings of approximately $130 million in lower research and development expenses for fiscal 2017. The decrease also reflects $5.6 million of lower spending for third-party vendor and non-recurring engineering services, and a reduction in depreciation and amortization expense of $4.1 million as certain equipment has become fully amortized.</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40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960" w:type="dxa"/>
            <w:vAlign w:val="bottom"/>
            <w:tcBorders>
              <w:top w:val="single" w:sz="8" w:color="auto"/>
            </w:tcBorders>
          </w:tcPr>
          <w:p>
            <w:pPr>
              <w:jc w:val="right"/>
              <w:ind w:right="346"/>
              <w:spacing w:after="0" w:line="129" w:lineRule="exact"/>
              <w:rPr>
                <w:sz w:val="20"/>
                <w:szCs w:val="20"/>
                <w:color w:val="auto"/>
              </w:rPr>
            </w:pPr>
            <w:r>
              <w:rPr>
                <w:rFonts w:ascii="Arial" w:cs="Arial" w:eastAsia="Arial" w:hAnsi="Arial"/>
                <w:sz w:val="14"/>
                <w:szCs w:val="14"/>
                <w:b w:val="1"/>
                <w:bCs w:val="1"/>
                <w:color w:val="auto"/>
                <w:w w:val="94"/>
              </w:rPr>
              <w:t>April 30,</w:t>
            </w:r>
          </w:p>
        </w:tc>
        <w:tc>
          <w:tcPr>
            <w:tcW w:w="82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May 2,</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960" w:type="dxa"/>
            <w:vAlign w:val="bottom"/>
          </w:tcPr>
          <w:p>
            <w:pPr>
              <w:jc w:val="right"/>
              <w:ind w:right="466"/>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6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240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6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6"/>
              </w:rPr>
              <w:t>$31,379</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$36,174</w:t>
            </w:r>
          </w:p>
        </w:tc>
        <w:tc>
          <w:tcPr>
            <w:tcW w:w="6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(13.3)%</w:t>
            </w:r>
          </w:p>
        </w:tc>
        <w:tc>
          <w:tcPr>
            <w:tcW w:w="0" w:type="dxa"/>
            <w:vAlign w:val="bottom"/>
          </w:tcPr>
          <w:p>
            <w:pPr>
              <w:spacing w:after="0"/>
              <w:rPr>
                <w:sz w:val="1"/>
                <w:szCs w:val="1"/>
                <w:color w:val="auto"/>
              </w:rPr>
            </w:pPr>
          </w:p>
        </w:tc>
      </w:tr>
      <w:tr>
        <w:trPr>
          <w:trHeight w:val="222"/>
        </w:trPr>
        <w:tc>
          <w:tcPr>
            <w:tcW w:w="648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ind w:right="166"/>
              <w:spacing w:after="0"/>
              <w:rPr>
                <w:sz w:val="20"/>
                <w:szCs w:val="20"/>
                <w:color w:val="auto"/>
              </w:rPr>
            </w:pPr>
            <w:r>
              <w:rPr>
                <w:rFonts w:ascii="Arial" w:cs="Arial" w:eastAsia="Arial" w:hAnsi="Arial"/>
                <w:sz w:val="18"/>
                <w:szCs w:val="18"/>
                <w:color w:val="auto"/>
              </w:rPr>
              <w:t>5.8%</w:t>
            </w:r>
          </w:p>
        </w:tc>
        <w:tc>
          <w:tcPr>
            <w:tcW w:w="1440" w:type="dxa"/>
            <w:vAlign w:val="bottom"/>
            <w:gridSpan w:val="2"/>
          </w:tcPr>
          <w:p>
            <w:pPr>
              <w:jc w:val="right"/>
              <w:ind w:right="480"/>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Selling and marketing expense decreased by $4.8 million for the three months ended April 30, 2016 compared to the three months ended May 2, 2015. The decrease was attributable to a decrease of $4.5 million for certain marketing advertisement costs that were incurred due to a special program combined with $0.5 million of lower personnel-related costs due to headcount reduction from the restructuring of our mobile platform business announced in September 2015.</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40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960" w:type="dxa"/>
            <w:vAlign w:val="bottom"/>
            <w:tcBorders>
              <w:top w:val="single" w:sz="8" w:color="auto"/>
            </w:tcBorders>
          </w:tcPr>
          <w:p>
            <w:pPr>
              <w:jc w:val="right"/>
              <w:ind w:right="326"/>
              <w:spacing w:after="0" w:line="129" w:lineRule="exact"/>
              <w:rPr>
                <w:sz w:val="20"/>
                <w:szCs w:val="20"/>
                <w:color w:val="auto"/>
              </w:rPr>
            </w:pPr>
            <w:r>
              <w:rPr>
                <w:rFonts w:ascii="Arial" w:cs="Arial" w:eastAsia="Arial" w:hAnsi="Arial"/>
                <w:sz w:val="14"/>
                <w:szCs w:val="14"/>
                <w:b w:val="1"/>
                <w:bCs w:val="1"/>
                <w:color w:val="auto"/>
                <w:w w:val="97"/>
              </w:rPr>
              <w:t>April 30,</w:t>
            </w:r>
          </w:p>
        </w:tc>
        <w:tc>
          <w:tcPr>
            <w:tcW w:w="82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May 2,</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960" w:type="dxa"/>
            <w:vAlign w:val="bottom"/>
          </w:tcPr>
          <w:p>
            <w:pPr>
              <w:jc w:val="right"/>
              <w:ind w:right="446"/>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6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240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96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6"/>
              </w:rPr>
              <w:t>$31,995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$40,435</w:t>
            </w:r>
          </w:p>
        </w:tc>
        <w:tc>
          <w:tcPr>
            <w:tcW w:w="6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(20.9)%</w:t>
            </w:r>
          </w:p>
        </w:tc>
        <w:tc>
          <w:tcPr>
            <w:tcW w:w="0" w:type="dxa"/>
            <w:vAlign w:val="bottom"/>
          </w:tcPr>
          <w:p>
            <w:pPr>
              <w:spacing w:after="0"/>
              <w:rPr>
                <w:sz w:val="1"/>
                <w:szCs w:val="1"/>
                <w:color w:val="auto"/>
              </w:rPr>
            </w:pPr>
          </w:p>
        </w:tc>
      </w:tr>
      <w:tr>
        <w:trPr>
          <w:trHeight w:val="222"/>
        </w:trPr>
        <w:tc>
          <w:tcPr>
            <w:tcW w:w="648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ind w:right="146"/>
              <w:spacing w:after="0"/>
              <w:rPr>
                <w:sz w:val="20"/>
                <w:szCs w:val="20"/>
                <w:color w:val="auto"/>
              </w:rPr>
            </w:pPr>
            <w:r>
              <w:rPr>
                <w:rFonts w:ascii="Arial" w:cs="Arial" w:eastAsia="Arial" w:hAnsi="Arial"/>
                <w:sz w:val="18"/>
                <w:szCs w:val="18"/>
                <w:color w:val="auto"/>
              </w:rPr>
              <w:t>5.9%</w:t>
            </w:r>
          </w:p>
        </w:tc>
        <w:tc>
          <w:tcPr>
            <w:tcW w:w="1440" w:type="dxa"/>
            <w:vAlign w:val="bottom"/>
            <w:gridSpan w:val="2"/>
          </w:tcPr>
          <w:p>
            <w:pPr>
              <w:jc w:val="right"/>
              <w:ind w:right="480"/>
              <w:spacing w:after="0"/>
              <w:rPr>
                <w:sz w:val="20"/>
                <w:szCs w:val="20"/>
                <w:color w:val="auto"/>
              </w:rPr>
            </w:pPr>
            <w:r>
              <w:rPr>
                <w:rFonts w:ascii="Arial" w:cs="Arial" w:eastAsia="Arial" w:hAnsi="Arial"/>
                <w:sz w:val="18"/>
                <w:szCs w:val="18"/>
                <w:color w:val="auto"/>
              </w:rPr>
              <w:t>5.6%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General and administrative expense decreased by $8.4 million for the three months ended April 30, 2016 compared to the three months ended May 2, 2015. The decrease reflects the effect of a $15.4 million charge for a cash payment to our former Chief Executive Officer approved by the Company’s Executive Compensation Committee included in the three months ended May 2, 2015 that is not included in the three months ended April 30, 2016 combined with $2.0 million of lower costs for the surety bonds related to the litigation with CMU. In addition, the decrease included a $6.9 million reversal of previously recognized share-based compensation expense related to certain members of our executive management for which the vesting was determined not probable upon their termination in April 2016. These decreases were partially offset by increases due to higher legal expenses of $8.3 million mainly associated with certain accounting and internal control matters that are the subject of investigations by the Securities and Exchange Commission and the U.S. Attorney, and which were also investigated by the Company’s Audit Committee, beginning in the second quarter of fiscal 2016, combined with $7.6 million of higher professional fees, primarily for audit-related services.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84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236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4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920" w:type="dxa"/>
            <w:vAlign w:val="bottom"/>
            <w:tcBorders>
              <w:top w:val="single" w:sz="8" w:color="auto"/>
            </w:tcBorders>
          </w:tcPr>
          <w:p>
            <w:pPr>
              <w:jc w:val="right"/>
              <w:ind w:right="352"/>
              <w:spacing w:after="0" w:line="129" w:lineRule="exact"/>
              <w:rPr>
                <w:sz w:val="20"/>
                <w:szCs w:val="20"/>
                <w:color w:val="auto"/>
              </w:rPr>
            </w:pPr>
            <w:r>
              <w:rPr>
                <w:rFonts w:ascii="Arial" w:cs="Arial" w:eastAsia="Arial" w:hAnsi="Arial"/>
                <w:sz w:val="14"/>
                <w:szCs w:val="14"/>
                <w:b w:val="1"/>
                <w:bCs w:val="1"/>
                <w:color w:val="auto"/>
                <w:w w:val="86"/>
              </w:rPr>
              <w:t>April 30,</w:t>
            </w:r>
          </w:p>
        </w:tc>
        <w:tc>
          <w:tcPr>
            <w:tcW w:w="7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2,</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40" w:type="dxa"/>
            <w:vAlign w:val="bottom"/>
          </w:tcPr>
          <w:p>
            <w:pPr>
              <w:spacing w:after="0"/>
              <w:rPr>
                <w:sz w:val="14"/>
                <w:szCs w:val="14"/>
                <w:color w:val="auto"/>
              </w:rPr>
            </w:pPr>
          </w:p>
        </w:tc>
        <w:tc>
          <w:tcPr>
            <w:tcW w:w="360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2016</w:t>
            </w:r>
          </w:p>
        </w:tc>
        <w:tc>
          <w:tcPr>
            <w:tcW w:w="760" w:type="dxa"/>
            <w:vAlign w:val="bottom"/>
          </w:tcPr>
          <w:p>
            <w:pPr>
              <w:jc w:val="right"/>
              <w:ind w:right="42"/>
              <w:spacing w:after="0"/>
              <w:rPr>
                <w:sz w:val="20"/>
                <w:szCs w:val="20"/>
                <w:color w:val="auto"/>
              </w:rPr>
            </w:pPr>
            <w:r>
              <w:rPr>
                <w:rFonts w:ascii="Arial" w:cs="Arial" w:eastAsia="Arial" w:hAnsi="Arial"/>
                <w:sz w:val="14"/>
                <w:szCs w:val="14"/>
                <w:b w:val="1"/>
                <w:bCs w:val="1"/>
                <w:color w:val="auto"/>
              </w:rPr>
              <w:t>2015</w:t>
            </w:r>
          </w:p>
        </w:tc>
        <w:tc>
          <w:tcPr>
            <w:tcW w:w="68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84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236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360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$ 2,461</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8"/>
              </w:rPr>
              <w:t>(4.2)%</w:t>
            </w:r>
          </w:p>
        </w:tc>
        <w:tc>
          <w:tcPr>
            <w:tcW w:w="0" w:type="dxa"/>
            <w:vAlign w:val="bottom"/>
          </w:tcPr>
          <w:p>
            <w:pPr>
              <w:spacing w:after="0"/>
              <w:rPr>
                <w:sz w:val="1"/>
                <w:szCs w:val="1"/>
                <w:color w:val="auto"/>
              </w:rPr>
            </w:pPr>
          </w:p>
        </w:tc>
      </w:tr>
      <w:tr>
        <w:trPr>
          <w:trHeight w:val="222"/>
        </w:trPr>
        <w:tc>
          <w:tcPr>
            <w:tcW w:w="3840" w:type="dxa"/>
            <w:vAlign w:val="bottom"/>
          </w:tcPr>
          <w:p>
            <w:pPr>
              <w:spacing w:after="0"/>
              <w:rPr>
                <w:sz w:val="20"/>
                <w:szCs w:val="20"/>
                <w:color w:val="auto"/>
              </w:rPr>
            </w:pPr>
            <w:r>
              <w:rPr>
                <w:rFonts w:ascii="Arial" w:cs="Arial" w:eastAsia="Arial" w:hAnsi="Arial"/>
                <w:sz w:val="18"/>
                <w:szCs w:val="18"/>
                <w:color w:val="auto"/>
              </w:rPr>
              <w:t>% of net revenue</w:t>
            </w:r>
          </w:p>
        </w:tc>
        <w:tc>
          <w:tcPr>
            <w:tcW w:w="3600" w:type="dxa"/>
            <w:vAlign w:val="bottom"/>
            <w:gridSpan w:val="2"/>
          </w:tcPr>
          <w:p>
            <w:pPr>
              <w:jc w:val="right"/>
              <w:ind w:right="192"/>
              <w:spacing w:after="0"/>
              <w:rPr>
                <w:sz w:val="20"/>
                <w:szCs w:val="20"/>
                <w:color w:val="auto"/>
              </w:rPr>
            </w:pPr>
            <w:r>
              <w:rPr>
                <w:rFonts w:ascii="Arial" w:cs="Arial" w:eastAsia="Arial" w:hAnsi="Arial"/>
                <w:sz w:val="18"/>
                <w:szCs w:val="18"/>
                <w:color w:val="auto"/>
              </w:rPr>
              <w:t>0.5%</w:t>
            </w:r>
          </w:p>
        </w:tc>
        <w:tc>
          <w:tcPr>
            <w:tcW w:w="1440" w:type="dxa"/>
            <w:vAlign w:val="bottom"/>
            <w:gridSpan w:val="2"/>
          </w:tcPr>
          <w:p>
            <w:pPr>
              <w:jc w:val="right"/>
              <w:ind w:right="520"/>
              <w:spacing w:after="0"/>
              <w:rPr>
                <w:sz w:val="20"/>
                <w:szCs w:val="20"/>
                <w:color w:val="auto"/>
              </w:rPr>
            </w:pPr>
            <w:r>
              <w:rPr>
                <w:rFonts w:ascii="Arial" w:cs="Arial" w:eastAsia="Arial" w:hAnsi="Arial"/>
                <w:sz w:val="18"/>
                <w:szCs w:val="18"/>
                <w:color w:val="auto"/>
              </w:rPr>
              <w:t>0.3%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840" w:type="dxa"/>
            <w:vAlign w:val="bottom"/>
          </w:tcPr>
          <w:p>
            <w:pPr>
              <w:spacing w:after="0"/>
              <w:rPr>
                <w:sz w:val="24"/>
                <w:szCs w:val="24"/>
                <w:color w:val="auto"/>
              </w:rPr>
            </w:pPr>
          </w:p>
        </w:tc>
        <w:tc>
          <w:tcPr>
            <w:tcW w:w="2680" w:type="dxa"/>
            <w:vAlign w:val="bottom"/>
          </w:tcPr>
          <w:p>
            <w:pPr>
              <w:jc w:val="right"/>
              <w:ind w:right="1557"/>
              <w:spacing w:after="0"/>
              <w:rPr>
                <w:sz w:val="20"/>
                <w:szCs w:val="20"/>
                <w:color w:val="auto"/>
              </w:rPr>
            </w:pPr>
            <w:r>
              <w:rPr>
                <w:rFonts w:ascii="Arial" w:cs="Arial" w:eastAsia="Arial" w:hAnsi="Arial"/>
                <w:sz w:val="18"/>
                <w:szCs w:val="18"/>
                <w:color w:val="auto"/>
              </w:rPr>
              <w:t>28</w:t>
            </w:r>
          </w:p>
        </w:tc>
        <w:tc>
          <w:tcPr>
            <w:tcW w:w="9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Amortization of acquired intangible assets decreased by $0.1 million for the three months ended April 30, 2016 compared to the three months ended May 2, 2015. The decrease reflects the decline in amortization expense of acquired intangible assets as certain intangible assets have become fully amortized.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40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940" w:type="dxa"/>
            <w:vAlign w:val="bottom"/>
            <w:tcBorders>
              <w:top w:val="single" w:sz="8" w:color="auto"/>
            </w:tcBorders>
          </w:tcPr>
          <w:p>
            <w:pPr>
              <w:jc w:val="right"/>
              <w:ind w:right="346"/>
              <w:spacing w:after="0" w:line="129" w:lineRule="exact"/>
              <w:rPr>
                <w:sz w:val="20"/>
                <w:szCs w:val="20"/>
                <w:color w:val="auto"/>
              </w:rPr>
            </w:pPr>
            <w:r>
              <w:rPr>
                <w:rFonts w:ascii="Arial" w:cs="Arial" w:eastAsia="Arial" w:hAnsi="Arial"/>
                <w:sz w:val="14"/>
                <w:szCs w:val="14"/>
                <w:b w:val="1"/>
                <w:bCs w:val="1"/>
                <w:color w:val="auto"/>
                <w:w w:val="90"/>
              </w:rPr>
              <w:t>April 30,</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2,</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940" w:type="dxa"/>
            <w:vAlign w:val="bottom"/>
          </w:tcPr>
          <w:p>
            <w:pPr>
              <w:jc w:val="right"/>
              <w:ind w:right="466"/>
              <w:spacing w:after="0"/>
              <w:rPr>
                <w:sz w:val="20"/>
                <w:szCs w:val="20"/>
                <w:color w:val="auto"/>
              </w:rPr>
            </w:pPr>
            <w:r>
              <w:rPr>
                <w:rFonts w:ascii="Arial" w:cs="Arial" w:eastAsia="Arial" w:hAnsi="Arial"/>
                <w:sz w:val="14"/>
                <w:szCs w:val="14"/>
                <w:b w:val="1"/>
                <w:bCs w:val="1"/>
                <w:color w:val="auto"/>
              </w:rPr>
              <w:t>2016</w:t>
            </w:r>
          </w:p>
        </w:tc>
        <w:tc>
          <w:tcPr>
            <w:tcW w:w="780" w:type="dxa"/>
            <w:vAlign w:val="bottom"/>
          </w:tcPr>
          <w:p>
            <w:pPr>
              <w:jc w:val="right"/>
              <w:ind w:right="42"/>
              <w:spacing w:after="0"/>
              <w:rPr>
                <w:sz w:val="20"/>
                <w:szCs w:val="20"/>
                <w:color w:val="auto"/>
              </w:rPr>
            </w:pPr>
            <w:r>
              <w:rPr>
                <w:rFonts w:ascii="Arial" w:cs="Arial" w:eastAsia="Arial" w:hAnsi="Arial"/>
                <w:sz w:val="14"/>
                <w:szCs w:val="14"/>
                <w:b w:val="1"/>
                <w:bCs w:val="1"/>
                <w:color w:val="auto"/>
              </w:rPr>
              <w:t>2015</w:t>
            </w:r>
          </w:p>
        </w:tc>
        <w:tc>
          <w:tcPr>
            <w:tcW w:w="6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240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94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3"/>
              </w:rPr>
              <w:t>$ 1,488</w:t>
            </w:r>
          </w:p>
        </w:tc>
        <w:tc>
          <w:tcPr>
            <w:tcW w:w="146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$5,167</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(71.2)%</w:t>
            </w:r>
          </w:p>
        </w:tc>
        <w:tc>
          <w:tcPr>
            <w:tcW w:w="0" w:type="dxa"/>
            <w:vAlign w:val="bottom"/>
          </w:tcPr>
          <w:p>
            <w:pPr>
              <w:spacing w:after="0"/>
              <w:rPr>
                <w:sz w:val="1"/>
                <w:szCs w:val="1"/>
                <w:color w:val="auto"/>
              </w:rPr>
            </w:pPr>
          </w:p>
        </w:tc>
      </w:tr>
      <w:tr>
        <w:trPr>
          <w:trHeight w:val="222"/>
        </w:trPr>
        <w:tc>
          <w:tcPr>
            <w:tcW w:w="648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tcPr>
          <w:p>
            <w:pPr>
              <w:jc w:val="right"/>
              <w:ind w:right="206"/>
              <w:spacing w:after="0"/>
              <w:rPr>
                <w:sz w:val="20"/>
                <w:szCs w:val="20"/>
                <w:color w:val="auto"/>
              </w:rPr>
            </w:pPr>
            <w:r>
              <w:rPr>
                <w:rFonts w:ascii="Arial" w:cs="Arial" w:eastAsia="Arial" w:hAnsi="Arial"/>
                <w:sz w:val="18"/>
                <w:szCs w:val="18"/>
                <w:color w:val="auto"/>
              </w:rPr>
              <w:t>0.3%</w:t>
            </w:r>
          </w:p>
        </w:tc>
        <w:tc>
          <w:tcPr>
            <w:tcW w:w="1460" w:type="dxa"/>
            <w:vAlign w:val="bottom"/>
            <w:gridSpan w:val="2"/>
          </w:tcPr>
          <w:p>
            <w:pPr>
              <w:jc w:val="right"/>
              <w:ind w:right="540"/>
              <w:spacing w:after="0"/>
              <w:rPr>
                <w:sz w:val="20"/>
                <w:szCs w:val="20"/>
                <w:color w:val="auto"/>
              </w:rPr>
            </w:pPr>
            <w:r>
              <w:rPr>
                <w:rFonts w:ascii="Arial" w:cs="Arial" w:eastAsia="Arial" w:hAnsi="Arial"/>
                <w:sz w:val="18"/>
                <w:szCs w:val="18"/>
                <w:color w:val="auto"/>
              </w:rPr>
              <w:t>0.7%</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Interest and other income, net, decreased by $3.7 million for the three months ended April 30, 2016 compared to the three months ended May 2, 2015, primarily due to the recognition of foreign currency losses from the revaluation of our foreign currency denominated tax liabilities as the U.S. dollar weakened during the three months ended April 30, 2016 compared to the three months ended May 2, 2015. In addition, we had lower interest income due to overall lower interest rates and average cash balances.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820" w:type="dxa"/>
            <w:vAlign w:val="bottom"/>
          </w:tcPr>
          <w:p>
            <w:pPr>
              <w:spacing w:after="0"/>
              <w:rPr>
                <w:sz w:val="14"/>
                <w:szCs w:val="14"/>
                <w:color w:val="auto"/>
              </w:rPr>
            </w:pPr>
          </w:p>
        </w:tc>
        <w:tc>
          <w:tcPr>
            <w:tcW w:w="1760" w:type="dxa"/>
            <w:vAlign w:val="bottom"/>
            <w:gridSpan w:val="3"/>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vMerge w:val="restart"/>
          </w:tcPr>
          <w:p>
            <w:pPr>
              <w:jc w:val="right"/>
              <w:ind w:right="12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820" w:type="dxa"/>
            <w:vAlign w:val="bottom"/>
          </w:tcPr>
          <w:p>
            <w:pPr>
              <w:spacing w:after="0"/>
              <w:rPr>
                <w:sz w:val="11"/>
                <w:szCs w:val="11"/>
                <w:color w:val="auto"/>
              </w:rPr>
            </w:pPr>
          </w:p>
        </w:tc>
        <w:tc>
          <w:tcPr>
            <w:tcW w:w="82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April 30,</w:t>
            </w:r>
          </w:p>
        </w:tc>
        <w:tc>
          <w:tcPr>
            <w:tcW w:w="700" w:type="dxa"/>
            <w:vAlign w:val="bottom"/>
            <w:tcBorders>
              <w:top w:val="single" w:sz="8" w:color="auto"/>
            </w:tcBorders>
          </w:tcPr>
          <w:p>
            <w:pPr>
              <w:jc w:val="center"/>
              <w:ind w:left="126"/>
              <w:spacing w:after="0" w:line="129" w:lineRule="exact"/>
              <w:rPr>
                <w:sz w:val="20"/>
                <w:szCs w:val="20"/>
                <w:color w:val="auto"/>
              </w:rPr>
            </w:pPr>
            <w:r>
              <w:rPr>
                <w:rFonts w:ascii="Arial" w:cs="Arial" w:eastAsia="Arial" w:hAnsi="Arial"/>
                <w:sz w:val="14"/>
                <w:szCs w:val="14"/>
                <w:b w:val="1"/>
                <w:bCs w:val="1"/>
                <w:color w:val="auto"/>
                <w:w w:val="88"/>
              </w:rPr>
              <w:t>May 2,</w:t>
            </w:r>
          </w:p>
        </w:tc>
        <w:tc>
          <w:tcPr>
            <w:tcW w:w="240" w:type="dxa"/>
            <w:vAlign w:val="bottom"/>
          </w:tcPr>
          <w:p>
            <w:pPr>
              <w:spacing w:after="0"/>
              <w:rPr>
                <w:sz w:val="11"/>
                <w:szCs w:val="11"/>
                <w:color w:val="auto"/>
              </w:rPr>
            </w:pPr>
          </w:p>
        </w:tc>
        <w:tc>
          <w:tcPr>
            <w:tcW w:w="7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20" w:type="dxa"/>
            <w:vAlign w:val="bottom"/>
          </w:tcPr>
          <w:p>
            <w:pPr>
              <w:spacing w:after="0"/>
              <w:rPr>
                <w:sz w:val="14"/>
                <w:szCs w:val="14"/>
                <w:color w:val="auto"/>
              </w:rPr>
            </w:pPr>
          </w:p>
        </w:tc>
        <w:tc>
          <w:tcPr>
            <w:tcW w:w="820" w:type="dxa"/>
            <w:vAlign w:val="bottom"/>
          </w:tcPr>
          <w:p>
            <w:pPr>
              <w:ind w:left="140"/>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46"/>
              <w:spacing w:after="0"/>
              <w:rPr>
                <w:sz w:val="20"/>
                <w:szCs w:val="20"/>
                <w:color w:val="auto"/>
              </w:rPr>
            </w:pPr>
            <w:r>
              <w:rPr>
                <w:rFonts w:ascii="Arial" w:cs="Arial" w:eastAsia="Arial" w:hAnsi="Arial"/>
                <w:sz w:val="14"/>
                <w:szCs w:val="14"/>
                <w:b w:val="1"/>
                <w:bCs w:val="1"/>
                <w:color w:val="auto"/>
              </w:rPr>
              <w:t>2015</w:t>
            </w:r>
          </w:p>
        </w:tc>
        <w:tc>
          <w:tcPr>
            <w:tcW w:w="240" w:type="dxa"/>
            <w:vAlign w:val="bottom"/>
          </w:tcPr>
          <w:p>
            <w:pPr>
              <w:spacing w:after="0"/>
              <w:rPr>
                <w:sz w:val="14"/>
                <w:szCs w:val="14"/>
                <w:color w:val="auto"/>
              </w:rPr>
            </w:pPr>
          </w:p>
        </w:tc>
        <w:tc>
          <w:tcPr>
            <w:tcW w:w="10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820" w:type="dxa"/>
            <w:vAlign w:val="bottom"/>
          </w:tcPr>
          <w:p>
            <w:pPr>
              <w:spacing w:after="0"/>
              <w:rPr>
                <w:sz w:val="12"/>
                <w:szCs w:val="12"/>
                <w:color w:val="auto"/>
              </w:rPr>
            </w:pPr>
          </w:p>
        </w:tc>
        <w:tc>
          <w:tcPr>
            <w:tcW w:w="2500" w:type="dxa"/>
            <w:vAlign w:val="bottom"/>
            <w:tcBorders>
              <w:top w:val="single" w:sz="8" w:color="auto"/>
            </w:tcBorders>
            <w:gridSpan w:val="4"/>
          </w:tcPr>
          <w:p>
            <w:pPr>
              <w:jc w:val="center"/>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820" w:type="dxa"/>
            <w:vAlign w:val="bottom"/>
            <w:shd w:val="clear" w:color="auto" w:fill="CCEEFF"/>
          </w:tcPr>
          <w:p>
            <w:pPr>
              <w:jc w:val="right"/>
              <w:ind w:right="128"/>
              <w:spacing w:after="0"/>
              <w:rPr>
                <w:sz w:val="20"/>
                <w:szCs w:val="20"/>
                <w:color w:val="auto"/>
              </w:rPr>
            </w:pPr>
            <w:r>
              <w:rPr>
                <w:rFonts w:ascii="Arial" w:cs="Arial" w:eastAsia="Arial" w:hAnsi="Arial"/>
                <w:sz w:val="18"/>
                <w:szCs w:val="18"/>
                <w:color w:val="auto"/>
                <w:w w:val="89"/>
              </w:rPr>
              <w:t>$(4,955)</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$4,329</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(214.5)%</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had an effective tax rate of 17.9% in the three months ended April 30, 2016. Our income tax benefit for the three months ended April 30, 2016 included the current income tax benefit of $2.7 million and a deferred tax benefit of $2.5 million for the portion of a payment to the Company’s former Chief Executive Officer that became deductible after his departure from the Company in April 2016, offset by a net increase in unrecognized tax benefits of $0.2 million. The net increase in unrecognized tax benefits arose from penalties and interest of $0.7 million accrued on the outstanding unrecognized tax benefit balance, partially offset by the release of $0.5 million due to expiration of the statute of limitations in a non-U.S. jurisdiction.</w:t>
      </w:r>
    </w:p>
    <w:p>
      <w:pPr>
        <w:spacing w:after="0" w:line="11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We had an effective tax rate of 23.5% in the three months ended May 2, 2015. Our income tax provision for the three months ended May 2, 2015 included the current income tax liability of $4.3 million, plus an additional provision of $3.1 million related to a $15.4 million payment to the Company’s former Chief Executive Officer, which were offset by a net reduction in unrecognized tax benefits of $3.1 million. The net reduction in unrecognized tax benefits arose from the release of $4.0 million due to the expiration of the statute of limitations in a non-U.S. jurisdiction, which was partially offset by penalties and interest of $0.9 million accrued on the outstanding unrecognized tax benefit balance.</w:t>
      </w:r>
    </w:p>
    <w:p>
      <w:pPr>
        <w:spacing w:after="0" w:line="116"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$16.3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operate under tax incentives in certain countries, which may be extended if certain additional requirements are satisfied. The tax incentives are conditional upon meeting certain employment and investment thresholds. The impact of these tax incentives decreased foreign taxes by $0.9 million and $3.3 million in the three months ended April 30, 2016 and May 2, 2015, respectively. The benefit of the tax incentives on net income per share was less than $0.01 per share for the three months ended April 30, 2016 and $0.01 per share for the three months ended May 2, 2015.</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principal source of liquidity as of April 30, 2016 consisted of approximately $1.6 billion of cash, cash equivalents and short-term investments, of which approximately $760 million was held by foreign subsidiaries (outside Bermuda). Approximately $570 million of this amount held by foreign subsidiaries is related to undistributed earnings,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$175 million.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w:t>
      </w:r>
    </w:p>
    <w:p>
      <w:pPr>
        <w:spacing w:after="0" w:line="12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May 18, 2016, we announced that our board of directors declared a cash dividend of $0.06 per share paid on July 12, 2016 to shareholders of record as of June 14, 2016.</w:t>
      </w:r>
    </w:p>
    <w:p>
      <w:pPr>
        <w:spacing w:after="0" w:line="132"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and our shareholders,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Net cash used in operating activities was $609.6 million for the three months ended April 30, 2016. The cash outflows from operations for the three months ended April 30, 2016 were due to $22.7 million of net loss adjusted for $51.4 million of non-cash items and changes in working capital of $638.3 million. The cash outflow from working capital for the three months ended April 30, 2016 was primarily driven by the decrease in the CMU accrued litigation settlement that was fully paid in the three months ended April 30, 2016. The effect on such decreases in working capital was partially offset by the cash inflow to working capital from decreases in accounts receivable due to lower sales, decrease in prepaid expenses and other assets due to receipt of $53.7 million cash for unsettled trades of available-for-sale securities, and inventories, combined with an increase in accounts payable.</w:t>
      </w:r>
    </w:p>
    <w:p>
      <w:pPr>
        <w:spacing w:after="0" w:line="120"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Net cash provided by operating activities was $58.9 million for the three months ended May 2, 2015. The cash inflows from operations for the three months ended May 2, 2015 were primarily due to $14.1 million of net income adjusted for $62.9 million of non-cash items and changes in working capital of $18.1 million.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Net cash generated from investing activities was $162.4 million for the three months ended April 30, 2016 compared to net cash used in investing activities of $166.6 million for the three months ended May 2, 2015. For the three months ended April 30, 2016 net cash generated from investing activities was primarily driven by sales and maturities of available-for-sale securities of $316.3 million. This increase was partially offset by payments of $93.4 million for the purchase of available-for-sale securities and $50.0 million for the purchase of time deposits.</w:t>
      </w:r>
    </w:p>
    <w:p>
      <w:pPr>
        <w:spacing w:after="0" w:line="14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For the three months ended May 2, 2015, net cash used in investing activities of $166.6 was primarily due to net cash outflows from purchases of available-for-sales securities of $392.9 million less the sales and maturities of available-for-sale securities of $247.5 million and the payment of $10.2 million purchase of equipment previously leased.</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Net cash used in financing activities was $50.7 million for the three months ended April 30, 2016 compared to net cash used in financing activities of $64.5 million for the three months ended May 2, 2015. For the three months ended April 30, 2016, net cash used in financing activities was primarily attributable to payments of our quarterly dividends of $30.5 million and $15.3 million minimum tax withholding payments on behalf of employees for net share settlements.</w:t>
      </w:r>
    </w:p>
    <w:p>
      <w:pPr>
        <w:spacing w:after="0" w:line="107"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Net cash used in financing activities of $64.5 million for the three months ended May 2, 2015 was primarily attributable to payments of our quarterly dividends of $30.9 million and repurchase of our common shares in the open market for $20.3 million under our share repurchase program. In addition, we paid $22.3 million for the minimum tax withholding on behalf of employees for net share settlements, which was partially offset by $13.0 million proceeds from the issuance of our common shares under our share-based plans.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April 30, 2016, we were not involved in any unconsolidated SPE transactions.</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 that each of the sureties have the right to demand to be placed in funds or call for collateral under pre-defined events. See also “Note 10 – Commitments and Contingencies” in the Notes to the Unaudited Condensed Consolidated Financial Statements set forth in Part I, Item 1 of this Quarterly Report on Form 10-Q for a further discussion of this matter.</w:t>
      </w:r>
    </w:p>
    <w:p>
      <w:pPr>
        <w:spacing w:after="0" w:line="118"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$131.4 million at April 30, 2016.</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has been reduced to $439 million and the secondary bond has been adjusted to $311 million. For additional information, see CMU litigation in “Note 10 – Commitments and Contingencies” in the Notes to the Unaudited Condensed Consolidated Financial Statements set forth in Part I, Item 1 of this Quarterly Report on Form 10-Q.</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We presented our contractual obligations at January 30, 2016 in our Annual Report on Form 10-K for the fiscal year then ended. There have been no material changes outside the ordinary course of business in those obligations during the three months ended April 30, 2016,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April 30, 2016.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consolidated balance sheets at fair market value with their related unrealized gain or loss reflected as a component of accumulated other comprehensive income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April 30, 2016, a hypothetical 100 basis point increase in interest rates across all maturities would result in a $9.9 million decline in the fair market value of the portfolio. Due to our positive cash flow from operations, the relatively short-term nature of our investment portfolio and our ability to hold investments to maturity, such change in fair market value would likely not result in any significant cash flow impact.</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April 30, 2016, our investment portfolio included auction rate securities with an aggregate par value of $10.0 million classified as long-term investments. Although these auction rate securities have continued to pay interest and the underlying collateral has not deteriorated, there is currently limited trading volume. We use a discounted cash flow model to estimate the fair value of the auction rate securities based on its estimated timing and amount of future interest and principal payments. In developing the discounted cash flow model, we consider the credit quality and liquidity of the underlying securities and related issuer, the collateralization of underlying security investments and other considerations.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made a determination in January 2016 that we did not expect to recover the par value of these auction rate securities and consider any impairment of these securities to be other-than-temporary. There has been no change in circumstances since January 2016 based upon the current time horizon for holding these securities and the continuation of an illiquid market. Based on our assessment of fair value as of April 30, 2016, we determined there was no further impairment of these auction rate securities.</w:t>
      </w:r>
    </w:p>
    <w:p>
      <w:pPr>
        <w:spacing w:after="0" w:line="143"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During the three months ended April 30, 2016, we sold auction rate securities, which had an aggregate par value of $2.5 million, for net proceeds of $2.4 million. The carrying value of these auction rate securities was previously written down to $2.3 million, and therefore, resulted in a gain of $0.1 million upon its sale.</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The carrying value of these equity investments was $5.8 million at April 30, 2016, and was included in other non-current assets in our consolidated balance sheets. We monitor these investments for impairment and make appropriate reductions in carrying value when an impairment is deemed to be other-than-temporary.</w:t>
      </w:r>
    </w:p>
    <w:p>
      <w:pPr>
        <w:spacing w:after="0" w:line="11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2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4.6%. We expect our hedges of foreign currency exposures to be highly effective and offset a significant portion of the short-term impact of changes in exchange rates on the hedged portion of our exposure.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As reported in the Current Report on Form 8-K filed by the Company with the SEC on March 1,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20" w:hanging="446"/>
        <w:spacing w:after="0" w:line="256"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60" w:hanging="446"/>
        <w:spacing w:after="0" w:line="256"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62" w:lineRule="exact"/>
        <w:rPr>
          <w:rFonts w:ascii="Arial" w:cs="Arial" w:eastAsia="Arial" w:hAnsi="Arial"/>
          <w:sz w:val="18"/>
          <w:szCs w:val="18"/>
          <w:color w:val="auto"/>
        </w:rPr>
      </w:pPr>
    </w:p>
    <w:p>
      <w:pPr>
        <w:ind w:left="900" w:right="100" w:hanging="446"/>
        <w:spacing w:after="0" w:line="259"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applications for which he later assigned to Marvell.</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April 30, 2016.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April 30, 2016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April 30, 2016,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Material Weaknesses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concluded that we did not maintain effective internal control over financial reporting as of April 30, 2016 because of certain material weaknesses in our internal control over financial reporting as of April 30, 2016 as follows:</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i w:val="1"/>
          <w:iCs w:val="1"/>
          <w:color w:val="auto"/>
        </w:rPr>
        <w:t xml:space="preserve">Sufficiency of Accounting and Finance Department Resources </w:t>
      </w:r>
      <w:r>
        <w:rPr>
          <w:rFonts w:ascii="Arial" w:cs="Arial" w:eastAsia="Arial" w:hAnsi="Arial"/>
          <w:sz w:val="18"/>
          <w:szCs w:val="18"/>
          <w:color w:val="auto"/>
        </w:rPr>
        <w:t>– The Company had insufficient finance and accounting department resources with</w:t>
      </w:r>
      <w:r>
        <w:rPr>
          <w:rFonts w:ascii="Arial" w:cs="Arial" w:eastAsia="Arial" w:hAnsi="Arial"/>
          <w:sz w:val="18"/>
          <w:szCs w:val="18"/>
          <w:i w:val="1"/>
          <w:iCs w:val="1"/>
          <w:color w:val="auto"/>
        </w:rPr>
        <w:t xml:space="preserve"> </w:t>
      </w:r>
      <w:r>
        <w:rPr>
          <w:rFonts w:ascii="Arial" w:cs="Arial" w:eastAsia="Arial" w:hAnsi="Arial"/>
          <w:sz w:val="18"/>
          <w:szCs w:val="18"/>
          <w:color w:val="auto"/>
        </w:rPr>
        <w:t>appropriate knowledge, expertise and training commensurate with the Company’s corporate structure and financial reporting requirements to effectively assess risk, and design, operate and oversee effective internal controls over financial reporting. The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45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 The Company’s internal controls to identify, accumulate and assess the accounting impact of certain concessions or side agreements</w:t>
      </w:r>
      <w:r>
        <w:rPr>
          <w:rFonts w:ascii="Arial" w:cs="Arial" w:eastAsia="Arial" w:hAnsi="Arial"/>
          <w:sz w:val="16"/>
          <w:szCs w:val="16"/>
          <w:i w:val="1"/>
          <w:iCs w:val="1"/>
          <w:color w:val="auto"/>
        </w:rPr>
        <w:t xml:space="preserve"> </w:t>
      </w:r>
      <w:r>
        <w:rPr>
          <w:rFonts w:ascii="Arial" w:cs="Arial" w:eastAsia="Arial" w:hAnsi="Arial"/>
          <w:sz w:val="16"/>
          <w:szCs w:val="16"/>
          <w:color w:val="auto"/>
        </w:rPr>
        <w:t>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16"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we have developed and are implementing remediation plans to fully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1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was a critical step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jc w:val="both"/>
        <w:ind w:left="900" w:right="80" w:hanging="325"/>
        <w:spacing w:after="0" w:line="306"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By unanimous action of the Board of Directors,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appointed a new Chairman of our Board of Directors.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recently appointed a new Chief Executive Officer who we expect will provide strong leadership to the Company and establish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80" w:hanging="325"/>
        <w:spacing w:after="0" w:line="259"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are actively engaged in a search for a new, permanent Chief Financial Officer who we expect will bring expertise and leadership to the Company and our finance team and establish open lines of communication with his or her internal business unit leaders and the finance and accounting team world-wide.</w:t>
      </w:r>
    </w:p>
    <w:p>
      <w:pPr>
        <w:spacing w:after="0" w:line="59" w:lineRule="exact"/>
        <w:rPr>
          <w:rFonts w:ascii="Arial" w:cs="Arial" w:eastAsia="Arial" w:hAnsi="Arial"/>
          <w:sz w:val="18"/>
          <w:szCs w:val="18"/>
          <w:color w:val="auto"/>
        </w:rPr>
      </w:pPr>
    </w:p>
    <w:p>
      <w:pPr>
        <w:ind w:left="900" w:right="160" w:hanging="325"/>
        <w:spacing w:after="0" w:line="335" w:lineRule="auto"/>
        <w:tabs>
          <w:tab w:leader="none" w:pos="900" w:val="left"/>
        </w:tabs>
        <w:numPr>
          <w:ilvl w:val="0"/>
          <w:numId w:val="6"/>
        </w:numPr>
        <w:rPr>
          <w:rFonts w:ascii="Arial" w:cs="Arial" w:eastAsia="Arial" w:hAnsi="Arial"/>
          <w:sz w:val="15"/>
          <w:szCs w:val="15"/>
          <w:color w:val="auto"/>
        </w:rPr>
      </w:pPr>
      <w:r>
        <w:rPr>
          <w:rFonts w:ascii="Arial" w:cs="Arial" w:eastAsia="Arial" w:hAnsi="Arial"/>
          <w:sz w:val="15"/>
          <w:szCs w:val="15"/>
          <w:color w:val="auto"/>
        </w:rPr>
        <w:t>We conducted a training program for our executives,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7" w:lineRule="exact"/>
        <w:rPr>
          <w:rFonts w:ascii="Arial" w:cs="Arial" w:eastAsia="Arial" w:hAnsi="Arial"/>
          <w:sz w:val="15"/>
          <w:szCs w:val="15"/>
          <w:color w:val="auto"/>
        </w:rPr>
      </w:pPr>
    </w:p>
    <w:p>
      <w:pPr>
        <w:ind w:left="900" w:right="38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accordance with changes to the Audit Committee Charter approved by the Board on September 23, 2015, the Audit Committee now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40" w:hanging="325"/>
        <w:spacing w:after="0" w:line="298"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In accordance with changes to the Executive Compensation Committee Charter approved by the Board on September 23, 2015, the Executive Compensation Committee now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380" w:hanging="325"/>
        <w:spacing w:after="0" w:line="357" w:lineRule="auto"/>
        <w:tabs>
          <w:tab w:leader="none" w:pos="900" w:val="left"/>
        </w:tabs>
        <w:numPr>
          <w:ilvl w:val="0"/>
          <w:numId w:val="7"/>
        </w:numPr>
        <w:rPr>
          <w:rFonts w:ascii="Arial" w:cs="Arial" w:eastAsia="Arial" w:hAnsi="Arial"/>
          <w:sz w:val="15"/>
          <w:szCs w:val="15"/>
          <w:color w:val="auto"/>
        </w:rPr>
      </w:pPr>
      <w:r>
        <w:rPr>
          <w:rFonts w:ascii="Arial" w:cs="Arial" w:eastAsia="Arial" w:hAnsi="Arial"/>
          <w:sz w:val="15"/>
          <w:szCs w:val="15"/>
          <w:color w:val="auto"/>
        </w:rPr>
        <w:t>We are actively engaged in a search for a new Chief Financial Officer who we expect will provide strong leadership to the Company and, in particular, to our finance and accounting function, and establish open lines of communication with his or her staff and internal business partners.</w:t>
      </w:r>
    </w:p>
    <w:p>
      <w:pPr>
        <w:ind w:left="900" w:right="160" w:hanging="325"/>
        <w:spacing w:after="0" w:line="306"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We have hired a new Senior Vice President of Finance and a new Assistant Controller to increase the depth and breadth of knowledge and expertise commensurate with the Company’s corporate structure and financial reporting requirements. These new finance team members will support the Company’s substantial efforts to design, operate and oversee effective internal controls over financial reporting.</w:t>
      </w:r>
    </w:p>
    <w:p>
      <w:pPr>
        <w:spacing w:after="0" w:line="25" w:lineRule="exact"/>
        <w:rPr>
          <w:rFonts w:ascii="Arial" w:cs="Arial" w:eastAsia="Arial" w:hAnsi="Arial"/>
          <w:sz w:val="16"/>
          <w:szCs w:val="16"/>
          <w:color w:val="auto"/>
        </w:rPr>
      </w:pPr>
    </w:p>
    <w:p>
      <w:pPr>
        <w:ind w:left="900" w:hanging="325"/>
        <w:spacing w:after="0" w:line="259"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are actively engaged in a search for a new Chief Accounting Officer and Controller who we expect will bring additional technical expertise to our finance and accounting function and will support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100" w:hanging="325"/>
        <w:spacing w:after="0" w:line="259"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 We expect our new senior finance team to contribute their substantial experience and abilities to raise the level of expertise across the finance and accounting teams.</w:t>
      </w:r>
    </w:p>
    <w:p>
      <w:pPr>
        <w:spacing w:after="0" w:line="59" w:lineRule="exact"/>
        <w:rPr>
          <w:rFonts w:ascii="Arial" w:cs="Arial" w:eastAsia="Arial" w:hAnsi="Arial"/>
          <w:sz w:val="18"/>
          <w:szCs w:val="18"/>
          <w:color w:val="auto"/>
        </w:rPr>
      </w:pPr>
    </w:p>
    <w:p>
      <w:pPr>
        <w:ind w:left="900" w:right="120" w:hanging="325"/>
        <w:spacing w:after="0" w:line="255"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Audit Committee directed our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 ins” will have no meaningful effect on our revenue.</w:t>
      </w:r>
    </w:p>
    <w:p>
      <w:pPr>
        <w:spacing w:after="0" w:line="50"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As noted above,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p>
    <w:p>
      <w:pPr>
        <w:spacing w:after="0" w:line="90" w:lineRule="exact"/>
        <w:rPr>
          <w:sz w:val="20"/>
          <w:szCs w:val="20"/>
          <w:color w:val="auto"/>
        </w:rPr>
      </w:pPr>
    </w:p>
    <w:p>
      <w:pPr>
        <w:ind w:left="900" w:right="240" w:hanging="325"/>
        <w:spacing w:after="0" w:line="332"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The Company has hired a new Executive Vice President and Chief Legal Officer to fill this role.</w:t>
      </w:r>
    </w:p>
    <w:p>
      <w:pPr>
        <w:spacing w:after="0" w:line="4" w:lineRule="exact"/>
        <w:rPr>
          <w:rFonts w:ascii="Arial" w:cs="Arial" w:eastAsia="Arial" w:hAnsi="Arial"/>
          <w:sz w:val="16"/>
          <w:szCs w:val="16"/>
          <w:color w:val="auto"/>
        </w:rPr>
      </w:pPr>
    </w:p>
    <w:p>
      <w:pPr>
        <w:ind w:left="900" w:hanging="325"/>
        <w:spacing w:after="0" w:line="298"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Audit Committee directed the Interim CFO, in coordination with the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31"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We continue to enhance our patent disclosure and assignment policy, and have adopted an augmented patent disclosure and assignment process.</w:t>
      </w:r>
    </w:p>
    <w:p>
      <w:pPr>
        <w:spacing w:after="0" w:line="19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Audit Committee has directed management to develop a detailed plan and timetable for the completion of the implementation of the foregoing remedial measures and will monitor their implementation. In addition, under the direction of the Audit Committee, management will continue to review and make necessary changes to the overall design of our internal control environment, as well as to our policies and procedures in order to improve the overall effectiveness of internal control over financial reporting.</w:t>
      </w:r>
    </w:p>
    <w:p>
      <w:pPr>
        <w:spacing w:after="0" w:line="14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Aside from the above remediations, we reconstituted the memberships and chairmanships of the audit committee, the executive compensation committee and the nominating and governance committees in May 2016.</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April 30, 2016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52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31, 2015 through April 30, 2016, our common shares traded as low as $7.40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data storage, networking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Avago Technologies Limited (which has renamed itself as Broadcom Limited (“Broadcom”) acquired Broadcom Corporation in February 2016 and LSI Corporation in May 2014, Intel acquired Altera Corporation in December 2015 and NXP Semiconductors acquired Freescale Semiconductor, Ltd. These transactions and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 For example, in fiscal 2016, our revenue was negatively affected by a meaningful decline in overall HDD unit demand.</w:t>
      </w:r>
    </w:p>
    <w:p>
      <w:pPr>
        <w:spacing w:after="0" w:line="10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80"/>
          </w:cols>
          <w:pgMar w:left="240" w:top="459" w:right="2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225"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29% and 34% of our net revenue for the three months ended April 30, 2016 and May 2, 2015,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(“Note 10”) for a more detailed description of a number of the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April 30, 2016. The specific material weaknesses are described in Item 4 of this Quarterly Report on Form 10-Q.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on a timely basis.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27"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of the Company has recently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applications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 xml:space="preserve">As a result of the matter reported above, we are exposed to greater risks associated with litigation, regulatory proceedings and government enforcement actions. In addition, securities class actions or other lawsuits have been filed against us, our directors and officers (see also, </w:t>
      </w:r>
      <w:r>
        <w:rPr>
          <w:rFonts w:ascii="Arial" w:cs="Arial" w:eastAsia="Arial" w:hAnsi="Arial"/>
          <w:sz w:val="18"/>
          <w:szCs w:val="18"/>
          <w:i w:val="1"/>
          <w:iCs w:val="1"/>
          <w:color w:val="auto"/>
        </w:rPr>
        <w:t>“We are subject to pending securities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class action and shareholder derivative legal proceedings” </w:t>
      </w:r>
      <w:r>
        <w:rPr>
          <w:rFonts w:ascii="Arial" w:cs="Arial" w:eastAsia="Arial" w:hAnsi="Arial"/>
          <w:sz w:val="18"/>
          <w:szCs w:val="18"/>
          <w:color w:val="auto"/>
        </w:rPr>
        <w:t>below). Any future such investigations or additional lawsuits may adversely affect our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We also have been named as a nominal defendant in a shareholder derivative lawsuit filed in fiscal 2016 concerning our announcement of the audit committee investigation. No specific amounts of damages have been alleged in the class action lawsuits and, by the nature of the lawsuits, no damages will be alleged against Marvell in the derivative lawsuit.</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these pending cases, including expenses for the reimbursement of legal fees of present and former officers and directors under indemnification obligations. The expense of continuing to defend such litigation may be significant. We intend to defend these lawsuits vigorously, however there can be no assurance that we will be successful in any defense. If any of the lawsuits related to our audit committee investigation are adversely decided, we may be liable for significant damages directly or under our indemnification obligations, which could adversely affect our business, results of operations and cash flows. Further, the amount of time that will be required to resolve these lawsuits is unpredictable and these actions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 – Item 1,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38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experience difficulties in transitioning to smaller geometry process technologies or in achieving higher levels of design integration, which may result in reduced manufacturing yields, delays in product deliveries and increased expenses.</w:t>
      </w:r>
      <w:r>
        <w:rPr>
          <w:rFonts w:ascii="Arial" w:cs="Arial" w:eastAsia="Arial" w:hAnsi="Arial"/>
          <w:sz w:val="16"/>
          <w:szCs w:val="16"/>
          <w:color w:val="auto"/>
        </w:rPr>
        <w:t>” 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314" w:lineRule="auto"/>
        <w:rPr>
          <w:sz w:val="20"/>
          <w:szCs w:val="20"/>
          <w:color w:val="auto"/>
        </w:rPr>
      </w:pPr>
      <w:r>
        <w:rPr>
          <w:rFonts w:ascii="Arial" w:cs="Arial" w:eastAsia="Arial" w:hAnsi="Arial"/>
          <w:sz w:val="15"/>
          <w:szCs w:val="15"/>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w:t>
      </w:r>
    </w:p>
    <w:p>
      <w:pPr>
        <w:spacing w:after="0" w:line="9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360"/>
          </w:cols>
          <w:pgMar w:left="240" w:top="459" w:right="29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60"/>
        <w:spacing w:after="0" w:line="332" w:lineRule="auto"/>
        <w:rPr>
          <w:sz w:val="20"/>
          <w:szCs w:val="20"/>
          <w:color w:val="auto"/>
        </w:rPr>
      </w:pPr>
      <w:r>
        <w:rPr>
          <w:rFonts w:ascii="Arial" w:cs="Arial" w:eastAsia="Arial" w:hAnsi="Arial"/>
          <w:sz w:val="16"/>
          <w:szCs w:val="16"/>
          <w:color w:val="auto"/>
        </w:rPr>
        <w:t>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6"/>
          <w:szCs w:val="16"/>
          <w:i w:val="1"/>
          <w:iCs w:val="1"/>
          <w:color w:val="auto"/>
        </w:rPr>
        <w:t>Costs related to defective products could have a material adverse effect on us</w:t>
      </w:r>
      <w:r>
        <w:rPr>
          <w:rFonts w:ascii="Arial" w:cs="Arial" w:eastAsia="Arial" w:hAnsi="Arial"/>
          <w:sz w:val="16"/>
          <w:szCs w:val="16"/>
          <w:color w:val="auto"/>
        </w:rPr>
        <w:t>.”</w:t>
      </w:r>
    </w:p>
    <w:p>
      <w:pPr>
        <w:spacing w:after="0" w:line="85"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 Cache (“FLC</w:t>
      </w:r>
      <w:r>
        <w:rPr>
          <w:rFonts w:ascii="Arial" w:cs="Arial" w:eastAsia="Arial" w:hAnsi="Arial"/>
          <w:sz w:val="10"/>
          <w:szCs w:val="10"/>
          <w:color w:val="auto"/>
        </w:rPr>
        <w:t>TM</w:t>
      </w:r>
      <w:r>
        <w:rPr>
          <w:rFonts w:ascii="Arial" w:cs="Arial" w:eastAsia="Arial" w:hAnsi="Arial"/>
          <w:sz w:val="16"/>
          <w:szCs w:val="16"/>
          <w:color w:val="auto"/>
        </w:rPr>
        <w:t>”) technology may be an important factor in the future growth of the company. If FLC</w:t>
      </w:r>
      <w:r>
        <w:rPr>
          <w:rFonts w:ascii="Arial" w:cs="Arial" w:eastAsia="Arial" w:hAnsi="Arial"/>
          <w:sz w:val="10"/>
          <w:szCs w:val="10"/>
          <w:color w:val="auto"/>
        </w:rPr>
        <w:t>TM</w:t>
      </w:r>
      <w:r>
        <w:rPr>
          <w:rFonts w:ascii="Arial" w:cs="Arial" w:eastAsia="Arial" w:hAnsi="Arial"/>
          <w:sz w:val="16"/>
          <w:szCs w:val="16"/>
          <w:color w:val="auto"/>
        </w:rPr>
        <w:t xml:space="preserve"> technology fails to function in actual product development at the level required for market acceptance, or if our customers do not readily embrace the technology as quickly as we would anticipate, our future results may be impacted. No revenue was derived from FLC </w:t>
      </w:r>
      <w:r>
        <w:rPr>
          <w:rFonts w:ascii="Arial" w:cs="Arial" w:eastAsia="Arial" w:hAnsi="Arial"/>
          <w:sz w:val="10"/>
          <w:szCs w:val="10"/>
          <w:color w:val="auto"/>
        </w:rPr>
        <w:t>TM</w:t>
      </w:r>
      <w:r>
        <w:rPr>
          <w:rFonts w:ascii="Arial" w:cs="Arial" w:eastAsia="Arial" w:hAnsi="Arial"/>
          <w:sz w:val="16"/>
          <w:szCs w:val="16"/>
          <w:color w:val="auto"/>
        </w:rPr>
        <w:t xml:space="preserve">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w:t>
      </w:r>
      <w:r>
        <w:rPr>
          <w:rFonts w:ascii="Arial" w:cs="Arial" w:eastAsia="Arial" w:hAnsi="Arial"/>
          <w:sz w:val="16"/>
          <w:szCs w:val="16"/>
          <w:color w:val="auto"/>
        </w:rPr>
        <w:t xml:space="preserve"> </w:t>
      </w:r>
      <w:r>
        <w:rPr>
          <w:rFonts w:ascii="Arial" w:cs="Arial" w:eastAsia="Arial" w:hAnsi="Arial"/>
          <w:sz w:val="16"/>
          <w:szCs w:val="16"/>
          <w:i w:val="1"/>
          <w:iCs w:val="1"/>
          <w:color w:val="auto"/>
        </w:rPr>
        <w:t>intellectual property, which would negatively affect our ability to compete.”</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24"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occur as anticipated, our profitability could be adversely affected due to our higher expense levels.</w:t>
      </w:r>
    </w:p>
    <w:p>
      <w:pPr>
        <w:spacing w:after="0" w:line="123" w:lineRule="exact"/>
        <w:rPr>
          <w:sz w:val="20"/>
          <w:szCs w:val="20"/>
          <w:color w:val="auto"/>
        </w:rPr>
      </w:pPr>
    </w:p>
    <w:p>
      <w:pPr>
        <w:ind w:right="740" w:firstLine="456"/>
        <w:spacing w:after="0" w:line="306" w:lineRule="auto"/>
        <w:rPr>
          <w:sz w:val="20"/>
          <w:szCs w:val="20"/>
          <w:color w:val="auto"/>
        </w:rPr>
      </w:pPr>
      <w:r>
        <w:rPr>
          <w:rFonts w:ascii="Arial" w:cs="Arial" w:eastAsia="Arial" w:hAnsi="Arial"/>
          <w:sz w:val="16"/>
          <w:szCs w:val="16"/>
          <w:color w:val="auto"/>
        </w:rPr>
        <w:t>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94" w:lineRule="auto"/>
        <w:rPr>
          <w:sz w:val="20"/>
          <w:szCs w:val="20"/>
          <w:color w:val="auto"/>
        </w:rPr>
      </w:pPr>
      <w:r>
        <w:rPr>
          <w:rFonts w:ascii="Arial" w:cs="Arial" w:eastAsia="Arial" w:hAnsi="Arial"/>
          <w:sz w:val="16"/>
          <w:szCs w:val="16"/>
          <w:color w:val="auto"/>
        </w:rPr>
        <w:t>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97"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80" w:firstLine="456"/>
        <w:spacing w:after="0" w:line="308" w:lineRule="auto"/>
        <w:rPr>
          <w:sz w:val="20"/>
          <w:szCs w:val="20"/>
          <w:color w:val="auto"/>
        </w:rPr>
      </w:pPr>
      <w:r>
        <w:rPr>
          <w:rFonts w:ascii="Arial" w:cs="Arial" w:eastAsia="Arial" w:hAnsi="Arial"/>
          <w:sz w:val="15"/>
          <w:szCs w:val="15"/>
          <w:color w:val="auto"/>
        </w:rPr>
        <w:t>We had approximately $2.0 billion of goodwill and $15.1 million of acquired intangible assets, net on our consolidated balance sheet as of April 30, 2016.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6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4"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will assume his duties as the Company’s principal executive officer immediately following the filing of our Quarterly Report on Form 10-Q for the second fiscal quarter of 2017, and is conducting a formal search to identify a new, permanent Chief Financial Officer. In addition, our board of directors has designated our Chairman of the Board, Richard S. Hill, as the Company’s Interim Principal Executive Officer until we file our Quarterly Report on Form 10-Q for the second fiscal quarter of 2017.</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executive officers in addition to our President and Chief Executive Officer, including our new Executive Vice President, Marketing and Sales, our Executive Vice President and Chief Legal Officer, our Chief Operations Officer and our Senior Vice President of Finance. Although the individual members of our senior management team have significant experience, they, and the Chief Financial Officer we hire,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94% of our net revenue in the three months ended April 30, 2016 and 96% of our net revenue in each of fiscal 2015 and 2016.</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2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r>
        <w:rPr>
          <w:rFonts w:ascii="Arial" w:cs="Arial" w:eastAsia="Arial" w:hAnsi="Arial"/>
          <w:sz w:val="16"/>
          <w:szCs w:val="16"/>
          <w:b w:val="1"/>
          <w:bCs w:val="1"/>
          <w:i w:val="1"/>
          <w:iCs w:val="1"/>
          <w:color w:val="auto"/>
        </w:rPr>
        <w:t>.</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459" w:right="2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22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59"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current member of our board of directors, related to his stated belief of ownership of certain patent rights related to the Final-Level Cache invention and his later assignment of associated patent applications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27"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the best interests of our company and our shareholders, our results of operations, cash balances and future cash requirements, financial condition, statutory requirements under Bermuda law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0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authorizing the issuance of preferred shares without shareholder approval; and</w:t>
      </w:r>
    </w:p>
    <w:p>
      <w:pPr>
        <w:spacing w:after="0" w:line="90" w:lineRule="exact"/>
        <w:rPr>
          <w:rFonts w:ascii="Arial" w:cs="Arial" w:eastAsia="Arial" w:hAnsi="Arial"/>
          <w:sz w:val="18"/>
          <w:szCs w:val="18"/>
          <w:color w:val="auto"/>
        </w:rPr>
      </w:pPr>
    </w:p>
    <w:p>
      <w:pPr>
        <w:ind w:left="900" w:right="240" w:hanging="325"/>
        <w:spacing w:after="0" w:line="332" w:lineRule="auto"/>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a shareholder vote requiring the approval 66</w:t>
      </w:r>
      <w:r>
        <w:rPr>
          <w:rFonts w:ascii="Arial" w:cs="Arial" w:eastAsia="Arial" w:hAnsi="Arial"/>
          <w:sz w:val="10"/>
          <w:szCs w:val="10"/>
          <w:color w:val="auto"/>
        </w:rPr>
        <w:t>2/3</w:t>
      </w:r>
      <w:r>
        <w:rPr>
          <w:rFonts w:ascii="Arial" w:cs="Arial" w:eastAsia="Arial" w:hAnsi="Arial"/>
          <w:sz w:val="16"/>
          <w:szCs w:val="16"/>
          <w:color w:val="auto"/>
        </w:rPr>
        <w:t>%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April 30,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share repurchases during the three months ended April 30,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20" w:type="dxa"/>
            <w:vAlign w:val="bottom"/>
            <w:gridSpan w:val="2"/>
          </w:tcPr>
          <w:p>
            <w:pPr>
              <w:spacing w:after="0"/>
              <w:rPr>
                <w:sz w:val="20"/>
                <w:szCs w:val="20"/>
                <w:color w:val="auto"/>
              </w:rPr>
            </w:pPr>
            <w:r>
              <w:rPr>
                <w:rFonts w:ascii="Arial" w:cs="Arial" w:eastAsia="Arial" w:hAnsi="Arial"/>
                <w:sz w:val="14"/>
                <w:szCs w:val="14"/>
                <w:color w:val="auto"/>
              </w:rPr>
              <w:t>Incorporated by</w:t>
            </w:r>
          </w:p>
        </w:tc>
        <w:tc>
          <w:tcPr>
            <w:tcW w:w="10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100" w:type="dxa"/>
            <w:vAlign w:val="bottom"/>
            <w:vMerge w:val="restart"/>
          </w:tcPr>
          <w:p>
            <w:pPr>
              <w:ind w:left="2920"/>
              <w:spacing w:after="0"/>
              <w:rPr>
                <w:sz w:val="20"/>
                <w:szCs w:val="20"/>
                <w:color w:val="auto"/>
              </w:rPr>
            </w:pPr>
            <w:r>
              <w:rPr>
                <w:rFonts w:ascii="Arial" w:cs="Arial" w:eastAsia="Arial" w:hAnsi="Arial"/>
                <w:sz w:val="14"/>
                <w:szCs w:val="14"/>
                <w:color w:val="auto"/>
              </w:rPr>
              <w:t>Item</w:t>
            </w:r>
          </w:p>
        </w:tc>
        <w:tc>
          <w:tcPr>
            <w:tcW w:w="340" w:type="dxa"/>
            <w:vAlign w:val="bottom"/>
            <w:vMerge w:val="restart"/>
          </w:tcPr>
          <w:p>
            <w:pPr>
              <w:spacing w:after="0"/>
              <w:rPr>
                <w:sz w:val="12"/>
                <w:szCs w:val="12"/>
                <w:color w:val="auto"/>
              </w:rPr>
            </w:pPr>
          </w:p>
        </w:tc>
        <w:tc>
          <w:tcPr>
            <w:tcW w:w="3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2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Reference from</w:t>
            </w:r>
          </w:p>
        </w:tc>
        <w:tc>
          <w:tcPr>
            <w:tcW w:w="10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660" w:type="dxa"/>
            <w:vAlign w:val="bottom"/>
            <w:tcBorders>
              <w:bottom w:val="single" w:sz="8" w:color="auto"/>
            </w:tcBorders>
          </w:tcPr>
          <w:p>
            <w:pPr>
              <w:ind w:left="20"/>
              <w:spacing w:after="0" w:line="159" w:lineRule="exact"/>
              <w:rPr>
                <w:sz w:val="20"/>
                <w:szCs w:val="20"/>
                <w:color w:val="auto"/>
              </w:rPr>
            </w:pPr>
            <w:r>
              <w:rPr>
                <w:rFonts w:ascii="Arial" w:cs="Arial" w:eastAsia="Arial" w:hAnsi="Arial"/>
                <w:sz w:val="14"/>
                <w:szCs w:val="14"/>
                <w:color w:val="auto"/>
                <w:w w:val="91"/>
              </w:rPr>
              <w:t>Exhibit No.</w:t>
            </w:r>
          </w:p>
        </w:tc>
        <w:tc>
          <w:tcPr>
            <w:tcW w:w="340" w:type="dxa"/>
            <w:vAlign w:val="bottom"/>
          </w:tcPr>
          <w:p>
            <w:pPr>
              <w:spacing w:after="0"/>
              <w:rPr>
                <w:sz w:val="13"/>
                <w:szCs w:val="13"/>
                <w:color w:val="auto"/>
              </w:rPr>
            </w:pPr>
          </w:p>
        </w:tc>
        <w:tc>
          <w:tcPr>
            <w:tcW w:w="6100" w:type="dxa"/>
            <w:vAlign w:val="bottom"/>
            <w:tcBorders>
              <w:bottom w:val="single" w:sz="8" w:color="auto"/>
            </w:tcBorders>
            <w:vMerge w:val="continue"/>
          </w:tcPr>
          <w:p>
            <w:pPr>
              <w:spacing w:after="0"/>
              <w:rPr>
                <w:sz w:val="13"/>
                <w:szCs w:val="13"/>
                <w:color w:val="auto"/>
              </w:rPr>
            </w:pPr>
          </w:p>
        </w:tc>
        <w:tc>
          <w:tcPr>
            <w:tcW w:w="340" w:type="dxa"/>
            <w:vAlign w:val="bottom"/>
            <w:vMerge w:val="continue"/>
          </w:tcPr>
          <w:p>
            <w:pPr>
              <w:spacing w:after="0"/>
              <w:rPr>
                <w:sz w:val="13"/>
                <w:szCs w:val="13"/>
                <w:color w:val="auto"/>
              </w:rPr>
            </w:pPr>
          </w:p>
        </w:tc>
        <w:tc>
          <w:tcPr>
            <w:tcW w:w="300" w:type="dxa"/>
            <w:vAlign w:val="bottom"/>
            <w:tcBorders>
              <w:bottom w:val="single" w:sz="8" w:color="auto"/>
            </w:tcBorders>
          </w:tcPr>
          <w:p>
            <w:pPr>
              <w:spacing w:after="0" w:line="159" w:lineRule="exact"/>
              <w:rPr>
                <w:sz w:val="20"/>
                <w:szCs w:val="20"/>
                <w:color w:val="auto"/>
              </w:rPr>
            </w:pPr>
            <w:r>
              <w:rPr>
                <w:rFonts w:ascii="Arial" w:cs="Arial" w:eastAsia="Arial" w:hAnsi="Arial"/>
                <w:sz w:val="14"/>
                <w:szCs w:val="14"/>
                <w:color w:val="auto"/>
                <w:w w:val="85"/>
              </w:rPr>
              <w:t>Form</w:t>
            </w:r>
          </w:p>
        </w:tc>
        <w:tc>
          <w:tcPr>
            <w:tcW w:w="340" w:type="dxa"/>
            <w:vAlign w:val="bottom"/>
          </w:tcPr>
          <w:p>
            <w:pPr>
              <w:spacing w:after="0"/>
              <w:rPr>
                <w:sz w:val="13"/>
                <w:szCs w:val="13"/>
                <w:color w:val="auto"/>
              </w:rPr>
            </w:pPr>
          </w:p>
        </w:tc>
        <w:tc>
          <w:tcPr>
            <w:tcW w:w="76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File Number</w:t>
            </w:r>
          </w:p>
        </w:tc>
        <w:tc>
          <w:tcPr>
            <w:tcW w:w="340" w:type="dxa"/>
            <w:vAlign w:val="bottom"/>
          </w:tcPr>
          <w:p>
            <w:pPr>
              <w:spacing w:after="0"/>
              <w:rPr>
                <w:sz w:val="13"/>
                <w:szCs w:val="13"/>
                <w:color w:val="auto"/>
              </w:rPr>
            </w:pPr>
          </w:p>
        </w:tc>
        <w:tc>
          <w:tcPr>
            <w:tcW w:w="880" w:type="dxa"/>
            <w:vAlign w:val="bottom"/>
            <w:tcBorders>
              <w:bottom w:val="single" w:sz="8" w:color="auto"/>
            </w:tcBorders>
          </w:tcPr>
          <w:p>
            <w:pPr>
              <w:spacing w:after="0" w:line="159" w:lineRule="exact"/>
              <w:rPr>
                <w:sz w:val="20"/>
                <w:szCs w:val="20"/>
                <w:color w:val="auto"/>
              </w:rPr>
            </w:pPr>
            <w:r>
              <w:rPr>
                <w:rFonts w:ascii="Arial" w:cs="Arial" w:eastAsia="Arial" w:hAnsi="Arial"/>
                <w:sz w:val="14"/>
                <w:szCs w:val="14"/>
                <w:color w:val="auto"/>
                <w:w w:val="89"/>
              </w:rPr>
              <w:t>Exhibit Number</w:t>
            </w:r>
          </w:p>
        </w:tc>
        <w:tc>
          <w:tcPr>
            <w:tcW w:w="340" w:type="dxa"/>
            <w:vAlign w:val="bottom"/>
          </w:tcPr>
          <w:p>
            <w:pPr>
              <w:spacing w:after="0"/>
              <w:rPr>
                <w:sz w:val="13"/>
                <w:szCs w:val="13"/>
                <w:color w:val="auto"/>
              </w:rPr>
            </w:pPr>
          </w:p>
        </w:tc>
        <w:tc>
          <w:tcPr>
            <w:tcW w:w="10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Filed with SEC</w:t>
            </w:r>
          </w:p>
        </w:tc>
        <w:tc>
          <w:tcPr>
            <w:tcW w:w="0" w:type="dxa"/>
            <w:vAlign w:val="bottom"/>
          </w:tcPr>
          <w:p>
            <w:pPr>
              <w:spacing w:after="0"/>
              <w:rPr>
                <w:sz w:val="1"/>
                <w:szCs w:val="1"/>
                <w:color w:val="auto"/>
              </w:rPr>
            </w:pPr>
          </w:p>
        </w:tc>
      </w:tr>
      <w:tr>
        <w:trPr>
          <w:trHeight w:val="302"/>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3.1</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Memorandum of Association of Marvell Technology Group Ltd.</w:t>
            </w:r>
          </w:p>
        </w:tc>
        <w:tc>
          <w:tcPr>
            <w:tcW w:w="640" w:type="dxa"/>
            <w:vAlign w:val="bottom"/>
            <w:gridSpan w:val="2"/>
          </w:tcPr>
          <w:p>
            <w:pPr>
              <w:ind w:left="20"/>
              <w:spacing w:after="0"/>
              <w:rPr>
                <w:sz w:val="20"/>
                <w:szCs w:val="20"/>
                <w:color w:val="auto"/>
              </w:rPr>
            </w:pPr>
            <w:r>
              <w:rPr>
                <w:rFonts w:ascii="Arial" w:cs="Arial" w:eastAsia="Arial" w:hAnsi="Arial"/>
                <w:sz w:val="18"/>
                <w:szCs w:val="18"/>
                <w:color w:val="auto"/>
              </w:rPr>
              <w:t>S-1</w:t>
            </w: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333-33086</w:t>
            </w:r>
          </w:p>
        </w:tc>
        <w:tc>
          <w:tcPr>
            <w:tcW w:w="340" w:type="dxa"/>
            <w:vAlign w:val="bottom"/>
          </w:tcPr>
          <w:p>
            <w:pPr>
              <w:spacing w:after="0"/>
              <w:rPr>
                <w:sz w:val="24"/>
                <w:szCs w:val="24"/>
                <w:color w:val="auto"/>
              </w:rPr>
            </w:pP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87"/>
              </w:rPr>
              <w:t>3/23/2000</w:t>
            </w:r>
          </w:p>
        </w:tc>
        <w:tc>
          <w:tcPr>
            <w:tcW w:w="0" w:type="dxa"/>
            <w:vAlign w:val="bottom"/>
          </w:tcPr>
          <w:p>
            <w:pPr>
              <w:spacing w:after="0"/>
              <w:rPr>
                <w:sz w:val="1"/>
                <w:szCs w:val="1"/>
                <w:color w:val="auto"/>
              </w:rPr>
            </w:pPr>
          </w:p>
        </w:tc>
      </w:tr>
      <w:tr>
        <w:trPr>
          <w:trHeight w:val="324"/>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3.2</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Third Amended and Restated Bye-Laws of Marvell Technology Group Ltd.</w:t>
            </w:r>
          </w:p>
        </w:tc>
        <w:tc>
          <w:tcPr>
            <w:tcW w:w="640" w:type="dxa"/>
            <w:vAlign w:val="bottom"/>
            <w:gridSpan w:val="2"/>
          </w:tcPr>
          <w:p>
            <w:pPr>
              <w:spacing w:after="0"/>
              <w:rPr>
                <w:sz w:val="20"/>
                <w:szCs w:val="20"/>
                <w:color w:val="auto"/>
              </w:rPr>
            </w:pPr>
            <w:r>
              <w:rPr>
                <w:rFonts w:ascii="Arial" w:cs="Arial" w:eastAsia="Arial" w:hAnsi="Arial"/>
                <w:sz w:val="18"/>
                <w:szCs w:val="18"/>
                <w:color w:val="auto"/>
              </w:rPr>
              <w:t>8-K</w:t>
            </w: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000-30877</w:t>
            </w:r>
          </w:p>
        </w:tc>
        <w:tc>
          <w:tcPr>
            <w:tcW w:w="340" w:type="dxa"/>
            <w:vAlign w:val="bottom"/>
          </w:tcPr>
          <w:p>
            <w:pPr>
              <w:spacing w:after="0"/>
              <w:rPr>
                <w:sz w:val="24"/>
                <w:szCs w:val="24"/>
                <w:color w:val="auto"/>
              </w:rPr>
            </w:pP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87"/>
              </w:rPr>
              <w:t>7/13/2010</w:t>
            </w:r>
          </w:p>
        </w:tc>
        <w:tc>
          <w:tcPr>
            <w:tcW w:w="0" w:type="dxa"/>
            <w:vAlign w:val="bottom"/>
          </w:tcPr>
          <w:p>
            <w:pPr>
              <w:spacing w:after="0"/>
              <w:rPr>
                <w:sz w:val="1"/>
                <w:szCs w:val="1"/>
                <w:color w:val="auto"/>
              </w:rPr>
            </w:pPr>
          </w:p>
        </w:tc>
      </w:tr>
      <w:tr>
        <w:trPr>
          <w:trHeight w:val="324"/>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3.3</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Memorandum of Increase of Share Capital of Marvell Technology Group Ltd.</w:t>
            </w:r>
          </w:p>
        </w:tc>
        <w:tc>
          <w:tcPr>
            <w:tcW w:w="640" w:type="dxa"/>
            <w:vAlign w:val="bottom"/>
            <w:gridSpan w:val="2"/>
          </w:tcPr>
          <w:p>
            <w:pPr>
              <w:spacing w:after="0"/>
              <w:rPr>
                <w:sz w:val="20"/>
                <w:szCs w:val="20"/>
                <w:color w:val="auto"/>
              </w:rPr>
            </w:pPr>
            <w:r>
              <w:rPr>
                <w:rFonts w:ascii="Arial" w:cs="Arial" w:eastAsia="Arial" w:hAnsi="Arial"/>
                <w:sz w:val="18"/>
                <w:szCs w:val="18"/>
                <w:color w:val="auto"/>
              </w:rPr>
              <w:t>8-K</w:t>
            </w: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000-30877</w:t>
            </w:r>
          </w:p>
        </w:tc>
        <w:tc>
          <w:tcPr>
            <w:tcW w:w="340" w:type="dxa"/>
            <w:vAlign w:val="bottom"/>
          </w:tcPr>
          <w:p>
            <w:pPr>
              <w:spacing w:after="0"/>
              <w:rPr>
                <w:sz w:val="24"/>
                <w:szCs w:val="24"/>
                <w:color w:val="auto"/>
              </w:rPr>
            </w:pP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88"/>
              </w:rPr>
              <w:t>7/6/2006</w:t>
            </w:r>
          </w:p>
        </w:tc>
        <w:tc>
          <w:tcPr>
            <w:tcW w:w="0" w:type="dxa"/>
            <w:vAlign w:val="bottom"/>
          </w:tcPr>
          <w:p>
            <w:pPr>
              <w:spacing w:after="0"/>
              <w:rPr>
                <w:sz w:val="1"/>
                <w:szCs w:val="1"/>
                <w:color w:val="auto"/>
              </w:rPr>
            </w:pPr>
          </w:p>
        </w:tc>
      </w:tr>
      <w:tr>
        <w:trPr>
          <w:trHeight w:val="324"/>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10.1</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Agreement between Marvell Technology Group Ltd. and Starboard Value LP</w:t>
            </w:r>
          </w:p>
        </w:tc>
        <w:tc>
          <w:tcPr>
            <w:tcW w:w="640" w:type="dxa"/>
            <w:vAlign w:val="bottom"/>
            <w:gridSpan w:val="2"/>
          </w:tcPr>
          <w:p>
            <w:pPr>
              <w:spacing w:after="0"/>
              <w:rPr>
                <w:sz w:val="20"/>
                <w:szCs w:val="20"/>
                <w:color w:val="auto"/>
              </w:rPr>
            </w:pPr>
            <w:r>
              <w:rPr>
                <w:rFonts w:ascii="Arial" w:cs="Arial" w:eastAsia="Arial" w:hAnsi="Arial"/>
                <w:sz w:val="18"/>
                <w:szCs w:val="18"/>
                <w:color w:val="auto"/>
              </w:rPr>
              <w:t>8-K</w:t>
            </w: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000-30877</w:t>
            </w:r>
          </w:p>
        </w:tc>
        <w:tc>
          <w:tcPr>
            <w:tcW w:w="340" w:type="dxa"/>
            <w:vAlign w:val="bottom"/>
          </w:tcPr>
          <w:p>
            <w:pPr>
              <w:spacing w:after="0"/>
              <w:rPr>
                <w:sz w:val="24"/>
                <w:szCs w:val="24"/>
                <w:color w:val="auto"/>
              </w:rPr>
            </w:pPr>
          </w:p>
        </w:tc>
        <w:tc>
          <w:tcPr>
            <w:tcW w:w="88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87"/>
              </w:rPr>
              <w:t>4/27/2016</w:t>
            </w:r>
          </w:p>
        </w:tc>
        <w:tc>
          <w:tcPr>
            <w:tcW w:w="0" w:type="dxa"/>
            <w:vAlign w:val="bottom"/>
          </w:tcPr>
          <w:p>
            <w:pPr>
              <w:spacing w:after="0"/>
              <w:rPr>
                <w:sz w:val="1"/>
                <w:szCs w:val="1"/>
                <w:color w:val="auto"/>
              </w:rPr>
            </w:pPr>
          </w:p>
        </w:tc>
      </w:tr>
      <w:tr>
        <w:trPr>
          <w:trHeight w:val="324"/>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31.1</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Rule 13a-14(a)/15d-14(a) Certification of the Principal Executive Officer</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tcPr>
          <w:p>
            <w:pPr>
              <w:jc w:val="right"/>
              <w:ind w:right="174"/>
              <w:spacing w:after="0"/>
              <w:rPr>
                <w:sz w:val="20"/>
                <w:szCs w:val="20"/>
                <w:color w:val="auto"/>
              </w:rPr>
            </w:pPr>
            <w:r>
              <w:rPr>
                <w:rFonts w:ascii="Arial" w:cs="Arial" w:eastAsia="Arial" w:hAnsi="Arial"/>
                <w:sz w:val="18"/>
                <w:szCs w:val="18"/>
                <w:color w:val="auto"/>
              </w:rPr>
              <w:t>31.2</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Rule 13a-14(a)/15d-14(a) Certification of the Principal Financial Officer</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18"/>
        </w:trPr>
        <w:tc>
          <w:tcPr>
            <w:tcW w:w="660" w:type="dxa"/>
            <w:vAlign w:val="bottom"/>
          </w:tcPr>
          <w:p>
            <w:pPr>
              <w:jc w:val="right"/>
              <w:ind w:right="74"/>
              <w:spacing w:after="0"/>
              <w:rPr>
                <w:sz w:val="20"/>
                <w:szCs w:val="20"/>
                <w:color w:val="auto"/>
              </w:rPr>
            </w:pPr>
            <w:r>
              <w:rPr>
                <w:rFonts w:ascii="Arial" w:cs="Arial" w:eastAsia="Arial" w:hAnsi="Arial"/>
                <w:sz w:val="18"/>
                <w:szCs w:val="18"/>
                <w:color w:val="auto"/>
              </w:rPr>
              <w:t>32.1*</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w w:val="93"/>
              </w:rPr>
              <w:t>Certification Pursuant to 18 U.S.C. Section 1350, as Adopted Pursuant to Section 906</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6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of the Sarbanes-Oxley Act of 2002 for Principal Executive Officer</w:t>
            </w: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18"/>
        </w:trPr>
        <w:tc>
          <w:tcPr>
            <w:tcW w:w="660" w:type="dxa"/>
            <w:vAlign w:val="bottom"/>
          </w:tcPr>
          <w:p>
            <w:pPr>
              <w:jc w:val="right"/>
              <w:ind w:right="74"/>
              <w:spacing w:after="0"/>
              <w:rPr>
                <w:sz w:val="20"/>
                <w:szCs w:val="20"/>
                <w:color w:val="auto"/>
              </w:rPr>
            </w:pPr>
            <w:r>
              <w:rPr>
                <w:rFonts w:ascii="Arial" w:cs="Arial" w:eastAsia="Arial" w:hAnsi="Arial"/>
                <w:sz w:val="18"/>
                <w:szCs w:val="18"/>
                <w:color w:val="auto"/>
              </w:rPr>
              <w:t>32.2*</w:t>
            </w:r>
          </w:p>
        </w:tc>
        <w:tc>
          <w:tcPr>
            <w:tcW w:w="340" w:type="dxa"/>
            <w:vAlign w:val="bottom"/>
          </w:tcPr>
          <w:p>
            <w:pPr>
              <w:spacing w:after="0"/>
              <w:rPr>
                <w:sz w:val="24"/>
                <w:szCs w:val="24"/>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w w:val="93"/>
              </w:rPr>
              <w:t>Certification Pursuant to 18 U.S.C. Section 1350, as Adopted Pursuant to Section 906</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6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40" w:type="dxa"/>
            <w:vAlign w:val="bottom"/>
            <w:gridSpan w:val="2"/>
          </w:tcPr>
          <w:p>
            <w:pPr>
              <w:spacing w:after="0"/>
              <w:rPr>
                <w:sz w:val="20"/>
                <w:szCs w:val="20"/>
                <w:color w:val="auto"/>
              </w:rPr>
            </w:pPr>
            <w:r>
              <w:rPr>
                <w:rFonts w:ascii="Arial" w:cs="Arial" w:eastAsia="Arial" w:hAnsi="Arial"/>
                <w:sz w:val="18"/>
                <w:szCs w:val="18"/>
                <w:color w:val="auto"/>
              </w:rPr>
              <w:t>of the Sarbanes-Oxley Act of 2002 for Principal Financial Officer</w:t>
            </w: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101.SCH</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101.CAL</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101.DEF</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Taxonomy Extension Definition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101.LAB</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101.PRE</w:t>
            </w:r>
          </w:p>
        </w:tc>
        <w:tc>
          <w:tcPr>
            <w:tcW w:w="6440" w:type="dxa"/>
            <w:vAlign w:val="bottom"/>
            <w:gridSpan w:val="2"/>
          </w:tcPr>
          <w:p>
            <w:pPr>
              <w:spacing w:after="0"/>
              <w:rPr>
                <w:sz w:val="20"/>
                <w:szCs w:val="20"/>
                <w:color w:val="auto"/>
              </w:rPr>
            </w:pPr>
            <w:r>
              <w:rPr>
                <w:rFonts w:ascii="Arial" w:cs="Arial" w:eastAsia="Arial" w:hAnsi="Arial"/>
                <w:sz w:val="18"/>
                <w:szCs w:val="18"/>
                <w:color w:val="auto"/>
              </w:rPr>
              <w:t>XBRL Taxonomy Extension Presentation Linkbase Document</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60" w:hanging="212"/>
        <w:spacing w:after="0" w:line="302"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DAVID P. EICHLER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ind w:left="900" w:right="820" w:hanging="446"/>
        <w:spacing w:after="0" w:line="342" w:lineRule="auto"/>
        <w:tabs>
          <w:tab w:leader="none" w:pos="900" w:val="left"/>
        </w:tabs>
        <w:numPr>
          <w:ilvl w:val="1"/>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David P. Eichler, certify that:</w:t>
      </w:r>
    </w:p>
    <w:p>
      <w:pPr>
        <w:spacing w:after="0" w:line="131" w:lineRule="exact"/>
        <w:rPr>
          <w:sz w:val="20"/>
          <w:szCs w:val="20"/>
          <w:color w:val="auto"/>
        </w:rPr>
      </w:pPr>
    </w:p>
    <w:p>
      <w:pPr>
        <w:ind w:left="460" w:hanging="452"/>
        <w:spacing w:after="0"/>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ind w:left="900" w:right="820" w:hanging="446"/>
        <w:spacing w:after="0" w:line="342" w:lineRule="auto"/>
        <w:tabs>
          <w:tab w:leader="none" w:pos="9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I, Richard S. Hill, the Interim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800" w:hanging="446"/>
        <w:spacing w:after="0" w:line="277"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April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00"/>
        <w:spacing w:after="0" w:line="277" w:lineRule="auto"/>
        <w:rPr>
          <w:sz w:val="20"/>
          <w:szCs w:val="20"/>
          <w:color w:val="auto"/>
        </w:rPr>
      </w:pPr>
      <w:r>
        <w:rPr>
          <w:rFonts w:ascii="Arial" w:cs="Arial" w:eastAsia="Arial" w:hAnsi="Arial"/>
          <w:sz w:val="18"/>
          <w:szCs w:val="18"/>
          <w:color w:val="auto"/>
        </w:rPr>
        <w:t>I, David P. Eichler, the Interim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800" w:hanging="446"/>
        <w:spacing w:after="0" w:line="277"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April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1)"/>
      <w:numFmt w:val="lowerLetter"/>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
      <w:numFmt w:val="bullet"/>
      <w:start w:val="1"/>
    </w:lvl>
  </w:abstractNum>
  <w:abstractNum w:abstractNumId="16">
    <w:nsid w:val="628C895D"/>
    <w:multiLevelType w:val="hybridMultilevel"/>
    <w:lvl w:ilvl="0">
      <w:lvlJc w:val="left"/>
      <w:lvlText w:val="•"/>
      <w:numFmt w:val="bullet"/>
      <w:start w:val="1"/>
    </w:lvl>
  </w:abstractNum>
  <w:abstractNum w:abstractNumId="17">
    <w:nsid w:val="333AB105"/>
    <w:multiLevelType w:val="hybridMultilevel"/>
    <w:lvl w:ilvl="0">
      <w:lvlJc w:val="left"/>
      <w:lvlText w:val="•"/>
      <w:numFmt w:val="bullet"/>
      <w:start w:val="1"/>
    </w:lvl>
  </w:abstractNum>
  <w:abstractNum w:abstractNumId="18">
    <w:nsid w:val="721DA317"/>
    <w:multiLevelType w:val="hybridMultilevel"/>
    <w:lvl w:ilvl="0">
      <w:lvlJc w:val="left"/>
      <w:lvlText w:val="•"/>
      <w:numFmt w:val="bullet"/>
      <w:start w:val="1"/>
    </w:lvl>
  </w:abstractNum>
  <w:abstractNum w:abstractNumId="19">
    <w:nsid w:val="2443A858"/>
    <w:multiLevelType w:val="hybridMultilevel"/>
    <w:lvl w:ilvl="0">
      <w:lvlJc w:val="left"/>
      <w:lvlText w:val="•"/>
      <w:numFmt w:val="bullet"/>
      <w:start w:val="1"/>
    </w:lvl>
  </w:abstractNum>
  <w:abstractNum w:abstractNumId="20">
    <w:nsid w:val="2D1D5AE9"/>
    <w:multiLevelType w:val="hybridMultilevel"/>
    <w:lvl w:ilvl="0">
      <w:lvlJc w:val="left"/>
      <w:lvlText w:val="*"/>
      <w:numFmt w:val="bullet"/>
      <w:start w:val="1"/>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2019-12-29T09:30:17Z</dcterms:created>
  <dcterms:modified xsi:type="dcterms:W3CDTF">2019-12-29T09:30:17Z</dcterms:modified>
</cp:coreProperties>
</file>