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295910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4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SCHEDULE 13G</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(Amendment No. 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304800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50" w:lineRule="exact"/>
        <w:rPr>
          <w:sz w:val="24"/>
          <w:szCs w:val="24"/>
          <w:color w:val="auto"/>
        </w:rPr>
      </w:pPr>
    </w:p>
    <w:p>
      <w:pPr>
        <w:jc w:val="center"/>
        <w:ind w:right="-1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(Name of Issuer)</w:t>
      </w:r>
    </w:p>
    <w:p>
      <w:pPr>
        <w:spacing w:after="0" w:line="200" w:lineRule="exact"/>
        <w:rPr>
          <w:sz w:val="24"/>
          <w:szCs w:val="24"/>
          <w:color w:val="auto"/>
        </w:rPr>
      </w:pPr>
    </w:p>
    <w:p>
      <w:pPr>
        <w:spacing w:after="0" w:line="2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(Title of Class of Securities)</w:t>
      </w:r>
    </w:p>
    <w:p>
      <w:pPr>
        <w:spacing w:after="0" w:line="200" w:lineRule="exact"/>
        <w:rPr>
          <w:sz w:val="24"/>
          <w:szCs w:val="24"/>
          <w:color w:val="auto"/>
        </w:rPr>
      </w:pPr>
    </w:p>
    <w:p>
      <w:pPr>
        <w:spacing w:after="0" w:line="20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(CUSIP Number)</w:t>
      </w:r>
    </w:p>
    <w:p>
      <w:pPr>
        <w:spacing w:after="0" w:line="200" w:lineRule="exact"/>
        <w:rPr>
          <w:sz w:val="24"/>
          <w:szCs w:val="24"/>
          <w:color w:val="auto"/>
        </w:rPr>
      </w:pPr>
    </w:p>
    <w:p>
      <w:pPr>
        <w:spacing w:after="0" w:line="20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December 31, 2015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296545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225"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225"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225"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52" w:lineRule="exact"/>
        <w:rPr>
          <w:rFonts w:ascii="MS PGothic" w:cs="MS PGothic" w:eastAsia="MS PGothic" w:hAnsi="MS PGothic"/>
          <w:sz w:val="18"/>
          <w:szCs w:val="18"/>
          <w:color w:val="auto"/>
        </w:rPr>
      </w:pPr>
    </w:p>
    <w:p>
      <w:pPr>
        <w:ind w:left="460" w:right="120" w:hanging="446"/>
        <w:spacing w:after="0" w:line="277" w:lineRule="auto"/>
        <w:rPr>
          <w:rFonts w:ascii="MS PGothic" w:cs="MS PGothic" w:eastAsia="MS PGothic" w:hAnsi="MS PGothic"/>
          <w:sz w:val="18"/>
          <w:szCs w:val="18"/>
          <w:color w:val="auto"/>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0" w:lineRule="exact"/>
        <w:rPr>
          <w:sz w:val="24"/>
          <w:szCs w:val="24"/>
          <w:color w:val="auto"/>
        </w:rPr>
      </w:pPr>
    </w:p>
    <w:p>
      <w:pPr>
        <w:spacing w:after="0" w:line="34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113665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156210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15"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Page 1 of 5</w:t>
      </w:r>
    </w:p>
    <w:p>
      <w:pPr>
        <w:sectPr>
          <w:pgSz w:w="11900" w:h="16838" w:orient="portrait"/>
          <w:cols w:equalWidth="0" w:num="1">
            <w:col w:w="11400"/>
          </w:cols>
          <w:pgMar w:left="240" w:top="517" w:right="25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G5876H105</w:t>
      </w:r>
    </w:p>
    <w:p>
      <w:pPr>
        <w:spacing w:after="0" w:line="144" w:lineRule="exact"/>
        <w:rPr>
          <w:sz w:val="20"/>
          <w:szCs w:val="20"/>
          <w:color w:val="auto"/>
        </w:rPr>
      </w:pPr>
    </w:p>
    <w:p>
      <w:pPr>
        <w:ind w:left="260"/>
        <w:spacing w:after="0"/>
        <w:tabs>
          <w:tab w:leader="none" w:pos="52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6"/>
          <w:szCs w:val="16"/>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54875" cy="52400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4875" cy="5240020"/>
                    </a:xfrm>
                    <a:prstGeom prst="rect">
                      <a:avLst/>
                    </a:prstGeom>
                    <a:noFill/>
                  </pic:spPr>
                </pic:pic>
              </a:graphicData>
            </a:graphic>
          </wp:anchor>
        </w:drawing>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3"/>
          </w:tcPr>
          <w:p>
            <w:pPr>
              <w:ind w:left="80"/>
              <w:spacing w:after="0"/>
              <w:rPr>
                <w:sz w:val="20"/>
                <w:szCs w:val="20"/>
                <w:color w:val="auto"/>
              </w:rPr>
            </w:pPr>
            <w:r>
              <w:rPr>
                <w:rFonts w:ascii="Arial" w:cs="Arial" w:eastAsia="Arial" w:hAnsi="Arial"/>
                <w:sz w:val="22"/>
                <w:szCs w:val="22"/>
                <w:color w:val="auto"/>
              </w:rPr>
              <w:t>Dr. Pantas Sutardja</w:t>
            </w:r>
          </w:p>
        </w:tc>
        <w:tc>
          <w:tcPr>
            <w:tcW w:w="0" w:type="dxa"/>
            <w:vAlign w:val="bottom"/>
          </w:tcPr>
          <w:p>
            <w:pPr>
              <w:spacing w:after="0"/>
              <w:rPr>
                <w:sz w:val="1"/>
                <w:szCs w:val="1"/>
                <w:color w:val="auto"/>
              </w:rPr>
            </w:pPr>
          </w:p>
        </w:tc>
      </w:tr>
      <w:tr>
        <w:trPr>
          <w:trHeight w:val="164"/>
        </w:trPr>
        <w:tc>
          <w:tcPr>
            <w:tcW w:w="400" w:type="dxa"/>
            <w:vAlign w:val="bottom"/>
          </w:tcPr>
          <w:p>
            <w:pPr>
              <w:jc w:val="right"/>
              <w:spacing w:after="0" w:line="164"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10980" w:type="dxa"/>
            <w:vAlign w:val="bottom"/>
            <w:gridSpan w:val="3"/>
          </w:tcPr>
          <w:p>
            <w:pPr>
              <w:ind w:left="80"/>
              <w:spacing w:after="0" w:line="164"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83"/>
        </w:trPr>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10300" w:type="dxa"/>
            <w:vAlign w:val="bottom"/>
            <w:gridSpan w:val="2"/>
          </w:tcPr>
          <w:p>
            <w:pPr>
              <w:ind w:left="2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37"/>
        </w:trPr>
        <w:tc>
          <w:tcPr>
            <w:tcW w:w="400" w:type="dxa"/>
            <w:vAlign w:val="bottom"/>
            <w:tcBorders>
              <w:bottom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10980" w:type="dxa"/>
            <w:vAlign w:val="bottom"/>
            <w:tcBorders>
              <w:bottom w:val="single" w:sz="8" w:color="auto"/>
            </w:tcBorders>
            <w:gridSpan w:val="3"/>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40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9"/>
                <w:szCs w:val="19"/>
                <w:color w:val="auto"/>
              </w:rPr>
            </w:pPr>
          </w:p>
        </w:tc>
        <w:tc>
          <w:tcPr>
            <w:tcW w:w="10980" w:type="dxa"/>
            <w:vAlign w:val="bottom"/>
            <w:gridSpan w:val="3"/>
          </w:tcPr>
          <w:p>
            <w:pPr>
              <w:ind w:left="80"/>
              <w:spacing w:after="0"/>
              <w:rPr>
                <w:sz w:val="20"/>
                <w:szCs w:val="20"/>
                <w:color w:val="auto"/>
              </w:rPr>
            </w:pPr>
            <w:r>
              <w:rPr>
                <w:rFonts w:ascii="Arial" w:cs="Arial" w:eastAsia="Arial" w:hAnsi="Arial"/>
                <w:sz w:val="18"/>
                <w:szCs w:val="18"/>
                <w:color w:val="auto"/>
              </w:rPr>
              <w:t>SEC Use Only</w:t>
            </w:r>
          </w:p>
        </w:tc>
        <w:tc>
          <w:tcPr>
            <w:tcW w:w="0" w:type="dxa"/>
            <w:vAlign w:val="bottom"/>
          </w:tcPr>
          <w:p>
            <w:pPr>
              <w:spacing w:after="0"/>
              <w:rPr>
                <w:sz w:val="1"/>
                <w:szCs w:val="1"/>
                <w:color w:val="auto"/>
              </w:rPr>
            </w:pPr>
          </w:p>
        </w:tc>
      </w:tr>
      <w:tr>
        <w:trPr>
          <w:trHeight w:val="242"/>
        </w:trPr>
        <w:tc>
          <w:tcPr>
            <w:tcW w:w="400" w:type="dxa"/>
            <w:vAlign w:val="bottom"/>
            <w:tcBorders>
              <w:bottom w:val="single" w:sz="8" w:color="auto"/>
            </w:tcBorders>
          </w:tcPr>
          <w:p>
            <w:pPr>
              <w:spacing w:after="0"/>
              <w:rPr>
                <w:sz w:val="21"/>
                <w:szCs w:val="21"/>
                <w:color w:val="auto"/>
              </w:rPr>
            </w:pPr>
          </w:p>
        </w:tc>
        <w:tc>
          <w:tcPr>
            <w:tcW w:w="60" w:type="dxa"/>
            <w:vAlign w:val="bottom"/>
            <w:tcBorders>
              <w:bottom w:val="single" w:sz="8" w:color="auto"/>
            </w:tcBorders>
          </w:tcPr>
          <w:p>
            <w:pPr>
              <w:spacing w:after="0"/>
              <w:rPr>
                <w:sz w:val="21"/>
                <w:szCs w:val="21"/>
                <w:color w:val="auto"/>
              </w:rPr>
            </w:pPr>
          </w:p>
        </w:tc>
        <w:tc>
          <w:tcPr>
            <w:tcW w:w="10980" w:type="dxa"/>
            <w:vAlign w:val="bottom"/>
            <w:tcBorders>
              <w:bottom w:val="single" w:sz="8" w:color="auto"/>
            </w:tcBorders>
            <w:gridSpan w:val="3"/>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40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9"/>
                <w:szCs w:val="19"/>
                <w:color w:val="auto"/>
              </w:rPr>
            </w:pPr>
          </w:p>
        </w:tc>
        <w:tc>
          <w:tcPr>
            <w:tcW w:w="1098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3"/>
          </w:tcPr>
          <w:p>
            <w:pPr>
              <w:ind w:left="8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26"/>
        </w:trPr>
        <w:tc>
          <w:tcPr>
            <w:tcW w:w="4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80" w:type="dxa"/>
            <w:vAlign w:val="bottom"/>
            <w:tcBorders>
              <w:right w:val="single" w:sz="8" w:color="auto"/>
            </w:tcBorders>
          </w:tcPr>
          <w:p>
            <w:pPr>
              <w:spacing w:after="0"/>
              <w:rPr>
                <w:sz w:val="19"/>
                <w:szCs w:val="19"/>
                <w:color w:val="auto"/>
              </w:rPr>
            </w:pPr>
          </w:p>
        </w:tc>
        <w:tc>
          <w:tcPr>
            <w:tcW w:w="30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5.</w:t>
            </w:r>
          </w:p>
        </w:tc>
        <w:tc>
          <w:tcPr>
            <w:tcW w:w="1000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84"/>
        </w:trPr>
        <w:tc>
          <w:tcPr>
            <w:tcW w:w="1140" w:type="dxa"/>
            <w:vAlign w:val="bottom"/>
            <w:tcBorders>
              <w:right w:val="single" w:sz="8" w:color="auto"/>
            </w:tcBorders>
            <w:gridSpan w:val="3"/>
            <w:vMerge w:val="restart"/>
          </w:tcPr>
          <w:p>
            <w:pPr>
              <w:jc w:val="center"/>
              <w:ind w:left="50"/>
              <w:spacing w:after="0"/>
              <w:rPr>
                <w:sz w:val="20"/>
                <w:szCs w:val="20"/>
                <w:color w:val="auto"/>
              </w:rPr>
            </w:pPr>
            <w:r>
              <w:rPr>
                <w:rFonts w:ascii="Arial" w:cs="Arial" w:eastAsia="Arial" w:hAnsi="Arial"/>
                <w:sz w:val="18"/>
                <w:szCs w:val="18"/>
                <w:color w:val="auto"/>
                <w:w w:val="95"/>
              </w:rPr>
              <w:t>Number of</w:t>
            </w:r>
          </w:p>
        </w:tc>
        <w:tc>
          <w:tcPr>
            <w:tcW w:w="300" w:type="dxa"/>
            <w:vAlign w:val="bottom"/>
            <w:tcBorders>
              <w:bottom w:val="single" w:sz="8" w:color="auto"/>
              <w:right w:val="single" w:sz="8" w:color="auto"/>
            </w:tcBorders>
          </w:tcPr>
          <w:p>
            <w:pPr>
              <w:spacing w:after="0"/>
              <w:rPr>
                <w:sz w:val="24"/>
                <w:szCs w:val="24"/>
                <w:color w:val="auto"/>
              </w:rPr>
            </w:pPr>
          </w:p>
        </w:tc>
        <w:tc>
          <w:tcPr>
            <w:tcW w:w="1000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48"/>
        </w:trPr>
        <w:tc>
          <w:tcPr>
            <w:tcW w:w="1140" w:type="dxa"/>
            <w:vAlign w:val="bottom"/>
            <w:tcBorders>
              <w:right w:val="single" w:sz="8" w:color="auto"/>
            </w:tcBorders>
            <w:gridSpan w:val="3"/>
            <w:vMerge w:val="continue"/>
          </w:tcPr>
          <w:p>
            <w:pPr>
              <w:spacing w:after="0"/>
              <w:rPr>
                <w:sz w:val="4"/>
                <w:szCs w:val="4"/>
                <w:color w:val="auto"/>
              </w:rPr>
            </w:pPr>
          </w:p>
        </w:tc>
        <w:tc>
          <w:tcPr>
            <w:tcW w:w="300" w:type="dxa"/>
            <w:vAlign w:val="bottom"/>
            <w:tcBorders>
              <w:right w:val="single" w:sz="8" w:color="auto"/>
            </w:tcBorders>
            <w:vMerge w:val="restart"/>
          </w:tcPr>
          <w:p>
            <w:pPr>
              <w:jc w:val="right"/>
              <w:spacing w:after="0"/>
              <w:rPr>
                <w:sz w:val="20"/>
                <w:szCs w:val="20"/>
                <w:color w:val="auto"/>
              </w:rPr>
            </w:pPr>
            <w:r>
              <w:rPr>
                <w:rFonts w:ascii="Arial" w:cs="Arial" w:eastAsia="Arial" w:hAnsi="Arial"/>
                <w:sz w:val="18"/>
                <w:szCs w:val="18"/>
                <w:color w:val="auto"/>
              </w:rPr>
              <w:t>6.</w:t>
            </w:r>
          </w:p>
        </w:tc>
        <w:tc>
          <w:tcPr>
            <w:tcW w:w="10000" w:type="dxa"/>
            <w:vAlign w:val="bottom"/>
            <w:vMerge w:val="restart"/>
          </w:tcPr>
          <w:p>
            <w:pPr>
              <w:ind w:left="10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176"/>
        </w:trPr>
        <w:tc>
          <w:tcPr>
            <w:tcW w:w="400" w:type="dxa"/>
            <w:vAlign w:val="bottom"/>
          </w:tcPr>
          <w:p>
            <w:pPr>
              <w:spacing w:after="0"/>
              <w:rPr>
                <w:sz w:val="15"/>
                <w:szCs w:val="15"/>
                <w:color w:val="auto"/>
              </w:rPr>
            </w:pPr>
          </w:p>
        </w:tc>
        <w:tc>
          <w:tcPr>
            <w:tcW w:w="740" w:type="dxa"/>
            <w:vAlign w:val="bottom"/>
            <w:tcBorders>
              <w:right w:val="single" w:sz="8" w:color="auto"/>
            </w:tcBorders>
            <w:gridSpan w:val="2"/>
            <w:vMerge w:val="restart"/>
          </w:tcPr>
          <w:p>
            <w:pPr>
              <w:jc w:val="center"/>
              <w:ind w:right="164"/>
              <w:spacing w:after="0"/>
              <w:rPr>
                <w:sz w:val="20"/>
                <w:szCs w:val="20"/>
                <w:color w:val="auto"/>
              </w:rPr>
            </w:pPr>
            <w:r>
              <w:rPr>
                <w:rFonts w:ascii="Arial" w:cs="Arial" w:eastAsia="Arial" w:hAnsi="Arial"/>
                <w:sz w:val="18"/>
                <w:szCs w:val="18"/>
                <w:color w:val="auto"/>
                <w:w w:val="84"/>
              </w:rPr>
              <w:t>Shares</w:t>
            </w:r>
          </w:p>
        </w:tc>
        <w:tc>
          <w:tcPr>
            <w:tcW w:w="300" w:type="dxa"/>
            <w:vAlign w:val="bottom"/>
            <w:tcBorders>
              <w:right w:val="single" w:sz="8" w:color="auto"/>
            </w:tcBorders>
            <w:vMerge w:val="continue"/>
          </w:tcPr>
          <w:p>
            <w:pPr>
              <w:spacing w:after="0"/>
              <w:rPr>
                <w:sz w:val="15"/>
                <w:szCs w:val="15"/>
                <w:color w:val="auto"/>
              </w:rPr>
            </w:pPr>
          </w:p>
        </w:tc>
        <w:tc>
          <w:tcPr>
            <w:tcW w:w="1000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40"/>
        </w:trPr>
        <w:tc>
          <w:tcPr>
            <w:tcW w:w="400" w:type="dxa"/>
            <w:vAlign w:val="bottom"/>
          </w:tcPr>
          <w:p>
            <w:pPr>
              <w:spacing w:after="0"/>
              <w:rPr>
                <w:sz w:val="3"/>
                <w:szCs w:val="3"/>
                <w:color w:val="auto"/>
              </w:rPr>
            </w:pPr>
          </w:p>
        </w:tc>
        <w:tc>
          <w:tcPr>
            <w:tcW w:w="740" w:type="dxa"/>
            <w:vAlign w:val="bottom"/>
            <w:tcBorders>
              <w:right w:val="single" w:sz="8" w:color="auto"/>
            </w:tcBorders>
            <w:gridSpan w:val="2"/>
            <w:vMerge w:val="continue"/>
          </w:tcPr>
          <w:p>
            <w:pPr>
              <w:spacing w:after="0"/>
              <w:rPr>
                <w:sz w:val="3"/>
                <w:szCs w:val="3"/>
                <w:color w:val="auto"/>
              </w:rPr>
            </w:pPr>
          </w:p>
        </w:tc>
        <w:tc>
          <w:tcPr>
            <w:tcW w:w="300" w:type="dxa"/>
            <w:vAlign w:val="bottom"/>
            <w:tcBorders>
              <w:right w:val="single" w:sz="8" w:color="auto"/>
            </w:tcBorders>
          </w:tcPr>
          <w:p>
            <w:pPr>
              <w:spacing w:after="0"/>
              <w:rPr>
                <w:sz w:val="3"/>
                <w:szCs w:val="3"/>
                <w:color w:val="auto"/>
              </w:rPr>
            </w:pPr>
          </w:p>
        </w:tc>
        <w:tc>
          <w:tcPr>
            <w:tcW w:w="100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16"/>
        </w:trPr>
        <w:tc>
          <w:tcPr>
            <w:tcW w:w="1140" w:type="dxa"/>
            <w:vAlign w:val="bottom"/>
            <w:tcBorders>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6"/>
              </w:rPr>
              <w:t>Beneficially</w:t>
            </w:r>
          </w:p>
        </w:tc>
        <w:tc>
          <w:tcPr>
            <w:tcW w:w="300" w:type="dxa"/>
            <w:vAlign w:val="bottom"/>
            <w:tcBorders>
              <w:right w:val="single" w:sz="8" w:color="auto"/>
            </w:tcBorders>
          </w:tcPr>
          <w:p>
            <w:pPr>
              <w:spacing w:after="0"/>
              <w:rPr>
                <w:sz w:val="18"/>
                <w:szCs w:val="18"/>
                <w:color w:val="auto"/>
              </w:rPr>
            </w:pPr>
          </w:p>
        </w:tc>
        <w:tc>
          <w:tcPr>
            <w:tcW w:w="10000" w:type="dxa"/>
            <w:vAlign w:val="bottom"/>
            <w:vMerge w:val="restart"/>
          </w:tcPr>
          <w:p>
            <w:pPr>
              <w:ind w:left="100"/>
              <w:spacing w:after="0"/>
              <w:rPr>
                <w:sz w:val="20"/>
                <w:szCs w:val="20"/>
                <w:color w:val="auto"/>
              </w:rPr>
            </w:pPr>
            <w:r>
              <w:rPr>
                <w:rFonts w:ascii="Arial" w:cs="Arial" w:eastAsia="Arial" w:hAnsi="Arial"/>
                <w:sz w:val="22"/>
                <w:szCs w:val="22"/>
                <w:color w:val="auto"/>
              </w:rPr>
              <w:t>17,664,620 shares *</w:t>
            </w:r>
          </w:p>
        </w:tc>
        <w:tc>
          <w:tcPr>
            <w:tcW w:w="0" w:type="dxa"/>
            <w:vAlign w:val="bottom"/>
          </w:tcPr>
          <w:p>
            <w:pPr>
              <w:spacing w:after="0"/>
              <w:rPr>
                <w:sz w:val="1"/>
                <w:szCs w:val="1"/>
                <w:color w:val="auto"/>
              </w:rPr>
            </w:pPr>
          </w:p>
        </w:tc>
      </w:tr>
      <w:tr>
        <w:trPr>
          <w:trHeight w:val="230"/>
        </w:trPr>
        <w:tc>
          <w:tcPr>
            <w:tcW w:w="1140" w:type="dxa"/>
            <w:vAlign w:val="bottom"/>
            <w:tcBorders>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3"/>
              </w:rPr>
              <w:t>Owned by</w:t>
            </w:r>
          </w:p>
        </w:tc>
        <w:tc>
          <w:tcPr>
            <w:tcW w:w="300" w:type="dxa"/>
            <w:vAlign w:val="bottom"/>
            <w:tcBorders>
              <w:bottom w:val="single" w:sz="8" w:color="auto"/>
              <w:right w:val="single" w:sz="8" w:color="auto"/>
            </w:tcBorders>
          </w:tcPr>
          <w:p>
            <w:pPr>
              <w:spacing w:after="0"/>
              <w:rPr>
                <w:sz w:val="20"/>
                <w:szCs w:val="20"/>
                <w:color w:val="auto"/>
              </w:rPr>
            </w:pPr>
          </w:p>
        </w:tc>
        <w:tc>
          <w:tcPr>
            <w:tcW w:w="10000" w:type="dxa"/>
            <w:vAlign w:val="bottom"/>
            <w:tcBorders>
              <w:bottom w:val="single" w:sz="8" w:color="auto"/>
            </w:tcBorders>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4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80" w:type="dxa"/>
            <w:vAlign w:val="bottom"/>
            <w:tcBorders>
              <w:right w:val="single" w:sz="8" w:color="auto"/>
            </w:tcBorders>
          </w:tcPr>
          <w:p>
            <w:pPr>
              <w:jc w:val="center"/>
              <w:ind w:right="224"/>
              <w:spacing w:after="0" w:line="182" w:lineRule="exact"/>
              <w:rPr>
                <w:sz w:val="20"/>
                <w:szCs w:val="20"/>
                <w:color w:val="auto"/>
              </w:rPr>
            </w:pPr>
            <w:r>
              <w:rPr>
                <w:rFonts w:ascii="Arial" w:cs="Arial" w:eastAsia="Arial" w:hAnsi="Arial"/>
                <w:sz w:val="18"/>
                <w:szCs w:val="18"/>
                <w:color w:val="auto"/>
                <w:w w:val="87"/>
              </w:rPr>
              <w:t>Each</w:t>
            </w:r>
          </w:p>
        </w:tc>
        <w:tc>
          <w:tcPr>
            <w:tcW w:w="300" w:type="dxa"/>
            <w:vAlign w:val="bottom"/>
            <w:tcBorders>
              <w:right w:val="single" w:sz="8" w:color="auto"/>
            </w:tcBorders>
          </w:tcPr>
          <w:p>
            <w:pPr>
              <w:jc w:val="right"/>
              <w:spacing w:after="0" w:line="182" w:lineRule="exact"/>
              <w:rPr>
                <w:sz w:val="20"/>
                <w:szCs w:val="20"/>
                <w:color w:val="auto"/>
              </w:rPr>
            </w:pPr>
            <w:r>
              <w:rPr>
                <w:rFonts w:ascii="Arial" w:cs="Arial" w:eastAsia="Arial" w:hAnsi="Arial"/>
                <w:sz w:val="18"/>
                <w:szCs w:val="18"/>
                <w:color w:val="auto"/>
              </w:rPr>
              <w:t>7.</w:t>
            </w:r>
          </w:p>
        </w:tc>
        <w:tc>
          <w:tcPr>
            <w:tcW w:w="10000" w:type="dxa"/>
            <w:vAlign w:val="bottom"/>
          </w:tcPr>
          <w:p>
            <w:pPr>
              <w:ind w:left="100"/>
              <w:spacing w:after="0" w:line="182"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140" w:type="dxa"/>
            <w:vAlign w:val="bottom"/>
            <w:tcBorders>
              <w:right w:val="single" w:sz="8" w:color="auto"/>
            </w:tcBorders>
            <w:gridSpan w:val="3"/>
          </w:tcPr>
          <w:p>
            <w:pPr>
              <w:jc w:val="center"/>
              <w:ind w:left="50"/>
              <w:spacing w:after="0"/>
              <w:rPr>
                <w:sz w:val="20"/>
                <w:szCs w:val="20"/>
                <w:color w:val="auto"/>
              </w:rPr>
            </w:pPr>
            <w:r>
              <w:rPr>
                <w:rFonts w:ascii="Arial" w:cs="Arial" w:eastAsia="Arial" w:hAnsi="Arial"/>
                <w:sz w:val="18"/>
                <w:szCs w:val="18"/>
                <w:color w:val="auto"/>
                <w:w w:val="92"/>
              </w:rPr>
              <w:t>Reporting</w:t>
            </w:r>
          </w:p>
        </w:tc>
        <w:tc>
          <w:tcPr>
            <w:tcW w:w="300" w:type="dxa"/>
            <w:vAlign w:val="bottom"/>
            <w:tcBorders>
              <w:right w:val="single" w:sz="8" w:color="auto"/>
            </w:tcBorders>
          </w:tcPr>
          <w:p>
            <w:pPr>
              <w:spacing w:after="0"/>
              <w:rPr>
                <w:sz w:val="18"/>
                <w:szCs w:val="18"/>
                <w:color w:val="auto"/>
              </w:rPr>
            </w:pPr>
          </w:p>
        </w:tc>
        <w:tc>
          <w:tcPr>
            <w:tcW w:w="100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400" w:type="dxa"/>
            <w:vAlign w:val="bottom"/>
          </w:tcPr>
          <w:p>
            <w:pPr>
              <w:spacing w:after="0"/>
              <w:rPr>
                <w:sz w:val="21"/>
                <w:szCs w:val="21"/>
                <w:color w:val="auto"/>
              </w:rPr>
            </w:pPr>
          </w:p>
        </w:tc>
        <w:tc>
          <w:tcPr>
            <w:tcW w:w="740" w:type="dxa"/>
            <w:vAlign w:val="bottom"/>
            <w:tcBorders>
              <w:right w:val="single" w:sz="8" w:color="auto"/>
            </w:tcBorders>
            <w:gridSpan w:val="2"/>
          </w:tcPr>
          <w:p>
            <w:pPr>
              <w:jc w:val="center"/>
              <w:ind w:right="164"/>
              <w:spacing w:after="0"/>
              <w:rPr>
                <w:sz w:val="20"/>
                <w:szCs w:val="20"/>
                <w:color w:val="auto"/>
              </w:rPr>
            </w:pPr>
            <w:r>
              <w:rPr>
                <w:rFonts w:ascii="Arial" w:cs="Arial" w:eastAsia="Arial" w:hAnsi="Arial"/>
                <w:sz w:val="18"/>
                <w:szCs w:val="18"/>
                <w:color w:val="auto"/>
                <w:w w:val="84"/>
              </w:rPr>
              <w:t>Person</w:t>
            </w:r>
          </w:p>
        </w:tc>
        <w:tc>
          <w:tcPr>
            <w:tcW w:w="300" w:type="dxa"/>
            <w:vAlign w:val="bottom"/>
            <w:tcBorders>
              <w:right w:val="single" w:sz="8" w:color="auto"/>
            </w:tcBorders>
          </w:tcPr>
          <w:p>
            <w:pPr>
              <w:spacing w:after="0"/>
              <w:rPr>
                <w:sz w:val="21"/>
                <w:szCs w:val="21"/>
                <w:color w:val="auto"/>
              </w:rPr>
            </w:pPr>
          </w:p>
        </w:tc>
        <w:tc>
          <w:tcPr>
            <w:tcW w:w="10000" w:type="dxa"/>
            <w:vAlign w:val="bottom"/>
          </w:tcPr>
          <w:p>
            <w:pPr>
              <w:ind w:left="100"/>
              <w:spacing w:after="0" w:line="244" w:lineRule="exact"/>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68"/>
        </w:trPr>
        <w:tc>
          <w:tcPr>
            <w:tcW w:w="400" w:type="dxa"/>
            <w:vAlign w:val="bottom"/>
          </w:tcPr>
          <w:p>
            <w:pPr>
              <w:spacing w:after="0"/>
              <w:rPr>
                <w:sz w:val="5"/>
                <w:szCs w:val="5"/>
                <w:color w:val="auto"/>
              </w:rPr>
            </w:pPr>
          </w:p>
        </w:tc>
        <w:tc>
          <w:tcPr>
            <w:tcW w:w="60" w:type="dxa"/>
            <w:vAlign w:val="bottom"/>
          </w:tcPr>
          <w:p>
            <w:pPr>
              <w:spacing w:after="0"/>
              <w:rPr>
                <w:sz w:val="5"/>
                <w:szCs w:val="5"/>
                <w:color w:val="auto"/>
              </w:rPr>
            </w:pPr>
          </w:p>
        </w:tc>
        <w:tc>
          <w:tcPr>
            <w:tcW w:w="680" w:type="dxa"/>
            <w:vAlign w:val="bottom"/>
            <w:tcBorders>
              <w:right w:val="single" w:sz="8" w:color="auto"/>
            </w:tcBorders>
            <w:vMerge w:val="restart"/>
          </w:tcPr>
          <w:p>
            <w:pPr>
              <w:jc w:val="center"/>
              <w:ind w:right="224"/>
              <w:spacing w:after="0"/>
              <w:rPr>
                <w:sz w:val="20"/>
                <w:szCs w:val="20"/>
                <w:color w:val="auto"/>
              </w:rPr>
            </w:pPr>
            <w:r>
              <w:rPr>
                <w:rFonts w:ascii="Arial" w:cs="Arial" w:eastAsia="Arial" w:hAnsi="Arial"/>
                <w:sz w:val="18"/>
                <w:szCs w:val="18"/>
                <w:color w:val="auto"/>
                <w:w w:val="99"/>
              </w:rPr>
              <w:t>With</w:t>
            </w:r>
          </w:p>
        </w:tc>
        <w:tc>
          <w:tcPr>
            <w:tcW w:w="300" w:type="dxa"/>
            <w:vAlign w:val="bottom"/>
            <w:tcBorders>
              <w:bottom w:val="single" w:sz="8" w:color="auto"/>
              <w:right w:val="single" w:sz="8" w:color="auto"/>
            </w:tcBorders>
          </w:tcPr>
          <w:p>
            <w:pPr>
              <w:spacing w:after="0"/>
              <w:rPr>
                <w:sz w:val="5"/>
                <w:szCs w:val="5"/>
                <w:color w:val="auto"/>
              </w:rPr>
            </w:pPr>
          </w:p>
        </w:tc>
        <w:tc>
          <w:tcPr>
            <w:tcW w:w="100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Borders>
              <w:right w:val="single" w:sz="8" w:color="auto"/>
            </w:tcBorders>
            <w:vMerge w:val="continue"/>
          </w:tcPr>
          <w:p>
            <w:pPr>
              <w:spacing w:after="0"/>
              <w:rPr>
                <w:sz w:val="12"/>
                <w:szCs w:val="12"/>
                <w:color w:val="auto"/>
              </w:rPr>
            </w:pPr>
          </w:p>
        </w:tc>
        <w:tc>
          <w:tcPr>
            <w:tcW w:w="300" w:type="dxa"/>
            <w:vAlign w:val="bottom"/>
            <w:tcBorders>
              <w:right w:val="single" w:sz="8" w:color="auto"/>
            </w:tcBorders>
            <w:vMerge w:val="restart"/>
          </w:tcPr>
          <w:p>
            <w:pPr>
              <w:jc w:val="right"/>
              <w:spacing w:after="0"/>
              <w:rPr>
                <w:sz w:val="20"/>
                <w:szCs w:val="20"/>
                <w:color w:val="auto"/>
              </w:rPr>
            </w:pPr>
            <w:r>
              <w:rPr>
                <w:rFonts w:ascii="Arial" w:cs="Arial" w:eastAsia="Arial" w:hAnsi="Arial"/>
                <w:sz w:val="18"/>
                <w:szCs w:val="18"/>
                <w:color w:val="auto"/>
              </w:rPr>
              <w:t>8.</w:t>
            </w:r>
          </w:p>
        </w:tc>
        <w:tc>
          <w:tcPr>
            <w:tcW w:w="10000" w:type="dxa"/>
            <w:vAlign w:val="bottom"/>
            <w:vMerge w:val="restart"/>
          </w:tcPr>
          <w:p>
            <w:pPr>
              <w:ind w:left="10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81"/>
        </w:trPr>
        <w:tc>
          <w:tcPr>
            <w:tcW w:w="400" w:type="dxa"/>
            <w:vAlign w:val="bottom"/>
          </w:tcPr>
          <w:p>
            <w:pPr>
              <w:spacing w:after="0"/>
              <w:rPr>
                <w:sz w:val="7"/>
                <w:szCs w:val="7"/>
                <w:color w:val="auto"/>
              </w:rPr>
            </w:pPr>
          </w:p>
        </w:tc>
        <w:tc>
          <w:tcPr>
            <w:tcW w:w="60" w:type="dxa"/>
            <w:vAlign w:val="bottom"/>
          </w:tcPr>
          <w:p>
            <w:pPr>
              <w:spacing w:after="0"/>
              <w:rPr>
                <w:sz w:val="7"/>
                <w:szCs w:val="7"/>
                <w:color w:val="auto"/>
              </w:rPr>
            </w:pPr>
          </w:p>
        </w:tc>
        <w:tc>
          <w:tcPr>
            <w:tcW w:w="680" w:type="dxa"/>
            <w:vAlign w:val="bottom"/>
            <w:tcBorders>
              <w:right w:val="single" w:sz="8" w:color="auto"/>
            </w:tcBorders>
          </w:tcPr>
          <w:p>
            <w:pPr>
              <w:spacing w:after="0"/>
              <w:rPr>
                <w:sz w:val="7"/>
                <w:szCs w:val="7"/>
                <w:color w:val="auto"/>
              </w:rPr>
            </w:pPr>
          </w:p>
        </w:tc>
        <w:tc>
          <w:tcPr>
            <w:tcW w:w="300" w:type="dxa"/>
            <w:vAlign w:val="bottom"/>
            <w:tcBorders>
              <w:right w:val="single" w:sz="8" w:color="auto"/>
            </w:tcBorders>
            <w:vMerge w:val="continue"/>
          </w:tcPr>
          <w:p>
            <w:pPr>
              <w:spacing w:after="0"/>
              <w:rPr>
                <w:sz w:val="7"/>
                <w:szCs w:val="7"/>
                <w:color w:val="auto"/>
              </w:rPr>
            </w:pPr>
          </w:p>
        </w:tc>
        <w:tc>
          <w:tcPr>
            <w:tcW w:w="100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80" w:type="dxa"/>
            <w:vAlign w:val="bottom"/>
            <w:tcBorders>
              <w:bottom w:val="single" w:sz="8" w:color="auto"/>
              <w:right w:val="single" w:sz="8" w:color="auto"/>
            </w:tcBorders>
          </w:tcPr>
          <w:p>
            <w:pPr>
              <w:spacing w:after="0"/>
              <w:rPr>
                <w:sz w:val="24"/>
                <w:szCs w:val="24"/>
                <w:color w:val="auto"/>
              </w:rPr>
            </w:pPr>
          </w:p>
        </w:tc>
        <w:tc>
          <w:tcPr>
            <w:tcW w:w="300" w:type="dxa"/>
            <w:vAlign w:val="bottom"/>
            <w:tcBorders>
              <w:bottom w:val="single" w:sz="8" w:color="auto"/>
              <w:right w:val="single" w:sz="8" w:color="auto"/>
            </w:tcBorders>
          </w:tcPr>
          <w:p>
            <w:pPr>
              <w:spacing w:after="0"/>
              <w:rPr>
                <w:sz w:val="24"/>
                <w:szCs w:val="24"/>
                <w:color w:val="auto"/>
              </w:rPr>
            </w:pPr>
          </w:p>
        </w:tc>
        <w:tc>
          <w:tcPr>
            <w:tcW w:w="1000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17,664,620 shares *</w:t>
            </w:r>
          </w:p>
        </w:tc>
        <w:tc>
          <w:tcPr>
            <w:tcW w:w="0" w:type="dxa"/>
            <w:vAlign w:val="bottom"/>
          </w:tcPr>
          <w:p>
            <w:pPr>
              <w:spacing w:after="0"/>
              <w:rPr>
                <w:sz w:val="1"/>
                <w:szCs w:val="1"/>
                <w:color w:val="auto"/>
              </w:rPr>
            </w:pPr>
          </w:p>
        </w:tc>
      </w:tr>
      <w:tr>
        <w:trPr>
          <w:trHeight w:val="226"/>
        </w:trPr>
        <w:tc>
          <w:tcPr>
            <w:tcW w:w="40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9"/>
                <w:szCs w:val="19"/>
                <w:color w:val="auto"/>
              </w:rPr>
            </w:pPr>
          </w:p>
        </w:tc>
        <w:tc>
          <w:tcPr>
            <w:tcW w:w="980" w:type="dxa"/>
            <w:vAlign w:val="bottom"/>
            <w:gridSpan w:val="2"/>
          </w:tcPr>
          <w:p>
            <w:pPr>
              <w:ind w:left="80"/>
              <w:spacing w:after="0"/>
              <w:rPr>
                <w:sz w:val="20"/>
                <w:szCs w:val="20"/>
                <w:color w:val="auto"/>
              </w:rPr>
            </w:pPr>
            <w:r>
              <w:rPr>
                <w:rFonts w:ascii="Arial" w:cs="Arial" w:eastAsia="Arial" w:hAnsi="Arial"/>
                <w:sz w:val="18"/>
                <w:szCs w:val="18"/>
                <w:color w:val="auto"/>
              </w:rPr>
              <w:t>Aggregate</w:t>
            </w:r>
          </w:p>
        </w:tc>
        <w:tc>
          <w:tcPr>
            <w:tcW w:w="10000" w:type="dxa"/>
            <w:vAlign w:val="bottom"/>
          </w:tcPr>
          <w:p>
            <w:pPr>
              <w:spacing w:after="0"/>
              <w:rPr>
                <w:sz w:val="20"/>
                <w:szCs w:val="20"/>
                <w:color w:val="auto"/>
              </w:rPr>
            </w:pPr>
            <w:r>
              <w:rPr>
                <w:rFonts w:ascii="Arial" w:cs="Arial" w:eastAsia="Arial" w:hAnsi="Arial"/>
                <w:sz w:val="18"/>
                <w:szCs w:val="18"/>
                <w:color w:val="auto"/>
              </w:rPr>
              <w:t>Amount Beneficially Owned by Each Reporting Person</w:t>
            </w: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980" w:type="dxa"/>
            <w:vAlign w:val="bottom"/>
            <w:tcBorders>
              <w:bottom w:val="single" w:sz="8" w:color="auto"/>
            </w:tcBorders>
            <w:gridSpan w:val="3"/>
          </w:tcPr>
          <w:p>
            <w:pPr>
              <w:ind w:left="80"/>
              <w:spacing w:after="0"/>
              <w:rPr>
                <w:sz w:val="20"/>
                <w:szCs w:val="20"/>
                <w:color w:val="auto"/>
              </w:rPr>
            </w:pPr>
            <w:r>
              <w:rPr>
                <w:rFonts w:ascii="Arial" w:cs="Arial" w:eastAsia="Arial" w:hAnsi="Arial"/>
                <w:sz w:val="22"/>
                <w:szCs w:val="22"/>
                <w:color w:val="auto"/>
              </w:rPr>
              <w:t>17,664,620 shares *</w:t>
            </w:r>
          </w:p>
        </w:tc>
        <w:tc>
          <w:tcPr>
            <w:tcW w:w="0" w:type="dxa"/>
            <w:vAlign w:val="bottom"/>
          </w:tcPr>
          <w:p>
            <w:pPr>
              <w:spacing w:after="0"/>
              <w:rPr>
                <w:sz w:val="1"/>
                <w:szCs w:val="1"/>
                <w:color w:val="auto"/>
              </w:rPr>
            </w:pPr>
          </w:p>
        </w:tc>
      </w:tr>
      <w:tr>
        <w:trPr>
          <w:trHeight w:val="278"/>
        </w:trPr>
        <w:tc>
          <w:tcPr>
            <w:tcW w:w="40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4"/>
                <w:szCs w:val="24"/>
                <w:color w:val="auto"/>
              </w:rPr>
            </w:pPr>
          </w:p>
        </w:tc>
        <w:tc>
          <w:tcPr>
            <w:tcW w:w="10980" w:type="dxa"/>
            <w:vAlign w:val="bottom"/>
            <w:gridSpan w:val="3"/>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90"/>
        </w:trPr>
        <w:tc>
          <w:tcPr>
            <w:tcW w:w="460" w:type="dxa"/>
            <w:vAlign w:val="bottom"/>
            <w:tcBorders>
              <w:bottom w:val="single" w:sz="8" w:color="auto"/>
              <w:right w:val="single" w:sz="8" w:color="auto"/>
            </w:tcBorders>
            <w:gridSpan w:val="2"/>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00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460" w:type="dxa"/>
            <w:vAlign w:val="bottom"/>
            <w:tcBorders>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1098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3.5%</w:t>
            </w:r>
          </w:p>
        </w:tc>
        <w:tc>
          <w:tcPr>
            <w:tcW w:w="300" w:type="dxa"/>
            <w:vAlign w:val="bottom"/>
            <w:tcBorders>
              <w:bottom w:val="single" w:sz="8" w:color="auto"/>
            </w:tcBorders>
          </w:tcPr>
          <w:p>
            <w:pPr>
              <w:spacing w:after="0"/>
              <w:rPr>
                <w:sz w:val="24"/>
                <w:szCs w:val="24"/>
                <w:color w:val="auto"/>
              </w:rPr>
            </w:pPr>
          </w:p>
        </w:tc>
        <w:tc>
          <w:tcPr>
            <w:tcW w:w="100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40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9"/>
                <w:szCs w:val="19"/>
                <w:color w:val="auto"/>
              </w:rPr>
            </w:pPr>
          </w:p>
        </w:tc>
        <w:tc>
          <w:tcPr>
            <w:tcW w:w="1098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84"/>
        </w:trPr>
        <w:tc>
          <w:tcPr>
            <w:tcW w:w="40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IN</w:t>
            </w:r>
          </w:p>
        </w:tc>
        <w:tc>
          <w:tcPr>
            <w:tcW w:w="300" w:type="dxa"/>
            <w:vAlign w:val="bottom"/>
            <w:tcBorders>
              <w:bottom w:val="single" w:sz="8" w:color="auto"/>
            </w:tcBorders>
          </w:tcPr>
          <w:p>
            <w:pPr>
              <w:spacing w:after="0"/>
              <w:rPr>
                <w:sz w:val="24"/>
                <w:szCs w:val="24"/>
                <w:color w:val="auto"/>
              </w:rPr>
            </w:pPr>
          </w:p>
        </w:tc>
        <w:tc>
          <w:tcPr>
            <w:tcW w:w="100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5300" w:right="4700" w:hanging="5292"/>
        <w:spacing w:after="0" w:line="490" w:lineRule="auto"/>
        <w:tabs>
          <w:tab w:leader="none" w:pos="218" w:val="left"/>
        </w:tabs>
        <w:numPr>
          <w:ilvl w:val="0"/>
          <w:numId w:val="3"/>
        </w:numPr>
        <w:rPr>
          <w:rFonts w:ascii="Arial" w:cs="Arial" w:eastAsia="Arial" w:hAnsi="Arial"/>
          <w:sz w:val="17"/>
          <w:szCs w:val="17"/>
          <w:color w:val="auto"/>
        </w:rPr>
      </w:pPr>
      <w:r>
        <w:rPr>
          <w:rFonts w:ascii="Arial" w:cs="Arial" w:eastAsia="Arial" w:hAnsi="Arial"/>
          <w:sz w:val="17"/>
          <w:szCs w:val="17"/>
          <w:color w:val="auto"/>
        </w:rPr>
        <w:t>The amount reported consists of shares held by the Sutardja Chuk Revocable Family Trust Page 2 of 5</w:t>
      </w:r>
    </w:p>
    <w:p>
      <w:pPr>
        <w:sectPr>
          <w:pgSz w:w="11900" w:h="16838" w:orient="portrait"/>
          <w:cols w:equalWidth="0" w:num="1">
            <w:col w:w="11440"/>
          </w:cols>
          <w:pgMar w:left="240" w:top="274" w:right="21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r>
    </w:p>
    <w:p>
      <w:pPr>
        <w:spacing w:after="0" w:line="131" w:lineRule="exact"/>
        <w:rPr>
          <w:sz w:val="20"/>
          <w:szCs w:val="20"/>
          <w:color w:val="auto"/>
        </w:rPr>
      </w:pPr>
    </w:p>
    <w:p>
      <w:pPr>
        <w:ind w:left="900" w:hanging="446"/>
        <w:spacing w:after="0"/>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11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Marvell Technology Group Ltd.</w:t>
      </w:r>
    </w:p>
    <w:p>
      <w:pPr>
        <w:spacing w:after="0" w:line="131" w:lineRule="exact"/>
        <w:rPr>
          <w:sz w:val="20"/>
          <w:szCs w:val="20"/>
          <w:color w:val="auto"/>
        </w:rPr>
      </w:pPr>
    </w:p>
    <w:p>
      <w:pPr>
        <w:ind w:left="900" w:hanging="446"/>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Issuer’s Principal Executive Offices</w:t>
      </w:r>
    </w:p>
    <w:p>
      <w:pPr>
        <w:spacing w:after="0" w:line="11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920"/>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Hamilton HM 12</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Bermuda</w:t>
      </w:r>
    </w:p>
    <w:p>
      <w:pPr>
        <w:spacing w:after="0" w:line="359"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131" w:lineRule="exact"/>
        <w:rPr>
          <w:sz w:val="20"/>
          <w:szCs w:val="20"/>
          <w:color w:val="auto"/>
        </w:rPr>
      </w:pPr>
    </w:p>
    <w:p>
      <w:pPr>
        <w:ind w:left="920" w:right="7679" w:hanging="466"/>
        <w:spacing w:after="0" w:line="431" w:lineRule="auto"/>
        <w:tabs>
          <w:tab w:leader="none" w:pos="898" w:val="left"/>
        </w:tabs>
        <w:numPr>
          <w:ilvl w:val="0"/>
          <w:numId w:val="6"/>
        </w:numPr>
        <w:rPr>
          <w:rFonts w:ascii="Arial" w:cs="Arial" w:eastAsia="Arial" w:hAnsi="Arial"/>
          <w:sz w:val="16"/>
          <w:szCs w:val="16"/>
          <w:color w:val="auto"/>
        </w:rPr>
      </w:pPr>
      <w:r>
        <w:rPr>
          <w:rFonts w:ascii="Arial" w:cs="Arial" w:eastAsia="Arial" w:hAnsi="Arial"/>
          <w:sz w:val="16"/>
          <w:szCs w:val="16"/>
          <w:color w:val="auto"/>
        </w:rPr>
        <w:t>Name of Person Filing Dr. Pantas Sutardja</w:t>
      </w: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11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18690 Blythswood Drive</w:t>
      </w:r>
    </w:p>
    <w:p>
      <w:pPr>
        <w:spacing w:after="0" w:line="23" w:lineRule="exact"/>
        <w:rPr>
          <w:sz w:val="20"/>
          <w:szCs w:val="20"/>
          <w:color w:val="auto"/>
        </w:rPr>
      </w:pPr>
    </w:p>
    <w:p>
      <w:pPr>
        <w:ind w:left="920"/>
        <w:spacing w:after="0"/>
        <w:rPr>
          <w:sz w:val="20"/>
          <w:szCs w:val="20"/>
          <w:color w:val="auto"/>
        </w:rPr>
      </w:pPr>
      <w:r>
        <w:rPr>
          <w:rFonts w:ascii="Arial" w:cs="Arial" w:eastAsia="Arial" w:hAnsi="Arial"/>
          <w:sz w:val="18"/>
          <w:szCs w:val="18"/>
          <w:color w:val="auto"/>
        </w:rPr>
        <w:t>Los Gatos, CA 95030</w:t>
      </w:r>
    </w:p>
    <w:p>
      <w:pPr>
        <w:spacing w:after="0" w:line="116" w:lineRule="exact"/>
        <w:rPr>
          <w:sz w:val="20"/>
          <w:szCs w:val="20"/>
          <w:color w:val="auto"/>
        </w:rPr>
      </w:pPr>
    </w:p>
    <w:p>
      <w:pPr>
        <w:ind w:left="920" w:right="8339" w:hanging="466"/>
        <w:spacing w:after="0" w:line="381" w:lineRule="auto"/>
        <w:tabs>
          <w:tab w:leader="none" w:pos="898" w:val="left"/>
        </w:tabs>
        <w:numPr>
          <w:ilvl w:val="0"/>
          <w:numId w:val="7"/>
        </w:numPr>
        <w:rPr>
          <w:rFonts w:ascii="Arial" w:cs="Arial" w:eastAsia="Arial" w:hAnsi="Arial"/>
          <w:sz w:val="15"/>
          <w:szCs w:val="15"/>
          <w:color w:val="auto"/>
        </w:rPr>
      </w:pPr>
      <w:r>
        <w:rPr>
          <w:rFonts w:ascii="Arial" w:cs="Arial" w:eastAsia="Arial" w:hAnsi="Arial"/>
          <w:sz w:val="15"/>
          <w:szCs w:val="15"/>
          <w:color w:val="auto"/>
        </w:rPr>
        <w:t>Citizenship United States</w:t>
      </w:r>
    </w:p>
    <w:p>
      <w:pPr>
        <w:spacing w:after="0" w:line="6" w:lineRule="exact"/>
        <w:rPr>
          <w:rFonts w:ascii="Arial" w:cs="Arial" w:eastAsia="Arial" w:hAnsi="Arial"/>
          <w:sz w:val="15"/>
          <w:szCs w:val="15"/>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sz w:val="20"/>
          <w:szCs w:val="20"/>
          <w:color w:val="auto"/>
        </w:rPr>
      </w:pPr>
    </w:p>
    <w:p>
      <w:pPr>
        <w:ind w:left="920"/>
        <w:spacing w:after="0"/>
        <w:rPr>
          <w:sz w:val="20"/>
          <w:szCs w:val="20"/>
          <w:color w:val="auto"/>
        </w:rPr>
      </w:pPr>
      <w:r>
        <w:rPr>
          <w:rFonts w:ascii="Arial" w:cs="Arial" w:eastAsia="Arial" w:hAnsi="Arial"/>
          <w:sz w:val="18"/>
          <w:szCs w:val="18"/>
          <w:color w:val="auto"/>
        </w:rPr>
        <w:t>Common shares, par value $0.002 per share</w:t>
      </w:r>
    </w:p>
    <w:p>
      <w:pPr>
        <w:spacing w:after="0" w:line="116" w:lineRule="exact"/>
        <w:rPr>
          <w:sz w:val="20"/>
          <w:szCs w:val="20"/>
          <w:color w:val="auto"/>
        </w:rPr>
      </w:pPr>
    </w:p>
    <w:p>
      <w:pPr>
        <w:ind w:left="920" w:right="8179" w:hanging="466"/>
        <w:spacing w:after="0" w:line="342" w:lineRule="auto"/>
        <w:tabs>
          <w:tab w:leader="none" w:pos="898" w:val="left"/>
        </w:tabs>
        <w:numPr>
          <w:ilvl w:val="0"/>
          <w:numId w:val="8"/>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72"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1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6"/>
          <w:szCs w:val="16"/>
          <w:color w:val="auto"/>
        </w:rPr>
        <w:t>Ownership</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Provide the following information regarding the aggregate number and percentage of the class of securities of the issuer identified in Item 1.</w:t>
      </w:r>
    </w:p>
    <w:p>
      <w:pPr>
        <w:spacing w:after="0" w:line="154" w:lineRule="exact"/>
        <w:rPr>
          <w:sz w:val="20"/>
          <w:szCs w:val="20"/>
          <w:color w:val="auto"/>
        </w:rPr>
      </w:pPr>
    </w:p>
    <w:p>
      <w:pPr>
        <w:ind w:left="920" w:right="7259" w:hanging="466"/>
        <w:spacing w:after="0" w:line="431" w:lineRule="auto"/>
        <w:tabs>
          <w:tab w:leader="none" w:pos="898" w:val="left"/>
        </w:tabs>
        <w:numPr>
          <w:ilvl w:val="0"/>
          <w:numId w:val="9"/>
        </w:numPr>
        <w:rPr>
          <w:rFonts w:ascii="Arial" w:cs="Arial" w:eastAsia="Arial" w:hAnsi="Arial"/>
          <w:sz w:val="16"/>
          <w:szCs w:val="16"/>
          <w:color w:val="auto"/>
        </w:rPr>
      </w:pPr>
      <w:r>
        <w:rPr>
          <w:rFonts w:ascii="Arial" w:cs="Arial" w:eastAsia="Arial" w:hAnsi="Arial"/>
          <w:sz w:val="16"/>
          <w:szCs w:val="16"/>
          <w:color w:val="auto"/>
        </w:rPr>
        <w:t>Amount beneficially owned: 17,664,620 shares *</w:t>
      </w: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11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3.5%</w:t>
      </w:r>
    </w:p>
    <w:p>
      <w:pPr>
        <w:spacing w:after="0" w:line="131" w:lineRule="exact"/>
        <w:rPr>
          <w:sz w:val="20"/>
          <w:szCs w:val="20"/>
          <w:color w:val="auto"/>
        </w:rPr>
      </w:pP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130" w:lineRule="exact"/>
        <w:rPr>
          <w:rFonts w:ascii="Arial" w:cs="Arial" w:eastAsia="Arial" w:hAnsi="Arial"/>
          <w:sz w:val="18"/>
          <w:szCs w:val="18"/>
          <w:color w:val="auto"/>
        </w:rPr>
      </w:pPr>
    </w:p>
    <w:p>
      <w:pPr>
        <w:ind w:left="1500" w:right="5939" w:hanging="587"/>
        <w:spacing w:after="0" w:line="399" w:lineRule="auto"/>
        <w:tabs>
          <w:tab w:leader="none" w:pos="1489" w:val="left"/>
        </w:tabs>
        <w:numPr>
          <w:ilvl w:val="1"/>
          <w:numId w:val="10"/>
        </w:numPr>
        <w:rPr>
          <w:rFonts w:ascii="Arial" w:cs="Arial" w:eastAsia="Arial" w:hAnsi="Arial"/>
          <w:sz w:val="18"/>
          <w:szCs w:val="18"/>
          <w:color w:val="auto"/>
        </w:rPr>
      </w:pPr>
      <w:r>
        <w:rPr>
          <w:rFonts w:ascii="Arial" w:cs="Arial" w:eastAsia="Arial" w:hAnsi="Arial"/>
          <w:sz w:val="18"/>
          <w:szCs w:val="18"/>
          <w:color w:val="auto"/>
        </w:rPr>
        <w:t>Sole power to vote or to direct the vote 0 shares</w:t>
      </w:r>
    </w:p>
    <w:p>
      <w:pPr>
        <w:spacing w:after="0" w:line="1" w:lineRule="exact"/>
        <w:rPr>
          <w:sz w:val="20"/>
          <w:szCs w:val="20"/>
          <w:color w:val="auto"/>
        </w:rPr>
      </w:pPr>
    </w:p>
    <w:p>
      <w:pPr>
        <w:ind w:left="5300"/>
        <w:spacing w:after="0"/>
        <w:rPr>
          <w:sz w:val="20"/>
          <w:szCs w:val="20"/>
          <w:color w:val="auto"/>
        </w:rPr>
      </w:pPr>
      <w:r>
        <w:rPr>
          <w:rFonts w:ascii="Arial" w:cs="Arial" w:eastAsia="Arial" w:hAnsi="Arial"/>
          <w:sz w:val="18"/>
          <w:szCs w:val="18"/>
          <w:color w:val="auto"/>
        </w:rPr>
        <w:t>Page 3 of 5</w:t>
      </w:r>
    </w:p>
    <w:p>
      <w:pPr>
        <w:sectPr>
          <w:pgSz w:w="11900" w:h="16838" w:orient="portrait"/>
          <w:cols w:equalWidth="0" w:num="1">
            <w:col w:w="10219"/>
          </w:cols>
          <w:pgMar w:left="240" w:top="274" w:right="1440" w:bottom="1440" w:gutter="0" w:footer="0" w:header="0"/>
        </w:sectPr>
      </w:pPr>
    </w:p>
    <w:bookmarkStart w:id="3" w:name="page4"/>
    <w:bookmarkEnd w:id="3"/>
    <w:p>
      <w:pPr>
        <w:ind w:left="1500" w:right="6840" w:hanging="587"/>
        <w:spacing w:after="0" w:line="383" w:lineRule="auto"/>
        <w:tabs>
          <w:tab w:leader="none" w:pos="1489" w:val="left"/>
        </w:tabs>
        <w:numPr>
          <w:ilvl w:val="1"/>
          <w:numId w:val="1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Shared power to vote or to direct the vote 17,664,620 shares *</w:t>
      </w:r>
    </w:p>
    <w:p>
      <w:pPr>
        <w:spacing w:after="0" w:line="1" w:lineRule="exact"/>
        <w:rPr>
          <w:rFonts w:ascii="Arial" w:cs="Arial" w:eastAsia="Arial" w:hAnsi="Arial"/>
          <w:sz w:val="18"/>
          <w:szCs w:val="18"/>
          <w:color w:val="auto"/>
        </w:rPr>
      </w:pPr>
    </w:p>
    <w:p>
      <w:pPr>
        <w:ind w:left="1500" w:right="6100" w:hanging="587"/>
        <w:spacing w:after="0" w:line="383" w:lineRule="auto"/>
        <w:tabs>
          <w:tab w:leader="none" w:pos="1489" w:val="left"/>
        </w:tabs>
        <w:numPr>
          <w:ilvl w:val="1"/>
          <w:numId w:val="11"/>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1" w:lineRule="exact"/>
        <w:rPr>
          <w:rFonts w:ascii="Arial" w:cs="Arial" w:eastAsia="Arial" w:hAnsi="Arial"/>
          <w:sz w:val="18"/>
          <w:szCs w:val="18"/>
          <w:color w:val="auto"/>
        </w:rPr>
      </w:pPr>
    </w:p>
    <w:p>
      <w:pPr>
        <w:ind w:left="1500" w:right="5920" w:hanging="587"/>
        <w:spacing w:after="0" w:line="402" w:lineRule="auto"/>
        <w:tabs>
          <w:tab w:leader="none" w:pos="1489" w:val="left"/>
        </w:tabs>
        <w:numPr>
          <w:ilvl w:val="1"/>
          <w:numId w:val="11"/>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17,664,620 shares *</w:t>
      </w:r>
    </w:p>
    <w:p>
      <w:pPr>
        <w:spacing w:after="0" w:line="89" w:lineRule="exact"/>
        <w:rPr>
          <w:rFonts w:ascii="Arial" w:cs="Arial" w:eastAsia="Arial" w:hAnsi="Arial"/>
          <w:sz w:val="18"/>
          <w:szCs w:val="18"/>
          <w:color w:val="auto"/>
        </w:rPr>
      </w:pPr>
    </w:p>
    <w:p>
      <w:pPr>
        <w:spacing w:after="0"/>
        <w:rPr>
          <w:rFonts w:ascii="Arial" w:cs="Arial" w:eastAsia="Arial" w:hAnsi="Arial"/>
          <w:sz w:val="18"/>
          <w:szCs w:val="18"/>
          <w:color w:val="auto"/>
        </w:rPr>
      </w:pPr>
      <w:r>
        <w:rPr>
          <w:rFonts w:ascii="Arial" w:cs="Arial" w:eastAsia="Arial" w:hAnsi="Arial"/>
          <w:sz w:val="18"/>
          <w:szCs w:val="18"/>
          <w:color w:val="auto"/>
        </w:rPr>
        <w:t>*  The amounts reported consists of shares held by the Sutardja Chuk Revocable Family Trust.</w:t>
      </w:r>
    </w:p>
    <w:p>
      <w:pPr>
        <w:spacing w:after="0" w:line="374"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color w:val="auto"/>
        </w:rPr>
        <w:t>Ownership of Five Percent or Less of a Class</w:t>
      </w:r>
    </w:p>
    <w:p>
      <w:pPr>
        <w:spacing w:after="0" w:line="117" w:lineRule="exact"/>
        <w:rPr>
          <w:sz w:val="20"/>
          <w:szCs w:val="20"/>
          <w:color w:val="auto"/>
        </w:rPr>
      </w:pPr>
    </w:p>
    <w:p>
      <w:pPr>
        <w:spacing w:after="0" w:line="233"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331"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ind w:right="840"/>
        <w:spacing w:after="0" w:line="402" w:lineRule="auto"/>
        <w:rPr>
          <w:sz w:val="20"/>
          <w:szCs w:val="20"/>
          <w:color w:val="auto"/>
        </w:rPr>
      </w:pPr>
      <w:r>
        <w:rPr>
          <w:rFonts w:ascii="Arial" w:cs="Arial" w:eastAsia="Arial" w:hAnsi="Arial"/>
          <w:sz w:val="18"/>
          <w:szCs w:val="18"/>
          <w:color w:val="auto"/>
        </w:rPr>
        <w:t>Item 7. Identification and Classification of the Subsidiary Which Acquired the Security Being Reported on By the Parent Holding Company Not Applicable</w:t>
      </w:r>
    </w:p>
    <w:p>
      <w:pPr>
        <w:spacing w:after="0" w:line="211"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6"/>
          <w:szCs w:val="16"/>
          <w:color w:val="auto"/>
        </w:rPr>
        <w:t>Notice of Dissolution of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Item 10.</w:t>
      </w:r>
      <w:r>
        <w:rPr>
          <w:sz w:val="20"/>
          <w:szCs w:val="20"/>
          <w:color w:val="auto"/>
        </w:rPr>
        <w:tab/>
      </w:r>
      <w:r>
        <w:rPr>
          <w:rFonts w:ascii="Arial" w:cs="Arial" w:eastAsia="Arial" w:hAnsi="Arial"/>
          <w:sz w:val="17"/>
          <w:szCs w:val="17"/>
          <w:color w:val="auto"/>
        </w:rPr>
        <w:t>Certification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Page 4 of 5</w:t>
      </w:r>
    </w:p>
    <w:p>
      <w:pPr>
        <w:sectPr>
          <w:pgSz w:w="11900" w:h="16838" w:orient="portrait"/>
          <w:cols w:equalWidth="0" w:num="1">
            <w:col w:w="11300"/>
          </w:cols>
          <w:pgMar w:left="240" w:top="274" w:right="359" w:bottom="1440" w:gutter="0" w:footer="0" w:header="0"/>
        </w:sectPr>
      </w:pPr>
    </w:p>
    <w:bookmarkStart w:id="4" w:name="page5"/>
    <w:bookmarkEnd w:id="4"/>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7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February 3, 2016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4464685</wp:posOffset>
            </wp:positionH>
            <wp:positionV relativeFrom="paragraph">
              <wp:posOffset>14605</wp:posOffset>
            </wp:positionV>
            <wp:extent cx="278701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78701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4464685</wp:posOffset>
            </wp:positionH>
            <wp:positionV relativeFrom="paragraph">
              <wp:posOffset>14605</wp:posOffset>
            </wp:positionV>
            <wp:extent cx="278701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78701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Dr.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4464685</wp:posOffset>
            </wp:positionH>
            <wp:positionV relativeFrom="paragraph">
              <wp:posOffset>14605</wp:posOffset>
            </wp:positionV>
            <wp:extent cx="278701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78701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Name/Title</w:t>
      </w:r>
    </w:p>
    <w:p>
      <w:pPr>
        <w:spacing w:after="0" w:line="158"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Page 5 of 5</w:t>
      </w:r>
    </w:p>
    <w:sectPr>
      <w:pgSz w:w="11900" w:h="16838" w:orient="portrait"/>
      <w:cols w:equalWidth="0" w:num="1">
        <w:col w:w="11060"/>
      </w:cols>
      <w:pgMar w:left="240" w:top="270" w:right="5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07ED7AB"/>
    <w:multiLevelType w:val="hybridMultilevel"/>
    <w:lvl w:ilvl="0">
      <w:lvlJc w:val="left"/>
      <w:lvlText w:val="☐"/>
      <w:numFmt w:val="bullet"/>
      <w:start w:val="1"/>
    </w:lvl>
  </w:abstractNum>
  <w:abstractNum w:abstractNumId="1">
    <w:nsid w:val="2EB141F2"/>
    <w:multiLevelType w:val="hybridMultilevel"/>
    <w:lvl w:ilvl="0">
      <w:lvlJc w:val="left"/>
      <w:lvlText w:val="*"/>
      <w:numFmt w:val="bullet"/>
      <w:start w:val="1"/>
    </w:lvl>
    <w:lvl w:ilvl="1">
      <w:lvlJc w:val="left"/>
      <w:lvlText w:val="☒"/>
      <w:numFmt w:val="bullet"/>
      <w:start w:val="1"/>
    </w:lvl>
  </w:abstractNum>
  <w:abstractNum w:abstractNumId="2">
    <w:nsid w:val="41B71EFB"/>
    <w:multiLevelType w:val="hybridMultilevel"/>
    <w:lvl w:ilvl="0">
      <w:lvlJc w:val="left"/>
      <w:lvlText w:val="*"/>
      <w:numFmt w:val="bullet"/>
      <w:start w:val="1"/>
    </w:lvl>
  </w:abstractNum>
  <w:abstractNum w:abstractNumId="3">
    <w:nsid w:val="79E2A9E3"/>
    <w:multiLevelType w:val="hybridMultilevel"/>
    <w:lvl w:ilvl="0">
      <w:lvlJc w:val="left"/>
      <w:lvlText w:val="(%1)"/>
      <w:numFmt w:val="lowerLetter"/>
      <w:start w:val="1"/>
    </w:lvl>
  </w:abstractNum>
  <w:abstractNum w:abstractNumId="4">
    <w:nsid w:val="7545E146"/>
    <w:multiLevelType w:val="hybridMultilevel"/>
    <w:lvl w:ilvl="0">
      <w:lvlJc w:val="left"/>
      <w:lvlText w:val="(%1)"/>
      <w:numFmt w:val="lowerLetter"/>
      <w:start w:val="2"/>
    </w:lvl>
  </w:abstractNum>
  <w:abstractNum w:abstractNumId="5">
    <w:nsid w:val="515F007C"/>
    <w:multiLevelType w:val="hybridMultilevel"/>
    <w:lvl w:ilvl="0">
      <w:lvlJc w:val="left"/>
      <w:lvlText w:val="(%1)"/>
      <w:numFmt w:val="lowerLetter"/>
      <w:start w:val="1"/>
    </w:lvl>
  </w:abstractNum>
  <w:abstractNum w:abstractNumId="6">
    <w:nsid w:val="5BD062C2"/>
    <w:multiLevelType w:val="hybridMultilevel"/>
    <w:lvl w:ilvl="0">
      <w:lvlJc w:val="left"/>
      <w:lvlText w:val="(%1)"/>
      <w:numFmt w:val="lowerLetter"/>
      <w:start w:val="3"/>
    </w:lvl>
  </w:abstractNum>
  <w:abstractNum w:abstractNumId="7">
    <w:nsid w:val="12200854"/>
    <w:multiLevelType w:val="hybridMultilevel"/>
    <w:lvl w:ilvl="0">
      <w:lvlJc w:val="left"/>
      <w:lvlText w:val="(%1)"/>
      <w:numFmt w:val="lowerLetter"/>
      <w:start w:val="5"/>
    </w:lvl>
  </w:abstractNum>
  <w:abstractNum w:abstractNumId="8">
    <w:nsid w:val="4DB127F8"/>
    <w:multiLevelType w:val="hybridMultilevel"/>
    <w:lvl w:ilvl="0">
      <w:lvlJc w:val="left"/>
      <w:lvlText w:val="(%1)"/>
      <w:numFmt w:val="lowerLetter"/>
      <w:start w:val="1"/>
    </w:lvl>
  </w:abstractNum>
  <w:abstractNum w:abstractNumId="9">
    <w:nsid w:val="216231B"/>
    <w:multiLevelType w:val="hybridMultilevel"/>
    <w:lvl w:ilvl="0">
      <w:lvlJc w:val="left"/>
      <w:lvlText w:val="(%1)"/>
      <w:numFmt w:val="lowerLetter"/>
      <w:start w:val="3"/>
    </w:lvl>
    <w:lvl w:ilvl="1">
      <w:lvlJc w:val="left"/>
      <w:lvlText w:val="(%2)"/>
      <w:numFmt w:val="lowerLetter"/>
      <w:start w:val="9"/>
    </w:lvl>
  </w:abstractNum>
  <w:abstractNum w:abstractNumId="10">
    <w:nsid w:val="1F16E9E8"/>
    <w:multiLevelType w:val="hybridMultilevel"/>
    <w:lvl w:ilvl="0">
      <w:lvlJc w:val="left"/>
      <w:lvlText w:val="*"/>
      <w:numFmt w:val="bullet"/>
      <w:start w:val="1"/>
    </w:lvl>
    <w:lvl w:ilvl="1">
      <w:lvlJc w:val="left"/>
      <w:lvlText w:val="(%2)"/>
      <w:numFmt w:val="lowerRoman"/>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2019-12-06T21:08:53Z</dcterms:created>
  <dcterms:modified xsi:type="dcterms:W3CDTF">2019-12-06T21:08:53Z</dcterms:modified>
</cp:coreProperties>
</file>