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4"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10-K</w:t>
      </w:r>
    </w:p>
    <w:p>
      <w:pPr>
        <w:spacing w:after="0" w:line="25"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4220" w:right="2360" w:hanging="4212"/>
        <w:spacing w:after="0" w:line="308" w:lineRule="auto"/>
        <w:tabs>
          <w:tab w:leader="none" w:pos="452"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 xml:space="preserve">ANNUAL REPORT PURSUANT TO SECTION 13 OR 15(d) OF THE SECURITIES EXCHANGE ACT OF 1934 </w:t>
      </w:r>
      <w:r>
        <w:rPr>
          <w:rFonts w:ascii="Arial" w:cs="Arial" w:eastAsia="Arial" w:hAnsi="Arial"/>
          <w:sz w:val="18"/>
          <w:szCs w:val="18"/>
          <w:color w:val="auto"/>
        </w:rPr>
        <w:t>For the fiscal year ended January 31, 2015</w:t>
      </w:r>
    </w:p>
    <w:p>
      <w:pPr>
        <w:spacing w:after="0" w:line="1" w:lineRule="exact"/>
        <w:rPr>
          <w:rFonts w:ascii="MS PGothic" w:cs="MS PGothic" w:eastAsia="MS PGothic" w:hAnsi="MS PGothic"/>
          <w:sz w:val="18"/>
          <w:szCs w:val="18"/>
          <w:color w:val="auto"/>
        </w:rPr>
      </w:pPr>
    </w:p>
    <w:p>
      <w:pPr>
        <w:ind w:left="5640"/>
        <w:spacing w:after="0"/>
        <w:rPr>
          <w:rFonts w:ascii="MS PGothic" w:cs="MS PGothic" w:eastAsia="MS PGothic" w:hAnsi="MS PGothic"/>
          <w:sz w:val="18"/>
          <w:szCs w:val="18"/>
          <w:color w:val="auto"/>
        </w:rPr>
      </w:pPr>
      <w:r>
        <w:rPr>
          <w:rFonts w:ascii="Arial" w:cs="Arial" w:eastAsia="Arial" w:hAnsi="Arial"/>
          <w:sz w:val="18"/>
          <w:szCs w:val="18"/>
          <w:color w:val="auto"/>
        </w:rPr>
        <w:t>or</w:t>
      </w:r>
    </w:p>
    <w:p>
      <w:pPr>
        <w:spacing w:after="0" w:line="71"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69" w:lineRule="exact"/>
        <w:rPr>
          <w:sz w:val="24"/>
          <w:szCs w:val="24"/>
          <w:color w:val="auto"/>
        </w:rPr>
      </w:pPr>
    </w:p>
    <w:tbl>
      <w:tblPr>
        <w:tblLayout w:type="fixed"/>
        <w:tblInd w:w="360" w:type="dxa"/>
        <w:tblCellMar>
          <w:top w:w="0" w:type="dxa"/>
          <w:left w:w="0" w:type="dxa"/>
          <w:bottom w:w="0" w:type="dxa"/>
          <w:right w:w="0" w:type="dxa"/>
        </w:tblCellMar>
      </w:tblPr>
      <w:tr>
        <w:trPr>
          <w:trHeight w:val="222"/>
        </w:trPr>
        <w:tc>
          <w:tcPr>
            <w:tcW w:w="20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100" w:type="dxa"/>
            <w:vAlign w:val="bottom"/>
            <w:gridSpan w:val="2"/>
          </w:tcPr>
          <w:p>
            <w:pPr>
              <w:jc w:val="right"/>
              <w:ind w:right="359"/>
              <w:spacing w:after="0"/>
              <w:rPr>
                <w:sz w:val="20"/>
                <w:szCs w:val="20"/>
                <w:color w:val="auto"/>
              </w:rPr>
            </w:pPr>
            <w:r>
              <w:rPr>
                <w:rFonts w:ascii="Arial" w:cs="Arial" w:eastAsia="Arial" w:hAnsi="Arial"/>
                <w:sz w:val="18"/>
                <w:szCs w:val="18"/>
                <w:color w:val="auto"/>
              </w:rPr>
              <w:t>For the transition period from</w:t>
            </w:r>
          </w:p>
        </w:tc>
        <w:tc>
          <w:tcPr>
            <w:tcW w:w="2220" w:type="dxa"/>
            <w:vAlign w:val="bottom"/>
            <w:gridSpan w:val="3"/>
          </w:tcPr>
          <w:p>
            <w:pPr>
              <w:ind w:left="180"/>
              <w:spacing w:after="0"/>
              <w:rPr>
                <w:sz w:val="20"/>
                <w:szCs w:val="20"/>
                <w:color w:val="auto"/>
              </w:rPr>
            </w:pPr>
            <w:r>
              <w:rPr>
                <w:rFonts w:ascii="Arial" w:cs="Arial" w:eastAsia="Arial" w:hAnsi="Arial"/>
                <w:sz w:val="18"/>
                <w:szCs w:val="18"/>
                <w:color w:val="auto"/>
              </w:rPr>
              <w:t>to</w:t>
            </w:r>
          </w:p>
        </w:tc>
        <w:tc>
          <w:tcPr>
            <w:tcW w:w="6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97"/>
        </w:trPr>
        <w:tc>
          <w:tcPr>
            <w:tcW w:w="20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4240" w:type="dxa"/>
            <w:vAlign w:val="bottom"/>
            <w:gridSpan w:val="4"/>
          </w:tcPr>
          <w:p>
            <w:pPr>
              <w:jc w:val="center"/>
              <w:ind w:right="1787"/>
              <w:spacing w:after="0"/>
              <w:rPr>
                <w:sz w:val="20"/>
                <w:szCs w:val="20"/>
                <w:color w:val="auto"/>
              </w:rPr>
            </w:pPr>
            <w:r>
              <w:rPr>
                <w:rFonts w:ascii="Arial" w:cs="Arial" w:eastAsia="Arial" w:hAnsi="Arial"/>
                <w:sz w:val="18"/>
                <w:szCs w:val="18"/>
                <w:color w:val="auto"/>
                <w:w w:val="90"/>
              </w:rPr>
              <w:t>Commission file number 0-30877</w:t>
            </w: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2"/>
        </w:trPr>
        <w:tc>
          <w:tcPr>
            <w:tcW w:w="20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5320" w:type="dxa"/>
            <w:vAlign w:val="bottom"/>
            <w:gridSpan w:val="5"/>
          </w:tcPr>
          <w:p>
            <w:pPr>
              <w:jc w:val="center"/>
              <w:ind w:right="707"/>
              <w:spacing w:after="0"/>
              <w:rPr>
                <w:sz w:val="20"/>
                <w:szCs w:val="20"/>
                <w:color w:val="auto"/>
              </w:rPr>
            </w:pPr>
            <w:r>
              <w:rPr>
                <w:rFonts w:ascii="Arial" w:cs="Arial" w:eastAsia="Arial" w:hAnsi="Arial"/>
                <w:sz w:val="32"/>
                <w:szCs w:val="32"/>
                <w:b w:val="1"/>
                <w:bCs w:val="1"/>
                <w:color w:val="auto"/>
                <w:w w:val="93"/>
              </w:rPr>
              <w:t>Marvell Technology Group Ltd.</w:t>
            </w: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0"/>
        </w:trPr>
        <w:tc>
          <w:tcPr>
            <w:tcW w:w="20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5320" w:type="dxa"/>
            <w:vAlign w:val="bottom"/>
            <w:gridSpan w:val="5"/>
          </w:tcPr>
          <w:p>
            <w:pPr>
              <w:jc w:val="center"/>
              <w:ind w:right="707"/>
              <w:spacing w:after="0"/>
              <w:rPr>
                <w:sz w:val="20"/>
                <w:szCs w:val="20"/>
                <w:color w:val="auto"/>
              </w:rPr>
            </w:pPr>
            <w:r>
              <w:rPr>
                <w:rFonts w:ascii="Arial" w:cs="Arial" w:eastAsia="Arial" w:hAnsi="Arial"/>
                <w:sz w:val="14"/>
                <w:szCs w:val="14"/>
                <w:b w:val="1"/>
                <w:bCs w:val="1"/>
                <w:i w:val="1"/>
                <w:iCs w:val="1"/>
                <w:color w:val="auto"/>
                <w:w w:val="84"/>
              </w:rPr>
              <w:t>(Exact name of registrant as specified in its charter)</w:t>
            </w:r>
          </w:p>
        </w:tc>
        <w:tc>
          <w:tcPr>
            <w:tcW w:w="6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0"/>
        </w:trPr>
        <w:tc>
          <w:tcPr>
            <w:tcW w:w="2000" w:type="dxa"/>
            <w:vAlign w:val="bottom"/>
          </w:tcPr>
          <w:p>
            <w:pPr>
              <w:spacing w:after="0"/>
              <w:rPr>
                <w:sz w:val="19"/>
                <w:szCs w:val="19"/>
                <w:color w:val="auto"/>
              </w:rPr>
            </w:pPr>
          </w:p>
        </w:tc>
        <w:tc>
          <w:tcPr>
            <w:tcW w:w="4180" w:type="dxa"/>
            <w:vAlign w:val="bottom"/>
            <w:gridSpan w:val="3"/>
          </w:tcPr>
          <w:p>
            <w:pPr>
              <w:jc w:val="center"/>
              <w:ind w:right="3039"/>
              <w:spacing w:after="0"/>
              <w:rPr>
                <w:sz w:val="20"/>
                <w:szCs w:val="20"/>
                <w:color w:val="auto"/>
              </w:rPr>
            </w:pPr>
            <w:r>
              <w:rPr>
                <w:rFonts w:ascii="Arial" w:cs="Arial" w:eastAsia="Arial" w:hAnsi="Arial"/>
                <w:sz w:val="18"/>
                <w:szCs w:val="18"/>
                <w:b w:val="1"/>
                <w:bCs w:val="1"/>
                <w:color w:val="auto"/>
                <w:w w:val="89"/>
              </w:rPr>
              <w:t>Bermuda</w:t>
            </w:r>
          </w:p>
        </w:tc>
        <w:tc>
          <w:tcPr>
            <w:tcW w:w="2900" w:type="dxa"/>
            <w:vAlign w:val="bottom"/>
            <w:gridSpan w:val="4"/>
          </w:tcPr>
          <w:p>
            <w:pPr>
              <w:jc w:val="center"/>
              <w:ind w:left="1232"/>
              <w:spacing w:after="0"/>
              <w:rPr>
                <w:sz w:val="20"/>
                <w:szCs w:val="20"/>
                <w:color w:val="auto"/>
              </w:rPr>
            </w:pPr>
            <w:r>
              <w:rPr>
                <w:rFonts w:ascii="Arial" w:cs="Arial" w:eastAsia="Arial" w:hAnsi="Arial"/>
                <w:sz w:val="18"/>
                <w:szCs w:val="18"/>
                <w:b w:val="1"/>
                <w:bCs w:val="1"/>
                <w:color w:val="auto"/>
                <w:w w:val="89"/>
              </w:rPr>
              <w:t>77-0481679</w:t>
            </w: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9"/>
        </w:trPr>
        <w:tc>
          <w:tcPr>
            <w:tcW w:w="6180" w:type="dxa"/>
            <w:vAlign w:val="bottom"/>
            <w:gridSpan w:val="4"/>
          </w:tcPr>
          <w:p>
            <w:pPr>
              <w:jc w:val="center"/>
              <w:ind w:right="1039"/>
              <w:spacing w:after="0" w:line="149" w:lineRule="exact"/>
              <w:rPr>
                <w:sz w:val="20"/>
                <w:szCs w:val="20"/>
                <w:color w:val="auto"/>
              </w:rPr>
            </w:pPr>
            <w:r>
              <w:rPr>
                <w:rFonts w:ascii="Arial" w:cs="Arial" w:eastAsia="Arial" w:hAnsi="Arial"/>
                <w:sz w:val="14"/>
                <w:szCs w:val="14"/>
                <w:b w:val="1"/>
                <w:bCs w:val="1"/>
                <w:i w:val="1"/>
                <w:iCs w:val="1"/>
                <w:color w:val="auto"/>
                <w:w w:val="84"/>
              </w:rPr>
              <w:t>(State or other jurisdiction of</w:t>
            </w:r>
          </w:p>
        </w:tc>
        <w:tc>
          <w:tcPr>
            <w:tcW w:w="3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120" w:type="dxa"/>
            <w:vAlign w:val="bottom"/>
            <w:gridSpan w:val="2"/>
          </w:tcPr>
          <w:p>
            <w:pPr>
              <w:jc w:val="center"/>
              <w:ind w:left="467"/>
              <w:spacing w:after="0" w:line="149" w:lineRule="exact"/>
              <w:rPr>
                <w:sz w:val="20"/>
                <w:szCs w:val="20"/>
                <w:color w:val="auto"/>
              </w:rPr>
            </w:pPr>
            <w:r>
              <w:rPr>
                <w:rFonts w:ascii="Arial" w:cs="Arial" w:eastAsia="Arial" w:hAnsi="Arial"/>
                <w:sz w:val="14"/>
                <w:szCs w:val="14"/>
                <w:b w:val="1"/>
                <w:bCs w:val="1"/>
                <w:i w:val="1"/>
                <w:iCs w:val="1"/>
                <w:color w:val="auto"/>
                <w:w w:val="87"/>
              </w:rPr>
              <w:t>(I.R.S. Employer</w:t>
            </w:r>
          </w:p>
        </w:tc>
        <w:tc>
          <w:tcPr>
            <w:tcW w:w="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6180" w:type="dxa"/>
            <w:vAlign w:val="bottom"/>
            <w:gridSpan w:val="4"/>
          </w:tcPr>
          <w:p>
            <w:pPr>
              <w:jc w:val="center"/>
              <w:ind w:right="1039"/>
              <w:spacing w:after="0"/>
              <w:rPr>
                <w:sz w:val="20"/>
                <w:szCs w:val="20"/>
                <w:color w:val="auto"/>
              </w:rPr>
            </w:pPr>
            <w:r>
              <w:rPr>
                <w:rFonts w:ascii="Arial" w:cs="Arial" w:eastAsia="Arial" w:hAnsi="Arial"/>
                <w:sz w:val="14"/>
                <w:szCs w:val="14"/>
                <w:b w:val="1"/>
                <w:bCs w:val="1"/>
                <w:i w:val="1"/>
                <w:iCs w:val="1"/>
                <w:color w:val="auto"/>
                <w:w w:val="85"/>
              </w:rPr>
              <w:t>incorporation or organization)</w:t>
            </w:r>
          </w:p>
        </w:tc>
        <w:tc>
          <w:tcPr>
            <w:tcW w:w="3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120" w:type="dxa"/>
            <w:vAlign w:val="bottom"/>
            <w:gridSpan w:val="2"/>
          </w:tcPr>
          <w:p>
            <w:pPr>
              <w:jc w:val="center"/>
              <w:ind w:left="467"/>
              <w:spacing w:after="0"/>
              <w:rPr>
                <w:sz w:val="20"/>
                <w:szCs w:val="20"/>
                <w:color w:val="auto"/>
              </w:rPr>
            </w:pPr>
            <w:r>
              <w:rPr>
                <w:rFonts w:ascii="Arial" w:cs="Arial" w:eastAsia="Arial" w:hAnsi="Arial"/>
                <w:sz w:val="14"/>
                <w:szCs w:val="14"/>
                <w:b w:val="1"/>
                <w:bCs w:val="1"/>
                <w:i w:val="1"/>
                <w:iCs w:val="1"/>
                <w:color w:val="auto"/>
                <w:w w:val="86"/>
              </w:rPr>
              <w:t>Identification No.)</w:t>
            </w: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46"/>
        </w:trPr>
        <w:tc>
          <w:tcPr>
            <w:tcW w:w="2000" w:type="dxa"/>
            <w:vAlign w:val="bottom"/>
          </w:tcPr>
          <w:p>
            <w:pPr>
              <w:spacing w:after="0"/>
              <w:rPr>
                <w:sz w:val="21"/>
                <w:szCs w:val="21"/>
                <w:color w:val="auto"/>
              </w:rPr>
            </w:pPr>
          </w:p>
        </w:tc>
        <w:tc>
          <w:tcPr>
            <w:tcW w:w="6400" w:type="dxa"/>
            <w:vAlign w:val="bottom"/>
            <w:gridSpan w:val="6"/>
          </w:tcPr>
          <w:p>
            <w:pPr>
              <w:jc w:val="center"/>
              <w:ind w:left="219"/>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c>
          <w:tcPr>
            <w:tcW w:w="68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5"/>
        </w:trPr>
        <w:tc>
          <w:tcPr>
            <w:tcW w:w="20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40" w:type="dxa"/>
            <w:vAlign w:val="bottom"/>
            <w:gridSpan w:val="4"/>
          </w:tcPr>
          <w:p>
            <w:pPr>
              <w:jc w:val="center"/>
              <w:ind w:right="1767"/>
              <w:spacing w:after="0" w:line="145" w:lineRule="exact"/>
              <w:rPr>
                <w:sz w:val="20"/>
                <w:szCs w:val="20"/>
                <w:color w:val="auto"/>
              </w:rPr>
            </w:pPr>
            <w:r>
              <w:rPr>
                <w:rFonts w:ascii="Arial" w:cs="Arial" w:eastAsia="Arial" w:hAnsi="Arial"/>
                <w:sz w:val="14"/>
                <w:szCs w:val="14"/>
                <w:b w:val="1"/>
                <w:bCs w:val="1"/>
                <w:i w:val="1"/>
                <w:iCs w:val="1"/>
                <w:color w:val="auto"/>
                <w:w w:val="82"/>
              </w:rPr>
              <w:t>(Address of principal executive offices)</w:t>
            </w:r>
          </w:p>
        </w:tc>
        <w:tc>
          <w:tcPr>
            <w:tcW w:w="6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20"/>
        </w:trPr>
        <w:tc>
          <w:tcPr>
            <w:tcW w:w="6180" w:type="dxa"/>
            <w:vAlign w:val="bottom"/>
            <w:gridSpan w:val="4"/>
          </w:tcPr>
          <w:p>
            <w:pPr>
              <w:jc w:val="right"/>
              <w:ind w:right="79"/>
              <w:spacing w:after="0"/>
              <w:rPr>
                <w:sz w:val="20"/>
                <w:szCs w:val="20"/>
                <w:color w:val="auto"/>
              </w:rPr>
            </w:pPr>
            <w:r>
              <w:rPr>
                <w:rFonts w:ascii="Arial" w:cs="Arial" w:eastAsia="Arial" w:hAnsi="Arial"/>
                <w:sz w:val="18"/>
                <w:szCs w:val="18"/>
                <w:b w:val="1"/>
                <w:bCs w:val="1"/>
                <w:color w:val="auto"/>
              </w:rPr>
              <w:t>(441) 296-6395</w:t>
            </w:r>
          </w:p>
        </w:tc>
        <w:tc>
          <w:tcPr>
            <w:tcW w:w="3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320" w:type="dxa"/>
            <w:vAlign w:val="bottom"/>
            <w:gridSpan w:val="5"/>
          </w:tcPr>
          <w:p>
            <w:pPr>
              <w:jc w:val="center"/>
              <w:ind w:right="687"/>
              <w:spacing w:after="0"/>
              <w:rPr>
                <w:sz w:val="20"/>
                <w:szCs w:val="20"/>
                <w:color w:val="auto"/>
              </w:rPr>
            </w:pPr>
            <w:r>
              <w:rPr>
                <w:rFonts w:ascii="Arial" w:cs="Arial" w:eastAsia="Arial" w:hAnsi="Arial"/>
                <w:sz w:val="14"/>
                <w:szCs w:val="14"/>
                <w:b w:val="1"/>
                <w:bCs w:val="1"/>
                <w:i w:val="1"/>
                <w:iCs w:val="1"/>
                <w:color w:val="auto"/>
                <w:w w:val="83"/>
              </w:rPr>
              <w:t>(Registrant’s telephone number, including area code)</w:t>
            </w:r>
          </w:p>
        </w:tc>
        <w:tc>
          <w:tcPr>
            <w:tcW w:w="6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380" w:type="dxa"/>
            <w:vAlign w:val="bottom"/>
            <w:tcBorders>
              <w:bottom w:val="single" w:sz="8" w:color="auto"/>
            </w:tcBorders>
            <w:gridSpan w:val="2"/>
          </w:tcPr>
          <w:p>
            <w:pPr>
              <w:spacing w:after="0"/>
              <w:rPr>
                <w:sz w:val="12"/>
                <w:szCs w:val="12"/>
                <w:color w:val="auto"/>
              </w:rPr>
            </w:pPr>
          </w:p>
        </w:tc>
        <w:tc>
          <w:tcPr>
            <w:tcW w:w="42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62"/>
        </w:trPr>
        <w:tc>
          <w:tcPr>
            <w:tcW w:w="20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5320" w:type="dxa"/>
            <w:vAlign w:val="bottom"/>
            <w:gridSpan w:val="5"/>
          </w:tcPr>
          <w:p>
            <w:pPr>
              <w:jc w:val="center"/>
              <w:ind w:right="707"/>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c>
          <w:tcPr>
            <w:tcW w:w="6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2000" w:type="dxa"/>
            <w:vAlign w:val="bottom"/>
          </w:tcPr>
          <w:p>
            <w:pPr>
              <w:spacing w:after="0"/>
              <w:rPr>
                <w:sz w:val="18"/>
                <w:szCs w:val="18"/>
                <w:color w:val="auto"/>
              </w:rPr>
            </w:pPr>
          </w:p>
        </w:tc>
        <w:tc>
          <w:tcPr>
            <w:tcW w:w="10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Title of each class</w:t>
            </w:r>
          </w:p>
        </w:tc>
        <w:tc>
          <w:tcPr>
            <w:tcW w:w="3100" w:type="dxa"/>
            <w:vAlign w:val="bottom"/>
            <w:gridSpan w:val="2"/>
          </w:tcPr>
          <w:p>
            <w:pPr>
              <w:spacing w:after="0"/>
              <w:rPr>
                <w:sz w:val="18"/>
                <w:szCs w:val="18"/>
                <w:color w:val="auto"/>
              </w:rPr>
            </w:pPr>
          </w:p>
        </w:tc>
        <w:tc>
          <w:tcPr>
            <w:tcW w:w="3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66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4"/>
              </w:rPr>
              <w:t>Name of each exchange on which registered</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5"/>
        </w:trPr>
        <w:tc>
          <w:tcPr>
            <w:tcW w:w="3080" w:type="dxa"/>
            <w:vAlign w:val="bottom"/>
            <w:gridSpan w:val="2"/>
          </w:tcPr>
          <w:p>
            <w:pPr>
              <w:ind w:left="900"/>
              <w:spacing w:after="0" w:line="195" w:lineRule="exact"/>
              <w:rPr>
                <w:sz w:val="20"/>
                <w:szCs w:val="20"/>
                <w:color w:val="auto"/>
              </w:rPr>
            </w:pPr>
            <w:r>
              <w:rPr>
                <w:rFonts w:ascii="Arial" w:cs="Arial" w:eastAsia="Arial" w:hAnsi="Arial"/>
                <w:sz w:val="18"/>
                <w:szCs w:val="18"/>
                <w:b w:val="1"/>
                <w:bCs w:val="1"/>
                <w:color w:val="auto"/>
                <w:w w:val="90"/>
              </w:rPr>
              <w:t>Common shares, $0.002 par</w:t>
            </w:r>
          </w:p>
        </w:tc>
        <w:tc>
          <w:tcPr>
            <w:tcW w:w="3100" w:type="dxa"/>
            <w:vAlign w:val="bottom"/>
            <w:gridSpan w:val="2"/>
          </w:tcPr>
          <w:p>
            <w:pPr>
              <w:jc w:val="right"/>
              <w:ind w:right="1919"/>
              <w:spacing w:after="0" w:line="195" w:lineRule="exact"/>
              <w:rPr>
                <w:sz w:val="20"/>
                <w:szCs w:val="20"/>
                <w:color w:val="auto"/>
              </w:rPr>
            </w:pPr>
            <w:r>
              <w:rPr>
                <w:rFonts w:ascii="Arial" w:cs="Arial" w:eastAsia="Arial" w:hAnsi="Arial"/>
                <w:sz w:val="18"/>
                <w:szCs w:val="18"/>
                <w:b w:val="1"/>
                <w:bCs w:val="1"/>
                <w:color w:val="auto"/>
                <w:w w:val="81"/>
              </w:rPr>
              <w:t>value per share</w:t>
            </w:r>
          </w:p>
        </w:tc>
        <w:tc>
          <w:tcPr>
            <w:tcW w:w="3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740" w:type="dxa"/>
            <w:vAlign w:val="bottom"/>
            <w:gridSpan w:val="4"/>
          </w:tcPr>
          <w:p>
            <w:pPr>
              <w:jc w:val="center"/>
              <w:ind w:right="80"/>
              <w:spacing w:after="0" w:line="195" w:lineRule="exact"/>
              <w:rPr>
                <w:sz w:val="20"/>
                <w:szCs w:val="20"/>
                <w:color w:val="auto"/>
              </w:rPr>
            </w:pPr>
            <w:r>
              <w:rPr>
                <w:rFonts w:ascii="Arial" w:cs="Arial" w:eastAsia="Arial" w:hAnsi="Arial"/>
                <w:sz w:val="18"/>
                <w:szCs w:val="18"/>
                <w:b w:val="1"/>
                <w:bCs w:val="1"/>
                <w:color w:val="auto"/>
                <w:w w:val="93"/>
              </w:rPr>
              <w:t>The NASDAQ Stock Market LLC</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5320" w:type="dxa"/>
            <w:vAlign w:val="bottom"/>
            <w:gridSpan w:val="5"/>
          </w:tcPr>
          <w:p>
            <w:pPr>
              <w:jc w:val="center"/>
              <w:ind w:right="687"/>
              <w:spacing w:after="0"/>
              <w:rPr>
                <w:sz w:val="20"/>
                <w:szCs w:val="20"/>
                <w:color w:val="auto"/>
              </w:rPr>
            </w:pPr>
            <w:r>
              <w:rPr>
                <w:rFonts w:ascii="Arial" w:cs="Arial" w:eastAsia="Arial" w:hAnsi="Arial"/>
                <w:sz w:val="18"/>
                <w:szCs w:val="18"/>
                <w:b w:val="1"/>
                <w:bCs w:val="1"/>
                <w:color w:val="auto"/>
                <w:w w:val="86"/>
              </w:rPr>
              <w:t>Securities registered pursuant to Section 12(g) of the Act:</w:t>
            </w:r>
          </w:p>
        </w:tc>
        <w:tc>
          <w:tcPr>
            <w:tcW w:w="6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2020" w:type="dxa"/>
            <w:vAlign w:val="bottom"/>
          </w:tcPr>
          <w:p>
            <w:pPr>
              <w:jc w:val="center"/>
              <w:ind w:left="279"/>
              <w:spacing w:after="0"/>
              <w:rPr>
                <w:sz w:val="20"/>
                <w:szCs w:val="20"/>
                <w:color w:val="auto"/>
              </w:rPr>
            </w:pPr>
            <w:r>
              <w:rPr>
                <w:rFonts w:ascii="Arial" w:cs="Arial" w:eastAsia="Arial" w:hAnsi="Arial"/>
                <w:sz w:val="18"/>
                <w:szCs w:val="18"/>
                <w:b w:val="1"/>
                <w:bCs w:val="1"/>
                <w:color w:val="auto"/>
                <w:w w:val="84"/>
              </w:rPr>
              <w:t>None</w:t>
            </w:r>
          </w:p>
        </w:tc>
        <w:tc>
          <w:tcPr>
            <w:tcW w:w="3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51"/>
        </w:trPr>
        <w:tc>
          <w:tcPr>
            <w:tcW w:w="4160" w:type="dxa"/>
            <w:vAlign w:val="bottom"/>
            <w:gridSpan w:val="3"/>
          </w:tcPr>
          <w:p>
            <w:pPr>
              <w:spacing w:after="0"/>
              <w:rPr>
                <w:sz w:val="13"/>
                <w:szCs w:val="13"/>
                <w:color w:val="auto"/>
              </w:rPr>
            </w:pPr>
          </w:p>
        </w:tc>
        <w:tc>
          <w:tcPr>
            <w:tcW w:w="2380" w:type="dxa"/>
            <w:vAlign w:val="bottom"/>
            <w:tcBorders>
              <w:bottom w:val="single" w:sz="8" w:color="auto"/>
            </w:tcBorders>
            <w:gridSpan w:val="2"/>
          </w:tcPr>
          <w:p>
            <w:pPr>
              <w:spacing w:after="0"/>
              <w:rPr>
                <w:sz w:val="13"/>
                <w:szCs w:val="13"/>
                <w:color w:val="auto"/>
              </w:rPr>
            </w:pPr>
          </w:p>
        </w:tc>
        <w:tc>
          <w:tcPr>
            <w:tcW w:w="1860" w:type="dxa"/>
            <w:vAlign w:val="bottom"/>
            <w:gridSpan w:val="2"/>
          </w:tcPr>
          <w:p>
            <w:pPr>
              <w:spacing w:after="0"/>
              <w:rPr>
                <w:sz w:val="13"/>
                <w:szCs w:val="13"/>
                <w:color w:val="auto"/>
              </w:rPr>
            </w:pPr>
          </w:p>
        </w:tc>
        <w:tc>
          <w:tcPr>
            <w:tcW w:w="680" w:type="dxa"/>
            <w:vAlign w:val="bottom"/>
            <w:vMerge w:val="restart"/>
          </w:tcPr>
          <w:p>
            <w:pPr>
              <w:spacing w:after="0" w:line="207" w:lineRule="exact"/>
              <w:rPr>
                <w:sz w:val="20"/>
                <w:szCs w:val="20"/>
                <w:color w:val="auto"/>
              </w:rPr>
            </w:pPr>
            <w:r>
              <w:rPr>
                <w:rFonts w:ascii="Arial" w:cs="Arial" w:eastAsia="Arial" w:hAnsi="Arial"/>
                <w:sz w:val="18"/>
                <w:szCs w:val="18"/>
                <w:color w:val="auto"/>
              </w:rPr>
              <w:t xml:space="preserve">Yes </w:t>
            </w:r>
            <w:r>
              <w:rPr>
                <w:rFonts w:ascii="MS PGothic" w:cs="MS PGothic" w:eastAsia="MS PGothic" w:hAnsi="MS PGothic"/>
                <w:sz w:val="18"/>
                <w:szCs w:val="18"/>
                <w:color w:val="auto"/>
              </w:rPr>
              <w:t>☒</w:t>
            </w:r>
          </w:p>
        </w:tc>
        <w:tc>
          <w:tcPr>
            <w:tcW w:w="620" w:type="dxa"/>
            <w:vAlign w:val="bottom"/>
            <w:gridSpan w:val="2"/>
            <w:vMerge w:val="restart"/>
          </w:tcPr>
          <w:p>
            <w:pPr>
              <w:spacing w:after="0" w:line="207" w:lineRule="exact"/>
              <w:rPr>
                <w:sz w:val="20"/>
                <w:szCs w:val="20"/>
                <w:color w:val="auto"/>
              </w:rPr>
            </w:pPr>
            <w:r>
              <w:rPr>
                <w:rFonts w:ascii="Arial" w:cs="Arial" w:eastAsia="Arial" w:hAnsi="Arial"/>
                <w:sz w:val="18"/>
                <w:szCs w:val="18"/>
                <w:color w:val="auto"/>
              </w:rPr>
              <w:t xml:space="preserve">No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77"/>
        </w:trPr>
        <w:tc>
          <w:tcPr>
            <w:tcW w:w="8400" w:type="dxa"/>
            <w:vAlign w:val="bottom"/>
            <w:gridSpan w:val="7"/>
          </w:tcPr>
          <w:p>
            <w:pPr>
              <w:spacing w:after="0"/>
              <w:rPr>
                <w:sz w:val="20"/>
                <w:szCs w:val="20"/>
                <w:color w:val="auto"/>
              </w:rPr>
            </w:pPr>
            <w:r>
              <w:rPr>
                <w:rFonts w:ascii="Arial" w:cs="Arial" w:eastAsia="Arial" w:hAnsi="Arial"/>
                <w:sz w:val="18"/>
                <w:szCs w:val="18"/>
                <w:color w:val="auto"/>
                <w:w w:val="90"/>
              </w:rPr>
              <w:t>Indicate by check mark if the registrant is a well-known seasoned issuer, as defined in Rule 405 of the Securities Act.</w:t>
            </w:r>
          </w:p>
        </w:tc>
        <w:tc>
          <w:tcPr>
            <w:tcW w:w="680" w:type="dxa"/>
            <w:vAlign w:val="bottom"/>
            <w:vMerge w:val="continue"/>
          </w:tcPr>
          <w:p>
            <w:pPr>
              <w:spacing w:after="0"/>
              <w:rPr>
                <w:sz w:val="24"/>
                <w:szCs w:val="24"/>
                <w:color w:val="auto"/>
              </w:rPr>
            </w:pPr>
          </w:p>
        </w:tc>
        <w:tc>
          <w:tcPr>
            <w:tcW w:w="620" w:type="dxa"/>
            <w:vAlign w:val="bottom"/>
            <w:gridSpan w:val="2"/>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75"/>
        </w:trPr>
        <w:tc>
          <w:tcPr>
            <w:tcW w:w="8400" w:type="dxa"/>
            <w:vAlign w:val="bottom"/>
            <w:gridSpan w:val="7"/>
          </w:tcPr>
          <w:p>
            <w:pPr>
              <w:spacing w:after="0"/>
              <w:rPr>
                <w:sz w:val="20"/>
                <w:szCs w:val="20"/>
                <w:color w:val="auto"/>
              </w:rPr>
            </w:pPr>
            <w:r>
              <w:rPr>
                <w:rFonts w:ascii="Arial" w:cs="Arial" w:eastAsia="Arial" w:hAnsi="Arial"/>
                <w:sz w:val="18"/>
                <w:szCs w:val="18"/>
                <w:color w:val="auto"/>
                <w:w w:val="89"/>
              </w:rPr>
              <w:t>Indicate by check mark if the registrant is not required to file reports pursuant to Section 13 or Section 15(d) of the Act.</w:t>
            </w:r>
          </w:p>
        </w:tc>
        <w:tc>
          <w:tcPr>
            <w:tcW w:w="680" w:type="dxa"/>
            <w:vAlign w:val="bottom"/>
          </w:tcPr>
          <w:p>
            <w:pPr>
              <w:ind w:left="160"/>
              <w:spacing w:after="0" w:line="207" w:lineRule="exact"/>
              <w:rPr>
                <w:sz w:val="20"/>
                <w:szCs w:val="20"/>
                <w:color w:val="auto"/>
              </w:rPr>
            </w:pPr>
            <w:r>
              <w:rPr>
                <w:rFonts w:ascii="Arial" w:cs="Arial" w:eastAsia="Arial" w:hAnsi="Arial"/>
                <w:sz w:val="18"/>
                <w:szCs w:val="18"/>
                <w:color w:val="auto"/>
                <w:w w:val="92"/>
              </w:rPr>
              <w:t xml:space="preserve">Yes </w:t>
            </w:r>
            <w:r>
              <w:rPr>
                <w:rFonts w:ascii="MS PGothic" w:cs="MS PGothic" w:eastAsia="MS PGothic" w:hAnsi="MS PGothic"/>
                <w:sz w:val="18"/>
                <w:szCs w:val="18"/>
                <w:color w:val="auto"/>
                <w:w w:val="92"/>
              </w:rPr>
              <w:t>☐</w:t>
            </w:r>
          </w:p>
        </w:tc>
        <w:tc>
          <w:tcPr>
            <w:tcW w:w="620" w:type="dxa"/>
            <w:vAlign w:val="bottom"/>
            <w:gridSpan w:val="2"/>
          </w:tcPr>
          <w:p>
            <w:pPr>
              <w:ind w:left="160"/>
              <w:spacing w:after="0" w:line="207" w:lineRule="exact"/>
              <w:rPr>
                <w:sz w:val="20"/>
                <w:szCs w:val="20"/>
                <w:color w:val="auto"/>
              </w:rPr>
            </w:pPr>
            <w:r>
              <w:rPr>
                <w:rFonts w:ascii="Arial" w:cs="Arial" w:eastAsia="Arial" w:hAnsi="Arial"/>
                <w:sz w:val="18"/>
                <w:szCs w:val="18"/>
                <w:color w:val="auto"/>
                <w:w w:val="95"/>
              </w:rPr>
              <w:t xml:space="preserve">No </w:t>
            </w:r>
            <w:r>
              <w:rPr>
                <w:rFonts w:ascii="MS PGothic" w:cs="MS PGothic" w:eastAsia="MS PGothic" w:hAnsi="MS PGothic"/>
                <w:sz w:val="18"/>
                <w:szCs w:val="18"/>
                <w:color w:val="auto"/>
                <w:w w:val="95"/>
              </w:rPr>
              <w:t>☒</w:t>
            </w:r>
          </w:p>
        </w:tc>
        <w:tc>
          <w:tcPr>
            <w:tcW w:w="0" w:type="dxa"/>
            <w:vAlign w:val="bottom"/>
          </w:tcPr>
          <w:p>
            <w:pPr>
              <w:spacing w:after="0"/>
              <w:rPr>
                <w:sz w:val="1"/>
                <w:szCs w:val="1"/>
                <w:color w:val="auto"/>
              </w:rPr>
            </w:pPr>
          </w:p>
        </w:tc>
      </w:tr>
    </w:tbl>
    <w:p>
      <w:pPr>
        <w:spacing w:after="0" w:line="28" w:lineRule="exact"/>
        <w:rPr>
          <w:sz w:val="24"/>
          <w:szCs w:val="24"/>
          <w:color w:val="auto"/>
        </w:rPr>
      </w:pPr>
    </w:p>
    <w:p>
      <w:pPr>
        <w:ind w:right="3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jc w:val="both"/>
        <w:ind w:right="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ind w:firstLine="342"/>
        <w:spacing w:after="0" w:line="225" w:lineRule="exact"/>
        <w:rPr>
          <w:sz w:val="20"/>
          <w:szCs w:val="20"/>
          <w:color w:val="auto"/>
        </w:rPr>
      </w:pPr>
      <w:r>
        <w:rPr>
          <w:rFonts w:ascii="Arial" w:cs="Arial" w:eastAsia="Arial" w:hAnsi="Arial"/>
          <w:sz w:val="18"/>
          <w:szCs w:val="18"/>
          <w:color w:val="auto"/>
        </w:rPr>
        <w:t xml:space="preserve">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10-K. </w:t>
      </w:r>
      <w:r>
        <w:rPr>
          <w:rFonts w:ascii="MS PGothic" w:cs="MS PGothic" w:eastAsia="MS PGothic" w:hAnsi="MS PGothic"/>
          <w:sz w:val="18"/>
          <w:szCs w:val="18"/>
          <w:color w:val="auto"/>
        </w:rPr>
        <w:t>☒</w:t>
      </w:r>
    </w:p>
    <w:p>
      <w:pPr>
        <w:spacing w:after="0" w:line="30" w:lineRule="exact"/>
        <w:rPr>
          <w:sz w:val="24"/>
          <w:szCs w:val="24"/>
          <w:color w:val="auto"/>
        </w:rPr>
      </w:pPr>
    </w:p>
    <w:p>
      <w:pPr>
        <w:ind w:right="20" w:firstLine="342"/>
        <w:spacing w:after="0" w:line="304"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380"/>
          </w:cols>
          <w:pgMar w:left="240" w:top="230" w:right="279" w:bottom="1440" w:gutter="0" w:footer="0" w:header="0"/>
        </w:sectPr>
      </w:pPr>
    </w:p>
    <w:p>
      <w:pPr>
        <w:spacing w:after="0" w:line="34" w:lineRule="exact"/>
        <w:rPr>
          <w:sz w:val="24"/>
          <w:szCs w:val="24"/>
          <w:color w:val="auto"/>
        </w:rPr>
      </w:pPr>
    </w:p>
    <w:p>
      <w:pPr>
        <w:ind w:left="460"/>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122"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65" w:lineRule="exact"/>
        <w:rPr>
          <w:sz w:val="20"/>
          <w:szCs w:val="20"/>
          <w:color w:val="auto"/>
        </w:rPr>
      </w:pPr>
      <w:r>
        <w:rPr>
          <w:rFonts w:ascii="Arial" w:cs="Arial" w:eastAsia="Arial" w:hAnsi="Arial"/>
          <w:sz w:val="16"/>
          <w:szCs w:val="16"/>
          <w:color w:val="auto"/>
        </w:rPr>
        <w:t xml:space="preserve">Non-accelerated filer </w:t>
      </w:r>
      <w:r>
        <w:rPr>
          <w:rFonts w:ascii="MS PGothic" w:cs="MS PGothic" w:eastAsia="MS PGothic" w:hAnsi="MS PGothic"/>
          <w:sz w:val="16"/>
          <w:szCs w:val="16"/>
          <w:color w:val="auto"/>
        </w:rPr>
        <w:t>☐</w:t>
      </w:r>
    </w:p>
    <w:p>
      <w:pPr>
        <w:spacing w:after="0" w:line="79" w:lineRule="exact"/>
        <w:rPr>
          <w:sz w:val="24"/>
          <w:szCs w:val="24"/>
          <w:color w:val="auto"/>
        </w:rPr>
      </w:pPr>
    </w:p>
    <w:p>
      <w:pPr>
        <w:ind w:left="40"/>
        <w:spacing w:after="0"/>
        <w:rPr>
          <w:sz w:val="20"/>
          <w:szCs w:val="20"/>
          <w:color w:val="auto"/>
        </w:rPr>
      </w:pPr>
      <w:r>
        <w:rPr>
          <w:rFonts w:ascii="Arial" w:cs="Arial" w:eastAsia="Arial" w:hAnsi="Arial"/>
          <w:sz w:val="16"/>
          <w:szCs w:val="16"/>
          <w:color w:val="auto"/>
        </w:rPr>
        <w:t>(Do not check if a smaller</w:t>
      </w:r>
    </w:p>
    <w:p>
      <w:pPr>
        <w:spacing w:after="0" w:line="24" w:lineRule="exact"/>
        <w:rPr>
          <w:sz w:val="24"/>
          <w:szCs w:val="24"/>
          <w:color w:val="auto"/>
        </w:rPr>
      </w:pPr>
    </w:p>
    <w:p>
      <w:pPr>
        <w:ind w:left="260"/>
        <w:spacing w:after="0"/>
        <w:rPr>
          <w:sz w:val="20"/>
          <w:szCs w:val="20"/>
          <w:color w:val="auto"/>
        </w:rPr>
      </w:pPr>
      <w:r>
        <w:rPr>
          <w:rFonts w:ascii="Arial" w:cs="Arial" w:eastAsia="Arial" w:hAnsi="Arial"/>
          <w:sz w:val="18"/>
          <w:szCs w:val="18"/>
          <w:color w:val="auto"/>
        </w:rPr>
        <w:t>reporting company)</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555" w:lineRule="exact"/>
        <w:rPr>
          <w:sz w:val="24"/>
          <w:szCs w:val="24"/>
          <w:color w:val="auto"/>
        </w:rPr>
      </w:pPr>
    </w:p>
    <w:p>
      <w:pPr>
        <w:sectPr>
          <w:pgSz w:w="11900" w:h="16838" w:orient="portrait"/>
          <w:cols w:equalWidth="0" w:num="7">
            <w:col w:w="2040" w:space="100"/>
            <w:col w:w="960" w:space="720"/>
            <w:col w:w="1180" w:space="80"/>
            <w:col w:w="200" w:space="720"/>
            <w:col w:w="1880" w:space="380"/>
            <w:col w:w="1920" w:space="80"/>
            <w:col w:w="1120"/>
          </w:cols>
          <w:pgMar w:left="240" w:top="230" w:right="279" w:bottom="1440" w:gutter="0" w:footer="0" w:header="0"/>
          <w:type w:val="continuous"/>
        </w:sectPr>
      </w:pPr>
    </w:p>
    <w:p>
      <w:pPr>
        <w:ind w:left="360"/>
        <w:spacing w:after="0" w:line="207" w:lineRule="exact"/>
        <w:tabs>
          <w:tab w:leader="none" w:pos="8480" w:val="left"/>
          <w:tab w:leader="none" w:pos="916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p>
      <w:pPr>
        <w:spacing w:after="0" w:line="96" w:lineRule="exact"/>
        <w:rPr>
          <w:sz w:val="24"/>
          <w:szCs w:val="24"/>
          <w:color w:val="auto"/>
        </w:rPr>
      </w:pPr>
    </w:p>
    <w:p>
      <w:pPr>
        <w:ind w:right="340" w:firstLine="342"/>
        <w:spacing w:after="0" w:line="298"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approximately $4,926 million based upon the closing price of $13.39 per share on the NASDAQ Global Select Market on August 1, 2014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5" w:lineRule="exact"/>
        <w:rPr>
          <w:sz w:val="24"/>
          <w:szCs w:val="24"/>
          <w:color w:val="auto"/>
        </w:rPr>
      </w:pPr>
    </w:p>
    <w:p>
      <w:pPr>
        <w:ind w:left="360"/>
        <w:spacing w:after="0"/>
        <w:rPr>
          <w:sz w:val="20"/>
          <w:szCs w:val="20"/>
          <w:color w:val="auto"/>
        </w:rPr>
      </w:pPr>
      <w:r>
        <w:rPr>
          <w:rFonts w:ascii="Arial" w:cs="Arial" w:eastAsia="Arial" w:hAnsi="Arial"/>
          <w:sz w:val="18"/>
          <w:szCs w:val="18"/>
          <w:color w:val="auto"/>
        </w:rPr>
        <w:t>As of March 19, 2015, there were 515.0 million common shares of the registrant outstanding.</w:t>
      </w:r>
    </w:p>
    <w:p>
      <w:pPr>
        <w:spacing w:after="0" w:line="57" w:lineRule="exact"/>
        <w:rPr>
          <w:sz w:val="24"/>
          <w:szCs w:val="24"/>
          <w:color w:val="auto"/>
        </w:rPr>
      </w:pPr>
    </w:p>
    <w:p>
      <w:pPr>
        <w:ind w:left="3700"/>
        <w:spacing w:after="0"/>
        <w:rPr>
          <w:sz w:val="20"/>
          <w:szCs w:val="20"/>
          <w:color w:val="auto"/>
        </w:rPr>
      </w:pPr>
      <w:r>
        <w:rPr>
          <w:rFonts w:ascii="Arial" w:cs="Arial" w:eastAsia="Arial" w:hAnsi="Arial"/>
          <w:sz w:val="18"/>
          <w:szCs w:val="18"/>
          <w:b w:val="1"/>
          <w:bCs w:val="1"/>
          <w:color w:val="auto"/>
        </w:rPr>
        <w:t>DOCUMENTS INCORPORATED BY REFERENCE</w:t>
      </w:r>
    </w:p>
    <w:p>
      <w:pPr>
        <w:spacing w:after="0" w:line="69" w:lineRule="exact"/>
        <w:rPr>
          <w:sz w:val="24"/>
          <w:szCs w:val="24"/>
          <w:color w:val="auto"/>
        </w:rPr>
      </w:pPr>
    </w:p>
    <w:p>
      <w:pPr>
        <w:jc w:val="both"/>
        <w:ind w:right="160" w:firstLine="342"/>
        <w:spacing w:after="0" w:line="259" w:lineRule="auto"/>
        <w:rPr>
          <w:sz w:val="20"/>
          <w:szCs w:val="20"/>
          <w:color w:val="auto"/>
        </w:rPr>
      </w:pPr>
      <w:r>
        <w:rPr>
          <w:rFonts w:ascii="Arial" w:cs="Arial" w:eastAsia="Arial" w:hAnsi="Arial"/>
          <w:sz w:val="18"/>
          <w:szCs w:val="18"/>
          <w:color w:val="auto"/>
        </w:rPr>
        <w:t>Portions of Part III of this Form 10-K are incorporated by reference from the registrant’s definitive proxy statement for its 2015 annual general meeting of shareholders, which proxy statement will be filed with the Securities and Exchange Commission within 120 days after the end of the fiscal year covered by this Form 10-K.</w:t>
      </w:r>
    </w:p>
    <w:p>
      <w:pPr>
        <w:spacing w:after="0" w:line="2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TRADEMARKS</w:t>
      </w:r>
    </w:p>
    <w:p>
      <w:pPr>
        <w:spacing w:after="0" w:line="69" w:lineRule="exact"/>
        <w:rPr>
          <w:sz w:val="24"/>
          <w:szCs w:val="24"/>
          <w:color w:val="auto"/>
        </w:rPr>
      </w:pPr>
    </w:p>
    <w:p>
      <w:pPr>
        <w:ind w:right="520" w:firstLine="342"/>
        <w:spacing w:after="0" w:line="332" w:lineRule="auto"/>
        <w:rPr>
          <w:sz w:val="20"/>
          <w:szCs w:val="20"/>
          <w:color w:val="auto"/>
        </w:rPr>
      </w:pPr>
      <w:r>
        <w:rPr>
          <w:rFonts w:ascii="Arial" w:cs="Arial" w:eastAsia="Arial" w:hAnsi="Arial"/>
          <w:sz w:val="16"/>
          <w:szCs w:val="16"/>
          <w:color w:val="auto"/>
        </w:rPr>
        <w:t>Marvell</w:t>
      </w:r>
      <w:r>
        <w:rPr>
          <w:rFonts w:ascii="Arial" w:cs="Arial" w:eastAsia="Arial" w:hAnsi="Arial"/>
          <w:sz w:val="10"/>
          <w:szCs w:val="10"/>
          <w:color w:val="auto"/>
        </w:rPr>
        <w:t>®</w:t>
      </w:r>
      <w:r>
        <w:rPr>
          <w:rFonts w:ascii="Arial" w:cs="Arial" w:eastAsia="Arial" w:hAnsi="Arial"/>
          <w:sz w:val="16"/>
          <w:szCs w:val="16"/>
          <w:color w:val="auto"/>
        </w:rPr>
        <w:t>, Alaska</w:t>
      </w:r>
      <w:r>
        <w:rPr>
          <w:rFonts w:ascii="Arial" w:cs="Arial" w:eastAsia="Arial" w:hAnsi="Arial"/>
          <w:sz w:val="10"/>
          <w:szCs w:val="10"/>
          <w:color w:val="auto"/>
        </w:rPr>
        <w:t>®</w:t>
      </w:r>
      <w:r>
        <w:rPr>
          <w:rFonts w:ascii="Arial" w:cs="Arial" w:eastAsia="Arial" w:hAnsi="Arial"/>
          <w:sz w:val="16"/>
          <w:szCs w:val="16"/>
          <w:color w:val="auto"/>
        </w:rPr>
        <w:t>, ARMADA</w:t>
      </w:r>
      <w:r>
        <w:rPr>
          <w:rFonts w:ascii="Arial" w:cs="Arial" w:eastAsia="Arial" w:hAnsi="Arial"/>
          <w:sz w:val="10"/>
          <w:szCs w:val="10"/>
          <w:color w:val="auto"/>
        </w:rPr>
        <w:t>®</w:t>
      </w:r>
      <w:r>
        <w:rPr>
          <w:rFonts w:ascii="Arial" w:cs="Arial" w:eastAsia="Arial" w:hAnsi="Arial"/>
          <w:sz w:val="16"/>
          <w:szCs w:val="16"/>
          <w:color w:val="auto"/>
        </w:rPr>
        <w:t xml:space="preserve"> Avanta</w:t>
      </w:r>
      <w:r>
        <w:rPr>
          <w:rFonts w:ascii="Arial" w:cs="Arial" w:eastAsia="Arial" w:hAnsi="Arial"/>
          <w:sz w:val="10"/>
          <w:szCs w:val="10"/>
          <w:color w:val="auto"/>
        </w:rPr>
        <w:t>®</w:t>
      </w:r>
      <w:r>
        <w:rPr>
          <w:rFonts w:ascii="Arial" w:cs="Arial" w:eastAsia="Arial" w:hAnsi="Arial"/>
          <w:sz w:val="16"/>
          <w:szCs w:val="16"/>
          <w:color w:val="auto"/>
        </w:rPr>
        <w:t>, Avastar</w:t>
      </w:r>
      <w:r>
        <w:rPr>
          <w:rFonts w:ascii="Arial" w:cs="Arial" w:eastAsia="Arial" w:hAnsi="Arial"/>
          <w:sz w:val="10"/>
          <w:szCs w:val="10"/>
          <w:color w:val="auto"/>
        </w:rPr>
        <w:t>®</w:t>
      </w:r>
      <w:r>
        <w:rPr>
          <w:rFonts w:ascii="Arial" w:cs="Arial" w:eastAsia="Arial" w:hAnsi="Arial"/>
          <w:sz w:val="16"/>
          <w:szCs w:val="16"/>
          <w:color w:val="auto"/>
        </w:rPr>
        <w:t>, Kirkwood</w:t>
      </w:r>
      <w:r>
        <w:rPr>
          <w:rFonts w:ascii="Arial" w:cs="Arial" w:eastAsia="Arial" w:hAnsi="Arial"/>
          <w:sz w:val="10"/>
          <w:szCs w:val="10"/>
          <w:color w:val="auto"/>
        </w:rPr>
        <w:t>®</w:t>
      </w:r>
      <w:r>
        <w:rPr>
          <w:rFonts w:ascii="Arial" w:cs="Arial" w:eastAsia="Arial" w:hAnsi="Arial"/>
          <w:sz w:val="16"/>
          <w:szCs w:val="16"/>
          <w:color w:val="auto"/>
        </w:rPr>
        <w:t>, Link Street</w:t>
      </w:r>
      <w:r>
        <w:rPr>
          <w:rFonts w:ascii="Arial" w:cs="Arial" w:eastAsia="Arial" w:hAnsi="Arial"/>
          <w:sz w:val="10"/>
          <w:szCs w:val="10"/>
          <w:color w:val="auto"/>
        </w:rPr>
        <w:t>®</w:t>
      </w:r>
      <w:r>
        <w:rPr>
          <w:rFonts w:ascii="Arial" w:cs="Arial" w:eastAsia="Arial" w:hAnsi="Arial"/>
          <w:sz w:val="16"/>
          <w:szCs w:val="16"/>
          <w:color w:val="auto"/>
        </w:rPr>
        <w:t>, Prestera</w:t>
      </w:r>
      <w:r>
        <w:rPr>
          <w:rFonts w:ascii="Arial" w:cs="Arial" w:eastAsia="Arial" w:hAnsi="Arial"/>
          <w:sz w:val="10"/>
          <w:szCs w:val="10"/>
          <w:color w:val="auto"/>
        </w:rPr>
        <w:t>®</w:t>
      </w:r>
      <w:r>
        <w:rPr>
          <w:rFonts w:ascii="Arial" w:cs="Arial" w:eastAsia="Arial" w:hAnsi="Arial"/>
          <w:sz w:val="16"/>
          <w:szCs w:val="16"/>
          <w:color w:val="auto"/>
        </w:rPr>
        <w:t>, Xelerated</w:t>
      </w:r>
      <w:r>
        <w:rPr>
          <w:rFonts w:ascii="Arial" w:cs="Arial" w:eastAsia="Arial" w:hAnsi="Arial"/>
          <w:sz w:val="10"/>
          <w:szCs w:val="10"/>
          <w:color w:val="auto"/>
        </w:rPr>
        <w:t>®</w:t>
      </w:r>
      <w:r>
        <w:rPr>
          <w:rFonts w:ascii="Arial" w:cs="Arial" w:eastAsia="Arial" w:hAnsi="Arial"/>
          <w:sz w:val="16"/>
          <w:szCs w:val="16"/>
          <w:color w:val="auto"/>
        </w:rPr>
        <w:t xml:space="preserve"> and Yukon</w:t>
      </w:r>
      <w:r>
        <w:rPr>
          <w:rFonts w:ascii="Arial" w:cs="Arial" w:eastAsia="Arial" w:hAnsi="Arial"/>
          <w:sz w:val="10"/>
          <w:szCs w:val="10"/>
          <w:color w:val="auto"/>
        </w:rPr>
        <w:t>®</w:t>
      </w:r>
      <w:r>
        <w:rPr>
          <w:rFonts w:ascii="Arial" w:cs="Arial" w:eastAsia="Arial" w:hAnsi="Arial"/>
          <w:sz w:val="16"/>
          <w:szCs w:val="16"/>
          <w:color w:val="auto"/>
        </w:rPr>
        <w:t xml:space="preserve"> are registered trademarks of Marvell International Ltd. and/or its affiliates. Any other trademarks or trade names mentioned are the property of their respective owners.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-8255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230" w:right="27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740" w:type="dxa"/>
            <w:vAlign w:val="bottom"/>
            <w:gridSpan w:val="15"/>
          </w:tcPr>
          <w:p>
            <w:pPr>
              <w:ind w:left="520"/>
              <w:spacing w:after="0"/>
              <w:rPr>
                <w:sz w:val="20"/>
                <w:szCs w:val="20"/>
                <w:color w:val="auto"/>
              </w:rPr>
            </w:pPr>
            <w:r>
              <w:rPr>
                <w:rFonts w:ascii="Arial" w:cs="Arial" w:eastAsia="Arial" w:hAnsi="Arial"/>
                <w:sz w:val="18"/>
                <w:szCs w:val="18"/>
                <w:b w:val="1"/>
                <w:bCs w:val="1"/>
                <w:color w:val="auto"/>
              </w:rPr>
              <w:t>TABLE OF CONTENTS</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vMerge w:val="restart"/>
          </w:tcPr>
          <w:p>
            <w:pPr>
              <w:spacing w:after="0"/>
              <w:rPr>
                <w:sz w:val="24"/>
                <w:szCs w:val="24"/>
                <w:color w:val="auto"/>
              </w:rPr>
            </w:pPr>
          </w:p>
        </w:tc>
        <w:tc>
          <w:tcPr>
            <w:tcW w:w="580" w:type="dxa"/>
            <w:vAlign w:val="bottom"/>
            <w:vMerge w:val="restart"/>
          </w:tcPr>
          <w:p>
            <w:pPr>
              <w:jc w:val="center"/>
              <w:spacing w:after="0"/>
              <w:rPr>
                <w:rFonts w:ascii="Arial" w:cs="Arial" w:eastAsia="Arial" w:hAnsi="Arial"/>
                <w:sz w:val="18"/>
                <w:szCs w:val="18"/>
                <w:b w:val="1"/>
                <w:bCs w:val="1"/>
                <w:color w:val="0000EE"/>
                <w:w w:val="98"/>
              </w:rPr>
            </w:pPr>
            <w:hyperlink w:anchor="page5">
              <w:r>
                <w:rPr>
                  <w:rFonts w:ascii="Arial" w:cs="Arial" w:eastAsia="Arial" w:hAnsi="Arial"/>
                  <w:sz w:val="18"/>
                  <w:szCs w:val="18"/>
                  <w:b w:val="1"/>
                  <w:bCs w:val="1"/>
                  <w:color w:val="0000EE"/>
                  <w:w w:val="98"/>
                </w:rPr>
                <w:t>PART I</w:t>
              </w:r>
            </w:hyperlink>
          </w:p>
        </w:tc>
        <w:tc>
          <w:tcPr>
            <w:tcW w:w="5040" w:type="dxa"/>
            <w:vAlign w:val="bottom"/>
            <w:gridSpan w:val="9"/>
            <w:vMerge w:val="restart"/>
          </w:tcPr>
          <w:p>
            <w:pPr>
              <w:spacing w:after="0"/>
              <w:rPr>
                <w:sz w:val="24"/>
                <w:szCs w:val="24"/>
                <w:color w:val="auto"/>
              </w:rPr>
            </w:pP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61"/>
        </w:trPr>
        <w:tc>
          <w:tcPr>
            <w:tcW w:w="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vMerge w:val="continue"/>
          </w:tcPr>
          <w:p>
            <w:pPr>
              <w:spacing w:after="0"/>
              <w:rPr>
                <w:sz w:val="13"/>
                <w:szCs w:val="13"/>
                <w:color w:val="auto"/>
              </w:rPr>
            </w:pPr>
          </w:p>
        </w:tc>
        <w:tc>
          <w:tcPr>
            <w:tcW w:w="580" w:type="dxa"/>
            <w:vAlign w:val="bottom"/>
            <w:tcBorders>
              <w:bottom w:val="single" w:sz="8" w:color="0000EE"/>
            </w:tcBorders>
            <w:vMerge w:val="continue"/>
          </w:tcPr>
          <w:p>
            <w:pPr>
              <w:spacing w:after="0"/>
              <w:rPr>
                <w:sz w:val="13"/>
                <w:szCs w:val="13"/>
                <w:color w:val="auto"/>
              </w:rPr>
            </w:pPr>
          </w:p>
        </w:tc>
        <w:tc>
          <w:tcPr>
            <w:tcW w:w="5040" w:type="dxa"/>
            <w:vAlign w:val="bottom"/>
            <w:gridSpan w:val="9"/>
            <w:vMerge w:val="continue"/>
          </w:tcPr>
          <w:p>
            <w:pPr>
              <w:spacing w:after="0"/>
              <w:rPr>
                <w:sz w:val="13"/>
                <w:szCs w:val="13"/>
                <w:color w:val="auto"/>
              </w:rPr>
            </w:pPr>
          </w:p>
        </w:tc>
        <w:tc>
          <w:tcPr>
            <w:tcW w:w="3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w:t>
            </w:r>
          </w:p>
        </w:tc>
        <w:tc>
          <w:tcPr>
            <w:tcW w:w="640" w:type="dxa"/>
            <w:vAlign w:val="bottom"/>
            <w:tcBorders>
              <w:bottom w:val="single" w:sz="8" w:color="0000EE"/>
            </w:tcBorders>
          </w:tcPr>
          <w:p>
            <w:pPr>
              <w:spacing w:after="0"/>
              <w:rPr>
                <w:rFonts w:ascii="Arial" w:cs="Arial" w:eastAsia="Arial" w:hAnsi="Arial"/>
                <w:sz w:val="18"/>
                <w:szCs w:val="18"/>
                <w:color w:val="0000EE"/>
                <w:w w:val="84"/>
              </w:rPr>
            </w:pPr>
            <w:hyperlink w:anchor="page5">
              <w:r>
                <w:rPr>
                  <w:rFonts w:ascii="Arial" w:cs="Arial" w:eastAsia="Arial" w:hAnsi="Arial"/>
                  <w:sz w:val="18"/>
                  <w:szCs w:val="18"/>
                  <w:color w:val="0000EE"/>
                  <w:w w:val="84"/>
                </w:rPr>
                <w:t>Business</w:t>
              </w:r>
            </w:hyperlink>
          </w:p>
        </w:tc>
        <w:tc>
          <w:tcPr>
            <w:tcW w:w="9360" w:type="dxa"/>
            <w:vAlign w:val="bottom"/>
            <w:gridSpan w:val="2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900" w:type="dxa"/>
            <w:vAlign w:val="bottom"/>
            <w:tcBorders>
              <w:bottom w:val="single" w:sz="8" w:color="0000EE"/>
            </w:tcBorders>
            <w:gridSpan w:val="3"/>
          </w:tcPr>
          <w:p>
            <w:pPr>
              <w:spacing w:after="0"/>
              <w:rPr>
                <w:rFonts w:ascii="Arial" w:cs="Arial" w:eastAsia="Arial" w:hAnsi="Arial"/>
                <w:sz w:val="18"/>
                <w:szCs w:val="18"/>
                <w:color w:val="0000EE"/>
                <w:w w:val="87"/>
              </w:rPr>
            </w:pPr>
            <w:hyperlink w:anchor="page13">
              <w:r>
                <w:rPr>
                  <w:rFonts w:ascii="Arial" w:cs="Arial" w:eastAsia="Arial" w:hAnsi="Arial"/>
                  <w:sz w:val="18"/>
                  <w:szCs w:val="18"/>
                  <w:color w:val="0000EE"/>
                  <w:w w:val="87"/>
                </w:rPr>
                <w:t>Risk Factors</w:t>
              </w:r>
            </w:hyperlink>
          </w:p>
        </w:tc>
        <w:tc>
          <w:tcPr>
            <w:tcW w:w="9100" w:type="dxa"/>
            <w:vAlign w:val="bottom"/>
            <w:gridSpan w:val="2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1B.</w:t>
            </w:r>
          </w:p>
        </w:tc>
        <w:tc>
          <w:tcPr>
            <w:tcW w:w="10000" w:type="dxa"/>
            <w:vAlign w:val="bottom"/>
            <w:gridSpan w:val="26"/>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Unresolved Staff Comments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2.</w:t>
            </w:r>
          </w:p>
        </w:tc>
        <w:tc>
          <w:tcPr>
            <w:tcW w:w="720" w:type="dxa"/>
            <w:vAlign w:val="bottom"/>
            <w:tcBorders>
              <w:top w:val="single" w:sz="8" w:color="0000EE"/>
              <w:bottom w:val="single" w:sz="8" w:color="0000EE"/>
            </w:tcBorders>
            <w:gridSpan w:val="2"/>
          </w:tcPr>
          <w:p>
            <w:pPr>
              <w:spacing w:after="0"/>
              <w:rPr>
                <w:rFonts w:ascii="Arial" w:cs="Arial" w:eastAsia="Arial" w:hAnsi="Arial"/>
                <w:sz w:val="18"/>
                <w:szCs w:val="18"/>
                <w:color w:val="0000EE"/>
                <w:w w:val="85"/>
              </w:rPr>
            </w:pPr>
            <w:hyperlink w:anchor="page30">
              <w:r>
                <w:rPr>
                  <w:rFonts w:ascii="Arial" w:cs="Arial" w:eastAsia="Arial" w:hAnsi="Arial"/>
                  <w:sz w:val="18"/>
                  <w:szCs w:val="18"/>
                  <w:color w:val="0000EE"/>
                  <w:w w:val="85"/>
                </w:rPr>
                <w:t>Properties</w:t>
              </w:r>
            </w:hyperlink>
          </w:p>
        </w:tc>
        <w:tc>
          <w:tcPr>
            <w:tcW w:w="1280" w:type="dxa"/>
            <w:vAlign w:val="bottom"/>
            <w:tcBorders>
              <w:top w:val="single" w:sz="8" w:color="0000EE"/>
            </w:tcBorders>
            <w:gridSpan w:val="6"/>
          </w:tcPr>
          <w:p>
            <w:pPr>
              <w:spacing w:after="0"/>
              <w:rPr>
                <w:sz w:val="22"/>
                <w:szCs w:val="22"/>
                <w:color w:val="auto"/>
              </w:rPr>
            </w:pPr>
          </w:p>
        </w:tc>
        <w:tc>
          <w:tcPr>
            <w:tcW w:w="8000" w:type="dxa"/>
            <w:vAlign w:val="bottom"/>
            <w:gridSpan w:val="18"/>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3.</w:t>
            </w:r>
          </w:p>
        </w:tc>
        <w:tc>
          <w:tcPr>
            <w:tcW w:w="10000" w:type="dxa"/>
            <w:vAlign w:val="bottom"/>
            <w:gridSpan w:val="26"/>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Legal Proceedings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000" w:type="dxa"/>
            <w:vAlign w:val="bottom"/>
            <w:gridSpan w:val="26"/>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Mine Safety Disclosures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64"/>
        </w:trPr>
        <w:tc>
          <w:tcPr>
            <w:tcW w:w="7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40" w:type="dxa"/>
            <w:vAlign w:val="bottom"/>
            <w:tcBorders>
              <w:top w:val="single" w:sz="8" w:color="0000EE"/>
            </w:tcBorders>
          </w:tcPr>
          <w:p>
            <w:pPr>
              <w:spacing w:after="0"/>
              <w:rPr>
                <w:sz w:val="22"/>
                <w:szCs w:val="22"/>
                <w:color w:val="auto"/>
              </w:rPr>
            </w:pPr>
          </w:p>
        </w:tc>
        <w:tc>
          <w:tcPr>
            <w:tcW w:w="80" w:type="dxa"/>
            <w:vAlign w:val="bottom"/>
            <w:tcBorders>
              <w:top w:val="single" w:sz="8" w:color="0000EE"/>
            </w:tcBorders>
          </w:tcPr>
          <w:p>
            <w:pPr>
              <w:spacing w:after="0"/>
              <w:rPr>
                <w:sz w:val="22"/>
                <w:szCs w:val="22"/>
                <w:color w:val="auto"/>
              </w:rPr>
            </w:pPr>
          </w:p>
        </w:tc>
        <w:tc>
          <w:tcPr>
            <w:tcW w:w="180" w:type="dxa"/>
            <w:vAlign w:val="bottom"/>
            <w:tcBorders>
              <w:top w:val="single" w:sz="8" w:color="0000EE"/>
            </w:tcBorders>
          </w:tcPr>
          <w:p>
            <w:pPr>
              <w:spacing w:after="0"/>
              <w:rPr>
                <w:sz w:val="22"/>
                <w:szCs w:val="22"/>
                <w:color w:val="auto"/>
              </w:rPr>
            </w:pPr>
          </w:p>
        </w:tc>
        <w:tc>
          <w:tcPr>
            <w:tcW w:w="400" w:type="dxa"/>
            <w:vAlign w:val="bottom"/>
            <w:tcBorders>
              <w:top w:val="single" w:sz="8" w:color="0000EE"/>
            </w:tcBorders>
          </w:tcPr>
          <w:p>
            <w:pPr>
              <w:spacing w:after="0"/>
              <w:rPr>
                <w:sz w:val="22"/>
                <w:szCs w:val="22"/>
                <w:color w:val="auto"/>
              </w:rPr>
            </w:pPr>
          </w:p>
        </w:tc>
        <w:tc>
          <w:tcPr>
            <w:tcW w:w="380" w:type="dxa"/>
            <w:vAlign w:val="bottom"/>
            <w:tcBorders>
              <w:top w:val="single" w:sz="8" w:color="0000EE"/>
            </w:tcBorders>
          </w:tcPr>
          <w:p>
            <w:pPr>
              <w:spacing w:after="0"/>
              <w:rPr>
                <w:sz w:val="22"/>
                <w:szCs w:val="22"/>
                <w:color w:val="auto"/>
              </w:rPr>
            </w:pPr>
          </w:p>
        </w:tc>
        <w:tc>
          <w:tcPr>
            <w:tcW w:w="60" w:type="dxa"/>
            <w:vAlign w:val="bottom"/>
            <w:tcBorders>
              <w:top w:val="single" w:sz="8" w:color="0000EE"/>
            </w:tcBorders>
          </w:tcPr>
          <w:p>
            <w:pPr>
              <w:spacing w:after="0"/>
              <w:rPr>
                <w:sz w:val="22"/>
                <w:szCs w:val="22"/>
                <w:color w:val="auto"/>
              </w:rPr>
            </w:pPr>
          </w:p>
        </w:tc>
        <w:tc>
          <w:tcPr>
            <w:tcW w:w="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660" w:type="dxa"/>
            <w:vAlign w:val="bottom"/>
            <w:gridSpan w:val="11"/>
          </w:tcPr>
          <w:p>
            <w:pPr>
              <w:jc w:val="center"/>
              <w:ind w:right="5020"/>
              <w:spacing w:after="0"/>
              <w:rPr>
                <w:rFonts w:ascii="Arial" w:cs="Arial" w:eastAsia="Arial" w:hAnsi="Arial"/>
                <w:sz w:val="18"/>
                <w:szCs w:val="18"/>
                <w:b w:val="1"/>
                <w:bCs w:val="1"/>
                <w:color w:val="0000EE"/>
                <w:w w:val="99"/>
              </w:rPr>
            </w:pPr>
            <w:hyperlink w:anchor="page32">
              <w:r>
                <w:rPr>
                  <w:rFonts w:ascii="Arial" w:cs="Arial" w:eastAsia="Arial" w:hAnsi="Arial"/>
                  <w:sz w:val="18"/>
                  <w:szCs w:val="18"/>
                  <w:b w:val="1"/>
                  <w:bCs w:val="1"/>
                  <w:color w:val="0000EE"/>
                  <w:w w:val="99"/>
                </w:rPr>
                <w:t>PART II</w:t>
              </w:r>
            </w:hyperlink>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00" w:type="dxa"/>
            <w:vAlign w:val="bottom"/>
            <w:gridSpan w:val="4"/>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3"/>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5.</w:t>
            </w:r>
          </w:p>
        </w:tc>
        <w:tc>
          <w:tcPr>
            <w:tcW w:w="10000" w:type="dxa"/>
            <w:vAlign w:val="bottom"/>
            <w:gridSpan w:val="26"/>
          </w:tcPr>
          <w:p>
            <w:pPr>
              <w:spacing w:after="0"/>
              <w:rPr>
                <w:rFonts w:ascii="Arial" w:cs="Arial" w:eastAsia="Arial" w:hAnsi="Arial"/>
                <w:sz w:val="18"/>
                <w:szCs w:val="18"/>
                <w:color w:val="0000EE"/>
              </w:rPr>
            </w:pPr>
            <w:hyperlink w:anchor="page32">
              <w:r>
                <w:rPr>
                  <w:rFonts w:ascii="Arial" w:cs="Arial" w:eastAsia="Arial" w:hAnsi="Arial"/>
                  <w:sz w:val="18"/>
                  <w:szCs w:val="18"/>
                  <w:color w:val="0000EE"/>
                </w:rPr>
                <w:t>Market for Registrant’s Common Equity, Related Shareholder Matters and Issuer Purchases of Equity Securities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6.</w:t>
            </w:r>
          </w:p>
        </w:tc>
        <w:tc>
          <w:tcPr>
            <w:tcW w:w="1680" w:type="dxa"/>
            <w:vAlign w:val="bottom"/>
            <w:tcBorders>
              <w:top w:val="single" w:sz="8" w:color="0000EE"/>
              <w:bottom w:val="single" w:sz="8" w:color="0000EE"/>
            </w:tcBorders>
            <w:gridSpan w:val="5"/>
          </w:tcPr>
          <w:p>
            <w:pPr>
              <w:spacing w:after="0"/>
              <w:rPr>
                <w:rFonts w:ascii="Arial" w:cs="Arial" w:eastAsia="Arial" w:hAnsi="Arial"/>
                <w:sz w:val="18"/>
                <w:szCs w:val="18"/>
                <w:color w:val="0000EE"/>
                <w:w w:val="87"/>
              </w:rPr>
            </w:pPr>
            <w:hyperlink w:anchor="page35">
              <w:r>
                <w:rPr>
                  <w:rFonts w:ascii="Arial" w:cs="Arial" w:eastAsia="Arial" w:hAnsi="Arial"/>
                  <w:sz w:val="18"/>
                  <w:szCs w:val="18"/>
                  <w:color w:val="0000EE"/>
                  <w:w w:val="87"/>
                </w:rPr>
                <w:t>Selected Financial Data</w:t>
              </w:r>
            </w:hyperlink>
          </w:p>
        </w:tc>
        <w:tc>
          <w:tcPr>
            <w:tcW w:w="6200" w:type="dxa"/>
            <w:vAlign w:val="bottom"/>
            <w:tcBorders>
              <w:top w:val="single" w:sz="8" w:color="0000EE"/>
            </w:tcBorders>
            <w:gridSpan w:val="20"/>
          </w:tcPr>
          <w:p>
            <w:pPr>
              <w:spacing w:after="0"/>
              <w:rPr>
                <w:sz w:val="22"/>
                <w:szCs w:val="22"/>
                <w:color w:val="auto"/>
              </w:rPr>
            </w:pPr>
          </w:p>
        </w:tc>
        <w:tc>
          <w:tcPr>
            <w:tcW w:w="212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7.</w:t>
            </w:r>
          </w:p>
        </w:tc>
        <w:tc>
          <w:tcPr>
            <w:tcW w:w="10000" w:type="dxa"/>
            <w:vAlign w:val="bottom"/>
            <w:gridSpan w:val="26"/>
          </w:tcPr>
          <w:p>
            <w:pPr>
              <w:spacing w:after="0"/>
              <w:rPr>
                <w:rFonts w:ascii="Arial" w:cs="Arial" w:eastAsia="Arial" w:hAnsi="Arial"/>
                <w:sz w:val="18"/>
                <w:szCs w:val="18"/>
                <w:color w:val="0000EE"/>
              </w:rPr>
            </w:pPr>
            <w:hyperlink w:anchor="page36">
              <w:r>
                <w:rPr>
                  <w:rFonts w:ascii="Arial" w:cs="Arial" w:eastAsia="Arial" w:hAnsi="Arial"/>
                  <w:sz w:val="18"/>
                  <w:szCs w:val="18"/>
                  <w:color w:val="0000EE"/>
                </w:rPr>
                <w:t>Management’s Discussion and Analysis of Financial Condition and Results of Operations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7A.</w:t>
            </w:r>
          </w:p>
        </w:tc>
        <w:tc>
          <w:tcPr>
            <w:tcW w:w="4260" w:type="dxa"/>
            <w:vAlign w:val="bottom"/>
            <w:tcBorders>
              <w:top w:val="single" w:sz="8" w:color="0000EE"/>
              <w:bottom w:val="single" w:sz="8" w:color="0000EE"/>
            </w:tcBorders>
            <w:gridSpan w:val="13"/>
          </w:tcPr>
          <w:p>
            <w:pPr>
              <w:spacing w:after="0"/>
              <w:rPr>
                <w:rFonts w:ascii="Arial" w:cs="Arial" w:eastAsia="Arial" w:hAnsi="Arial"/>
                <w:sz w:val="18"/>
                <w:szCs w:val="18"/>
                <w:color w:val="0000EE"/>
                <w:w w:val="89"/>
              </w:rPr>
            </w:pPr>
            <w:hyperlink w:anchor="page54">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9"/>
          </w:tcPr>
          <w:p>
            <w:pPr>
              <w:spacing w:after="0"/>
              <w:rPr>
                <w:sz w:val="22"/>
                <w:szCs w:val="22"/>
                <w:color w:val="auto"/>
              </w:rPr>
            </w:pPr>
          </w:p>
        </w:tc>
        <w:tc>
          <w:tcPr>
            <w:tcW w:w="3700" w:type="dxa"/>
            <w:vAlign w:val="bottom"/>
            <w:gridSpan w:val="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8.</w:t>
            </w:r>
          </w:p>
        </w:tc>
        <w:tc>
          <w:tcPr>
            <w:tcW w:w="3260" w:type="dxa"/>
            <w:vAlign w:val="bottom"/>
            <w:tcBorders>
              <w:bottom w:val="single" w:sz="8" w:color="0000EE"/>
            </w:tcBorders>
            <w:gridSpan w:val="11"/>
          </w:tcPr>
          <w:p>
            <w:pPr>
              <w:spacing w:after="0"/>
              <w:rPr>
                <w:rFonts w:ascii="Arial" w:cs="Arial" w:eastAsia="Arial" w:hAnsi="Arial"/>
                <w:sz w:val="18"/>
                <w:szCs w:val="18"/>
                <w:color w:val="0000EE"/>
                <w:w w:val="87"/>
              </w:rPr>
            </w:pPr>
            <w:hyperlink w:anchor="page56">
              <w:r>
                <w:rPr>
                  <w:rFonts w:ascii="Arial" w:cs="Arial" w:eastAsia="Arial" w:hAnsi="Arial"/>
                  <w:sz w:val="18"/>
                  <w:szCs w:val="18"/>
                  <w:color w:val="0000EE"/>
                  <w:w w:val="87"/>
                </w:rPr>
                <w:t>Financial Statements and Supplementary Data</w:t>
              </w:r>
            </w:hyperlink>
          </w:p>
        </w:tc>
        <w:tc>
          <w:tcPr>
            <w:tcW w:w="6740" w:type="dxa"/>
            <w:vAlign w:val="bottom"/>
            <w:gridSpan w:val="1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9.</w:t>
            </w:r>
          </w:p>
        </w:tc>
        <w:tc>
          <w:tcPr>
            <w:tcW w:w="10000" w:type="dxa"/>
            <w:vAlign w:val="bottom"/>
            <w:gridSpan w:val="26"/>
          </w:tcPr>
          <w:p>
            <w:pPr>
              <w:spacing w:after="0"/>
              <w:rPr>
                <w:rFonts w:ascii="Arial" w:cs="Arial" w:eastAsia="Arial" w:hAnsi="Arial"/>
                <w:sz w:val="18"/>
                <w:szCs w:val="18"/>
                <w:color w:val="0000EE"/>
              </w:rPr>
            </w:pPr>
            <w:hyperlink w:anchor="page103">
              <w:r>
                <w:rPr>
                  <w:rFonts w:ascii="Arial" w:cs="Arial" w:eastAsia="Arial" w:hAnsi="Arial"/>
                  <w:sz w:val="18"/>
                  <w:szCs w:val="18"/>
                  <w:color w:val="0000EE"/>
                </w:rPr>
                <w:t>Changes in and Disagreements with Accountants on Accounting and Financial Disclosure</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101</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9A.</w:t>
            </w:r>
          </w:p>
        </w:tc>
        <w:tc>
          <w:tcPr>
            <w:tcW w:w="1740" w:type="dxa"/>
            <w:vAlign w:val="bottom"/>
            <w:tcBorders>
              <w:top w:val="single" w:sz="8" w:color="0000EE"/>
              <w:bottom w:val="single" w:sz="8" w:color="0000EE"/>
            </w:tcBorders>
            <w:gridSpan w:val="6"/>
          </w:tcPr>
          <w:p>
            <w:pPr>
              <w:spacing w:after="0"/>
              <w:rPr>
                <w:rFonts w:ascii="Arial" w:cs="Arial" w:eastAsia="Arial" w:hAnsi="Arial"/>
                <w:sz w:val="18"/>
                <w:szCs w:val="18"/>
                <w:color w:val="0000EE"/>
                <w:w w:val="86"/>
              </w:rPr>
            </w:pPr>
            <w:hyperlink w:anchor="page103">
              <w:r>
                <w:rPr>
                  <w:rFonts w:ascii="Arial" w:cs="Arial" w:eastAsia="Arial" w:hAnsi="Arial"/>
                  <w:sz w:val="18"/>
                  <w:szCs w:val="18"/>
                  <w:color w:val="0000EE"/>
                  <w:w w:val="86"/>
                </w:rPr>
                <w:t>Controls and Procedures</w:t>
              </w:r>
            </w:hyperlink>
          </w:p>
        </w:tc>
        <w:tc>
          <w:tcPr>
            <w:tcW w:w="4580" w:type="dxa"/>
            <w:vAlign w:val="bottom"/>
            <w:tcBorders>
              <w:top w:val="single" w:sz="8" w:color="0000EE"/>
            </w:tcBorders>
            <w:gridSpan w:val="17"/>
          </w:tcPr>
          <w:p>
            <w:pPr>
              <w:spacing w:after="0"/>
              <w:rPr>
                <w:sz w:val="22"/>
                <w:szCs w:val="22"/>
                <w:color w:val="auto"/>
              </w:rPr>
            </w:pPr>
          </w:p>
        </w:tc>
        <w:tc>
          <w:tcPr>
            <w:tcW w:w="3680" w:type="dxa"/>
            <w:vAlign w:val="bottom"/>
            <w:gridSpan w:val="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101</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9B.</w:t>
            </w:r>
          </w:p>
        </w:tc>
        <w:tc>
          <w:tcPr>
            <w:tcW w:w="10000" w:type="dxa"/>
            <w:vAlign w:val="bottom"/>
            <w:gridSpan w:val="26"/>
          </w:tcPr>
          <w:p>
            <w:pPr>
              <w:spacing w:after="0"/>
              <w:rPr>
                <w:rFonts w:ascii="Arial" w:cs="Arial" w:eastAsia="Arial" w:hAnsi="Arial"/>
                <w:sz w:val="18"/>
                <w:szCs w:val="18"/>
                <w:color w:val="0000EE"/>
              </w:rPr>
            </w:pPr>
            <w:hyperlink w:anchor="page104">
              <w:r>
                <w:rPr>
                  <w:rFonts w:ascii="Arial" w:cs="Arial" w:eastAsia="Arial" w:hAnsi="Arial"/>
                  <w:sz w:val="18"/>
                  <w:szCs w:val="18"/>
                  <w:color w:val="0000EE"/>
                </w:rPr>
                <w:t>Other Information</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102</w:t>
            </w:r>
          </w:p>
        </w:tc>
        <w:tc>
          <w:tcPr>
            <w:tcW w:w="0" w:type="dxa"/>
            <w:vAlign w:val="bottom"/>
          </w:tcPr>
          <w:p>
            <w:pPr>
              <w:spacing w:after="0"/>
              <w:rPr>
                <w:sz w:val="1"/>
                <w:szCs w:val="1"/>
                <w:color w:val="auto"/>
              </w:rPr>
            </w:pPr>
          </w:p>
        </w:tc>
      </w:tr>
      <w:tr>
        <w:trPr>
          <w:trHeight w:val="264"/>
        </w:trPr>
        <w:tc>
          <w:tcPr>
            <w:tcW w:w="7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40" w:type="dxa"/>
            <w:vAlign w:val="bottom"/>
            <w:tcBorders>
              <w:top w:val="single" w:sz="8" w:color="0000EE"/>
            </w:tcBorders>
          </w:tcPr>
          <w:p>
            <w:pPr>
              <w:spacing w:after="0"/>
              <w:rPr>
                <w:sz w:val="22"/>
                <w:szCs w:val="22"/>
                <w:color w:val="auto"/>
              </w:rPr>
            </w:pPr>
          </w:p>
        </w:tc>
        <w:tc>
          <w:tcPr>
            <w:tcW w:w="80" w:type="dxa"/>
            <w:vAlign w:val="bottom"/>
            <w:tcBorders>
              <w:top w:val="single" w:sz="8" w:color="0000EE"/>
            </w:tcBorders>
          </w:tcPr>
          <w:p>
            <w:pPr>
              <w:spacing w:after="0"/>
              <w:rPr>
                <w:sz w:val="22"/>
                <w:szCs w:val="22"/>
                <w:color w:val="auto"/>
              </w:rPr>
            </w:pPr>
          </w:p>
        </w:tc>
        <w:tc>
          <w:tcPr>
            <w:tcW w:w="180" w:type="dxa"/>
            <w:vAlign w:val="bottom"/>
            <w:tcBorders>
              <w:top w:val="single" w:sz="8" w:color="0000EE"/>
            </w:tcBorders>
          </w:tcPr>
          <w:p>
            <w:pPr>
              <w:spacing w:after="0"/>
              <w:rPr>
                <w:sz w:val="22"/>
                <w:szCs w:val="22"/>
                <w:color w:val="auto"/>
              </w:rPr>
            </w:pPr>
          </w:p>
        </w:tc>
        <w:tc>
          <w:tcPr>
            <w:tcW w:w="400" w:type="dxa"/>
            <w:vAlign w:val="bottom"/>
            <w:tcBorders>
              <w:top w:val="single" w:sz="8" w:color="0000EE"/>
            </w:tcBorders>
          </w:tcPr>
          <w:p>
            <w:pPr>
              <w:spacing w:after="0"/>
              <w:rPr>
                <w:sz w:val="22"/>
                <w:szCs w:val="22"/>
                <w:color w:val="auto"/>
              </w:rPr>
            </w:pPr>
          </w:p>
        </w:tc>
        <w:tc>
          <w:tcPr>
            <w:tcW w:w="3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20" w:type="dxa"/>
            <w:vAlign w:val="bottom"/>
            <w:tcBorders>
              <w:bottom w:val="single" w:sz="8" w:color="0000EE"/>
            </w:tcBorders>
            <w:gridSpan w:val="6"/>
          </w:tcPr>
          <w:p>
            <w:pPr>
              <w:jc w:val="center"/>
              <w:ind w:right="20"/>
              <w:spacing w:after="0"/>
              <w:rPr>
                <w:rFonts w:ascii="Arial" w:cs="Arial" w:eastAsia="Arial" w:hAnsi="Arial"/>
                <w:sz w:val="18"/>
                <w:szCs w:val="18"/>
                <w:b w:val="1"/>
                <w:bCs w:val="1"/>
                <w:color w:val="0000EE"/>
              </w:rPr>
            </w:pPr>
            <w:hyperlink w:anchor="page105">
              <w:r>
                <w:rPr>
                  <w:rFonts w:ascii="Arial" w:cs="Arial" w:eastAsia="Arial" w:hAnsi="Arial"/>
                  <w:sz w:val="18"/>
                  <w:szCs w:val="18"/>
                  <w:b w:val="1"/>
                  <w:bCs w:val="1"/>
                  <w:color w:val="0000EE"/>
                </w:rPr>
                <w:t>PART III</w:t>
              </w:r>
            </w:hyperlink>
          </w:p>
        </w:tc>
        <w:tc>
          <w:tcPr>
            <w:tcW w:w="4960" w:type="dxa"/>
            <w:vAlign w:val="bottom"/>
            <w:gridSpan w:val="6"/>
          </w:tcPr>
          <w:p>
            <w:pPr>
              <w:spacing w:after="0"/>
              <w:rPr>
                <w:sz w:val="22"/>
                <w:szCs w:val="22"/>
                <w:color w:val="auto"/>
              </w:rPr>
            </w:pP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10.</w:t>
            </w:r>
          </w:p>
        </w:tc>
        <w:tc>
          <w:tcPr>
            <w:tcW w:w="10000" w:type="dxa"/>
            <w:vAlign w:val="bottom"/>
            <w:gridSpan w:val="26"/>
          </w:tcPr>
          <w:p>
            <w:pPr>
              <w:spacing w:after="0"/>
              <w:rPr>
                <w:rFonts w:ascii="Arial" w:cs="Arial" w:eastAsia="Arial" w:hAnsi="Arial"/>
                <w:sz w:val="18"/>
                <w:szCs w:val="18"/>
                <w:color w:val="0000EE"/>
              </w:rPr>
            </w:pPr>
            <w:hyperlink w:anchor="page105">
              <w:r>
                <w:rPr>
                  <w:rFonts w:ascii="Arial" w:cs="Arial" w:eastAsia="Arial" w:hAnsi="Arial"/>
                  <w:sz w:val="18"/>
                  <w:szCs w:val="18"/>
                  <w:color w:val="0000EE"/>
                </w:rPr>
                <w:t>Directors, Executive Officers and Corporate Governance</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103</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11.</w:t>
            </w:r>
          </w:p>
        </w:tc>
        <w:tc>
          <w:tcPr>
            <w:tcW w:w="4000" w:type="dxa"/>
            <w:vAlign w:val="bottom"/>
            <w:tcBorders>
              <w:top w:val="single" w:sz="8" w:color="0000EE"/>
            </w:tcBorders>
            <w:gridSpan w:val="12"/>
          </w:tcPr>
          <w:p>
            <w:pPr>
              <w:spacing w:after="0"/>
              <w:rPr>
                <w:rFonts w:ascii="Arial" w:cs="Arial" w:eastAsia="Arial" w:hAnsi="Arial"/>
                <w:sz w:val="18"/>
                <w:szCs w:val="18"/>
                <w:color w:val="0000EE"/>
              </w:rPr>
            </w:pPr>
            <w:hyperlink w:anchor="page105">
              <w:r>
                <w:rPr>
                  <w:rFonts w:ascii="Arial" w:cs="Arial" w:eastAsia="Arial" w:hAnsi="Arial"/>
                  <w:sz w:val="18"/>
                  <w:szCs w:val="18"/>
                  <w:color w:val="0000EE"/>
                </w:rPr>
                <w:t>Executive Compensation</w:t>
              </w:r>
            </w:hyperlink>
          </w:p>
        </w:tc>
        <w:tc>
          <w:tcPr>
            <w:tcW w:w="6000" w:type="dxa"/>
            <w:vAlign w:val="bottom"/>
            <w:gridSpan w:val="1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760" w:type="dxa"/>
            <w:vAlign w:val="bottom"/>
            <w:gridSpan w:val="7"/>
            <w:shd w:val="clear" w:color="auto" w:fill="0000EE"/>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500" w:type="dxa"/>
            <w:vAlign w:val="bottom"/>
            <w:gridSpan w:val="5"/>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800" w:type="dxa"/>
            <w:vAlign w:val="bottom"/>
            <w:gridSpan w:val="3"/>
          </w:tcPr>
          <w:p>
            <w:pPr>
              <w:spacing w:after="0" w:line="20" w:lineRule="exact"/>
              <w:rPr>
                <w:sz w:val="1"/>
                <w:szCs w:val="1"/>
                <w:color w:val="auto"/>
              </w:rPr>
            </w:pPr>
          </w:p>
        </w:tc>
        <w:tc>
          <w:tcPr>
            <w:tcW w:w="28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12.</w:t>
            </w:r>
          </w:p>
        </w:tc>
        <w:tc>
          <w:tcPr>
            <w:tcW w:w="10000" w:type="dxa"/>
            <w:vAlign w:val="bottom"/>
            <w:gridSpan w:val="26"/>
          </w:tcPr>
          <w:p>
            <w:pPr>
              <w:spacing w:after="0"/>
              <w:rPr>
                <w:rFonts w:ascii="Arial" w:cs="Arial" w:eastAsia="Arial" w:hAnsi="Arial"/>
                <w:sz w:val="18"/>
                <w:szCs w:val="18"/>
                <w:color w:val="0000EE"/>
              </w:rPr>
            </w:pPr>
            <w:hyperlink w:anchor="page105">
              <w:r>
                <w:rPr>
                  <w:rFonts w:ascii="Arial" w:cs="Arial" w:eastAsia="Arial" w:hAnsi="Arial"/>
                  <w:sz w:val="18"/>
                  <w:szCs w:val="18"/>
                  <w:color w:val="0000EE"/>
                </w:rPr>
                <w:t>Security Ownership of Certain Beneficial Owners and Management and Related Shareholder Matters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103</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13.</w:t>
            </w:r>
          </w:p>
        </w:tc>
        <w:tc>
          <w:tcPr>
            <w:tcW w:w="7120" w:type="dxa"/>
            <w:vAlign w:val="bottom"/>
            <w:tcBorders>
              <w:top w:val="single" w:sz="8" w:color="0000EE"/>
            </w:tcBorders>
            <w:gridSpan w:val="24"/>
          </w:tcPr>
          <w:p>
            <w:pPr>
              <w:spacing w:after="0"/>
              <w:rPr>
                <w:rFonts w:ascii="Arial" w:cs="Arial" w:eastAsia="Arial" w:hAnsi="Arial"/>
                <w:sz w:val="18"/>
                <w:szCs w:val="18"/>
                <w:color w:val="0000EE"/>
              </w:rPr>
            </w:pPr>
            <w:hyperlink w:anchor="page106">
              <w:r>
                <w:rPr>
                  <w:rFonts w:ascii="Arial" w:cs="Arial" w:eastAsia="Arial" w:hAnsi="Arial"/>
                  <w:sz w:val="18"/>
                  <w:szCs w:val="18"/>
                  <w:color w:val="0000EE"/>
                </w:rPr>
                <w:t>Certain Relationships and Related Transactions, and Director Independence</w:t>
              </w:r>
            </w:hyperlink>
          </w:p>
        </w:tc>
        <w:tc>
          <w:tcPr>
            <w:tcW w:w="2880" w:type="dxa"/>
            <w:vAlign w:val="bottom"/>
            <w:gridSpan w:val="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104</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14.</w:t>
            </w:r>
          </w:p>
        </w:tc>
        <w:tc>
          <w:tcPr>
            <w:tcW w:w="5320" w:type="dxa"/>
            <w:vAlign w:val="bottom"/>
            <w:tcBorders>
              <w:top w:val="single" w:sz="8" w:color="0000EE"/>
            </w:tcBorders>
            <w:gridSpan w:val="21"/>
          </w:tcPr>
          <w:p>
            <w:pPr>
              <w:spacing w:after="0"/>
              <w:rPr>
                <w:rFonts w:ascii="Arial" w:cs="Arial" w:eastAsia="Arial" w:hAnsi="Arial"/>
                <w:sz w:val="18"/>
                <w:szCs w:val="18"/>
                <w:color w:val="0000EE"/>
              </w:rPr>
            </w:pPr>
            <w:hyperlink w:anchor="page106">
              <w:r>
                <w:rPr>
                  <w:rFonts w:ascii="Arial" w:cs="Arial" w:eastAsia="Arial" w:hAnsi="Arial"/>
                  <w:sz w:val="18"/>
                  <w:szCs w:val="18"/>
                  <w:color w:val="0000EE"/>
                </w:rPr>
                <w:t>Principal Accounting Fees and Services</w:t>
              </w:r>
            </w:hyperlink>
          </w:p>
        </w:tc>
        <w:tc>
          <w:tcPr>
            <w:tcW w:w="4680" w:type="dxa"/>
            <w:vAlign w:val="bottom"/>
            <w:gridSpan w:val="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104</w:t>
            </w:r>
          </w:p>
        </w:tc>
        <w:tc>
          <w:tcPr>
            <w:tcW w:w="0" w:type="dxa"/>
            <w:vAlign w:val="bottom"/>
          </w:tcPr>
          <w:p>
            <w:pPr>
              <w:spacing w:after="0"/>
              <w:rPr>
                <w:sz w:val="1"/>
                <w:szCs w:val="1"/>
                <w:color w:val="auto"/>
              </w:rPr>
            </w:pPr>
          </w:p>
        </w:tc>
      </w:tr>
      <w:tr>
        <w:trPr>
          <w:trHeight w:val="264"/>
        </w:trPr>
        <w:tc>
          <w:tcPr>
            <w:tcW w:w="7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40" w:type="dxa"/>
            <w:vAlign w:val="bottom"/>
            <w:tcBorders>
              <w:top w:val="single" w:sz="8" w:color="0000EE"/>
            </w:tcBorders>
          </w:tcPr>
          <w:p>
            <w:pPr>
              <w:spacing w:after="0"/>
              <w:rPr>
                <w:sz w:val="22"/>
                <w:szCs w:val="22"/>
                <w:color w:val="auto"/>
              </w:rPr>
            </w:pPr>
          </w:p>
        </w:tc>
        <w:tc>
          <w:tcPr>
            <w:tcW w:w="80" w:type="dxa"/>
            <w:vAlign w:val="bottom"/>
            <w:tcBorders>
              <w:top w:val="single" w:sz="8" w:color="0000EE"/>
            </w:tcBorders>
          </w:tcPr>
          <w:p>
            <w:pPr>
              <w:spacing w:after="0"/>
              <w:rPr>
                <w:sz w:val="22"/>
                <w:szCs w:val="22"/>
                <w:color w:val="auto"/>
              </w:rPr>
            </w:pPr>
          </w:p>
        </w:tc>
        <w:tc>
          <w:tcPr>
            <w:tcW w:w="180" w:type="dxa"/>
            <w:vAlign w:val="bottom"/>
            <w:tcBorders>
              <w:top w:val="single" w:sz="8" w:color="0000EE"/>
            </w:tcBorders>
          </w:tcPr>
          <w:p>
            <w:pPr>
              <w:spacing w:after="0"/>
              <w:rPr>
                <w:sz w:val="22"/>
                <w:szCs w:val="22"/>
                <w:color w:val="auto"/>
              </w:rPr>
            </w:pPr>
          </w:p>
        </w:tc>
        <w:tc>
          <w:tcPr>
            <w:tcW w:w="400" w:type="dxa"/>
            <w:vAlign w:val="bottom"/>
            <w:tcBorders>
              <w:top w:val="single" w:sz="8" w:color="0000EE"/>
            </w:tcBorders>
          </w:tcPr>
          <w:p>
            <w:pPr>
              <w:spacing w:after="0"/>
              <w:rPr>
                <w:sz w:val="22"/>
                <w:szCs w:val="22"/>
                <w:color w:val="auto"/>
              </w:rPr>
            </w:pPr>
          </w:p>
        </w:tc>
        <w:tc>
          <w:tcPr>
            <w:tcW w:w="380" w:type="dxa"/>
            <w:vAlign w:val="bottom"/>
            <w:tcBorders>
              <w:top w:val="single" w:sz="8" w:color="0000EE"/>
            </w:tcBorders>
          </w:tcPr>
          <w:p>
            <w:pPr>
              <w:spacing w:after="0"/>
              <w:rPr>
                <w:sz w:val="22"/>
                <w:szCs w:val="22"/>
                <w:color w:val="auto"/>
              </w:rPr>
            </w:pPr>
          </w:p>
        </w:tc>
        <w:tc>
          <w:tcPr>
            <w:tcW w:w="60" w:type="dxa"/>
            <w:vAlign w:val="bottom"/>
            <w:tcBorders>
              <w:top w:val="single" w:sz="8" w:color="0000EE"/>
            </w:tcBorders>
          </w:tcPr>
          <w:p>
            <w:pPr>
              <w:spacing w:after="0"/>
              <w:rPr>
                <w:sz w:val="22"/>
                <w:szCs w:val="22"/>
                <w:color w:val="auto"/>
              </w:rPr>
            </w:pPr>
          </w:p>
        </w:tc>
        <w:tc>
          <w:tcPr>
            <w:tcW w:w="20" w:type="dxa"/>
            <w:vAlign w:val="bottom"/>
            <w:tcBorders>
              <w:top w:val="single" w:sz="8" w:color="0000EE"/>
            </w:tcBorders>
          </w:tcPr>
          <w:p>
            <w:pPr>
              <w:spacing w:after="0"/>
              <w:rPr>
                <w:sz w:val="22"/>
                <w:szCs w:val="22"/>
                <w:color w:val="auto"/>
              </w:rPr>
            </w:pPr>
          </w:p>
        </w:tc>
        <w:tc>
          <w:tcPr>
            <w:tcW w:w="240" w:type="dxa"/>
            <w:vAlign w:val="bottom"/>
            <w:tcBorders>
              <w:top w:val="single" w:sz="8" w:color="0000EE"/>
            </w:tcBorders>
          </w:tcPr>
          <w:p>
            <w:pPr>
              <w:spacing w:after="0"/>
              <w:rPr>
                <w:sz w:val="22"/>
                <w:szCs w:val="22"/>
                <w:color w:val="auto"/>
              </w:rPr>
            </w:pPr>
          </w:p>
        </w:tc>
        <w:tc>
          <w:tcPr>
            <w:tcW w:w="800" w:type="dxa"/>
            <w:vAlign w:val="bottom"/>
            <w:tcBorders>
              <w:top w:val="single" w:sz="8" w:color="0000EE"/>
            </w:tcBorders>
          </w:tcPr>
          <w:p>
            <w:pPr>
              <w:spacing w:after="0"/>
              <w:rPr>
                <w:sz w:val="22"/>
                <w:szCs w:val="22"/>
                <w:color w:val="auto"/>
              </w:rPr>
            </w:pPr>
          </w:p>
        </w:tc>
        <w:tc>
          <w:tcPr>
            <w:tcW w:w="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80" w:type="dxa"/>
            <w:vAlign w:val="bottom"/>
            <w:tcBorders>
              <w:bottom w:val="single" w:sz="8" w:color="0000EE"/>
            </w:tcBorders>
            <w:gridSpan w:val="4"/>
          </w:tcPr>
          <w:p>
            <w:pPr>
              <w:jc w:val="center"/>
              <w:spacing w:after="0"/>
              <w:rPr>
                <w:rFonts w:ascii="Arial" w:cs="Arial" w:eastAsia="Arial" w:hAnsi="Arial"/>
                <w:sz w:val="18"/>
                <w:szCs w:val="18"/>
                <w:b w:val="1"/>
                <w:bCs w:val="1"/>
                <w:color w:val="0000EE"/>
                <w:w w:val="95"/>
              </w:rPr>
            </w:pPr>
            <w:hyperlink w:anchor="page107">
              <w:r>
                <w:rPr>
                  <w:rFonts w:ascii="Arial" w:cs="Arial" w:eastAsia="Arial" w:hAnsi="Arial"/>
                  <w:sz w:val="18"/>
                  <w:szCs w:val="18"/>
                  <w:b w:val="1"/>
                  <w:bCs w:val="1"/>
                  <w:color w:val="0000EE"/>
                  <w:w w:val="95"/>
                </w:rPr>
                <w:t>PART IV</w:t>
              </w:r>
            </w:hyperlink>
          </w:p>
        </w:tc>
        <w:tc>
          <w:tcPr>
            <w:tcW w:w="4980" w:type="dxa"/>
            <w:vAlign w:val="bottom"/>
            <w:gridSpan w:val="7"/>
          </w:tcPr>
          <w:p>
            <w:pPr>
              <w:spacing w:after="0"/>
              <w:rPr>
                <w:sz w:val="22"/>
                <w:szCs w:val="22"/>
                <w:color w:val="auto"/>
              </w:rPr>
            </w:pP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15.</w:t>
            </w:r>
          </w:p>
        </w:tc>
        <w:tc>
          <w:tcPr>
            <w:tcW w:w="10000" w:type="dxa"/>
            <w:vAlign w:val="bottom"/>
            <w:gridSpan w:val="26"/>
          </w:tcPr>
          <w:p>
            <w:pPr>
              <w:spacing w:after="0"/>
              <w:rPr>
                <w:rFonts w:ascii="Arial" w:cs="Arial" w:eastAsia="Arial" w:hAnsi="Arial"/>
                <w:sz w:val="18"/>
                <w:szCs w:val="18"/>
                <w:color w:val="0000EE"/>
              </w:rPr>
            </w:pPr>
            <w:hyperlink w:anchor="page107">
              <w:r>
                <w:rPr>
                  <w:rFonts w:ascii="Arial" w:cs="Arial" w:eastAsia="Arial" w:hAnsi="Arial"/>
                  <w:sz w:val="18"/>
                  <w:szCs w:val="18"/>
                  <w:color w:val="0000EE"/>
                </w:rPr>
                <w:t>Exhibits, Financial Statement Schedules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105</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rFonts w:ascii="Arial" w:cs="Arial" w:eastAsia="Arial" w:hAnsi="Arial"/>
                <w:sz w:val="18"/>
                <w:szCs w:val="18"/>
                <w:color w:val="0000EE"/>
              </w:rPr>
            </w:pPr>
            <w:hyperlink w:anchor="page108">
              <w:r>
                <w:rPr>
                  <w:rFonts w:ascii="Arial" w:cs="Arial" w:eastAsia="Arial" w:hAnsi="Arial"/>
                  <w:sz w:val="18"/>
                  <w:szCs w:val="18"/>
                  <w:color w:val="0000EE"/>
                </w:rPr>
                <w:t>Signatures</w:t>
              </w:r>
            </w:hyperlink>
          </w:p>
        </w:tc>
        <w:tc>
          <w:tcPr>
            <w:tcW w:w="640" w:type="dxa"/>
            <w:vAlign w:val="bottom"/>
            <w:tcBorders>
              <w:top w:val="single" w:sz="8" w:color="0000EE"/>
            </w:tcBorders>
          </w:tcPr>
          <w:p>
            <w:pPr>
              <w:spacing w:after="0"/>
              <w:rPr>
                <w:sz w:val="22"/>
                <w:szCs w:val="22"/>
                <w:color w:val="auto"/>
              </w:rPr>
            </w:pPr>
          </w:p>
        </w:tc>
        <w:tc>
          <w:tcPr>
            <w:tcW w:w="80" w:type="dxa"/>
            <w:vAlign w:val="bottom"/>
            <w:tcBorders>
              <w:top w:val="single" w:sz="8" w:color="0000EE"/>
            </w:tcBorders>
          </w:tcPr>
          <w:p>
            <w:pPr>
              <w:spacing w:after="0"/>
              <w:rPr>
                <w:sz w:val="22"/>
                <w:szCs w:val="22"/>
                <w:color w:val="auto"/>
              </w:rPr>
            </w:pPr>
          </w:p>
        </w:tc>
        <w:tc>
          <w:tcPr>
            <w:tcW w:w="180" w:type="dxa"/>
            <w:vAlign w:val="bottom"/>
            <w:tcBorders>
              <w:top w:val="single" w:sz="8" w:color="0000EE"/>
            </w:tcBorders>
          </w:tcPr>
          <w:p>
            <w:pPr>
              <w:spacing w:after="0"/>
              <w:rPr>
                <w:sz w:val="22"/>
                <w:szCs w:val="22"/>
                <w:color w:val="auto"/>
              </w:rPr>
            </w:pPr>
          </w:p>
        </w:tc>
        <w:tc>
          <w:tcPr>
            <w:tcW w:w="400" w:type="dxa"/>
            <w:vAlign w:val="bottom"/>
            <w:tcBorders>
              <w:top w:val="single" w:sz="8" w:color="0000EE"/>
            </w:tcBorders>
          </w:tcPr>
          <w:p>
            <w:pPr>
              <w:spacing w:after="0"/>
              <w:rPr>
                <w:sz w:val="22"/>
                <w:szCs w:val="22"/>
                <w:color w:val="auto"/>
              </w:rPr>
            </w:pPr>
          </w:p>
        </w:tc>
        <w:tc>
          <w:tcPr>
            <w:tcW w:w="380" w:type="dxa"/>
            <w:vAlign w:val="bottom"/>
            <w:tcBorders>
              <w:top w:val="single" w:sz="8" w:color="0000EE"/>
            </w:tcBorders>
          </w:tcPr>
          <w:p>
            <w:pPr>
              <w:spacing w:after="0"/>
              <w:rPr>
                <w:sz w:val="22"/>
                <w:szCs w:val="22"/>
                <w:color w:val="auto"/>
              </w:rPr>
            </w:pPr>
          </w:p>
        </w:tc>
        <w:tc>
          <w:tcPr>
            <w:tcW w:w="60" w:type="dxa"/>
            <w:vAlign w:val="bottom"/>
            <w:tcBorders>
              <w:top w:val="single" w:sz="8" w:color="0000EE"/>
            </w:tcBorders>
          </w:tcPr>
          <w:p>
            <w:pPr>
              <w:spacing w:after="0"/>
              <w:rPr>
                <w:sz w:val="22"/>
                <w:szCs w:val="22"/>
                <w:color w:val="auto"/>
              </w:rPr>
            </w:pPr>
          </w:p>
        </w:tc>
        <w:tc>
          <w:tcPr>
            <w:tcW w:w="20" w:type="dxa"/>
            <w:vAlign w:val="bottom"/>
            <w:tcBorders>
              <w:top w:val="single" w:sz="8" w:color="0000EE"/>
            </w:tcBorders>
          </w:tcPr>
          <w:p>
            <w:pPr>
              <w:spacing w:after="0"/>
              <w:rPr>
                <w:sz w:val="22"/>
                <w:szCs w:val="22"/>
                <w:color w:val="auto"/>
              </w:rPr>
            </w:pPr>
          </w:p>
        </w:tc>
        <w:tc>
          <w:tcPr>
            <w:tcW w:w="240" w:type="dxa"/>
            <w:vAlign w:val="bottom"/>
            <w:tcBorders>
              <w:top w:val="single" w:sz="8" w:color="0000EE"/>
            </w:tcBorders>
          </w:tcPr>
          <w:p>
            <w:pPr>
              <w:spacing w:after="0"/>
              <w:rPr>
                <w:sz w:val="22"/>
                <w:szCs w:val="22"/>
                <w:color w:val="auto"/>
              </w:rPr>
            </w:pPr>
          </w:p>
        </w:tc>
        <w:tc>
          <w:tcPr>
            <w:tcW w:w="800" w:type="dxa"/>
            <w:vAlign w:val="bottom"/>
            <w:tcBorders>
              <w:top w:val="single" w:sz="8" w:color="0000EE"/>
            </w:tcBorders>
          </w:tcPr>
          <w:p>
            <w:pPr>
              <w:spacing w:after="0"/>
              <w:rPr>
                <w:sz w:val="22"/>
                <w:szCs w:val="22"/>
                <w:color w:val="auto"/>
              </w:rPr>
            </w:pPr>
          </w:p>
        </w:tc>
        <w:tc>
          <w:tcPr>
            <w:tcW w:w="40" w:type="dxa"/>
            <w:vAlign w:val="bottom"/>
            <w:tcBorders>
              <w:top w:val="single" w:sz="8" w:color="0000EE"/>
            </w:tcBorders>
          </w:tcPr>
          <w:p>
            <w:pPr>
              <w:spacing w:after="0"/>
              <w:rPr>
                <w:sz w:val="22"/>
                <w:szCs w:val="22"/>
                <w:color w:val="auto"/>
              </w:rPr>
            </w:pPr>
          </w:p>
        </w:tc>
        <w:tc>
          <w:tcPr>
            <w:tcW w:w="4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12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106</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Forward-Looking Statements</w:t>
      </w:r>
    </w:p>
    <w:p>
      <w:pPr>
        <w:spacing w:after="0" w:line="17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This Annual Report on Form 10-K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“will” and similar expressions identify such forward-looking statements. Examples of forward-looking statements include statements regarding:</w:t>
      </w:r>
    </w:p>
    <w:p>
      <w:pPr>
        <w:spacing w:after="0" w:line="35"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anticipation that the rate of new orders and shipments will vary significantly from quarter to quarter;</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market acceptance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about industry trends;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future growth of our customer’s products, including the timing of any launches;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pricing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future customer concentration;</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net revenue, cost of goods sold as a percentage of revenue and operating expenses for future periods;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legal proceedings and claims, including the protection of our intellectual property;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meet our capital needs for at least the next 12 months;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 that a significant percentage of our sales will continue to come from direct sales to key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future growth opportunities;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regarding areas of revenue and operating income growth;</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effectiveness of our hedges of foreign currency exposures;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plans regarding our investment portfolio;</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that quarterly operating results will fluctuate from quarter to quarter;</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general economic environment;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arrangements with suppliers;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regarding our facilities and the sufficiency of our facilities;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execute our business strategy;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plan to strengthen and expand our relationship with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anticipate the needs of our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that average selling prices of our products will continue to be subject to significant pricing pressures;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develop and introduce new products and achieve market acceptance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regarding acquisitions and investments;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demand for our products and the impact of seasonality on demand;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gross margin and the events that may cause gross margin to fluctuate;</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20"/>
          </w:cols>
          <w:pgMar w:left="240" w:top="459" w:right="3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operations and sales outside of the United States, including future sales in Asia;</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plans for our share repurchase program and dividends;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expected tax benefits we receive; 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anticipated features and benefits of our technology solutions.</w:t>
      </w:r>
    </w:p>
    <w:p>
      <w:pPr>
        <w:spacing w:after="0" w:line="171"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i w:val="1"/>
          <w:iCs w:val="1"/>
          <w:color w:val="auto"/>
        </w:rPr>
        <w:t>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hard disk drive and mobile and wireless markets, which are highly cyclical and intensely competitive;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t>the outcome of pending or future litigation and legal proceedings, including our patent litigation action involving Carnegie Mellon University;</w:t>
      </w:r>
    </w:p>
    <w:p>
      <w:pPr>
        <w:spacing w:after="0" w:line="113" w:lineRule="exact"/>
        <w:rPr>
          <w:rFonts w:ascii="Arial" w:cs="Arial" w:eastAsia="Arial" w:hAnsi="Arial"/>
          <w:sz w:val="16"/>
          <w:szCs w:val="16"/>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t>our ability to estimate customer demand and future sales accurately, including the impact of lengthy and expensive product sales cycles;</w:t>
      </w:r>
    </w:p>
    <w:p>
      <w:pPr>
        <w:spacing w:after="0" w:line="113" w:lineRule="exact"/>
        <w:rPr>
          <w:rFonts w:ascii="Arial" w:cs="Arial" w:eastAsia="Arial" w:hAnsi="Arial"/>
          <w:sz w:val="16"/>
          <w:szCs w:val="16"/>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t>the risks associated with manufacturing and selling a majority of our products and our customers’ products outside of the United States;</w:t>
      </w:r>
    </w:p>
    <w:p>
      <w:pPr>
        <w:spacing w:after="0" w:line="113" w:lineRule="exact"/>
        <w:rPr>
          <w:rFonts w:ascii="Arial" w:cs="Arial" w:eastAsia="Arial" w:hAnsi="Arial"/>
          <w:sz w:val="16"/>
          <w:szCs w:val="16"/>
          <w:i w:val="1"/>
          <w:iCs w:val="1"/>
          <w:color w:val="auto"/>
        </w:rPr>
      </w:pPr>
    </w:p>
    <w:p>
      <w:pPr>
        <w:ind w:left="900" w:hanging="325"/>
        <w:spacing w:after="0" w:line="268" w:lineRule="auto"/>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acquisitions or investments;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171"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i w:val="1"/>
          <w:iCs w:val="1"/>
          <w:color w:val="auto"/>
        </w:rPr>
        <w:t>Additional factors that could cause actual results to differ materially include the risks discussed in Part I, Item 1A, “Risk Factors” and Part II,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(“SoC”) and System-in-a-Package (“SiP”)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(“PHY”), mobile handsets, connectivity, Internet-of-Things (“IoT”) devices and other consumer electronics. We were incorporated in Bermuda in January 1995.</w:t>
      </w:r>
    </w:p>
    <w:p>
      <w:pPr>
        <w:spacing w:after="0" w:line="118"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operations in many countries, including Canada, China, India, Israel, Italy, Japan, Malaysia, Singapore, South Korea, Spain, Sweden, Switzerland and Taiwan. Our fiscal year ends on the Saturday nearest January 31. For example, the fiscal year ended January 31, 2015 is referred to as fiscal 2015.</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U.S. Securities and Exchange Commission (“SEC”).</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96"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Over the last several years, we have transitioned from a supplier of standalone semiconductor components to a supplier of fully integrated platform solutions. Our platform solutions contain multiple intellectual property components in integrated hardware along with software that incorporates digital, analog and mixed-signal computing and communication technologies, designed and configured to provide an optimized solution compared to individual components. Our solutions have become increasingly integrated, with more and more components resulting in an all-in-one solution for a given customer’s end product. The demand for such highly integrated platform solutions is generally driven by technological changes and anticipation of the future needs of device manufacturers and end users, as well as, to an increasing extent, service providers, including cellular network carriers and Internet based applications providers. For example, in order to provide a complete solution for a specific handheld consumer electronics device, a device manufacturer may require a solution that integrates a high-performance applications processor, along with seamless communications capability with a 3G/4G Long-Term Evolution (“LTE”) multi-band modem, Wi-Fi, Bluetooth, radio frequency (“RF”), GPS and near field communication (“NFC”). In addition, a device manufacturer may require high-definition graphics processing, high-definition video and audio, and power management. These platforms will often cross multiple end markets, integrating components and technologies traditionally associated with one end market with components and technologies from another end market. For example, we may integrate an applications processor, traditionally associated with the mobile and wireless end market, with software and other components in an end user product targeting the home cloud. Therefore, it has become critical that our products across multiple end markets work together seamlessly.</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integration of these various technologies onto a single piece of silicon is referred to as SoC. The development of SoC’s became increasingly popular over the past decade, particularly within end markets such as mobile. We believe the development of SoC’s will continue to be popular for various end devices in the years to come.</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addition, software has become increasingly important to our business over the last several years and we expect software to become even more important in the years to come. On-chip software, which acts as the “driver” for the functionality of the chip, has always been a critical part of our business. However, the software that we deliver with our chip has become significantly more complex as the range of uses and the needs in application-level software have increased. For example, a chip that we develop for a smartphone may need to include software that is compatible with the latest version of a specific company’s operating system that enables 3D user interface and graphics, and that works seamlessly with a variety of popular end user applications. These demands require a significant amount of up-front software development, testing, and often, additional licensing.</w:t>
      </w:r>
    </w:p>
    <w:p>
      <w:pPr>
        <w:spacing w:after="0" w:line="120" w:lineRule="exact"/>
        <w:rPr>
          <w:sz w:val="20"/>
          <w:szCs w:val="20"/>
          <w:color w:val="auto"/>
        </w:rPr>
      </w:pPr>
    </w:p>
    <w:p>
      <w:pPr>
        <w:ind w:right="320" w:firstLine="456"/>
        <w:spacing w:after="0" w:line="323" w:lineRule="auto"/>
        <w:rPr>
          <w:sz w:val="20"/>
          <w:szCs w:val="20"/>
          <w:color w:val="auto"/>
        </w:rPr>
      </w:pPr>
      <w:r>
        <w:rPr>
          <w:rFonts w:ascii="Arial" w:cs="Arial" w:eastAsia="Arial" w:hAnsi="Arial"/>
          <w:sz w:val="15"/>
          <w:szCs w:val="15"/>
          <w:color w:val="auto"/>
        </w:rPr>
        <w:t>The market for consumer electronics devices is becoming increasingly standards-based. These standards change rapidly and often several different standards may exist and overlap in a single market. Our platforms are typically designed to operate seamlessly with all relevant standards, which require us to design products in anticipation of these relevant standards. For example, we have communications processors and software designed to operate on several different cellular standards, including GSM/enhanced data for the GSM environment (“EDGE”) (2G), WCDMA (3G), TD-SCDMA (China 3G) and 4G LTE.</w:t>
      </w:r>
    </w:p>
    <w:p>
      <w:pPr>
        <w:spacing w:after="0" w:line="98"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Our current product offerings are primarily in three broad end markets: mobile and wireless, storage, and networking. Our net revenue by end market for the last three fiscal years are as follows: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2"/>
          </w:tcPr>
          <w:p>
            <w:pPr>
              <w:jc w:val="center"/>
              <w:ind w:left="38"/>
              <w:spacing w:after="0"/>
              <w:rPr>
                <w:sz w:val="20"/>
                <w:szCs w:val="20"/>
                <w:color w:val="auto"/>
              </w:rPr>
            </w:pPr>
            <w:r>
              <w:rPr>
                <w:rFonts w:ascii="Arial" w:cs="Arial" w:eastAsia="Arial" w:hAnsi="Arial"/>
                <w:sz w:val="14"/>
                <w:szCs w:val="14"/>
                <w:b w:val="1"/>
                <w:bCs w:val="1"/>
                <w:color w:val="auto"/>
                <w:w w:val="88"/>
              </w:rPr>
              <w:t>Year Ended</w:t>
            </w:r>
          </w:p>
        </w:tc>
        <w:tc>
          <w:tcPr>
            <w:tcW w:w="7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628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74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2,</w:t>
            </w: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2015</w:t>
            </w: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2014</w:t>
            </w:r>
          </w:p>
        </w:tc>
        <w:tc>
          <w:tcPr>
            <w:tcW w:w="3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6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700" w:type="dxa"/>
            <w:vAlign w:val="bottom"/>
            <w:gridSpan w:val="6"/>
          </w:tcPr>
          <w:p>
            <w:pPr>
              <w:jc w:val="center"/>
              <w:ind w:left="316"/>
              <w:spacing w:after="0" w:line="142" w:lineRule="exact"/>
              <w:rPr>
                <w:sz w:val="20"/>
                <w:szCs w:val="20"/>
                <w:color w:val="auto"/>
              </w:rPr>
            </w:pPr>
            <w:r>
              <w:rPr>
                <w:rFonts w:ascii="Arial" w:cs="Arial" w:eastAsia="Arial" w:hAnsi="Arial"/>
                <w:sz w:val="14"/>
                <w:szCs w:val="14"/>
                <w:b w:val="1"/>
                <w:bCs w:val="1"/>
                <w:color w:val="auto"/>
                <w:w w:val="85"/>
              </w:rPr>
              <w:t>(in millions, except for percentages)</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Mobile and Wireless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1,072</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29%</w:t>
            </w: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839</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25%</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823</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w:t>
            </w: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Storage</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1,745</w:t>
            </w: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47%</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1,682</w:t>
            </w:r>
          </w:p>
        </w:tc>
        <w:tc>
          <w:tcPr>
            <w:tcW w:w="380" w:type="dxa"/>
            <w:vAlign w:val="bottom"/>
          </w:tcPr>
          <w:p>
            <w:pPr>
              <w:spacing w:after="0"/>
              <w:rPr>
                <w:sz w:val="18"/>
                <w:szCs w:val="18"/>
                <w:color w:val="auto"/>
              </w:rPr>
            </w:pPr>
          </w:p>
        </w:tc>
        <w:tc>
          <w:tcPr>
            <w:tcW w:w="740" w:type="dxa"/>
            <w:vAlign w:val="bottom"/>
          </w:tcPr>
          <w:p>
            <w:pPr>
              <w:jc w:val="right"/>
              <w:ind w:right="252"/>
              <w:spacing w:after="0"/>
              <w:rPr>
                <w:sz w:val="20"/>
                <w:szCs w:val="20"/>
                <w:color w:val="auto"/>
              </w:rPr>
            </w:pPr>
            <w:r>
              <w:rPr>
                <w:rFonts w:ascii="Arial" w:cs="Arial" w:eastAsia="Arial" w:hAnsi="Arial"/>
                <w:sz w:val="18"/>
                <w:szCs w:val="18"/>
                <w:color w:val="auto"/>
              </w:rPr>
              <w:t>49%</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1,495</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47%</w:t>
            </w: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Networking</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675</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18%</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670</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20%</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709</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w:t>
            </w:r>
          </w:p>
        </w:tc>
      </w:tr>
      <w:tr>
        <w:trPr>
          <w:trHeight w:val="223"/>
        </w:trPr>
        <w:tc>
          <w:tcPr>
            <w:tcW w:w="6280" w:type="dxa"/>
            <w:vAlign w:val="bottom"/>
          </w:tcPr>
          <w:p>
            <w:pPr>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215</w:t>
            </w:r>
          </w:p>
        </w:tc>
        <w:tc>
          <w:tcPr>
            <w:tcW w:w="220" w:type="dxa"/>
            <w:vAlign w:val="bottom"/>
          </w:tcPr>
          <w:p>
            <w:pPr>
              <w:spacing w:after="0"/>
              <w:rPr>
                <w:sz w:val="19"/>
                <w:szCs w:val="19"/>
                <w:color w:val="auto"/>
              </w:rPr>
            </w:pP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6%</w:t>
            </w:r>
          </w:p>
        </w:tc>
        <w:tc>
          <w:tcPr>
            <w:tcW w:w="1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213</w:t>
            </w:r>
          </w:p>
        </w:tc>
        <w:tc>
          <w:tcPr>
            <w:tcW w:w="380" w:type="dxa"/>
            <w:vAlign w:val="bottom"/>
          </w:tcPr>
          <w:p>
            <w:pPr>
              <w:spacing w:after="0"/>
              <w:rPr>
                <w:sz w:val="19"/>
                <w:szCs w:val="19"/>
                <w:color w:val="auto"/>
              </w:rPr>
            </w:pPr>
          </w:p>
        </w:tc>
        <w:tc>
          <w:tcPr>
            <w:tcW w:w="740" w:type="dxa"/>
            <w:vAlign w:val="bottom"/>
          </w:tcPr>
          <w:p>
            <w:pPr>
              <w:jc w:val="right"/>
              <w:ind w:right="252"/>
              <w:spacing w:after="0"/>
              <w:rPr>
                <w:sz w:val="20"/>
                <w:szCs w:val="20"/>
                <w:color w:val="auto"/>
              </w:rPr>
            </w:pPr>
            <w:r>
              <w:rPr>
                <w:rFonts w:ascii="Arial" w:cs="Arial" w:eastAsia="Arial" w:hAnsi="Arial"/>
                <w:sz w:val="18"/>
                <w:szCs w:val="18"/>
                <w:color w:val="auto"/>
              </w:rPr>
              <w:t>6%</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w:t>
            </w:r>
          </w:p>
        </w:tc>
        <w:tc>
          <w:tcPr>
            <w:tcW w:w="22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5%</w:t>
            </w:r>
          </w:p>
        </w:tc>
      </w:tr>
      <w:tr>
        <w:trPr>
          <w:trHeight w:val="216"/>
        </w:trPr>
        <w:tc>
          <w:tcPr>
            <w:tcW w:w="6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3,707</w:t>
            </w:r>
          </w:p>
        </w:tc>
        <w:tc>
          <w:tcPr>
            <w:tcW w:w="7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3,404</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3,169</w:t>
            </w:r>
          </w:p>
        </w:tc>
        <w:tc>
          <w:tcPr>
            <w:tcW w:w="4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Mobile and Wireless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Communications and Applications Processors</w:t>
      </w:r>
    </w:p>
    <w:p>
      <w:pPr>
        <w:spacing w:after="0" w:line="9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Our communications processors are highly integrated cellular SoC devices that enable mobile handset developers to address GSM/EDGE (2G), WCDMA (3G), TD-SCDMA (China 3G) and 4G LTE mobile network standards. Our communication products include high-performance multi-band baseband thin modems and applications processors in highly integrated low-power platforms for voice, computation and multimedia-intensive mobile applications for smartphones and tablets. We also offer “thin modems,” highly optimized multi-mode baseband modem devices without an application processor.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Connectivity</w:t>
      </w:r>
    </w:p>
    <w:p>
      <w:pPr>
        <w:spacing w:after="0" w:line="90"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We offer a variety of connectivity solutions, including Wi-Fi, Bluetooth, NFC and FM. These products are integrated into a wide variety of end-customer devices, such as mobile phones, gaming devices, printers, video dongles tablets, in-car infotainment and smart appliances. Our products are well positioned to deliver low-power and high-performance functionality with the latest technologies, such as Wi-Fi Certified Passpoint, Wi-Fi Certified Miracast, IEEE 802.11ac and Bluetooth Smart Ready. We have a broad wireless product portfolio that includes single stream 1x1, 2x2 MIMO and 4x4 MIMO devices, as well as Global Navigation Satellite System hybrid location products.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Mobile Computing</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offer high-performance applications processors that are designed to deliver advanced integration, excellent multimedia performance and superior power consumption savings for mobile computing products. These products have been incorporated into tablets, notebooks, eReaders, gaming devices, scanners and educational devices.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Other Technologies</w:t>
      </w:r>
    </w:p>
    <w:p>
      <w:pPr>
        <w:spacing w:after="0" w:line="90"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We incorporate a variety of other technologies into our platforms, depending on the needs of our customers and their end products, including power management, GPS, memory, RF and memory.</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Storage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Hard Disk Drive Controllers</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Hard disk drive (“HDD”) controllers provide high-performance input/output (“I/O”) interface control between the HDD and the host system. We support a variety of host system interfaces, including SATA, SAS, PCIe and USB, which can support the complete range of enterprise, desktop and mobile HDDs. We are the leading HDD controller supplier and currently supply products to all of the major hard drive manufacturers. Our HDD controllers with advanced 500-gigabyte-per-platter technology for mobile HDDs provide a technological advantage that enables a higher level of data storage on a smaller form factor.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Solid-State Drive Controllers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Our solid-state drive (“SSD”) controller SoCs are targeted at the growing market for flash-based storage systems, for the enterprise, consumer and mobile computing markets, as well as for smartphones and tablets. We support a variety of host system interfaces, including PCIe, SATA, SAS and emerging mobile standards.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Networking</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Ethernet Solutions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Ethernet connectivity is pervasive throughout networking infrastructures built for enterprise, small and medium business, home office, service provider and data centers. Our Ethernet solutions address a wide variety of end-customer products for those market spaces, from small, cost-effective appliances to large, high-performance modular solutions. Our Ethernet products include: a broad selection of Ethernet Switches with market optimized advanced features, such as audio video bridging and network traffic management, that make networks more effective at delivering content, and range from low-power five port switches to highly integrated, multi terabit Ethernet SoC devices that can be interconnected to form massive network solutions; a broad selection of Ethernet Transceivers for both fiber and copper interconnect with advanced power management, link security and time synchronization features that complement our Ethernet Switch and Embedded Communication Processors; and a family of single-chip network interface devices offered in ultra-small form factor with low-power consumption and targeted for client-server network interface cards.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Embedded Communication Processors</w:t>
      </w:r>
    </w:p>
    <w:p>
      <w:pPr>
        <w:spacing w:after="0" w:line="90"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Our range of ARM-based SoC embedded communication processors provide multi-processor architectures optimized to consume low power while simultaneously delivering high-performance per watt. They provide a combination of I/O peripherals, including Ethernet, SATA, SAS, PCIe and USB and are ideally suited to a range of end-customer networking applications, such as home gateways, networked storage, point-of-service terminals, routers, switches and wireless application points and base stations.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Network Processors</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Our family of Network Processors offer high-performance-per-watt programmable solutions ideally suited to applications where flexible functionality for differentiated, value-add solutions and enhanced quality of service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332" w:lineRule="auto"/>
        <w:rPr>
          <w:sz w:val="20"/>
          <w:szCs w:val="20"/>
          <w:color w:val="auto"/>
        </w:rPr>
      </w:pPr>
      <w:r>
        <w:rPr>
          <w:rFonts w:ascii="Arial" w:cs="Arial" w:eastAsia="Arial" w:hAnsi="Arial"/>
          <w:sz w:val="16"/>
          <w:szCs w:val="16"/>
          <w:color w:val="auto"/>
        </w:rPr>
        <w:t>are essential, such as in carrier Ethernet access, aggregation, mobile backhaul, transport and mobile cloud platforms. They also offer 1G through 100G Ethernet connectivity into a multi-hundred gigabit Ethernet pipeline that has deterministic performance and ideally suited for software-defined networking.</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Other Networking Technologies</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Our Ethernet passive optical network and gigabit passive optical network products consist of a highly integrated Gateway-on-a-Chip solution, Ethernet and packet processing, voice processing, power management and applications processor. These products are designed for next generation networks and the significant increases in required bandwidth, including high-quality video, online gaming and conferencing. Our powerline connectivity solutions based on G.hn are designed for integration into a variety of consumer electronics products, enabling fast and convenient connectivity to any location in the home through the existing home electrical infrastructure.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Products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Printing Solutions</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Our printer SoC products power many of today’s laser and ink printers and multi-function peripherals. These SoCs include a family of printer-specific standard products as well as full-custom printer ASICs. We continue to develop additional printing technologies including 3D printing and mobile printing.</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Smart Home Products</w:t>
      </w:r>
    </w:p>
    <w:p>
      <w:pPr>
        <w:spacing w:after="0" w:line="90" w:lineRule="exact"/>
        <w:rPr>
          <w:sz w:val="20"/>
          <w:szCs w:val="20"/>
          <w:color w:val="auto"/>
        </w:rPr>
      </w:pPr>
    </w:p>
    <w:p>
      <w:pPr>
        <w:jc w:val="both"/>
        <w:ind w:right="580" w:firstLine="456"/>
        <w:spacing w:after="0" w:line="370" w:lineRule="auto"/>
        <w:rPr>
          <w:sz w:val="20"/>
          <w:szCs w:val="20"/>
          <w:color w:val="auto"/>
        </w:rPr>
      </w:pPr>
      <w:r>
        <w:rPr>
          <w:rFonts w:ascii="Arial" w:cs="Arial" w:eastAsia="Arial" w:hAnsi="Arial"/>
          <w:sz w:val="15"/>
          <w:szCs w:val="15"/>
          <w:color w:val="auto"/>
        </w:rPr>
        <w:t>Our smart home products are designed to enable the next generation of connected consumer platforms, and to enhance the eco-friendly “Connected Lifestyle” throughout the home, and include platforms for set-top boxes, video dongles such as Google Chromecast, smart lighting and smart appliances.</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Financial Information about Segments and Geographic Areas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We have determined that we operate in one reportable business segment: the design, development and sale of integrated circuits. For information regarding our revenue by geographic area, and property and equipment by geographic area, please see “Note 13 — Segment and Geographic Information” in our Notes to the Consolidated Financial Statements set forth in Part II, Item 8 of this Annual Report on Form 10-K.</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As a fabless semiconductor company, our target customers are original equipment manufacturers (“OEM’s”) and original design manufacturers, both of which design and manufacture end market devices. Our sales force is strategically aligned along key customer lines in order to offer fully integrated platforms to our customers. In this way, we believe we can more effectively offer a broader set of content into our key customer’s end products, without having multiple product groups separately engage the same customer. We complement and support our direct sales force with manufacturers’ representatives for our products in North America, Europe and Asia. In addition, we have distributors who support our sales and marketing activities in the United States, Europe and Asia. We also use third-party logistics providers, who maintain warehouses in close proximity to our customer’s facilities. We expect a significant percentage of our sales will continue to come from direct sales to key customers. 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 Our marketing team works in conjunction with our field sales and application engineering force, and is organized around our product applications and end markets.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Net revenue attributable to significant customers is presented in the following table as a percentage of net revenue:</w:t>
      </w:r>
    </w:p>
    <w:p>
      <w:pPr>
        <w:spacing w:after="0" w:line="26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16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1680" w:type="dxa"/>
            <w:vAlign w:val="bottom"/>
            <w:tcBorders>
              <w:bottom w:val="single" w:sz="8" w:color="auto"/>
            </w:tcBorders>
            <w:gridSpan w:val="2"/>
          </w:tcPr>
          <w:p>
            <w:pPr>
              <w:jc w:val="center"/>
              <w:ind w:right="100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7160" w:type="dxa"/>
            <w:vAlign w:val="bottom"/>
          </w:tcPr>
          <w:p>
            <w:pPr>
              <w:spacing w:after="0"/>
              <w:rPr>
                <w:sz w:val="11"/>
                <w:szCs w:val="11"/>
                <w:color w:val="auto"/>
              </w:rPr>
            </w:pPr>
          </w:p>
        </w:tc>
        <w:tc>
          <w:tcPr>
            <w:tcW w:w="1680" w:type="dxa"/>
            <w:vAlign w:val="bottom"/>
            <w:gridSpan w:val="2"/>
          </w:tcPr>
          <w:p>
            <w:pPr>
              <w:jc w:val="center"/>
              <w:ind w:right="1000"/>
              <w:spacing w:after="0" w:line="129" w:lineRule="exact"/>
              <w:rPr>
                <w:sz w:val="20"/>
                <w:szCs w:val="20"/>
                <w:color w:val="auto"/>
              </w:rPr>
            </w:pPr>
            <w:r>
              <w:rPr>
                <w:rFonts w:ascii="Arial" w:cs="Arial" w:eastAsia="Arial" w:hAnsi="Arial"/>
                <w:sz w:val="14"/>
                <w:szCs w:val="14"/>
                <w:b w:val="1"/>
                <w:bCs w:val="1"/>
                <w:color w:val="auto"/>
                <w:w w:val="88"/>
              </w:rPr>
              <w:t>January 31,</w:t>
            </w:r>
          </w:p>
        </w:tc>
        <w:tc>
          <w:tcPr>
            <w:tcW w:w="1680" w:type="dxa"/>
            <w:vAlign w:val="bottom"/>
            <w:gridSpan w:val="2"/>
          </w:tcPr>
          <w:p>
            <w:pPr>
              <w:jc w:val="center"/>
              <w:ind w:right="1000"/>
              <w:spacing w:after="0" w:line="129" w:lineRule="exact"/>
              <w:rPr>
                <w:sz w:val="20"/>
                <w:szCs w:val="20"/>
                <w:color w:val="auto"/>
              </w:rPr>
            </w:pPr>
            <w:r>
              <w:rPr>
                <w:rFonts w:ascii="Arial" w:cs="Arial" w:eastAsia="Arial" w:hAnsi="Arial"/>
                <w:sz w:val="14"/>
                <w:szCs w:val="14"/>
                <w:b w:val="1"/>
                <w:bCs w:val="1"/>
                <w:color w:val="auto"/>
                <w:w w:val="90"/>
              </w:rPr>
              <w:t>February 1,</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200" w:type="dxa"/>
            <w:vAlign w:val="bottom"/>
          </w:tcPr>
          <w:p>
            <w:pPr>
              <w:spacing w:after="0"/>
              <w:rPr>
                <w:sz w:val="11"/>
                <w:szCs w:val="11"/>
                <w:color w:val="auto"/>
              </w:rPr>
            </w:pPr>
          </w:p>
        </w:tc>
      </w:tr>
      <w:tr>
        <w:trPr>
          <w:trHeight w:val="161"/>
        </w:trPr>
        <w:tc>
          <w:tcPr>
            <w:tcW w:w="716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2015</w:t>
            </w:r>
          </w:p>
        </w:tc>
        <w:tc>
          <w:tcPr>
            <w:tcW w:w="10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2014</w:t>
            </w:r>
          </w:p>
        </w:tc>
        <w:tc>
          <w:tcPr>
            <w:tcW w:w="100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r>
      <w:tr>
        <w:trPr>
          <w:trHeight w:val="196"/>
        </w:trPr>
        <w:tc>
          <w:tcPr>
            <w:tcW w:w="71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End Customer:</w:t>
            </w:r>
          </w:p>
        </w:tc>
        <w:tc>
          <w:tcPr>
            <w:tcW w:w="68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7160" w:type="dxa"/>
            <w:vAlign w:val="bottom"/>
          </w:tcPr>
          <w:p>
            <w:pPr>
              <w:ind w:left="440"/>
              <w:spacing w:after="0"/>
              <w:rPr>
                <w:sz w:val="20"/>
                <w:szCs w:val="20"/>
                <w:color w:val="auto"/>
              </w:rPr>
            </w:pPr>
            <w:r>
              <w:rPr>
                <w:rFonts w:ascii="Arial" w:cs="Arial" w:eastAsia="Arial" w:hAnsi="Arial"/>
                <w:sz w:val="18"/>
                <w:szCs w:val="18"/>
                <w:color w:val="auto"/>
              </w:rPr>
              <w:t>Western Digital</w:t>
            </w:r>
          </w:p>
        </w:tc>
        <w:tc>
          <w:tcPr>
            <w:tcW w:w="1680" w:type="dxa"/>
            <w:vAlign w:val="bottom"/>
            <w:gridSpan w:val="2"/>
          </w:tcPr>
          <w:p>
            <w:pPr>
              <w:jc w:val="right"/>
              <w:ind w:right="860"/>
              <w:spacing w:after="0"/>
              <w:rPr>
                <w:sz w:val="20"/>
                <w:szCs w:val="20"/>
                <w:color w:val="auto"/>
              </w:rPr>
            </w:pPr>
            <w:r>
              <w:rPr>
                <w:rFonts w:ascii="Arial" w:cs="Arial" w:eastAsia="Arial" w:hAnsi="Arial"/>
                <w:sz w:val="18"/>
                <w:szCs w:val="18"/>
                <w:color w:val="auto"/>
              </w:rPr>
              <w:t>20%</w:t>
            </w:r>
          </w:p>
        </w:tc>
        <w:tc>
          <w:tcPr>
            <w:tcW w:w="1680" w:type="dxa"/>
            <w:vAlign w:val="bottom"/>
            <w:gridSpan w:val="2"/>
          </w:tcPr>
          <w:p>
            <w:pPr>
              <w:jc w:val="right"/>
              <w:ind w:right="840"/>
              <w:spacing w:after="0"/>
              <w:rPr>
                <w:sz w:val="20"/>
                <w:szCs w:val="20"/>
                <w:color w:val="auto"/>
              </w:rPr>
            </w:pPr>
            <w:r>
              <w:rPr>
                <w:rFonts w:ascii="Arial" w:cs="Arial" w:eastAsia="Arial" w:hAnsi="Arial"/>
                <w:sz w:val="18"/>
                <w:szCs w:val="18"/>
                <w:color w:val="auto"/>
              </w:rPr>
              <w:t>24%</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24%</w:t>
            </w:r>
          </w:p>
        </w:tc>
      </w:tr>
      <w:tr>
        <w:trPr>
          <w:trHeight w:val="216"/>
        </w:trPr>
        <w:tc>
          <w:tcPr>
            <w:tcW w:w="7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Seagate</w:t>
            </w:r>
          </w:p>
        </w:tc>
        <w:tc>
          <w:tcPr>
            <w:tcW w:w="168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13%</w:t>
            </w:r>
          </w:p>
        </w:tc>
        <w:tc>
          <w:tcPr>
            <w:tcW w:w="168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12%</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w:t>
            </w:r>
          </w:p>
        </w:tc>
      </w:tr>
      <w:tr>
        <w:trPr>
          <w:trHeight w:val="216"/>
        </w:trPr>
        <w:tc>
          <w:tcPr>
            <w:tcW w:w="7160" w:type="dxa"/>
            <w:vAlign w:val="bottom"/>
          </w:tcPr>
          <w:p>
            <w:pPr>
              <w:ind w:left="440"/>
              <w:spacing w:after="0"/>
              <w:rPr>
                <w:sz w:val="20"/>
                <w:szCs w:val="20"/>
                <w:color w:val="auto"/>
              </w:rPr>
            </w:pPr>
            <w:r>
              <w:rPr>
                <w:rFonts w:ascii="Arial" w:cs="Arial" w:eastAsia="Arial" w:hAnsi="Arial"/>
                <w:sz w:val="18"/>
                <w:szCs w:val="18"/>
                <w:color w:val="auto"/>
              </w:rPr>
              <w:t>Toshiba</w:t>
            </w:r>
          </w:p>
        </w:tc>
        <w:tc>
          <w:tcPr>
            <w:tcW w:w="168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1680" w:type="dxa"/>
            <w:vAlign w:val="bottom"/>
            <w:gridSpan w:val="2"/>
          </w:tcPr>
          <w:p>
            <w:pPr>
              <w:jc w:val="right"/>
              <w:ind w:right="90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10%</w:t>
            </w:r>
          </w:p>
        </w:tc>
      </w:tr>
      <w:tr>
        <w:trPr>
          <w:trHeight w:val="216"/>
        </w:trPr>
        <w:tc>
          <w:tcPr>
            <w:tcW w:w="71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Distributor:</w:t>
            </w:r>
          </w:p>
        </w:tc>
        <w:tc>
          <w:tcPr>
            <w:tcW w:w="6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r>
        <w:trPr>
          <w:trHeight w:val="216"/>
        </w:trPr>
        <w:tc>
          <w:tcPr>
            <w:tcW w:w="7160" w:type="dxa"/>
            <w:vAlign w:val="bottom"/>
          </w:tcPr>
          <w:p>
            <w:pPr>
              <w:ind w:left="440"/>
              <w:spacing w:after="0"/>
              <w:rPr>
                <w:sz w:val="20"/>
                <w:szCs w:val="20"/>
                <w:color w:val="auto"/>
              </w:rPr>
            </w:pPr>
            <w:r>
              <w:rPr>
                <w:rFonts w:ascii="Arial" w:cs="Arial" w:eastAsia="Arial" w:hAnsi="Arial"/>
                <w:sz w:val="18"/>
                <w:szCs w:val="18"/>
                <w:color w:val="auto"/>
              </w:rPr>
              <w:t>Wintech</w:t>
            </w:r>
          </w:p>
        </w:tc>
        <w:tc>
          <w:tcPr>
            <w:tcW w:w="1680" w:type="dxa"/>
            <w:vAlign w:val="bottom"/>
            <w:gridSpan w:val="2"/>
          </w:tcPr>
          <w:p>
            <w:pPr>
              <w:jc w:val="right"/>
              <w:ind w:right="860"/>
              <w:spacing w:after="0"/>
              <w:rPr>
                <w:sz w:val="20"/>
                <w:szCs w:val="20"/>
                <w:color w:val="auto"/>
              </w:rPr>
            </w:pPr>
            <w:r>
              <w:rPr>
                <w:rFonts w:ascii="Arial" w:cs="Arial" w:eastAsia="Arial" w:hAnsi="Arial"/>
                <w:sz w:val="18"/>
                <w:szCs w:val="18"/>
                <w:color w:val="auto"/>
              </w:rPr>
              <w:t>11%</w:t>
            </w:r>
          </w:p>
        </w:tc>
        <w:tc>
          <w:tcPr>
            <w:tcW w:w="1680" w:type="dxa"/>
            <w:vAlign w:val="bottom"/>
            <w:gridSpan w:val="2"/>
          </w:tcPr>
          <w:p>
            <w:pPr>
              <w:jc w:val="right"/>
              <w:ind w:right="90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11%</w:t>
            </w:r>
          </w:p>
        </w:tc>
      </w:tr>
      <w:tr>
        <w:trPr>
          <w:trHeight w:val="20"/>
        </w:trPr>
        <w:tc>
          <w:tcPr>
            <w:tcW w:w="71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77470</wp:posOffset>
            </wp:positionV>
            <wp:extent cx="72898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4" w:lineRule="exact"/>
        <w:rPr>
          <w:sz w:val="20"/>
          <w:szCs w:val="20"/>
          <w:color w:val="auto"/>
        </w:rPr>
      </w:pPr>
    </w:p>
    <w:p>
      <w:pPr>
        <w:ind w:left="460" w:hanging="452"/>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71" w:lineRule="exact"/>
        <w:rPr>
          <w:sz w:val="20"/>
          <w:szCs w:val="20"/>
          <w:color w:val="auto"/>
        </w:rPr>
      </w:pPr>
    </w:p>
    <w:p>
      <w:pPr>
        <w:jc w:val="both"/>
        <w:ind w:right="40" w:firstLine="456"/>
        <w:spacing w:after="0" w:line="298"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the timing of new product introductions by our customers may cause variations in our quarterly revenues, which may not be indicative of future trends.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 and Working Capital</w:t>
      </w:r>
    </w:p>
    <w:p>
      <w:pPr>
        <w:spacing w:after="0" w:line="9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place firm orders for products with our suppliers generally up to 16 weeks prior to the anticipated delivery date and typically prior to an order for the product. These lead times typically change based on the current capacity at the foundries. We often maintain substantial inventories of our products because the semiconductor industry is characterized by short lead time orders and quick delivery schedules. In addition, increased use of “hubs” managed by third-party logistics providers has resulted in a higher number of inventory locations and higher overall inventory levels.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do not believe that backlog is a meaningful or reliable indicator for future demand, due to the following:</w:t>
      </w:r>
    </w:p>
    <w:p>
      <w:pPr>
        <w:spacing w:after="0" w:line="90"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 industry practice that allows customers to cancel or change orders prior to the scheduled shipment dates;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 increasing portion of our revenue comes from products shipped to customers using third-party logistics providers, or “hubs” wherein the product can be pulled at any time by the customer and is therefore never reflected in backlog;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scheduled future shipments include shipments to distributors for which we do not recognize revenue until the products are sold to end customers.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 broad intellectual property portfolio with designs that enable high-performance, reliable communications over a variety of physical transmission media. We are also focused on incorporating functions currently provided by stand alone integrated circuits into our integrated platform solutions to reduce our customers’ overall system costs.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We have assembled a core team of engineers who have extensive experience in the areas of mixed-signal circuit design, digital signal processing, embedded microprocessors, CMOS technology and system-level architectures. We have invested and will continue to invest significant funds for research and development. Our research and development expense was $1.2 billion, $1.2 billion and $1.1 billion in fiscal 2015, 2014 and 2013, respectively.</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vast majority of our integrated circuits are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currently outsource a large percentage of our integrated circuit manufacturing to Taiwan Semiconductor Manufacturing Company. We also utilize United Microelectronics Corporation, with the remaining manufacturing outsourced to other foundries primarily in Asia. We work closely with our foundry partners to forecast on a monthly basis our manufacturing capacity requirements. We closely monitor foundry production to ensure consistent overall quality, reliability and yield levels. Our integrated circuits are currently fabricated in several advanced manufacturing processes up to and including 28 nanometer.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We outsource all product packaging and testing requirements for our products in production to several assembly and test subcontractors, including STATS ChipPAC Ltd. in China, Korea and Singapore; Global Testing Corporation in Taiwan; Siliconware Precision Industries in China and Taiwan; and ASE Electronics in China, Singapore and Taiwan.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that our products are compliant with the current Restriction of Hazardous Substances Directive, the European legislation that restricts the use of a number of substances, including lead, and the REACH (Regulation, Evaluation and Authorization of Chemicals) SVHC Substances Directive. In addition, each of our manufacturing subcontractors complies with ISO 14001:2004, the international standard related to environmental management. We are also working to establish a “conflict-free” supply chain, including ethical sourcing of certain minerals for our products.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confidentiality agreements and licenses to protect our intellectual property. As of January 31, 2015, we have been issued and/or have acquired over 5,300 U.S. patents and over 1,400 foreign patents with expiration dates ranging from 2015 to 2035. We also have more than 3,800 U.S. and foreign pending patent applications on various aspects of our technology. See “Risk Factors” under Item 1A of this Report for a discussion of the risks associated with our patents and intellectual property, including the risk that our patents may be invalidated, the risk that third parties may copy or otherwise obtain and use our products and technology without authorization, and the risks involved with operating in foreign countries where the laws are not as protective of our intellectual property as in the United States. We have expended and will continue to expend considerable resources in establishing a patent position designed to protect our intellectual property. While our ability to compete is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80"/>
        <w:spacing w:after="0" w:line="370" w:lineRule="auto"/>
        <w:rPr>
          <w:sz w:val="20"/>
          <w:szCs w:val="20"/>
          <w:color w:val="auto"/>
        </w:rPr>
      </w:pPr>
      <w:r>
        <w:rPr>
          <w:rFonts w:ascii="Arial" w:cs="Arial" w:eastAsia="Arial" w:hAnsi="Arial"/>
          <w:sz w:val="15"/>
          <w:szCs w:val="15"/>
          <w:color w:val="auto"/>
        </w:rPr>
        <w:t>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62"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From time to time, we may desire or be required to renew or to obtain licenses from third parties in order to further develop and effectively market commercially viable products or in connection with a pending or future claim or action asserted against us. We cannot be sure that any necessary licenses will be available or will be available on commercially reasonable terms.</w:t>
      </w:r>
    </w:p>
    <w:p>
      <w:pPr>
        <w:spacing w:after="0" w:line="14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In addition, we may be sued in the future by other parties who claim that we have infringed their patents or misappropriated or misused their trade secrets, or who may seek to invalidate one or more of our patents. Although we defend these claims vigorously, it is possible that we will not prevail in pending or future lawsuits. Furthermore, we may need to engage in litigation in the future to enforce our intellectual property rights or the rights of our customers, to protect our trade secrets or to determine the validity and scope of proprietary rights of others, including our customers. All such litigation, even if not valid or successfully asserted, could result in significant costs and a diversion of management and personnel resources, which could materially and adversely affect our business, financial condition and results of operations. See “Risk Factors” under Item 1A of this Report on Form 10-K and “Note 10 — Commitments and Contingencies” in our Notes to the Consolidated Financial Statements set forth in Part II, Item 8, of this Annual Report on Form 10-K for further discussion of the risks associated with patent litigation matters.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96"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markets for our products, particularly in the mobile and wireless end market, are intensely competitive, characterized by rapid technological change, evolving industry standards, frequent new product introductions, short product life cycles and pricing pressures imposed by high-volume customers and competitors, particularly in the product markets that we are targeting. Competition has intensified as a result of the increasing demand for higher levels of integration and smaller process geometries, and we expect competition to intensify as current competitors continue to strengthen their product offerings and new competitors enter our markets. In addition, we expect competitive pressure from our customers to increase as they may continue to increase the vertical nature of their business by developing their own in-house solutions.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 the:</w:t>
      </w:r>
    </w:p>
    <w:p>
      <w:pPr>
        <w:spacing w:after="0" w:line="113"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timing and success of new product introductions by us, our customers and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emergence, and rate of adoption and acceptance of new industry standards;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ability to obtain adequate foundry capacity;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number and nature of our competitors in a given market.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By end market our major competitors are as follows:</w:t>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3540" w:type="dxa"/>
            <w:vAlign w:val="bottom"/>
            <w:tcBorders>
              <w:bottom w:val="single" w:sz="8" w:color="auto"/>
            </w:tcBorders>
          </w:tcPr>
          <w:p>
            <w:pPr>
              <w:ind w:left="1200"/>
              <w:spacing w:after="0"/>
              <w:rPr>
                <w:sz w:val="20"/>
                <w:szCs w:val="20"/>
                <w:color w:val="auto"/>
              </w:rPr>
            </w:pPr>
            <w:r>
              <w:rPr>
                <w:rFonts w:ascii="Arial" w:cs="Arial" w:eastAsia="Arial" w:hAnsi="Arial"/>
                <w:sz w:val="14"/>
                <w:szCs w:val="14"/>
                <w:b w:val="1"/>
                <w:bCs w:val="1"/>
                <w:i w:val="1"/>
                <w:iCs w:val="1"/>
                <w:color w:val="auto"/>
              </w:rPr>
              <w:t>Mobile and Wireless</w:t>
            </w:r>
          </w:p>
        </w:tc>
        <w:tc>
          <w:tcPr>
            <w:tcW w:w="240" w:type="dxa"/>
            <w:vAlign w:val="bottom"/>
          </w:tcPr>
          <w:p>
            <w:pPr>
              <w:spacing w:after="0"/>
              <w:rPr>
                <w:sz w:val="15"/>
                <w:szCs w:val="15"/>
                <w:color w:val="auto"/>
              </w:rPr>
            </w:pPr>
          </w:p>
        </w:tc>
        <w:tc>
          <w:tcPr>
            <w:tcW w:w="1880" w:type="dxa"/>
            <w:vAlign w:val="bottom"/>
            <w:tcBorders>
              <w:bottom w:val="single" w:sz="8" w:color="auto"/>
            </w:tcBorders>
          </w:tcPr>
          <w:p>
            <w:pPr>
              <w:ind w:left="1440"/>
              <w:spacing w:after="0"/>
              <w:rPr>
                <w:sz w:val="20"/>
                <w:szCs w:val="20"/>
                <w:color w:val="auto"/>
              </w:rPr>
            </w:pPr>
            <w:r>
              <w:rPr>
                <w:rFonts w:ascii="Arial" w:cs="Arial" w:eastAsia="Arial" w:hAnsi="Arial"/>
                <w:sz w:val="14"/>
                <w:szCs w:val="14"/>
                <w:b w:val="1"/>
                <w:bCs w:val="1"/>
                <w:i w:val="1"/>
                <w:iCs w:val="1"/>
                <w:color w:val="auto"/>
                <w:w w:val="80"/>
              </w:rPr>
              <w:t>Storage</w:t>
            </w:r>
          </w:p>
        </w:tc>
        <w:tc>
          <w:tcPr>
            <w:tcW w:w="1440" w:type="dxa"/>
            <w:vAlign w:val="bottom"/>
            <w:tcBorders>
              <w:bottom w:val="single" w:sz="8" w:color="auto"/>
            </w:tcBorders>
          </w:tcPr>
          <w:p>
            <w:pPr>
              <w:spacing w:after="0"/>
              <w:rPr>
                <w:sz w:val="15"/>
                <w:szCs w:val="15"/>
                <w:color w:val="auto"/>
              </w:rPr>
            </w:pPr>
          </w:p>
        </w:tc>
        <w:tc>
          <w:tcPr>
            <w:tcW w:w="220" w:type="dxa"/>
            <w:vAlign w:val="bottom"/>
          </w:tcPr>
          <w:p>
            <w:pPr>
              <w:spacing w:after="0"/>
              <w:rPr>
                <w:sz w:val="15"/>
                <w:szCs w:val="15"/>
                <w:color w:val="auto"/>
              </w:rPr>
            </w:pPr>
          </w:p>
        </w:tc>
        <w:tc>
          <w:tcPr>
            <w:tcW w:w="4100" w:type="dxa"/>
            <w:vAlign w:val="bottom"/>
            <w:tcBorders>
              <w:bottom w:val="single" w:sz="8" w:color="auto"/>
            </w:tcBorders>
          </w:tcPr>
          <w:p>
            <w:pPr>
              <w:ind w:left="1720"/>
              <w:spacing w:after="0"/>
              <w:rPr>
                <w:sz w:val="20"/>
                <w:szCs w:val="20"/>
                <w:color w:val="auto"/>
              </w:rPr>
            </w:pPr>
            <w:r>
              <w:rPr>
                <w:rFonts w:ascii="Arial" w:cs="Arial" w:eastAsia="Arial" w:hAnsi="Arial"/>
                <w:sz w:val="14"/>
                <w:szCs w:val="14"/>
                <w:b w:val="1"/>
                <w:bCs w:val="1"/>
                <w:i w:val="1"/>
                <w:iCs w:val="1"/>
                <w:color w:val="auto"/>
              </w:rPr>
              <w:t>Networking</w:t>
            </w:r>
          </w:p>
        </w:tc>
      </w:tr>
      <w:tr>
        <w:trPr>
          <w:trHeight w:val="302"/>
        </w:trPr>
        <w:tc>
          <w:tcPr>
            <w:tcW w:w="378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1880" w:type="dxa"/>
            <w:vAlign w:val="bottom"/>
          </w:tcPr>
          <w:p>
            <w:pPr>
              <w:spacing w:after="0"/>
              <w:rPr>
                <w:sz w:val="20"/>
                <w:szCs w:val="20"/>
                <w:color w:val="auto"/>
              </w:rPr>
            </w:pPr>
            <w:r>
              <w:rPr>
                <w:rFonts w:ascii="Arial" w:cs="Arial" w:eastAsia="Arial" w:hAnsi="Arial"/>
                <w:sz w:val="18"/>
                <w:szCs w:val="18"/>
                <w:color w:val="auto"/>
                <w:w w:val="93"/>
              </w:rPr>
              <w:t>Avago Technologies Ltd.</w:t>
            </w:r>
          </w:p>
        </w:tc>
        <w:tc>
          <w:tcPr>
            <w:tcW w:w="1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Broadcom Corporation</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MediaTek, Inc.</w:t>
            </w:r>
          </w:p>
        </w:tc>
        <w:tc>
          <w:tcPr>
            <w:tcW w:w="188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Cavium, Inc.</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QUALCOMM Incorporated</w:t>
            </w:r>
          </w:p>
        </w:tc>
        <w:tc>
          <w:tcPr>
            <w:tcW w:w="188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Freescale Semiconductor, Ltd.</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Spreadtrum Communications, Inc.</w:t>
            </w:r>
          </w:p>
        </w:tc>
        <w:tc>
          <w:tcPr>
            <w:tcW w:w="188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Intel Corporation</w:t>
            </w:r>
          </w:p>
        </w:tc>
      </w:tr>
      <w:tr>
        <w:trPr>
          <w:trHeight w:val="365"/>
        </w:trPr>
        <w:tc>
          <w:tcPr>
            <w:tcW w:w="3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1440" w:type="dxa"/>
            <w:vAlign w:val="bottom"/>
          </w:tcPr>
          <w:p>
            <w:pPr>
              <w:jc w:val="right"/>
              <w:ind w:right="1252"/>
              <w:spacing w:after="0"/>
              <w:rPr>
                <w:sz w:val="20"/>
                <w:szCs w:val="20"/>
                <w:color w:val="auto"/>
              </w:rPr>
            </w:pPr>
            <w:r>
              <w:rPr>
                <w:rFonts w:ascii="Arial" w:cs="Arial" w:eastAsia="Arial" w:hAnsi="Arial"/>
                <w:sz w:val="18"/>
                <w:szCs w:val="18"/>
                <w:color w:val="auto"/>
                <w:w w:val="79"/>
              </w:rPr>
              <w:t>9</w:t>
            </w:r>
          </w:p>
        </w:tc>
        <w:tc>
          <w:tcPr>
            <w:tcW w:w="220" w:type="dxa"/>
            <w:vAlign w:val="bottom"/>
          </w:tcPr>
          <w:p>
            <w:pPr>
              <w:spacing w:after="0"/>
              <w:rPr>
                <w:sz w:val="24"/>
                <w:szCs w:val="24"/>
                <w:color w:val="auto"/>
              </w:rPr>
            </w:pPr>
          </w:p>
        </w:tc>
        <w:tc>
          <w:tcPr>
            <w:tcW w:w="41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We expect increased competition in the future from emerging or established companies, or alliances among competitors, customers or other third parties, any of which could acquire significant market share. Although we believe we will be able to successfully compete with existing and potential competitors, some of these current and potential competitors may have advantages over us that allow them to compete effectively against us. Our current or future competitors could also introduce products that are priced lower provide superior performance or are based on new or emerging technologies. Furthermore, some of our customers have already developed, or in the future may develop, technologies that could compete directly with our products. See “Risk Factors” under Item 1A of this Report for further discussion of competitive risks associated with our business.</w:t>
      </w:r>
    </w:p>
    <w:p>
      <w:pPr>
        <w:spacing w:after="0" w:line="12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selling prices of our products, we will need to continue to introduce innovative new products and reduce the cost of our products. To accomplish this, we intend to continue to implement design changes that lower the cost of manufacturing, and assembling and testing our products. We may also enter into long-term, strategic arrangements with foundry partners to secure wafer capacity at reduced prices, by negotiating reduced charges from our foundries. In addition, we plan to work with multiple foundry partners to ensure that our products are qualified and can be manufactured in multiple locations, which we believe will ensure favorable wafer pricing. Because we do not operate our own manufacturing, assembly or testing facilities, we may not be able to reduce our costs as rapidly as companies that operate their own facilities. See “Risk Factors” under Item 1A of this Report for further discussion of pricing risks.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31, 2015, we had a total of 7,163 employees.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 of the Registrant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information about our executive officers as of March 19, 2015:</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2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38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w w:val="75"/>
              </w:rPr>
              <w:t>Age</w:t>
            </w:r>
          </w:p>
        </w:tc>
        <w:tc>
          <w:tcPr>
            <w:tcW w:w="6620" w:type="dxa"/>
            <w:vAlign w:val="bottom"/>
            <w:gridSpan w:val="3"/>
          </w:tcPr>
          <w:p>
            <w:pPr>
              <w:ind w:left="160"/>
              <w:spacing w:after="0"/>
              <w:rPr>
                <w:sz w:val="20"/>
                <w:szCs w:val="20"/>
                <w:color w:val="auto"/>
              </w:rPr>
            </w:pPr>
            <w:r>
              <w:rPr>
                <w:rFonts w:ascii="Arial" w:cs="Arial" w:eastAsia="Arial" w:hAnsi="Arial"/>
                <w:sz w:val="14"/>
                <w:szCs w:val="14"/>
                <w:b w:val="1"/>
                <w:bCs w:val="1"/>
                <w:color w:val="auto"/>
              </w:rPr>
              <w:t>Position(s)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04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58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53</w:t>
            </w:r>
          </w:p>
        </w:tc>
        <w:tc>
          <w:tcPr>
            <w:tcW w:w="662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Chief Executive Officer and Chairman of the Board</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380" w:type="dxa"/>
            <w:vAlign w:val="bottom"/>
            <w:gridSpan w:val="2"/>
          </w:tcPr>
          <w:p>
            <w:pPr>
              <w:jc w:val="right"/>
              <w:ind w:right="140"/>
              <w:spacing w:after="0"/>
              <w:rPr>
                <w:sz w:val="20"/>
                <w:szCs w:val="20"/>
                <w:color w:val="auto"/>
              </w:rPr>
            </w:pPr>
            <w:r>
              <w:rPr>
                <w:rFonts w:ascii="Arial" w:cs="Arial" w:eastAsia="Arial" w:hAnsi="Arial"/>
                <w:sz w:val="18"/>
                <w:szCs w:val="18"/>
                <w:color w:val="auto"/>
              </w:rPr>
              <w:t>53</w:t>
            </w:r>
          </w:p>
        </w:tc>
        <w:tc>
          <w:tcPr>
            <w:tcW w:w="6620" w:type="dxa"/>
            <w:vAlign w:val="bottom"/>
            <w:gridSpan w:val="3"/>
          </w:tcPr>
          <w:p>
            <w:pPr>
              <w:ind w:left="160"/>
              <w:spacing w:after="0"/>
              <w:rPr>
                <w:sz w:val="20"/>
                <w:szCs w:val="20"/>
                <w:color w:val="auto"/>
              </w:rPr>
            </w:pPr>
            <w:r>
              <w:rPr>
                <w:rFonts w:ascii="Arial" w:cs="Arial" w:eastAsia="Arial" w:hAnsi="Arial"/>
                <w:sz w:val="18"/>
                <w:szCs w:val="18"/>
                <w:color w:val="auto"/>
              </w:rPr>
              <w:t>President and Director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Rashkin</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70</w:t>
            </w:r>
          </w:p>
        </w:tc>
        <w:tc>
          <w:tcPr>
            <w:tcW w:w="662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Chief Financial Officer</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380" w:type="dxa"/>
            <w:vAlign w:val="bottom"/>
            <w:gridSpan w:val="2"/>
          </w:tcPr>
          <w:p>
            <w:pPr>
              <w:jc w:val="right"/>
              <w:ind w:right="140"/>
              <w:spacing w:after="0"/>
              <w:rPr>
                <w:sz w:val="20"/>
                <w:szCs w:val="20"/>
                <w:color w:val="auto"/>
              </w:rPr>
            </w:pPr>
            <w:r>
              <w:rPr>
                <w:rFonts w:ascii="Arial" w:cs="Arial" w:eastAsia="Arial" w:hAnsi="Arial"/>
                <w:sz w:val="18"/>
                <w:szCs w:val="18"/>
                <w:color w:val="auto"/>
              </w:rPr>
              <w:t>43</w:t>
            </w:r>
          </w:p>
        </w:tc>
        <w:tc>
          <w:tcPr>
            <w:tcW w:w="6620" w:type="dxa"/>
            <w:vAlign w:val="bottom"/>
            <w:gridSpan w:val="3"/>
          </w:tcPr>
          <w:p>
            <w:pPr>
              <w:ind w:left="160"/>
              <w:spacing w:after="0"/>
              <w:rPr>
                <w:sz w:val="20"/>
                <w:szCs w:val="20"/>
                <w:color w:val="auto"/>
              </w:rPr>
            </w:pPr>
            <w:r>
              <w:rPr>
                <w:rFonts w:ascii="Arial" w:cs="Arial" w:eastAsia="Arial" w:hAnsi="Arial"/>
                <w:sz w:val="18"/>
                <w:szCs w:val="18"/>
                <w:color w:val="auto"/>
              </w:rPr>
              <w:t>Chief Technology Officer</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Dr. Sehat Sutardja</w:t>
      </w:r>
      <w:r>
        <w:rPr>
          <w:rFonts w:ascii="Arial" w:cs="Arial" w:eastAsia="Arial" w:hAnsi="Arial"/>
          <w:sz w:val="16"/>
          <w:szCs w:val="16"/>
          <w:color w:val="auto"/>
        </w:rPr>
        <w:t>, one of our co-founders, has served as the Chief Executive Officer and Chairman of our Board of Directors since 1995 (from 1995 to</w:t>
      </w:r>
      <w:r>
        <w:rPr>
          <w:rFonts w:ascii="Arial" w:cs="Arial" w:eastAsia="Arial" w:hAnsi="Arial"/>
          <w:sz w:val="16"/>
          <w:szCs w:val="16"/>
          <w:i w:val="1"/>
          <w:iCs w:val="1"/>
          <w:color w:val="auto"/>
        </w:rPr>
        <w:t xml:space="preserve"> </w:t>
      </w:r>
      <w:r>
        <w:rPr>
          <w:rFonts w:ascii="Arial" w:cs="Arial" w:eastAsia="Arial" w:hAnsi="Arial"/>
          <w:sz w:val="16"/>
          <w:szCs w:val="16"/>
          <w:color w:val="auto"/>
        </w:rPr>
        <w:t>2003 he was Co-Chairman of the Board of Directors). While remaining deeply involved in the daily challenges of running a global growth company, Dr. Sutardja participates heavily in our engineering and marketing efforts across analog, video processor, and microprocessor design while offering input across all of our other product lines. Dr. Sutardja is widely regarded as one of the pioneers of the modern semiconductor age. His breakthrough designs and guiding vision have revolutionized numerous industry segments, from data storage to the high-performance, low-power chips now driving the growing global markets for mobile computing and telephony. For his relentless innovation, he has been awarded more than 360 patents and has been named a Fellow of IEEE. In 2006, Dr. Sutardja was recognized as the Inventor of the Year by the Silicon Valley Intellectual Property Law Association. Dr. Sutardja also served as President from 2003 to June 2013. Dr. Sutardja holds an M.S. and Ph.D. in Electrical Engineering and Computer Science from the University of California at Berkeley. Dr. Sutardja received a B.S. in Electrical Engineering from Iowa State University. Dr. Sutardja is the husband of Ms. Dai.</w:t>
      </w:r>
    </w:p>
    <w:p>
      <w:pPr>
        <w:spacing w:after="0" w:line="12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i w:val="1"/>
          <w:iCs w:val="1"/>
          <w:color w:val="auto"/>
        </w:rPr>
        <w:t>Ms. Weili Dai</w:t>
      </w:r>
      <w:r>
        <w:rPr>
          <w:rFonts w:ascii="Arial" w:cs="Arial" w:eastAsia="Arial" w:hAnsi="Arial"/>
          <w:sz w:val="18"/>
          <w:szCs w:val="18"/>
          <w:color w:val="auto"/>
        </w:rPr>
        <w:t>, one of our co-founders, has served as President of the Company since July 2013 and as a member of the Board of Directors of the Company</w:t>
      </w:r>
      <w:r>
        <w:rPr>
          <w:rFonts w:ascii="Arial" w:cs="Arial" w:eastAsia="Arial" w:hAnsi="Arial"/>
          <w:sz w:val="18"/>
          <w:szCs w:val="18"/>
          <w:i w:val="1"/>
          <w:iCs w:val="1"/>
          <w:color w:val="auto"/>
        </w:rPr>
        <w:t xml:space="preserve"> </w:t>
      </w:r>
      <w:r>
        <w:rPr>
          <w:rFonts w:ascii="Arial" w:cs="Arial" w:eastAsia="Arial" w:hAnsi="Arial"/>
          <w:sz w:val="18"/>
          <w:szCs w:val="18"/>
          <w:color w:val="auto"/>
        </w:rPr>
        <w:t>since December 2014. Widely considered a technology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color w:val="auto"/>
        </w:rPr>
        <w:t>visionary, Ms. Dai is the only woman co-founder of a global semiconductor company. Her business acumen, strategic thinking, product leadership, endless passion and personal network have contributed greatly to Marvell’s success. Her close relationship with Marvell’s customers and the foundation of the trust shared with them have given her a strong reputation for professionalism and integrity throughout the technology industry. Prior to her appointment as President, Ms. Dai served as a Vice President of Marvell Semiconductor, Inc. (“MSI”) from 2008 to July 2013, including the position of General Manager of the Communications &amp; Consumer Business of MSI since September 2011 and General Manager of the Communications and Computing Business Unit of MSI from March 2009 to September 2011. From 1995 to May 2007, Ms. Dai served as Chief Operating Officer, Executive Vice President and a member of the Board of Directors of the Company. Ms. Dai holds a B.S. degree in Computer Science from the University of California at Berkeley. Ms. Dai is the wife of Dr. Sutardja.</w:t>
      </w:r>
    </w:p>
    <w:p>
      <w:pPr>
        <w:spacing w:after="0" w:line="118" w:lineRule="exact"/>
        <w:rPr>
          <w:sz w:val="20"/>
          <w:szCs w:val="20"/>
          <w:color w:val="auto"/>
        </w:rPr>
      </w:pPr>
    </w:p>
    <w:p>
      <w:pPr>
        <w:ind w:right="100" w:firstLine="456"/>
        <w:spacing w:after="0" w:line="286" w:lineRule="auto"/>
        <w:rPr>
          <w:sz w:val="20"/>
          <w:szCs w:val="20"/>
          <w:color w:val="auto"/>
        </w:rPr>
      </w:pPr>
      <w:r>
        <w:rPr>
          <w:rFonts w:ascii="Arial" w:cs="Arial" w:eastAsia="Arial" w:hAnsi="Arial"/>
          <w:sz w:val="16"/>
          <w:szCs w:val="16"/>
          <w:i w:val="1"/>
          <w:iCs w:val="1"/>
          <w:color w:val="auto"/>
        </w:rPr>
        <w:t xml:space="preserve">Michael Rashkin </w:t>
      </w:r>
      <w:r>
        <w:rPr>
          <w:rFonts w:ascii="Arial" w:cs="Arial" w:eastAsia="Arial" w:hAnsi="Arial"/>
          <w:sz w:val="16"/>
          <w:szCs w:val="16"/>
          <w:color w:val="auto"/>
        </w:rPr>
        <w:t>has served as our Chief Financial Officer since February 2014 and served as our Interim Chief Financial Officer from December 2013 to</w:t>
      </w:r>
      <w:r>
        <w:rPr>
          <w:rFonts w:ascii="Arial" w:cs="Arial" w:eastAsia="Arial" w:hAnsi="Arial"/>
          <w:sz w:val="16"/>
          <w:szCs w:val="16"/>
          <w:i w:val="1"/>
          <w:iCs w:val="1"/>
          <w:color w:val="auto"/>
        </w:rPr>
        <w:t xml:space="preserve"> </w:t>
      </w:r>
      <w:r>
        <w:rPr>
          <w:rFonts w:ascii="Arial" w:cs="Arial" w:eastAsia="Arial" w:hAnsi="Arial"/>
          <w:sz w:val="16"/>
          <w:szCs w:val="16"/>
          <w:color w:val="auto"/>
        </w:rPr>
        <w:t>February 2014. Mr. Rashkin served as President of the Marvell Charitable Fund from March 2011 to November 2013. From January 2008 to March 2011,</w:t>
      </w:r>
    </w:p>
    <w:p>
      <w:pPr>
        <w:ind w:right="40"/>
        <w:spacing w:after="0" w:line="252" w:lineRule="auto"/>
        <w:rPr>
          <w:sz w:val="20"/>
          <w:szCs w:val="20"/>
          <w:color w:val="auto"/>
        </w:rPr>
      </w:pPr>
      <w:r>
        <w:rPr>
          <w:rFonts w:ascii="Arial" w:cs="Arial" w:eastAsia="Arial" w:hAnsi="Arial"/>
          <w:sz w:val="18"/>
          <w:szCs w:val="18"/>
          <w:color w:val="auto"/>
        </w:rPr>
        <w:t>Mr. Rashkin served as Vice President of Taxes and General Tax Counsel of MSI. From July 2007 to January 2008, Mr. Rashkin served as Interim Chief Financial Officer of the Company. In 2007, Mr. Rashkin was appointed Special Assistant to the CEO and Vice President of Strategic Development of MSI. Prior to 2007, Mr. Rashkin was Vice President and General Tax Counsel of MSI from 2005 to 2007. From 2000 to 2005, Mr. Rashkin served as Director of Taxes and General Tax Counsel of MSI and Director of Taxes and Tax Counsel of MSI from 1999 to 2000. Mr. Rashkin holds an LL.M. from the New York University Graduate School of Law, a J.D. from St. John’s University School of Law and a B.S. from Brooklyn College, City University of New York. Mr. Rashkin is a member of both the California and New York bars.</w:t>
      </w:r>
    </w:p>
    <w:p>
      <w:pPr>
        <w:spacing w:after="0" w:line="148"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i w:val="1"/>
          <w:iCs w:val="1"/>
          <w:color w:val="auto"/>
        </w:rPr>
        <w:t xml:space="preserve">Dr. Zining Wu </w:t>
      </w:r>
      <w:r>
        <w:rPr>
          <w:rFonts w:ascii="Arial" w:cs="Arial" w:eastAsia="Arial" w:hAnsi="Arial"/>
          <w:sz w:val="16"/>
          <w:szCs w:val="16"/>
          <w:color w:val="auto"/>
        </w:rPr>
        <w:t>has served as our Chief Technology Officer since January 2014. From August 2008 to January 2014, Dr. Wu served as MSI’s Vice President,</w:t>
      </w:r>
      <w:r>
        <w:rPr>
          <w:rFonts w:ascii="Arial" w:cs="Arial" w:eastAsia="Arial" w:hAnsi="Arial"/>
          <w:sz w:val="16"/>
          <w:szCs w:val="16"/>
          <w:i w:val="1"/>
          <w:iCs w:val="1"/>
          <w:color w:val="auto"/>
        </w:rPr>
        <w:t xml:space="preserve"> </w:t>
      </w:r>
      <w:r>
        <w:rPr>
          <w:rFonts w:ascii="Arial" w:cs="Arial" w:eastAsia="Arial" w:hAnsi="Arial"/>
          <w:sz w:val="16"/>
          <w:szCs w:val="16"/>
          <w:color w:val="auto"/>
        </w:rPr>
        <w:t>Data Storage Technology. Prior to August 2008, Dr. Wu worked as an engineer and in various managerial roles in MSI’s Storage group since July 1999. Dr. Wu holds a BS in Electronic Engineering from Tsinghua University in Beijing, China, and a M.S. and Ph.D. in Electrical Engineering from Stanford University. Dr. Wu holds over 230 U.S. patents and has published eight technical papers and a book related to data storage technology.</w:t>
      </w:r>
    </w:p>
    <w:p>
      <w:pPr>
        <w:spacing w:after="0" w:line="22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6"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2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80"/>
          </w:cols>
          <w:pgMar w:left="240" w:top="459" w:right="27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5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particularly in certain regions in which we operate or own buildings, such as Santa Clara;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71"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28, 2012 through January 31, 2015, our common shares traded as low as $6.98 and as high as $16.86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LTE market. We expect competition to continue to increase as industry standards continue to evolve and become better known, and others realize the market potential of this trend to platform integration. Additionally, customer expectations and requirements in such areas as the need for turnkey solutions has been evolving rapidly and some of our competitors may be better situated to meet potential customer needs.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0"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In addition, semiconductor providers have experienced consolidation over the past several years. For example, Broadcom Corporation acquired NetLogic Microsystems in February 2011, Qualcomm Inc. acquired Atheros Communications Inc. in May 2011, Texas Instruments Incorporated acquired National Semiconductor in September 2011 and Avago Technologies Limited (“Avago”) acquired LSI Corporation (“LSI”) in May 2014.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We are currently involved in a patent litigation action involving Carnegie Mellon University, and, if we do not prevail on appeal of the district court judgment, we could be liable for substantial damages.</w:t>
      </w:r>
    </w:p>
    <w:p>
      <w:pPr>
        <w:spacing w:after="0" w:line="51" w:lineRule="exact"/>
        <w:rPr>
          <w:sz w:val="20"/>
          <w:szCs w:val="20"/>
          <w:color w:val="auto"/>
        </w:rPr>
      </w:pPr>
    </w:p>
    <w:p>
      <w:pPr>
        <w:ind w:right="60" w:firstLine="456"/>
        <w:spacing w:after="0" w:line="284" w:lineRule="auto"/>
        <w:rPr>
          <w:sz w:val="20"/>
          <w:szCs w:val="20"/>
          <w:color w:val="auto"/>
        </w:rPr>
      </w:pPr>
      <w:r>
        <w:rPr>
          <w:rFonts w:ascii="Arial" w:cs="Arial" w:eastAsia="Arial" w:hAnsi="Arial"/>
          <w:sz w:val="16"/>
          <w:szCs w:val="16"/>
          <w:color w:val="auto"/>
        </w:rPr>
        <w:t>On March 6, 2009, Carnegie Mellon University (“CMU”) filed a complaint in the U.S. District Court for the Western District of Pennsylvania naming Marvell Semiconductor, Inc. and us as defendants, and alleging patent infringement. CMU has asserted U.S. Patent Nos. 6,201,839 and 6,438,180 (collectively, the “CMU patents in suit”), which relate to read-channel integrated circuit devices and the HDD products incorporating such devices. A jury trial began on November 26, 2012. On December 26, 2012, a jury delivered a verdict that found the CMU patents in suit were literally and willfully infringed and valid, and awarded past damages in the amount of $1.17 billion. CMU sought in its post-trial motions enhanced damages up to three times the jury verdict, pre-judgment interest up to $322 million, post-judgment interest, supplemental damages, attorneys’ fees, and an injunction and/or ongoing royalties. Post-trial motions were heard on May 1 and 2, 2013. On June 26, 2013, the District Court denied CMU’s post-trial motion for attorney fees without prejudice. On August 23, 2013, the District Court denied our motion for mistrial. On September 23, 2013, the District Court denied our motion for judgment as a matter of law or a new trial on non-infringement, invalidity and other non-damages issues as well as our motion for reduced damages. On the same day, the District Court granted-in-part CMU’s motion for a finding of willful infringement and enhanced damages, reserving its further rulings on any enhancement of the verdict for a separate opinion. On January 14, 2014, the District Court denied our post-trial motion on laches. On March 31, 2014, the District Court rejected CMU’s motion for an injunction. The District Court also denied CMU’s request for pre-judgment interest, and substantially scaled back CMU’s request for enhanced damages. Based on these decisions, the Court calculated the damages including enhancement to total approximately $1.54 billion, and held that, under its decision, CMU is entitled to post judgment interest and an ongoing royalty. On May 7, 2014, the District Court entered final judgment, from which we filed a notice of appeal on May 14, 2014 to the U.S. Court of Appeals for the Federal Circuit in Washington, D.C. We filed our opening appeal brief on August 4, 2014. CMU filed its opposition brief on October 20, 2014 and we filed our reply brief on November 20, 2014. We believe that there are strong grounds for appeal, which is set for oral argument in April 2015 before the U.S. Court of Appeals, but there is no guarantee that we will be successful on appeal. Please see “Note 10 — Commitments and Contingencies” in our Notes to the Consolidated Financial Statements set forth in Part II, Item 8 of this Annual Report on Form 10-K for a more detailed description of a number of litigation matters we are currently engaged in. If we are required to pay most or all of the damages calculated by the District Court after all appeals have been exhausted, this could have a material adverse effect on our business, financial condition, results of operations and cash flows.</w:t>
      </w:r>
    </w:p>
    <w:p>
      <w:pPr>
        <w:spacing w:after="0" w:line="129"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In order to stay the execution of the final judgment pending its appeal before the U.S. Court of Appeals, we filed a supersedeas bond for $1.54 billion with the District Court. The bond was issued by a consortium of sureties authorized by the U.S. Treasury. If the judgment is affirmed after the completion of all appellate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16"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The Court has required us to report ongoing royalties under the current judgment. Based on the royalty rate assessed by the District Court, such additional royalties for the period of time commencing on the date ordered by the District Court, January 15, 2013, through January 31, 2015 could be as much as $400 million. 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$139 million at January 31, 2015. We and CMU have agreed that the second bond and commitment satisfy the security for ongoing royalties while the appeal is pending.</w:t>
      </w:r>
    </w:p>
    <w:p>
      <w:pPr>
        <w:spacing w:after="0" w:line="225"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Technology plc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Furthermore, future changes in the nature of information storage products could reduce demand for traditional HDDs. For example, products using alternative technologies, such as SSD and other storage technologies could become a source of competition to manufacturers of HDDs. Although we offer SSD controllers, leveraging our technology in hard drives, we cannot ensure we will be able to maintain significant market share if demand for traditional HDDs decreases. Additionally, we depend on a few customers for our SSD controllers and as such, the loss of any SSD controller customer or a significant reduction in sales we make to them (for example, as a result of a significant drop in market share) may harm our financial condition and results of operations.</w:t>
      </w:r>
    </w:p>
    <w:p>
      <w:pPr>
        <w:spacing w:after="0" w:line="197"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have been named as a party to several lawsuits and may be named in additional litigation in the future, including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59"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We have been named as a party to several lawsuits and we may be named in additional litigation in the future. Please see “Note 10 — Commitments and Contingencies” of our Notes to the Consolidated Financial</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45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98" w:lineRule="auto"/>
        <w:rPr>
          <w:sz w:val="20"/>
          <w:szCs w:val="20"/>
          <w:color w:val="auto"/>
        </w:rPr>
      </w:pPr>
      <w:r>
        <w:rPr>
          <w:rFonts w:ascii="Arial" w:cs="Arial" w:eastAsia="Arial" w:hAnsi="Arial"/>
          <w:sz w:val="16"/>
          <w:szCs w:val="16"/>
          <w:color w:val="auto"/>
        </w:rPr>
        <w:t>Statements set forth in Part II, Item 8 of this Annual Report on Form 10-K for a more detailed description of a number of the litigation matters we are currently engaged in.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w:t>
      </w:r>
    </w:p>
    <w:p>
      <w:pPr>
        <w:spacing w:after="0" w:line="11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particularly those related to storage technology, microprocessors and other circuit components.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5" w:lineRule="exact"/>
        <w:rPr>
          <w:sz w:val="20"/>
          <w:szCs w:val="20"/>
          <w:color w:val="auto"/>
        </w:rPr>
      </w:pPr>
    </w:p>
    <w:p>
      <w:pPr>
        <w:ind w:left="900" w:right="44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Additionally,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In addition, due to the high volatility of our stock price, we may be vulnerable to securities class action litigation. Furthermore,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4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our stock price. Litigation may be time-consuming, expensive, and disruptive to normal business operations, and the outcome of litigation is difficult to predict. The defense of these lawsuits may result in significant expenditures and the continued diversion of our management’s time and attention away from the operation of our business, which could impede our business. In the event we were to receive an unfavorable outcome in any lawsuit, our business, financial condition, results of operations, cash flows and our stock price may be materially and adversely affected.</w:t>
      </w:r>
    </w:p>
    <w:p>
      <w:pPr>
        <w:spacing w:after="0" w:line="224"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We receive a significant amount of our revenues from a limited number of customers. Net revenue from our two largest customers represented 33% of our net revenue for the year ended January 31, 2015. Sales to our</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9" w:lineRule="exact"/>
        <w:rPr>
          <w:sz w:val="20"/>
          <w:szCs w:val="20"/>
          <w:color w:val="auto"/>
        </w:rPr>
      </w:pPr>
    </w:p>
    <w:p>
      <w:pPr>
        <w:ind w:left="900" w:right="52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 (for example, a significant customer of our SSD products has recently seen a significant drop in its market share);</w:t>
      </w:r>
    </w:p>
    <w:p>
      <w:pPr>
        <w:spacing w:after="0" w:line="5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 (for example, in September 2014, Seagate acquired the SSD business from Avago);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w:t>
      </w:r>
    </w:p>
    <w:p>
      <w:pPr>
        <w:spacing w:after="0" w:line="252"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2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220" w:firstLine="456"/>
        <w:spacing w:after="0" w:line="290"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Singapore, Taiwan, Malaysia and the Philippines.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the industry transitions to smaller geometries, our manufacturing partners may be supply constrained or may charge premiums, which may harm our business or results of operations. Moreover, if any of our third-party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18"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1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which could result in a product liability claim, which would likely be time consuming and costly to defend. In addition, defects could result in significant costs. See “Costs related to defective products could have a material adverse effect on us.”</w:t>
      </w:r>
    </w:p>
    <w:p>
      <w:pPr>
        <w:spacing w:after="0" w:line="118" w:lineRule="exact"/>
        <w:rPr>
          <w:sz w:val="20"/>
          <w:szCs w:val="20"/>
          <w:color w:val="auto"/>
        </w:rPr>
      </w:pPr>
    </w:p>
    <w:p>
      <w:pPr>
        <w:ind w:right="100" w:firstLine="456"/>
        <w:spacing w:after="0" w:line="370" w:lineRule="auto"/>
        <w:rPr>
          <w:sz w:val="20"/>
          <w:szCs w:val="20"/>
          <w:color w:val="auto"/>
        </w:rPr>
      </w:pPr>
      <w:r>
        <w:rPr>
          <w:rFonts w:ascii="Arial" w:cs="Arial" w:eastAsia="Arial" w:hAnsi="Arial"/>
          <w:sz w:val="15"/>
          <w:szCs w:val="15"/>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that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in a timely manner. Even if new and enhanced products are introduced to the market, we and our customers may not be able to achieve market acceptance of them.</w:t>
      </w:r>
    </w:p>
    <w:p>
      <w:pPr>
        <w:spacing w:after="0" w:line="20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means, including cost reductions through efficiencies, introduction of higher margin products and increased volume of sales.</w:t>
      </w:r>
    </w:p>
    <w:p>
      <w:pPr>
        <w:spacing w:after="0" w:line="11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To attract new customers or retain existing customers, we may offer certain customers certain price concessions,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20"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6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We typically sell products pursuant to purchase orders rather than long-term purchase commitments. Customers can generally cancel or defer purchase orders on short notice without incurring a significant penalty.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86" w:lineRule="auto"/>
        <w:rPr>
          <w:sz w:val="20"/>
          <w:szCs w:val="20"/>
          <w:color w:val="auto"/>
        </w:rPr>
      </w:pPr>
      <w:r>
        <w:rPr>
          <w:rFonts w:ascii="Arial" w:cs="Arial" w:eastAsia="Arial" w:hAnsi="Arial"/>
          <w:sz w:val="16"/>
          <w:szCs w:val="16"/>
          <w:color w:val="auto"/>
        </w:rPr>
        <w:t>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1"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00"/>
        <w:spacing w:after="0" w:line="268" w:lineRule="auto"/>
        <w:rPr>
          <w:sz w:val="20"/>
          <w:szCs w:val="20"/>
          <w:color w:val="auto"/>
        </w:rPr>
      </w:pPr>
      <w:r>
        <w:rPr>
          <w:rFonts w:ascii="Arial" w:cs="Arial" w:eastAsia="Arial" w:hAnsi="Arial"/>
          <w:sz w:val="18"/>
          <w:szCs w:val="18"/>
          <w:color w:val="auto"/>
        </w:rPr>
        <w:t>our expenses in a timely manner to offset any decrease in customer demand. If customer demand does not increase as anticipated, our profitability could be adversely affected due to our higher expense levels.</w:t>
      </w:r>
    </w:p>
    <w:p>
      <w:pPr>
        <w:spacing w:after="0" w:line="132"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We may experience reduced manufacturing yields, delays in product deliveries and increased expenses as a result of transitioning to smaller geometry process technologies.</w:t>
      </w:r>
    </w:p>
    <w:p>
      <w:pPr>
        <w:spacing w:after="0" w:line="51"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4" w:lineRule="auto"/>
        <w:rPr>
          <w:sz w:val="20"/>
          <w:szCs w:val="20"/>
          <w:color w:val="auto"/>
        </w:rPr>
      </w:pPr>
      <w:r>
        <w:rPr>
          <w:rFonts w:ascii="Arial" w:cs="Arial" w:eastAsia="Arial" w:hAnsi="Arial"/>
          <w:sz w:val="18"/>
          <w:szCs w:val="18"/>
          <w:color w:val="auto"/>
        </w:rPr>
        <w:t>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We had approximately $2.0 billion of goodwill and $30.7 million of acquired intangible assets, net on our balance sheet as of January 31, 2015.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w:t>
      </w:r>
    </w:p>
    <w:p>
      <w:pPr>
        <w:spacing w:after="0" w:line="118" w:lineRule="exact"/>
        <w:rPr>
          <w:sz w:val="20"/>
          <w:szCs w:val="20"/>
          <w:color w:val="auto"/>
        </w:rPr>
      </w:pPr>
    </w:p>
    <w:p>
      <w:pPr>
        <w:ind w:right="6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44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qualified personnel, our ability to develop and successfully market our products could be harmed.</w:t>
      </w:r>
    </w:p>
    <w:p>
      <w:pPr>
        <w:spacing w:after="0" w:line="51"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and the inability to attract qualified personnel, including hardware and software engineers and sales and marketing personnel could delay the development and introduction of and harm our ability to sell our products. Additionally, we typically do not enter into employment agreements with any of our key technical personnel and the loss of such personnel could harm our business, as their knowledge of our business and industry would be extremely difficult to replace.</w:t>
      </w:r>
    </w:p>
    <w:p>
      <w:pPr>
        <w:spacing w:after="0" w:line="225" w:lineRule="exact"/>
        <w:rPr>
          <w:sz w:val="20"/>
          <w:szCs w:val="20"/>
          <w:color w:val="auto"/>
        </w:rPr>
      </w:pPr>
    </w:p>
    <w:p>
      <w:pPr>
        <w:ind w:right="70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96% of our net revenue in fiscal 2015, 95% of our net revenue in fiscal 2014 and 90% of our net revenue in fiscal 2013.</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80"/>
          </w:cols>
          <w:pgMar w:left="240" w:top="459" w:right="2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6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4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Despite our testing procedures, we cannot assure you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56" w:lineRule="auto"/>
        <w:rPr>
          <w:sz w:val="20"/>
          <w:szCs w:val="20"/>
          <w:color w:val="auto"/>
        </w:rPr>
      </w:pPr>
      <w:r>
        <w:rPr>
          <w:rFonts w:ascii="Arial" w:cs="Arial" w:eastAsia="Arial" w:hAnsi="Arial"/>
          <w:sz w:val="18"/>
          <w:szCs w:val="18"/>
          <w:color w:val="auto"/>
        </w:rPr>
        <w:t>industry that could adversely affect our relationships with our customers. In addition, the process of identifying a recalled product in devices that have been widely distributed may be lengthy and require significant resources and we may have difficulty identifying the end customers of the defective products in the field, which may cause us to incur significant replacement costs, contract damage claims from our customers and further reputational harm. Any of these problems could materially adversely affect our results of operations.</w:t>
      </w:r>
    </w:p>
    <w:p>
      <w:pPr>
        <w:spacing w:after="0" w:line="224"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51"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62" w:lineRule="exact"/>
        <w:rPr>
          <w:sz w:val="20"/>
          <w:szCs w:val="20"/>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possible material weaknesses in internal control over financial reporting;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expenses including legal, administrative and compensation expenses related to newly hired or terminated employees;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costs to integrate the technology, personnel, customer base and business practices of the acquired company with us;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90" w:lineRule="exact"/>
        <w:rPr>
          <w:rFonts w:ascii="Arial" w:cs="Arial" w:eastAsia="Arial" w:hAnsi="Arial"/>
          <w:sz w:val="18"/>
          <w:szCs w:val="18"/>
          <w:color w:val="auto"/>
        </w:rPr>
      </w:pPr>
    </w:p>
    <w:p>
      <w:pPr>
        <w:ind w:left="900" w:right="88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unavailability of acquisition financing or unavailability of such financing on reasonable terms.</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Any acquired business, technology, service or product could significantly under-perform relative to our expectations, and may not achieve the benefits we expect from possible acquisitions. For all these reasons, our pursuit of an acquisition, investment, divestiture, merger or joint venture could cause its actual results to differ materially from those anticipated.</w:t>
      </w:r>
    </w:p>
    <w:p>
      <w:pPr>
        <w:spacing w:after="0" w:line="221"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9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80"/>
          </w:cols>
          <w:pgMar w:left="240" w:top="459" w:right="27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88" w:lineRule="auto"/>
        <w:rPr>
          <w:sz w:val="20"/>
          <w:szCs w:val="20"/>
          <w:color w:val="auto"/>
        </w:rPr>
      </w:pPr>
      <w:r>
        <w:rPr>
          <w:rFonts w:ascii="Arial" w:cs="Arial" w:eastAsia="Arial" w:hAnsi="Arial"/>
          <w:sz w:val="16"/>
          <w:szCs w:val="16"/>
          <w:color w:val="auto"/>
        </w:rPr>
        <w:t>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(“DEI”) until June 2019. Furthermore, under the Israeli Encouragement law of “approved or benefited enterprise,” two branches of Marvell Israel (M.I.S.L) Ltd. are entitled to, and have certain existing programs that qualify as, approved and benefited tax programs that include reduced tax rates and exemption of certain income through fiscal 2027. Our subsidiary in Switzerland also has tax incentives on revenues from research and design and wafer supply trading activities that expire in fiscal 2016. If any of our tax agreements in any of these foreign jurisdictions were terminated, our results of our operations and profitability would be harmed.</w:t>
      </w:r>
    </w:p>
    <w:p>
      <w:pPr>
        <w:spacing w:after="0" w:line="201"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9"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are subject to damage or interruption from a number of potential sources including natural disasters, viruses, destructive or inadequate code, malware, power failures, cyber attacks, and other events. We have implemented processes for systems under our control to mitigate risks and while we believe these systems are appropriately controlled, processes for information systems cannot be guaranteed to be failsafe. We may incur significant costs in order to implement, maintain and/or update security systems that we feel are necessary to protect our information systems or we may miscalculate the level investment necessary to protect our systems adequately. To the extent that any system failure, accident or security breach results in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80" w:firstLine="456"/>
        <w:spacing w:after="0" w:line="306" w:lineRule="auto"/>
        <w:rPr>
          <w:sz w:val="20"/>
          <w:szCs w:val="20"/>
          <w:color w:val="auto"/>
        </w:rPr>
      </w:pPr>
      <w:r>
        <w:rPr>
          <w:rFonts w:ascii="Arial" w:cs="Arial" w:eastAsia="Arial" w:hAnsi="Arial"/>
          <w:sz w:val="15"/>
          <w:szCs w:val="15"/>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There is also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21"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In May 2012, we announced the declaration of our first quarterly cash dividend. Future payment of a regular quarterly cash dividend on our common shares will be subject to, among other things, the best interests of our</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4" w:lineRule="auto"/>
        <w:rPr>
          <w:sz w:val="20"/>
          <w:szCs w:val="20"/>
          <w:color w:val="auto"/>
        </w:rPr>
      </w:pPr>
      <w:r>
        <w:rPr>
          <w:rFonts w:ascii="Arial" w:cs="Arial" w:eastAsia="Arial" w:hAnsi="Arial"/>
          <w:sz w:val="16"/>
          <w:szCs w:val="16"/>
          <w:color w:val="auto"/>
        </w:rPr>
        <w:t>company, our results of operations, cash balances and future cash requirements, financial condition, statutory requirements under Bermuda law, developments in our ongoing litigation with CMU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197" w:lineRule="exact"/>
        <w:rPr>
          <w:sz w:val="20"/>
          <w:szCs w:val="20"/>
          <w:color w:val="auto"/>
        </w:rPr>
      </w:pPr>
    </w:p>
    <w:p>
      <w:pPr>
        <w:jc w:val="both"/>
        <w:ind w:right="18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We believe that effective internal controls are necessary for us to provide reliable financial reports and effectively prevent fraud. However, a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Additionally, we cannot assure you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reliance financial reports, or to detect and prevent fraud, which would harm our business.</w:t>
      </w:r>
    </w:p>
    <w:p>
      <w:pPr>
        <w:spacing w:after="0" w:line="201"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b w:val="1"/>
          <w:bCs w:val="1"/>
          <w:i w:val="1"/>
          <w:iCs w:val="1"/>
          <w:color w:val="auto"/>
        </w:rPr>
        <w:t>Two of our officers own a large percentage of our voting stock and, together with another significant shareholder, are related by blood or marriage. These factors may allow the officers and directors as a group or the related individuals to influence the election of directors and the approval or disapproval of significant corporate actions.</w:t>
      </w:r>
    </w:p>
    <w:p>
      <w:pPr>
        <w:spacing w:after="0" w:line="59"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Dr. Sehat Sutardja, our Chairman and Chief Executive Officer, and Weili Dai, who serves as our President, are husband and wife. Together, these two officers, along with a shareholder that is related to Dr. Sutardja, held approximately 20% of our outstanding common shares as of December 31, 2014.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1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although there is some suggestion that their use may be gaining favor. Bermuda law permits, in exceptional circumstances, the bringing of derivative actions, i.e., for a shareholder to bring an action in our name, when it would otherwise be an action that the company would bring itself. In order to bring a derivative action, a shareholder would have to show (i) “fraud on the minority,” that is acts which amount to an unconscionable use of majority power resulting or likely to result in loss or unfair discriminatory treatment of the minority; and (ii) that the alleged wrongdoers have control of the company. In addition, a shareholder may be able to bring a claim when the shareholder alleges that the wrong has been done to the shareholder personally in his or her capacity as shareholder. Typically, shareholders’ personal claims arise from a breach or threatened breach of the bye-laws.</w:t>
      </w:r>
    </w:p>
    <w:p>
      <w:pPr>
        <w:spacing w:after="0" w:line="1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The Companies Act 1981 of Bermuda, as amended, provides that when one or more shareholders believes the affairs of a company are being conducted in a manner which is oppressive or prejudicial to the interest of some of such shareholders and others,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Additionally, the second surety bond and commitment from the sureties are secured by our campus located in Santa Clara, California. See “We are currently involved in a patent litigation action involving CMU and, if we do not prevail on appeal of the district court judgment, we could be liable for substantial damages.”</w:t>
      </w:r>
    </w:p>
    <w:p>
      <w:pPr>
        <w:spacing w:after="0" w:line="221"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2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380"/>
          </w:cols>
          <w:pgMar w:left="240" w:top="459" w:right="27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spacing w:after="0" w:line="298" w:lineRule="auto"/>
        <w:rPr>
          <w:sz w:val="20"/>
          <w:szCs w:val="20"/>
          <w:color w:val="auto"/>
        </w:rPr>
      </w:pPr>
      <w:r>
        <w:rPr>
          <w:rFonts w:ascii="Arial" w:cs="Arial" w:eastAsia="Arial" w:hAnsi="Arial"/>
          <w:sz w:val="16"/>
          <w:szCs w:val="16"/>
          <w:color w:val="auto"/>
        </w:rPr>
        <w:t>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18"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right="420" w:hanging="325"/>
        <w:spacing w:after="0" w:line="332" w:lineRule="auto"/>
        <w:tabs>
          <w:tab w:leader="none" w:pos="900" w:val="left"/>
        </w:tabs>
        <w:numPr>
          <w:ilvl w:val="0"/>
          <w:numId w:val="16"/>
        </w:numPr>
        <w:rPr>
          <w:rFonts w:ascii="Arial" w:cs="Arial" w:eastAsia="Arial" w:hAnsi="Arial"/>
          <w:sz w:val="16"/>
          <w:szCs w:val="16"/>
          <w:color w:val="auto"/>
        </w:rPr>
      </w:pPr>
      <w:r>
        <w:rPr>
          <w:rFonts w:ascii="Arial" w:cs="Arial" w:eastAsia="Arial" w:hAnsi="Arial"/>
          <w:sz w:val="16"/>
          <w:szCs w:val="16"/>
          <w:color w:val="auto"/>
        </w:rPr>
        <w:t>a shareholder vote requiring the approval of two-thirds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These foregoing provisions could make it more difficult for a third party to acquire us, even if doing so would be a benefit to our shareholders.</w:t>
      </w:r>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the approximate square footage of our significant owned and leased facilities as of January 31, 2015:</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7"/>
              </w:rPr>
              <w:t>Locations</w:t>
            </w:r>
          </w:p>
        </w:tc>
        <w:tc>
          <w:tcPr>
            <w:tcW w:w="560" w:type="dxa"/>
            <w:vAlign w:val="bottom"/>
            <w:vMerge w:val="restart"/>
          </w:tcPr>
          <w:p>
            <w:pPr>
              <w:spacing w:after="0"/>
              <w:rPr>
                <w:sz w:val="14"/>
                <w:szCs w:val="14"/>
                <w:color w:val="auto"/>
              </w:rPr>
            </w:pPr>
          </w:p>
        </w:tc>
        <w:tc>
          <w:tcPr>
            <w:tcW w:w="1760" w:type="dxa"/>
            <w:vAlign w:val="bottom"/>
          </w:tcPr>
          <w:p>
            <w:pPr>
              <w:spacing w:after="0"/>
              <w:rPr>
                <w:sz w:val="14"/>
                <w:szCs w:val="14"/>
                <w:color w:val="auto"/>
              </w:rPr>
            </w:pPr>
          </w:p>
        </w:tc>
        <w:tc>
          <w:tcPr>
            <w:tcW w:w="5680" w:type="dxa"/>
            <w:vAlign w:val="bottom"/>
            <w:gridSpan w:val="2"/>
            <w:vMerge w:val="restart"/>
          </w:tcPr>
          <w:p>
            <w:pPr>
              <w:jc w:val="center"/>
              <w:ind w:right="520"/>
              <w:spacing w:after="0"/>
              <w:rPr>
                <w:sz w:val="20"/>
                <w:szCs w:val="20"/>
                <w:color w:val="auto"/>
              </w:rPr>
            </w:pPr>
            <w:r>
              <w:rPr>
                <w:rFonts w:ascii="Arial" w:cs="Arial" w:eastAsia="Arial" w:hAnsi="Arial"/>
                <w:sz w:val="14"/>
                <w:szCs w:val="14"/>
                <w:b w:val="1"/>
                <w:bCs w:val="1"/>
                <w:color w:val="auto"/>
                <w:w w:val="88"/>
              </w:rPr>
              <w:t>Primary Use</w:t>
            </w:r>
          </w:p>
        </w:tc>
        <w:tc>
          <w:tcPr>
            <w:tcW w:w="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40" w:type="dxa"/>
            <w:vAlign w:val="bottom"/>
            <w:gridSpan w:val="3"/>
          </w:tcPr>
          <w:p>
            <w:pPr>
              <w:spacing w:after="0"/>
              <w:rPr>
                <w:sz w:val="20"/>
                <w:szCs w:val="20"/>
                <w:color w:val="auto"/>
              </w:rPr>
            </w:pPr>
            <w:r>
              <w:rPr>
                <w:rFonts w:ascii="Arial" w:cs="Arial" w:eastAsia="Arial" w:hAnsi="Arial"/>
                <w:sz w:val="14"/>
                <w:szCs w:val="14"/>
                <w:b w:val="1"/>
                <w:bCs w:val="1"/>
                <w:color w:val="auto"/>
              </w:rPr>
              <w:t>(Square feet)</w:t>
            </w:r>
          </w:p>
        </w:tc>
        <w:tc>
          <w:tcPr>
            <w:tcW w:w="0" w:type="dxa"/>
            <w:vAlign w:val="bottom"/>
          </w:tcPr>
          <w:p>
            <w:pPr>
              <w:spacing w:after="0"/>
              <w:rPr>
                <w:sz w:val="1"/>
                <w:szCs w:val="1"/>
                <w:color w:val="auto"/>
              </w:rPr>
            </w:pPr>
          </w:p>
        </w:tc>
      </w:tr>
      <w:tr>
        <w:trPr>
          <w:trHeight w:val="149"/>
        </w:trPr>
        <w:tc>
          <w:tcPr>
            <w:tcW w:w="600" w:type="dxa"/>
            <w:vAlign w:val="bottom"/>
            <w:tcBorders>
              <w:bottom w:val="single" w:sz="8" w:color="auto"/>
            </w:tcBorders>
            <w:vMerge w:val="continue"/>
          </w:tcPr>
          <w:p>
            <w:pPr>
              <w:spacing w:after="0"/>
              <w:rPr>
                <w:sz w:val="12"/>
                <w:szCs w:val="12"/>
                <w:color w:val="auto"/>
              </w:rPr>
            </w:pPr>
          </w:p>
        </w:tc>
        <w:tc>
          <w:tcPr>
            <w:tcW w:w="560" w:type="dxa"/>
            <w:vAlign w:val="bottom"/>
            <w:vMerge w:val="continue"/>
          </w:tcPr>
          <w:p>
            <w:pPr>
              <w:spacing w:after="0"/>
              <w:rPr>
                <w:sz w:val="12"/>
                <w:szCs w:val="12"/>
                <w:color w:val="auto"/>
              </w:rPr>
            </w:pPr>
          </w:p>
        </w:tc>
        <w:tc>
          <w:tcPr>
            <w:tcW w:w="1760" w:type="dxa"/>
            <w:vAlign w:val="bottom"/>
          </w:tcPr>
          <w:p>
            <w:pPr>
              <w:spacing w:after="0"/>
              <w:rPr>
                <w:sz w:val="12"/>
                <w:szCs w:val="12"/>
                <w:color w:val="auto"/>
              </w:rPr>
            </w:pPr>
          </w:p>
        </w:tc>
        <w:tc>
          <w:tcPr>
            <w:tcW w:w="5680" w:type="dxa"/>
            <w:vAlign w:val="bottom"/>
            <w:gridSpan w:val="2"/>
            <w:vMerge w:val="continue"/>
          </w:tcPr>
          <w:p>
            <w:pPr>
              <w:spacing w:after="0"/>
              <w:rPr>
                <w:sz w:val="12"/>
                <w:szCs w:val="12"/>
                <w:color w:val="auto"/>
              </w:rPr>
            </w:pPr>
          </w:p>
        </w:tc>
        <w:tc>
          <w:tcPr>
            <w:tcW w:w="980" w:type="dxa"/>
            <w:vAlign w:val="bottom"/>
            <w:tcBorders>
              <w:top w:val="single" w:sz="8" w:color="auto"/>
            </w:tcBorders>
            <w:gridSpan w:val="2"/>
          </w:tcPr>
          <w:p>
            <w:pPr>
              <w:jc w:val="right"/>
              <w:ind w:right="20"/>
              <w:spacing w:after="0" w:line="129" w:lineRule="exact"/>
              <w:rPr>
                <w:sz w:val="20"/>
                <w:szCs w:val="20"/>
                <w:color w:val="auto"/>
              </w:rPr>
            </w:pPr>
            <w:r>
              <w:rPr>
                <w:rFonts w:ascii="Arial" w:cs="Arial" w:eastAsia="Arial" w:hAnsi="Arial"/>
                <w:sz w:val="14"/>
                <w:szCs w:val="14"/>
                <w:b w:val="1"/>
                <w:bCs w:val="1"/>
                <w:color w:val="auto"/>
                <w:w w:val="85"/>
              </w:rPr>
              <w:t>Owned Facilities</w:t>
            </w:r>
          </w:p>
        </w:tc>
        <w:tc>
          <w:tcPr>
            <w:tcW w:w="600" w:type="dxa"/>
            <w:vAlign w:val="bottom"/>
            <w:tcBorders>
              <w:top w:val="single" w:sz="8" w:color="auto"/>
            </w:tcBorders>
          </w:tcPr>
          <w:p>
            <w:pPr>
              <w:spacing w:after="0"/>
              <w:rPr>
                <w:sz w:val="12"/>
                <w:szCs w:val="12"/>
                <w:color w:val="auto"/>
              </w:rPr>
            </w:pPr>
          </w:p>
        </w:tc>
        <w:tc>
          <w:tcPr>
            <w:tcW w:w="11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Leased Facilities (1)</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5"/>
        </w:trPr>
        <w:tc>
          <w:tcPr>
            <w:tcW w:w="1160" w:type="dxa"/>
            <w:vAlign w:val="bottom"/>
            <w:tcBorders>
              <w:top w:val="single" w:sz="8" w:color="CCEEFF"/>
            </w:tcBorders>
            <w:gridSpan w:val="2"/>
            <w:shd w:val="clear" w:color="auto" w:fill="CCEEFF"/>
          </w:tcPr>
          <w:p>
            <w:pPr>
              <w:spacing w:after="0" w:line="195" w:lineRule="exact"/>
              <w:rPr>
                <w:sz w:val="20"/>
                <w:szCs w:val="20"/>
                <w:color w:val="auto"/>
              </w:rPr>
            </w:pPr>
            <w:r>
              <w:rPr>
                <w:rFonts w:ascii="Arial" w:cs="Arial" w:eastAsia="Arial" w:hAnsi="Arial"/>
                <w:sz w:val="18"/>
                <w:szCs w:val="18"/>
                <w:color w:val="auto"/>
              </w:rPr>
              <w:t>United States</w:t>
            </w:r>
          </w:p>
        </w:tc>
        <w:tc>
          <w:tcPr>
            <w:tcW w:w="1760" w:type="dxa"/>
            <w:vAlign w:val="bottom"/>
            <w:tcBorders>
              <w:top w:val="single" w:sz="8" w:color="CCEEFF"/>
            </w:tcBorders>
            <w:shd w:val="clear" w:color="auto" w:fill="CCEEFF"/>
          </w:tcPr>
          <w:p>
            <w:pPr>
              <w:spacing w:after="0"/>
              <w:rPr>
                <w:sz w:val="16"/>
                <w:szCs w:val="16"/>
                <w:color w:val="auto"/>
              </w:rPr>
            </w:pPr>
          </w:p>
        </w:tc>
        <w:tc>
          <w:tcPr>
            <w:tcW w:w="516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w w:val="88"/>
              </w:rPr>
              <w:t>Headquarters in Santa Clara, California: Research and design, sales and</w:t>
            </w:r>
          </w:p>
        </w:tc>
        <w:tc>
          <w:tcPr>
            <w:tcW w:w="520" w:type="dxa"/>
            <w:vAlign w:val="bottom"/>
            <w:tcBorders>
              <w:top w:val="single" w:sz="8" w:color="CCEEFF"/>
            </w:tcBorders>
            <w:shd w:val="clear" w:color="auto" w:fill="CCEEFF"/>
          </w:tcPr>
          <w:p>
            <w:pPr>
              <w:spacing w:after="0"/>
              <w:rPr>
                <w:sz w:val="16"/>
                <w:szCs w:val="16"/>
                <w:color w:val="auto"/>
              </w:rPr>
            </w:pPr>
          </w:p>
        </w:tc>
        <w:tc>
          <w:tcPr>
            <w:tcW w:w="960" w:type="dxa"/>
            <w:vAlign w:val="bottom"/>
            <w:tcBorders>
              <w:top w:val="single" w:sz="8" w:color="auto"/>
            </w:tcBorders>
            <w:shd w:val="clear" w:color="auto" w:fill="CCEEFF"/>
          </w:tcPr>
          <w:p>
            <w:pPr>
              <w:spacing w:after="0"/>
              <w:rPr>
                <w:sz w:val="16"/>
                <w:szCs w:val="16"/>
                <w:color w:val="auto"/>
              </w:rPr>
            </w:pPr>
          </w:p>
        </w:tc>
        <w:tc>
          <w:tcPr>
            <w:tcW w:w="20" w:type="dxa"/>
            <w:vAlign w:val="bottom"/>
            <w:tcBorders>
              <w:top w:val="single" w:sz="8" w:color="CCEEFF"/>
            </w:tcBorders>
            <w:shd w:val="clear" w:color="auto" w:fill="CCEEFF"/>
          </w:tcPr>
          <w:p>
            <w:pPr>
              <w:spacing w:after="0"/>
              <w:rPr>
                <w:sz w:val="16"/>
                <w:szCs w:val="16"/>
                <w:color w:val="auto"/>
              </w:rPr>
            </w:pPr>
          </w:p>
        </w:tc>
        <w:tc>
          <w:tcPr>
            <w:tcW w:w="600" w:type="dxa"/>
            <w:vAlign w:val="bottom"/>
            <w:tcBorders>
              <w:top w:val="single" w:sz="8" w:color="CCEEFF"/>
            </w:tcBorders>
            <w:shd w:val="clear" w:color="auto" w:fill="CCEEFF"/>
          </w:tcPr>
          <w:p>
            <w:pPr>
              <w:spacing w:after="0"/>
              <w:rPr>
                <w:sz w:val="16"/>
                <w:szCs w:val="16"/>
                <w:color w:val="auto"/>
              </w:rPr>
            </w:pPr>
          </w:p>
        </w:tc>
        <w:tc>
          <w:tcPr>
            <w:tcW w:w="114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600" w:type="dxa"/>
            <w:vAlign w:val="bottom"/>
            <w:shd w:val="clear" w:color="auto" w:fill="CCEEFF"/>
          </w:tcPr>
          <w:p>
            <w:pPr>
              <w:spacing w:after="0"/>
              <w:rPr>
                <w:sz w:val="19"/>
                <w:szCs w:val="19"/>
                <w:color w:val="auto"/>
              </w:rPr>
            </w:pPr>
          </w:p>
        </w:tc>
        <w:tc>
          <w:tcPr>
            <w:tcW w:w="560" w:type="dxa"/>
            <w:vAlign w:val="bottom"/>
            <w:shd w:val="clear" w:color="auto" w:fill="CCEEFF"/>
          </w:tcPr>
          <w:p>
            <w:pPr>
              <w:spacing w:after="0"/>
              <w:rPr>
                <w:sz w:val="19"/>
                <w:szCs w:val="19"/>
                <w:color w:val="auto"/>
              </w:rPr>
            </w:pPr>
          </w:p>
        </w:tc>
        <w:tc>
          <w:tcPr>
            <w:tcW w:w="7440" w:type="dxa"/>
            <w:vAlign w:val="bottom"/>
            <w:gridSpan w:val="3"/>
            <w:shd w:val="clear" w:color="auto" w:fill="CCEEFF"/>
          </w:tcPr>
          <w:p>
            <w:pPr>
              <w:ind w:left="1760"/>
              <w:spacing w:after="0"/>
              <w:rPr>
                <w:sz w:val="20"/>
                <w:szCs w:val="20"/>
                <w:color w:val="auto"/>
              </w:rPr>
            </w:pPr>
            <w:r>
              <w:rPr>
                <w:rFonts w:ascii="Arial" w:cs="Arial" w:eastAsia="Arial" w:hAnsi="Arial"/>
                <w:sz w:val="18"/>
                <w:szCs w:val="18"/>
                <w:color w:val="auto"/>
              </w:rPr>
              <w:t>marketing, adminstration and operations</w:t>
            </w: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993,000</w:t>
            </w:r>
          </w:p>
        </w:tc>
        <w:tc>
          <w:tcPr>
            <w:tcW w:w="1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230,000</w:t>
            </w: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60" w:type="dxa"/>
            <w:vAlign w:val="bottom"/>
            <w:gridSpan w:val="2"/>
          </w:tcPr>
          <w:p>
            <w:pPr>
              <w:spacing w:after="0"/>
              <w:rPr>
                <w:sz w:val="20"/>
                <w:szCs w:val="20"/>
                <w:color w:val="auto"/>
              </w:rPr>
            </w:pPr>
            <w:r>
              <w:rPr>
                <w:rFonts w:ascii="Arial" w:cs="Arial" w:eastAsia="Arial" w:hAnsi="Arial"/>
                <w:sz w:val="18"/>
                <w:szCs w:val="18"/>
                <w:color w:val="auto"/>
              </w:rPr>
              <w:t>China</w:t>
            </w:r>
          </w:p>
        </w:tc>
        <w:tc>
          <w:tcPr>
            <w:tcW w:w="7440" w:type="dxa"/>
            <w:vAlign w:val="bottom"/>
            <w:gridSpan w:val="3"/>
          </w:tcPr>
          <w:p>
            <w:pPr>
              <w:ind w:left="1760"/>
              <w:spacing w:after="0"/>
              <w:rPr>
                <w:sz w:val="20"/>
                <w:szCs w:val="20"/>
                <w:color w:val="auto"/>
              </w:rPr>
            </w:pPr>
            <w:r>
              <w:rPr>
                <w:rFonts w:ascii="Arial" w:cs="Arial" w:eastAsia="Arial" w:hAnsi="Arial"/>
                <w:sz w:val="18"/>
                <w:szCs w:val="18"/>
                <w:color w:val="auto"/>
              </w:rPr>
              <w:t>Research and design, and sales and marketing</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115,000</w:t>
            </w:r>
          </w:p>
        </w:tc>
        <w:tc>
          <w:tcPr>
            <w:tcW w:w="1740" w:type="dxa"/>
            <w:vAlign w:val="bottom"/>
            <w:gridSpan w:val="2"/>
          </w:tcPr>
          <w:p>
            <w:pPr>
              <w:jc w:val="right"/>
              <w:spacing w:after="0"/>
              <w:rPr>
                <w:sz w:val="20"/>
                <w:szCs w:val="20"/>
                <w:color w:val="auto"/>
              </w:rPr>
            </w:pPr>
            <w:r>
              <w:rPr>
                <w:rFonts w:ascii="Arial" w:cs="Arial" w:eastAsia="Arial" w:hAnsi="Arial"/>
                <w:sz w:val="18"/>
                <w:szCs w:val="18"/>
                <w:color w:val="auto"/>
              </w:rPr>
              <w:t>227,000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Singapore</w:t>
            </w:r>
          </w:p>
        </w:tc>
        <w:tc>
          <w:tcPr>
            <w:tcW w:w="7440" w:type="dxa"/>
            <w:vAlign w:val="bottom"/>
            <w:gridSpan w:val="3"/>
            <w:shd w:val="clear" w:color="auto" w:fill="CCEEFF"/>
          </w:tcPr>
          <w:p>
            <w:pPr>
              <w:ind w:left="1760"/>
              <w:spacing w:after="0"/>
              <w:rPr>
                <w:sz w:val="20"/>
                <w:szCs w:val="20"/>
                <w:color w:val="auto"/>
              </w:rPr>
            </w:pPr>
            <w:r>
              <w:rPr>
                <w:rFonts w:ascii="Arial" w:cs="Arial" w:eastAsia="Arial" w:hAnsi="Arial"/>
                <w:sz w:val="18"/>
                <w:szCs w:val="18"/>
                <w:color w:val="auto"/>
              </w:rPr>
              <w:t>Operations, and research and design</w:t>
            </w: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340,000</w:t>
            </w:r>
          </w:p>
        </w:tc>
        <w:tc>
          <w:tcPr>
            <w:tcW w:w="6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gridSpan w:val="2"/>
          </w:tcPr>
          <w:p>
            <w:pPr>
              <w:spacing w:after="0"/>
              <w:rPr>
                <w:sz w:val="20"/>
                <w:szCs w:val="20"/>
                <w:color w:val="auto"/>
              </w:rPr>
            </w:pPr>
            <w:r>
              <w:rPr>
                <w:rFonts w:ascii="Arial" w:cs="Arial" w:eastAsia="Arial" w:hAnsi="Arial"/>
                <w:sz w:val="18"/>
                <w:szCs w:val="18"/>
                <w:color w:val="auto"/>
              </w:rPr>
              <w:t>Switzerland</w:t>
            </w:r>
          </w:p>
        </w:tc>
        <w:tc>
          <w:tcPr>
            <w:tcW w:w="7440" w:type="dxa"/>
            <w:vAlign w:val="bottom"/>
            <w:gridSpan w:val="3"/>
          </w:tcPr>
          <w:p>
            <w:pPr>
              <w:ind w:left="1760"/>
              <w:spacing w:after="0"/>
              <w:rPr>
                <w:sz w:val="20"/>
                <w:szCs w:val="20"/>
                <w:color w:val="auto"/>
              </w:rPr>
            </w:pPr>
            <w:r>
              <w:rPr>
                <w:rFonts w:ascii="Arial" w:cs="Arial" w:eastAsia="Arial" w:hAnsi="Arial"/>
                <w:sz w:val="18"/>
                <w:szCs w:val="18"/>
                <w:color w:val="auto"/>
              </w:rPr>
              <w:t>Research and design</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26,000</w:t>
            </w:r>
          </w:p>
        </w:tc>
        <w:tc>
          <w:tcPr>
            <w:tcW w:w="6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Israel</w:t>
            </w:r>
          </w:p>
        </w:tc>
        <w:tc>
          <w:tcPr>
            <w:tcW w:w="7440" w:type="dxa"/>
            <w:vAlign w:val="bottom"/>
            <w:gridSpan w:val="3"/>
            <w:shd w:val="clear" w:color="auto" w:fill="CCEEFF"/>
          </w:tcPr>
          <w:p>
            <w:pPr>
              <w:ind w:left="1760"/>
              <w:spacing w:after="0"/>
              <w:rPr>
                <w:sz w:val="20"/>
                <w:szCs w:val="20"/>
                <w:color w:val="auto"/>
              </w:rPr>
            </w:pPr>
            <w:r>
              <w:rPr>
                <w:rFonts w:ascii="Arial" w:cs="Arial" w:eastAsia="Arial" w:hAnsi="Arial"/>
                <w:sz w:val="18"/>
                <w:szCs w:val="18"/>
                <w:color w:val="auto"/>
              </w:rPr>
              <w:t>Research and design</w:t>
            </w:r>
          </w:p>
        </w:tc>
        <w:tc>
          <w:tcPr>
            <w:tcW w:w="9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5680" w:type="dxa"/>
            <w:vAlign w:val="bottom"/>
            <w:gridSpan w:val="2"/>
          </w:tcPr>
          <w:p>
            <w:pPr>
              <w:jc w:val="center"/>
              <w:ind w:right="520"/>
              <w:spacing w:after="0"/>
              <w:rPr>
                <w:sz w:val="20"/>
                <w:szCs w:val="20"/>
                <w:color w:val="auto"/>
              </w:rPr>
            </w:pPr>
            <w:r>
              <w:rPr>
                <w:rFonts w:ascii="Arial" w:cs="Arial" w:eastAsia="Arial" w:hAnsi="Arial"/>
                <w:sz w:val="18"/>
                <w:szCs w:val="18"/>
                <w:b w:val="1"/>
                <w:bCs w:val="1"/>
                <w:color w:val="auto"/>
                <w:w w:val="92"/>
              </w:rPr>
              <w:t>Total</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1,474,000</w:t>
            </w:r>
          </w:p>
        </w:tc>
        <w:tc>
          <w:tcPr>
            <w:tcW w:w="20" w:type="dxa"/>
            <w:vAlign w:val="bottom"/>
            <w:tcBorders>
              <w:bottom w:val="single" w:sz="8" w:color="auto"/>
            </w:tcBorders>
          </w:tcPr>
          <w:p>
            <w:pPr>
              <w:spacing w:after="0"/>
              <w:rPr>
                <w:sz w:val="19"/>
                <w:szCs w:val="19"/>
                <w:color w:val="auto"/>
              </w:rPr>
            </w:pPr>
          </w:p>
        </w:tc>
        <w:tc>
          <w:tcPr>
            <w:tcW w:w="600" w:type="dxa"/>
            <w:vAlign w:val="bottom"/>
          </w:tcPr>
          <w:p>
            <w:pPr>
              <w:spacing w:after="0"/>
              <w:rPr>
                <w:sz w:val="19"/>
                <w:szCs w:val="19"/>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802,000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600" w:type="dxa"/>
            <w:vAlign w:val="bottom"/>
            <w:tcBorders>
              <w:bottom w:val="single" w:sz="8" w:color="auto"/>
            </w:tcBorders>
          </w:tcPr>
          <w:p>
            <w:pPr>
              <w:spacing w:after="0"/>
              <w:rPr>
                <w:sz w:val="8"/>
                <w:szCs w:val="8"/>
                <w:color w:val="auto"/>
              </w:rPr>
            </w:pPr>
          </w:p>
        </w:tc>
        <w:tc>
          <w:tcPr>
            <w:tcW w:w="560" w:type="dxa"/>
            <w:vAlign w:val="bottom"/>
            <w:tcBorders>
              <w:bottom w:val="single" w:sz="8" w:color="auto"/>
            </w:tcBorders>
          </w:tcPr>
          <w:p>
            <w:pPr>
              <w:spacing w:after="0"/>
              <w:rPr>
                <w:sz w:val="8"/>
                <w:szCs w:val="8"/>
                <w:color w:val="auto"/>
              </w:rPr>
            </w:pPr>
          </w:p>
        </w:tc>
        <w:tc>
          <w:tcPr>
            <w:tcW w:w="1760" w:type="dxa"/>
            <w:vAlign w:val="bottom"/>
          </w:tcPr>
          <w:p>
            <w:pPr>
              <w:spacing w:after="0"/>
              <w:rPr>
                <w:sz w:val="8"/>
                <w:szCs w:val="8"/>
                <w:color w:val="auto"/>
              </w:rPr>
            </w:pPr>
          </w:p>
        </w:tc>
        <w:tc>
          <w:tcPr>
            <w:tcW w:w="5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960" w:type="dxa"/>
            <w:vAlign w:val="bottom"/>
          </w:tcPr>
          <w:p>
            <w:pPr>
              <w:spacing w:after="0"/>
              <w:rPr>
                <w:sz w:val="8"/>
                <w:szCs w:val="8"/>
                <w:color w:val="auto"/>
              </w:rPr>
            </w:pPr>
          </w:p>
        </w:tc>
        <w:tc>
          <w:tcPr>
            <w:tcW w:w="20" w:type="dxa"/>
            <w:vAlign w:val="bottom"/>
          </w:tcPr>
          <w:p>
            <w:pPr>
              <w:spacing w:after="0"/>
              <w:rPr>
                <w:sz w:val="8"/>
                <w:szCs w:val="8"/>
                <w:color w:val="auto"/>
              </w:rPr>
            </w:pPr>
          </w:p>
        </w:tc>
        <w:tc>
          <w:tcPr>
            <w:tcW w:w="6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hanging="452"/>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Lease terms expire in various years from 2015 through 2021.</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also lease smaller facilities in India, Taiwan, Spain, Japan, Canada, South Korea, Sweden, Germany, Malaysia, and Italy which are occupied by administrative, sales, design and field application personnel. Based upon our estimates of future hiring, we believe that our current facilities in most locations will be adequate to meet our requirements at least through the next fiscal year.</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information set forth under “Note 10 – Commitments and Contingencies” in our Notes to the Consolidated Financial Statements set forth in Part II, Item 8 of this Annual Report on Form 10-K is incorporated herein by reference. For additional discussion of certain risks associated with legal proceedings, please see Part I, Item 1A, “Risk Factors” above.</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Mine Safety Disclosures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380"/>
          </w:cols>
          <w:pgMar w:left="240" w:top="459" w:right="2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12" w:lineRule="exact"/>
        <w:rPr>
          <w:sz w:val="20"/>
          <w:szCs w:val="20"/>
          <w:color w:val="auto"/>
        </w:rPr>
      </w:pPr>
    </w:p>
    <w:p>
      <w:pPr>
        <w:ind w:right="2220"/>
        <w:spacing w:after="0" w:line="347" w:lineRule="auto"/>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Shareholder Matters and Issuer Purchases of Equity Securities</w:t>
      </w:r>
      <w:r>
        <w:rPr>
          <w:rFonts w:ascii="Arial" w:cs="Arial" w:eastAsia="Arial" w:hAnsi="Arial"/>
          <w:sz w:val="18"/>
          <w:szCs w:val="18"/>
          <w:b w:val="1"/>
          <w:bCs w:val="1"/>
          <w:color w:val="auto"/>
        </w:rPr>
        <w:t xml:space="preserve"> Market Information</w:t>
      </w:r>
    </w:p>
    <w:p>
      <w:pPr>
        <w:spacing w:after="0" w:line="2"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 For fiscal 2015 and fiscal 2014, the following table shows for the periods indicated the high and low sales prices for our common shares on the NASDAQ Global Select Market.</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1820" w:type="dxa"/>
            <w:vAlign w:val="bottom"/>
            <w:gridSpan w:val="5"/>
          </w:tcPr>
          <w:p>
            <w:pPr>
              <w:ind w:left="380"/>
              <w:spacing w:after="0"/>
              <w:rPr>
                <w:sz w:val="20"/>
                <w:szCs w:val="20"/>
                <w:color w:val="auto"/>
              </w:rPr>
            </w:pPr>
            <w:r>
              <w:rPr>
                <w:rFonts w:ascii="Arial" w:cs="Arial" w:eastAsia="Arial" w:hAnsi="Arial"/>
                <w:sz w:val="14"/>
                <w:szCs w:val="14"/>
                <w:b w:val="1"/>
                <w:bCs w:val="1"/>
                <w:color w:val="auto"/>
              </w:rPr>
              <w:t>Fiscal 2015</w:t>
            </w:r>
          </w:p>
        </w:tc>
        <w:tc>
          <w:tcPr>
            <w:tcW w:w="1520" w:type="dxa"/>
            <w:vAlign w:val="bottom"/>
            <w:gridSpan w:val="5"/>
          </w:tcPr>
          <w:p>
            <w:pPr>
              <w:ind w:left="400"/>
              <w:spacing w:after="0"/>
              <w:rPr>
                <w:sz w:val="20"/>
                <w:szCs w:val="20"/>
                <w:color w:val="auto"/>
              </w:rPr>
            </w:pPr>
            <w:r>
              <w:rPr>
                <w:rFonts w:ascii="Arial" w:cs="Arial" w:eastAsia="Arial" w:hAnsi="Arial"/>
                <w:sz w:val="14"/>
                <w:szCs w:val="14"/>
                <w:b w:val="1"/>
                <w:bCs w:val="1"/>
                <w:color w:val="auto"/>
              </w:rPr>
              <w:t>Fiscal 2014</w:t>
            </w:r>
          </w:p>
        </w:tc>
      </w:tr>
      <w:tr>
        <w:trPr>
          <w:trHeight w:val="142"/>
        </w:trPr>
        <w:tc>
          <w:tcPr>
            <w:tcW w:w="458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700" w:type="dxa"/>
            <w:vAlign w:val="bottom"/>
            <w:tcBorders>
              <w:top w:val="single" w:sz="8" w:color="auto"/>
            </w:tcBorders>
            <w:gridSpan w:val="2"/>
          </w:tcPr>
          <w:p>
            <w:pPr>
              <w:ind w:left="100"/>
              <w:spacing w:after="0" w:line="142" w:lineRule="exact"/>
              <w:rPr>
                <w:sz w:val="20"/>
                <w:szCs w:val="20"/>
                <w:color w:val="auto"/>
              </w:rPr>
            </w:pPr>
            <w:r>
              <w:rPr>
                <w:rFonts w:ascii="Arial" w:cs="Arial" w:eastAsia="Arial" w:hAnsi="Arial"/>
                <w:sz w:val="14"/>
                <w:szCs w:val="14"/>
                <w:b w:val="1"/>
                <w:bCs w:val="1"/>
                <w:color w:val="auto"/>
              </w:rPr>
              <w:t>High</w:t>
            </w:r>
          </w:p>
        </w:tc>
        <w:tc>
          <w:tcPr>
            <w:tcW w:w="20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ind w:left="140"/>
              <w:spacing w:after="0" w:line="142" w:lineRule="exact"/>
              <w:rPr>
                <w:sz w:val="20"/>
                <w:szCs w:val="20"/>
                <w:color w:val="auto"/>
              </w:rPr>
            </w:pPr>
            <w:r>
              <w:rPr>
                <w:rFonts w:ascii="Arial" w:cs="Arial" w:eastAsia="Arial" w:hAnsi="Arial"/>
                <w:sz w:val="14"/>
                <w:szCs w:val="14"/>
                <w:b w:val="1"/>
                <w:bCs w:val="1"/>
                <w:color w:val="auto"/>
              </w:rPr>
              <w:t>Low</w:t>
            </w:r>
          </w:p>
        </w:tc>
        <w:tc>
          <w:tcPr>
            <w:tcW w:w="420" w:type="dxa"/>
            <w:vAlign w:val="bottom"/>
          </w:tcPr>
          <w:p>
            <w:pPr>
              <w:spacing w:after="0"/>
              <w:rPr>
                <w:sz w:val="12"/>
                <w:szCs w:val="12"/>
                <w:color w:val="auto"/>
              </w:rPr>
            </w:pPr>
          </w:p>
        </w:tc>
        <w:tc>
          <w:tcPr>
            <w:tcW w:w="920" w:type="dxa"/>
            <w:vAlign w:val="bottom"/>
            <w:tcBorders>
              <w:top w:val="single" w:sz="8" w:color="auto"/>
            </w:tcBorders>
            <w:gridSpan w:val="2"/>
          </w:tcPr>
          <w:p>
            <w:pPr>
              <w:jc w:val="center"/>
              <w:ind w:right="400"/>
              <w:spacing w:after="0" w:line="142" w:lineRule="exact"/>
              <w:rPr>
                <w:sz w:val="20"/>
                <w:szCs w:val="20"/>
                <w:color w:val="auto"/>
              </w:rPr>
            </w:pPr>
            <w:r>
              <w:rPr>
                <w:rFonts w:ascii="Arial" w:cs="Arial" w:eastAsia="Arial" w:hAnsi="Arial"/>
                <w:sz w:val="14"/>
                <w:szCs w:val="14"/>
                <w:b w:val="1"/>
                <w:bCs w:val="1"/>
                <w:color w:val="auto"/>
                <w:w w:val="89"/>
              </w:rPr>
              <w:t>High</w:t>
            </w:r>
          </w:p>
        </w:tc>
        <w:tc>
          <w:tcPr>
            <w:tcW w:w="100" w:type="dxa"/>
            <w:vAlign w:val="bottom"/>
            <w:tcBorders>
              <w:top w:val="single" w:sz="8" w:color="auto"/>
            </w:tcBorders>
          </w:tcPr>
          <w:p>
            <w:pPr>
              <w:spacing w:after="0"/>
              <w:rPr>
                <w:sz w:val="12"/>
                <w:szCs w:val="12"/>
                <w:color w:val="auto"/>
              </w:rPr>
            </w:pPr>
          </w:p>
        </w:tc>
        <w:tc>
          <w:tcPr>
            <w:tcW w:w="400" w:type="dxa"/>
            <w:vAlign w:val="bottom"/>
            <w:tcBorders>
              <w:top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92"/>
              </w:rPr>
              <w:t>Low</w:t>
            </w:r>
          </w:p>
        </w:tc>
        <w:tc>
          <w:tcPr>
            <w:tcW w:w="100" w:type="dxa"/>
            <w:vAlign w:val="bottom"/>
          </w:tcPr>
          <w:p>
            <w:pPr>
              <w:spacing w:after="0"/>
              <w:rPr>
                <w:sz w:val="12"/>
                <w:szCs w:val="12"/>
                <w:color w:val="auto"/>
              </w:rPr>
            </w:pPr>
          </w:p>
        </w:tc>
      </w:tr>
      <w:tr>
        <w:trPr>
          <w:trHeight w:val="210"/>
        </w:trPr>
        <w:tc>
          <w:tcPr>
            <w:tcW w:w="45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First Quarter</w:t>
            </w:r>
          </w:p>
        </w:tc>
        <w:tc>
          <w:tcPr>
            <w:tcW w:w="350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$16.65</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87"/>
              </w:rPr>
              <w:t>$14.33</w:t>
            </w:r>
          </w:p>
        </w:tc>
        <w:tc>
          <w:tcPr>
            <w:tcW w:w="4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$10.99</w:t>
            </w: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9.16</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Second Quarter</w:t>
            </w:r>
          </w:p>
        </w:tc>
        <w:tc>
          <w:tcPr>
            <w:tcW w:w="4200" w:type="dxa"/>
            <w:vAlign w:val="bottom"/>
            <w:gridSpan w:val="3"/>
          </w:tcPr>
          <w:p>
            <w:pPr>
              <w:jc w:val="right"/>
              <w:ind w:right="200"/>
              <w:spacing w:after="0"/>
              <w:rPr>
                <w:sz w:val="20"/>
                <w:szCs w:val="20"/>
                <w:color w:val="auto"/>
              </w:rPr>
            </w:pPr>
            <w:r>
              <w:rPr>
                <w:rFonts w:ascii="Arial" w:cs="Arial" w:eastAsia="Arial" w:hAnsi="Arial"/>
                <w:sz w:val="18"/>
                <w:szCs w:val="18"/>
                <w:color w:val="auto"/>
              </w:rPr>
              <w:t>$16.09</w:t>
            </w:r>
          </w:p>
        </w:tc>
        <w:tc>
          <w:tcPr>
            <w:tcW w:w="1120" w:type="dxa"/>
            <w:vAlign w:val="bottom"/>
            <w:gridSpan w:val="3"/>
          </w:tcPr>
          <w:p>
            <w:pPr>
              <w:ind w:left="200"/>
              <w:spacing w:after="0"/>
              <w:rPr>
                <w:sz w:val="20"/>
                <w:szCs w:val="20"/>
                <w:color w:val="auto"/>
              </w:rPr>
            </w:pPr>
            <w:r>
              <w:rPr>
                <w:rFonts w:ascii="Arial" w:cs="Arial" w:eastAsia="Arial" w:hAnsi="Arial"/>
                <w:sz w:val="18"/>
                <w:szCs w:val="18"/>
                <w:color w:val="auto"/>
              </w:rPr>
              <w:t>$13.10</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$13.18</w:t>
            </w:r>
          </w:p>
        </w:tc>
        <w:tc>
          <w:tcPr>
            <w:tcW w:w="4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10.46</w:t>
            </w:r>
          </w:p>
        </w:tc>
        <w:tc>
          <w:tcPr>
            <w:tcW w:w="100" w:type="dxa"/>
            <w:vAlign w:val="bottom"/>
          </w:tcPr>
          <w:p>
            <w:pPr>
              <w:spacing w:after="0"/>
              <w:rPr>
                <w:sz w:val="18"/>
                <w:szCs w:val="18"/>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42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$14.25</w:t>
            </w:r>
          </w:p>
        </w:tc>
        <w:tc>
          <w:tcPr>
            <w:tcW w:w="112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$ 11.65</w:t>
            </w: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$13.51</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10.87</w:t>
            </w:r>
          </w:p>
        </w:tc>
        <w:tc>
          <w:tcPr>
            <w:tcW w:w="100" w:type="dxa"/>
            <w:vAlign w:val="bottom"/>
            <w:shd w:val="clear" w:color="auto" w:fill="CCEEFF"/>
          </w:tcPr>
          <w:p>
            <w:pPr>
              <w:spacing w:after="0"/>
              <w:rPr>
                <w:sz w:val="18"/>
                <w:szCs w:val="18"/>
                <w:color w:val="auto"/>
              </w:rPr>
            </w:pPr>
          </w:p>
        </w:tc>
      </w:tr>
      <w:tr>
        <w:trPr>
          <w:trHeight w:val="222"/>
        </w:trPr>
        <w:tc>
          <w:tcPr>
            <w:tcW w:w="4580" w:type="dxa"/>
            <w:vAlign w:val="bottom"/>
          </w:tcPr>
          <w:p>
            <w:pPr>
              <w:spacing w:after="0"/>
              <w:rPr>
                <w:sz w:val="20"/>
                <w:szCs w:val="20"/>
                <w:color w:val="auto"/>
              </w:rPr>
            </w:pPr>
            <w:r>
              <w:rPr>
                <w:rFonts w:ascii="Arial" w:cs="Arial" w:eastAsia="Arial" w:hAnsi="Arial"/>
                <w:sz w:val="18"/>
                <w:szCs w:val="18"/>
                <w:color w:val="auto"/>
              </w:rPr>
              <w:t>Fourth Quarter</w:t>
            </w:r>
          </w:p>
        </w:tc>
        <w:tc>
          <w:tcPr>
            <w:tcW w:w="4200" w:type="dxa"/>
            <w:vAlign w:val="bottom"/>
            <w:gridSpan w:val="3"/>
          </w:tcPr>
          <w:p>
            <w:pPr>
              <w:jc w:val="right"/>
              <w:ind w:right="200"/>
              <w:spacing w:after="0"/>
              <w:rPr>
                <w:sz w:val="20"/>
                <w:szCs w:val="20"/>
                <w:color w:val="auto"/>
              </w:rPr>
            </w:pPr>
            <w:r>
              <w:rPr>
                <w:rFonts w:ascii="Arial" w:cs="Arial" w:eastAsia="Arial" w:hAnsi="Arial"/>
                <w:sz w:val="18"/>
                <w:szCs w:val="18"/>
                <w:color w:val="auto"/>
              </w:rPr>
              <w:t>$16.19</w:t>
            </w:r>
          </w:p>
        </w:tc>
        <w:tc>
          <w:tcPr>
            <w:tcW w:w="1120" w:type="dxa"/>
            <w:vAlign w:val="bottom"/>
            <w:gridSpan w:val="3"/>
          </w:tcPr>
          <w:p>
            <w:pPr>
              <w:ind w:left="200"/>
              <w:spacing w:after="0"/>
              <w:rPr>
                <w:sz w:val="20"/>
                <w:szCs w:val="20"/>
                <w:color w:val="auto"/>
              </w:rPr>
            </w:pPr>
            <w:r>
              <w:rPr>
                <w:rFonts w:ascii="Arial" w:cs="Arial" w:eastAsia="Arial" w:hAnsi="Arial"/>
                <w:sz w:val="18"/>
                <w:szCs w:val="18"/>
                <w:color w:val="auto"/>
              </w:rPr>
              <w:t>$12.76</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$15.82</w:t>
            </w:r>
          </w:p>
        </w:tc>
        <w:tc>
          <w:tcPr>
            <w:tcW w:w="4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11.78</w:t>
            </w:r>
          </w:p>
        </w:tc>
        <w:tc>
          <w:tcPr>
            <w:tcW w:w="100" w:type="dxa"/>
            <w:vAlign w:val="bottom"/>
          </w:tcPr>
          <w:p>
            <w:pPr>
              <w:spacing w:after="0"/>
              <w:rPr>
                <w:sz w:val="19"/>
                <w:szCs w:val="19"/>
                <w:color w:val="auto"/>
              </w:rPr>
            </w:pPr>
          </w:p>
        </w:tc>
      </w:tr>
    </w:tbl>
    <w:p>
      <w:pPr>
        <w:spacing w:after="0" w:line="147"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As of March 19, 2015, the approximate number of record holders of our common shares was 138 (not including beneficial owners of stock held in street name).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132"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January 30, 2010 through January 31, 2015. The graph compares a $100 investment on January 30, 2010 in our common share with a $100 investment on January 30, 2010 in each index and assumes that any dividends were reinvested.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1240155</wp:posOffset>
            </wp:positionH>
            <wp:positionV relativeFrom="paragraph">
              <wp:posOffset>121920</wp:posOffset>
            </wp:positionV>
            <wp:extent cx="4776470" cy="40646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4776470" cy="40646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3300" w:type="dxa"/>
            <w:vAlign w:val="bottom"/>
            <w:gridSpan w:val="2"/>
          </w:tcPr>
          <w:p>
            <w:pPr>
              <w:ind w:left="2800"/>
              <w:spacing w:after="0"/>
              <w:rPr>
                <w:sz w:val="20"/>
                <w:szCs w:val="20"/>
                <w:color w:val="auto"/>
              </w:rPr>
            </w:pPr>
            <w:r>
              <w:rPr>
                <w:rFonts w:ascii="Arial" w:cs="Arial" w:eastAsia="Arial" w:hAnsi="Arial"/>
                <w:sz w:val="14"/>
                <w:szCs w:val="14"/>
                <w:b w:val="1"/>
                <w:bCs w:val="1"/>
                <w:color w:val="auto"/>
              </w:rPr>
              <w:t>1/30/10</w:t>
            </w:r>
          </w:p>
        </w:tc>
        <w:tc>
          <w:tcPr>
            <w:tcW w:w="200" w:type="dxa"/>
            <w:vAlign w:val="bottom"/>
          </w:tcPr>
          <w:p>
            <w:pPr>
              <w:spacing w:after="0"/>
              <w:rPr>
                <w:sz w:val="14"/>
                <w:szCs w:val="14"/>
                <w:color w:val="auto"/>
              </w:rPr>
            </w:pPr>
          </w:p>
        </w:tc>
        <w:tc>
          <w:tcPr>
            <w:tcW w:w="580" w:type="dxa"/>
            <w:vAlign w:val="bottom"/>
          </w:tcPr>
          <w:p>
            <w:pPr>
              <w:ind w:left="80"/>
              <w:spacing w:after="0"/>
              <w:rPr>
                <w:sz w:val="20"/>
                <w:szCs w:val="20"/>
                <w:color w:val="auto"/>
              </w:rPr>
            </w:pPr>
            <w:r>
              <w:rPr>
                <w:rFonts w:ascii="Arial" w:cs="Arial" w:eastAsia="Arial" w:hAnsi="Arial"/>
                <w:sz w:val="14"/>
                <w:szCs w:val="14"/>
                <w:b w:val="1"/>
                <w:bCs w:val="1"/>
                <w:color w:val="auto"/>
              </w:rPr>
              <w:t>1/29/11</w:t>
            </w:r>
          </w:p>
        </w:tc>
        <w:tc>
          <w:tcPr>
            <w:tcW w:w="2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rPr>
              <w:t>1/28/12</w:t>
            </w:r>
          </w:p>
        </w:tc>
        <w:tc>
          <w:tcPr>
            <w:tcW w:w="200" w:type="dxa"/>
            <w:vAlign w:val="bottom"/>
          </w:tcPr>
          <w:p>
            <w:pPr>
              <w:spacing w:after="0"/>
              <w:rPr>
                <w:sz w:val="14"/>
                <w:szCs w:val="14"/>
                <w:color w:val="auto"/>
              </w:rPr>
            </w:pPr>
          </w:p>
        </w:tc>
        <w:tc>
          <w:tcPr>
            <w:tcW w:w="600" w:type="dxa"/>
            <w:vAlign w:val="bottom"/>
          </w:tcPr>
          <w:p>
            <w:pPr>
              <w:jc w:val="right"/>
              <w:ind w:right="37"/>
              <w:spacing w:after="0"/>
              <w:rPr>
                <w:sz w:val="20"/>
                <w:szCs w:val="20"/>
                <w:color w:val="auto"/>
              </w:rPr>
            </w:pPr>
            <w:r>
              <w:rPr>
                <w:rFonts w:ascii="Arial" w:cs="Arial" w:eastAsia="Arial" w:hAnsi="Arial"/>
                <w:sz w:val="14"/>
                <w:szCs w:val="14"/>
                <w:b w:val="1"/>
                <w:bCs w:val="1"/>
                <w:color w:val="auto"/>
              </w:rPr>
              <w:t>2/2/13</w:t>
            </w:r>
          </w:p>
        </w:tc>
        <w:tc>
          <w:tcPr>
            <w:tcW w:w="200" w:type="dxa"/>
            <w:vAlign w:val="bottom"/>
          </w:tcPr>
          <w:p>
            <w:pPr>
              <w:spacing w:after="0"/>
              <w:rPr>
                <w:sz w:val="14"/>
                <w:szCs w:val="14"/>
                <w:color w:val="auto"/>
              </w:rPr>
            </w:pPr>
          </w:p>
        </w:tc>
        <w:tc>
          <w:tcPr>
            <w:tcW w:w="600" w:type="dxa"/>
            <w:vAlign w:val="bottom"/>
          </w:tcPr>
          <w:p>
            <w:pPr>
              <w:jc w:val="right"/>
              <w:ind w:right="37"/>
              <w:spacing w:after="0"/>
              <w:rPr>
                <w:sz w:val="20"/>
                <w:szCs w:val="20"/>
                <w:color w:val="auto"/>
              </w:rPr>
            </w:pPr>
            <w:r>
              <w:rPr>
                <w:rFonts w:ascii="Arial" w:cs="Arial" w:eastAsia="Arial" w:hAnsi="Arial"/>
                <w:sz w:val="14"/>
                <w:szCs w:val="14"/>
                <w:b w:val="1"/>
                <w:bCs w:val="1"/>
                <w:color w:val="auto"/>
              </w:rPr>
              <w:t>2/1/14</w:t>
            </w:r>
          </w:p>
        </w:tc>
        <w:tc>
          <w:tcPr>
            <w:tcW w:w="220" w:type="dxa"/>
            <w:vAlign w:val="bottom"/>
          </w:tcPr>
          <w:p>
            <w:pPr>
              <w:spacing w:after="0"/>
              <w:rPr>
                <w:sz w:val="14"/>
                <w:szCs w:val="14"/>
                <w:color w:val="auto"/>
              </w:rPr>
            </w:pPr>
          </w:p>
        </w:tc>
        <w:tc>
          <w:tcPr>
            <w:tcW w:w="600" w:type="dxa"/>
            <w:vAlign w:val="bottom"/>
          </w:tcPr>
          <w:p>
            <w:pPr>
              <w:jc w:val="right"/>
              <w:ind w:right="17"/>
              <w:spacing w:after="0"/>
              <w:rPr>
                <w:sz w:val="20"/>
                <w:szCs w:val="20"/>
                <w:color w:val="auto"/>
              </w:rPr>
            </w:pPr>
            <w:r>
              <w:rPr>
                <w:rFonts w:ascii="Arial" w:cs="Arial" w:eastAsia="Arial" w:hAnsi="Arial"/>
                <w:sz w:val="14"/>
                <w:szCs w:val="14"/>
                <w:b w:val="1"/>
                <w:bCs w:val="1"/>
                <w:color w:val="auto"/>
              </w:rPr>
              <w:t>1/31/15</w:t>
            </w:r>
          </w:p>
        </w:tc>
        <w:tc>
          <w:tcPr>
            <w:tcW w:w="120" w:type="dxa"/>
            <w:vAlign w:val="bottom"/>
          </w:tcPr>
          <w:p>
            <w:pPr>
              <w:spacing w:after="0"/>
              <w:rPr>
                <w:sz w:val="14"/>
                <w:szCs w:val="14"/>
                <w:color w:val="auto"/>
              </w:rPr>
            </w:pPr>
          </w:p>
        </w:tc>
      </w:tr>
      <w:tr>
        <w:trPr>
          <w:trHeight w:val="210"/>
        </w:trPr>
        <w:tc>
          <w:tcPr>
            <w:tcW w:w="4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Marvell Technology Group Ltd.</w:t>
            </w:r>
          </w:p>
        </w:tc>
        <w:tc>
          <w:tcPr>
            <w:tcW w:w="27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ind w:left="100"/>
              <w:spacing w:after="0"/>
              <w:rPr>
                <w:sz w:val="20"/>
                <w:szCs w:val="20"/>
                <w:color w:val="auto"/>
              </w:rPr>
            </w:pPr>
            <w:r>
              <w:rPr>
                <w:rFonts w:ascii="Arial" w:cs="Arial" w:eastAsia="Arial" w:hAnsi="Arial"/>
                <w:sz w:val="18"/>
                <w:szCs w:val="18"/>
                <w:b w:val="1"/>
                <w:bCs w:val="1"/>
                <w:color w:val="auto"/>
                <w:w w:val="83"/>
              </w:rPr>
              <w:t>100.00</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ind w:left="100"/>
              <w:spacing w:after="0"/>
              <w:rPr>
                <w:sz w:val="20"/>
                <w:szCs w:val="20"/>
                <w:color w:val="auto"/>
              </w:rPr>
            </w:pPr>
            <w:r>
              <w:rPr>
                <w:rFonts w:ascii="Arial" w:cs="Arial" w:eastAsia="Arial" w:hAnsi="Arial"/>
                <w:sz w:val="18"/>
                <w:szCs w:val="18"/>
                <w:b w:val="1"/>
                <w:bCs w:val="1"/>
                <w:color w:val="auto"/>
                <w:w w:val="83"/>
              </w:rPr>
              <w:t>109.93</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90.59</w:t>
            </w:r>
          </w:p>
        </w:tc>
        <w:tc>
          <w:tcPr>
            <w:tcW w:w="20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55.50</w:t>
            </w:r>
          </w:p>
        </w:tc>
        <w:tc>
          <w:tcPr>
            <w:tcW w:w="20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88.97</w:t>
            </w:r>
          </w:p>
        </w:tc>
        <w:tc>
          <w:tcPr>
            <w:tcW w:w="22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93.81</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4020" w:type="dxa"/>
            <w:vAlign w:val="bottom"/>
          </w:tcPr>
          <w:p>
            <w:pPr>
              <w:spacing w:after="0"/>
              <w:rPr>
                <w:sz w:val="20"/>
                <w:szCs w:val="20"/>
                <w:color w:val="auto"/>
              </w:rPr>
            </w:pPr>
            <w:r>
              <w:rPr>
                <w:rFonts w:ascii="Arial" w:cs="Arial" w:eastAsia="Arial" w:hAnsi="Arial"/>
                <w:sz w:val="18"/>
                <w:szCs w:val="18"/>
                <w:b w:val="1"/>
                <w:bCs w:val="1"/>
                <w:color w:val="auto"/>
              </w:rPr>
              <w:t>S&amp;P 500</w:t>
            </w:r>
          </w:p>
        </w:tc>
        <w:tc>
          <w:tcPr>
            <w:tcW w:w="3500" w:type="dxa"/>
            <w:vAlign w:val="bottom"/>
            <w:gridSpan w:val="3"/>
          </w:tcPr>
          <w:p>
            <w:pPr>
              <w:ind w:left="2820"/>
              <w:spacing w:after="0"/>
              <w:rPr>
                <w:sz w:val="20"/>
                <w:szCs w:val="20"/>
                <w:color w:val="auto"/>
              </w:rPr>
            </w:pPr>
            <w:r>
              <w:rPr>
                <w:rFonts w:ascii="Arial" w:cs="Arial" w:eastAsia="Arial" w:hAnsi="Arial"/>
                <w:sz w:val="18"/>
                <w:szCs w:val="18"/>
                <w:b w:val="1"/>
                <w:bCs w:val="1"/>
                <w:color w:val="auto"/>
              </w:rPr>
              <w:t>100.00</w:t>
            </w:r>
          </w:p>
        </w:tc>
        <w:tc>
          <w:tcPr>
            <w:tcW w:w="580" w:type="dxa"/>
            <w:vAlign w:val="bottom"/>
          </w:tcPr>
          <w:p>
            <w:pPr>
              <w:ind w:left="100"/>
              <w:spacing w:after="0"/>
              <w:rPr>
                <w:sz w:val="20"/>
                <w:szCs w:val="20"/>
                <w:color w:val="auto"/>
              </w:rPr>
            </w:pPr>
            <w:r>
              <w:rPr>
                <w:rFonts w:ascii="Arial" w:cs="Arial" w:eastAsia="Arial" w:hAnsi="Arial"/>
                <w:sz w:val="18"/>
                <w:szCs w:val="18"/>
                <w:b w:val="1"/>
                <w:bCs w:val="1"/>
                <w:color w:val="auto"/>
                <w:w w:val="83"/>
              </w:rPr>
              <w:t>122.19</w:t>
            </w:r>
          </w:p>
        </w:tc>
        <w:tc>
          <w:tcPr>
            <w:tcW w:w="2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b w:val="1"/>
                <w:bCs w:val="1"/>
                <w:color w:val="auto"/>
              </w:rPr>
              <w:t>127.34</w:t>
            </w:r>
          </w:p>
        </w:tc>
        <w:tc>
          <w:tcPr>
            <w:tcW w:w="800" w:type="dxa"/>
            <w:vAlign w:val="bottom"/>
            <w:gridSpan w:val="2"/>
          </w:tcPr>
          <w:p>
            <w:pPr>
              <w:jc w:val="right"/>
              <w:ind w:right="200"/>
              <w:spacing w:after="0"/>
              <w:rPr>
                <w:sz w:val="20"/>
                <w:szCs w:val="20"/>
                <w:color w:val="auto"/>
              </w:rPr>
            </w:pPr>
            <w:r>
              <w:rPr>
                <w:rFonts w:ascii="Arial" w:cs="Arial" w:eastAsia="Arial" w:hAnsi="Arial"/>
                <w:sz w:val="18"/>
                <w:szCs w:val="18"/>
                <w:b w:val="1"/>
                <w:bCs w:val="1"/>
                <w:color w:val="auto"/>
              </w:rPr>
              <w:t>148.71</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b w:val="1"/>
                <w:bCs w:val="1"/>
                <w:color w:val="auto"/>
              </w:rPr>
              <w:t>180.70</w:t>
            </w:r>
          </w:p>
        </w:tc>
        <w:tc>
          <w:tcPr>
            <w:tcW w:w="600" w:type="dxa"/>
            <w:vAlign w:val="bottom"/>
          </w:tcPr>
          <w:p>
            <w:pPr>
              <w:jc w:val="right"/>
              <w:spacing w:after="0"/>
              <w:rPr>
                <w:sz w:val="20"/>
                <w:szCs w:val="20"/>
                <w:color w:val="auto"/>
              </w:rPr>
            </w:pPr>
            <w:r>
              <w:rPr>
                <w:rFonts w:ascii="Arial" w:cs="Arial" w:eastAsia="Arial" w:hAnsi="Arial"/>
                <w:sz w:val="18"/>
                <w:szCs w:val="18"/>
                <w:b w:val="1"/>
                <w:bCs w:val="1"/>
                <w:color w:val="auto"/>
              </w:rPr>
              <w:t>206.41</w:t>
            </w:r>
          </w:p>
        </w:tc>
        <w:tc>
          <w:tcPr>
            <w:tcW w:w="120" w:type="dxa"/>
            <w:vAlign w:val="bottom"/>
          </w:tcPr>
          <w:p>
            <w:pPr>
              <w:spacing w:after="0"/>
              <w:rPr>
                <w:sz w:val="18"/>
                <w:szCs w:val="18"/>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PHLX Semiconductor</w:t>
            </w:r>
          </w:p>
        </w:tc>
        <w:tc>
          <w:tcPr>
            <w:tcW w:w="3500" w:type="dxa"/>
            <w:vAlign w:val="bottom"/>
            <w:gridSpan w:val="3"/>
            <w:shd w:val="clear" w:color="auto" w:fill="CCEEFF"/>
          </w:tcPr>
          <w:p>
            <w:pPr>
              <w:ind w:left="2820"/>
              <w:spacing w:after="0"/>
              <w:rPr>
                <w:sz w:val="20"/>
                <w:szCs w:val="20"/>
                <w:color w:val="auto"/>
              </w:rPr>
            </w:pPr>
            <w:r>
              <w:rPr>
                <w:rFonts w:ascii="Arial" w:cs="Arial" w:eastAsia="Arial" w:hAnsi="Arial"/>
                <w:sz w:val="18"/>
                <w:szCs w:val="18"/>
                <w:b w:val="1"/>
                <w:bCs w:val="1"/>
                <w:color w:val="auto"/>
              </w:rPr>
              <w:t>100.00</w:t>
            </w:r>
          </w:p>
        </w:tc>
        <w:tc>
          <w:tcPr>
            <w:tcW w:w="580" w:type="dxa"/>
            <w:vAlign w:val="bottom"/>
            <w:shd w:val="clear" w:color="auto" w:fill="CCEEFF"/>
          </w:tcPr>
          <w:p>
            <w:pPr>
              <w:ind w:left="100"/>
              <w:spacing w:after="0"/>
              <w:rPr>
                <w:sz w:val="20"/>
                <w:szCs w:val="20"/>
                <w:color w:val="auto"/>
              </w:rPr>
            </w:pPr>
            <w:r>
              <w:rPr>
                <w:rFonts w:ascii="Arial" w:cs="Arial" w:eastAsia="Arial" w:hAnsi="Arial"/>
                <w:sz w:val="18"/>
                <w:szCs w:val="18"/>
                <w:b w:val="1"/>
                <w:bCs w:val="1"/>
                <w:color w:val="auto"/>
                <w:w w:val="83"/>
              </w:rPr>
              <w:t>137.51</w:t>
            </w: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143.45</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154.30</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b w:val="1"/>
                <w:bCs w:val="1"/>
                <w:color w:val="auto"/>
              </w:rPr>
              <w:t>185.27</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227.64</w:t>
            </w:r>
          </w:p>
        </w:tc>
        <w:tc>
          <w:tcPr>
            <w:tcW w:w="120" w:type="dxa"/>
            <w:vAlign w:val="bottom"/>
            <w:shd w:val="clear" w:color="auto" w:fill="CCEEFF"/>
          </w:tcPr>
          <w:p>
            <w:pPr>
              <w:spacing w:after="0"/>
              <w:rPr>
                <w:sz w:val="18"/>
                <w:szCs w:val="18"/>
                <w:color w:val="auto"/>
              </w:rPr>
            </w:pPr>
          </w:p>
        </w:tc>
      </w:tr>
      <w:tr>
        <w:trPr>
          <w:trHeight w:val="363"/>
        </w:trPr>
        <w:tc>
          <w:tcPr>
            <w:tcW w:w="4020" w:type="dxa"/>
            <w:vAlign w:val="bottom"/>
          </w:tcPr>
          <w:p>
            <w:pPr>
              <w:spacing w:after="0"/>
              <w:rPr>
                <w:sz w:val="24"/>
                <w:szCs w:val="24"/>
                <w:color w:val="auto"/>
              </w:rPr>
            </w:pPr>
          </w:p>
        </w:tc>
        <w:tc>
          <w:tcPr>
            <w:tcW w:w="2720" w:type="dxa"/>
            <w:vAlign w:val="bottom"/>
          </w:tcPr>
          <w:p>
            <w:pPr>
              <w:jc w:val="right"/>
              <w:ind w:right="857"/>
              <w:spacing w:after="0"/>
              <w:rPr>
                <w:sz w:val="20"/>
                <w:szCs w:val="20"/>
                <w:color w:val="auto"/>
              </w:rPr>
            </w:pPr>
            <w:r>
              <w:rPr>
                <w:rFonts w:ascii="Arial" w:cs="Arial" w:eastAsia="Arial" w:hAnsi="Arial"/>
                <w:sz w:val="18"/>
                <w:szCs w:val="18"/>
                <w:color w:val="auto"/>
              </w:rPr>
              <w:t>31</w:t>
            </w: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96" w:lineRule="exact"/>
        <w:rPr>
          <w:sz w:val="20"/>
          <w:szCs w:val="20"/>
          <w:color w:val="auto"/>
        </w:rPr>
      </w:pPr>
    </w:p>
    <w:p>
      <w:pPr>
        <w:ind w:right="340" w:firstLine="456"/>
        <w:spacing w:after="0" w:line="332" w:lineRule="auto"/>
        <w:rPr>
          <w:sz w:val="20"/>
          <w:szCs w:val="20"/>
          <w:color w:val="auto"/>
        </w:rPr>
      </w:pPr>
      <w:r>
        <w:rPr>
          <w:rFonts w:ascii="Arial" w:cs="Arial" w:eastAsia="Arial" w:hAnsi="Arial"/>
          <w:sz w:val="16"/>
          <w:szCs w:val="16"/>
          <w:color w:val="auto"/>
        </w:rPr>
        <w:t>Our board of directors declared quarterly cash dividends of $0.06 per share payable to holders of our common shares in each quarter of fiscal 2015 and fiscal 2014. As a result, we paid total cash dividends of $122.8 million and $119.4 million in fiscal 2015 and 2014, respectively.</w:t>
      </w:r>
    </w:p>
    <w:p>
      <w:pPr>
        <w:spacing w:after="0" w:line="85"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Future payment of a regular quarterly cash dividend on our common shares will be subject to, among other things, the best interests of the Company, our results of operations, cash balances and future cash requirements, financial condition, statutory requirements under Bermuda law and other factors that our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January 31, 2015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5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Total Number of</w:t>
            </w:r>
          </w:p>
        </w:tc>
        <w:tc>
          <w:tcPr>
            <w:tcW w:w="380" w:type="dxa"/>
            <w:vAlign w:val="bottom"/>
          </w:tcPr>
          <w:p>
            <w:pPr>
              <w:spacing w:after="0"/>
              <w:rPr>
                <w:sz w:val="14"/>
                <w:szCs w:val="14"/>
                <w:color w:val="auto"/>
              </w:rPr>
            </w:pPr>
          </w:p>
        </w:tc>
        <w:tc>
          <w:tcPr>
            <w:tcW w:w="140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0"/>
              </w:rPr>
              <w:t>Approximated Dollar</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5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3"/>
              </w:rPr>
              <w:t>Shares Purchased as</w:t>
            </w:r>
          </w:p>
        </w:tc>
        <w:tc>
          <w:tcPr>
            <w:tcW w:w="380" w:type="dxa"/>
            <w:vAlign w:val="bottom"/>
          </w:tcPr>
          <w:p>
            <w:pPr>
              <w:spacing w:after="0"/>
              <w:rPr>
                <w:sz w:val="12"/>
                <w:szCs w:val="12"/>
                <w:color w:val="auto"/>
              </w:rPr>
            </w:pPr>
          </w:p>
        </w:tc>
        <w:tc>
          <w:tcPr>
            <w:tcW w:w="140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Value of Shares that</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98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7"/>
              </w:rPr>
              <w:t>Total Number of</w:t>
            </w:r>
          </w:p>
        </w:tc>
        <w:tc>
          <w:tcPr>
            <w:tcW w:w="720" w:type="dxa"/>
            <w:vAlign w:val="bottom"/>
          </w:tcPr>
          <w:p>
            <w:pPr>
              <w:spacing w:after="0"/>
              <w:rPr>
                <w:sz w:val="12"/>
                <w:szCs w:val="12"/>
                <w:color w:val="auto"/>
              </w:rPr>
            </w:pPr>
          </w:p>
        </w:tc>
        <w:tc>
          <w:tcPr>
            <w:tcW w:w="138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Average</w:t>
            </w:r>
          </w:p>
        </w:tc>
        <w:tc>
          <w:tcPr>
            <w:tcW w:w="15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Part of Publicly</w:t>
            </w:r>
          </w:p>
        </w:tc>
        <w:tc>
          <w:tcPr>
            <w:tcW w:w="380" w:type="dxa"/>
            <w:vAlign w:val="bottom"/>
          </w:tcPr>
          <w:p>
            <w:pPr>
              <w:spacing w:after="0"/>
              <w:rPr>
                <w:sz w:val="12"/>
                <w:szCs w:val="12"/>
                <w:color w:val="auto"/>
              </w:rPr>
            </w:pPr>
          </w:p>
        </w:tc>
        <w:tc>
          <w:tcPr>
            <w:tcW w:w="14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1"/>
              </w:rPr>
              <w:t>May Yet Be Purchased</w:t>
            </w:r>
          </w:p>
        </w:tc>
        <w:tc>
          <w:tcPr>
            <w:tcW w:w="0" w:type="dxa"/>
            <w:vAlign w:val="bottom"/>
          </w:tcPr>
          <w:p>
            <w:pPr>
              <w:spacing w:after="0"/>
              <w:rPr>
                <w:sz w:val="1"/>
                <w:szCs w:val="1"/>
                <w:color w:val="auto"/>
              </w:rPr>
            </w:pPr>
          </w:p>
        </w:tc>
      </w:tr>
      <w:tr>
        <w:trPr>
          <w:trHeight w:val="149"/>
        </w:trPr>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4600" w:type="dxa"/>
            <w:vAlign w:val="bottom"/>
            <w:gridSpan w:val="2"/>
            <w:vMerge w:val="restart"/>
          </w:tcPr>
          <w:p>
            <w:pPr>
              <w:spacing w:after="0"/>
              <w:rPr>
                <w:sz w:val="12"/>
                <w:szCs w:val="12"/>
                <w:color w:val="auto"/>
              </w:rPr>
            </w:pPr>
          </w:p>
        </w:tc>
        <w:tc>
          <w:tcPr>
            <w:tcW w:w="98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1"/>
              </w:rPr>
              <w:t>Shares</w:t>
            </w:r>
          </w:p>
        </w:tc>
        <w:tc>
          <w:tcPr>
            <w:tcW w:w="720" w:type="dxa"/>
            <w:vAlign w:val="bottom"/>
          </w:tcPr>
          <w:p>
            <w:pPr>
              <w:spacing w:after="0"/>
              <w:rPr>
                <w:sz w:val="12"/>
                <w:szCs w:val="12"/>
                <w:color w:val="auto"/>
              </w:rPr>
            </w:pPr>
          </w:p>
        </w:tc>
        <w:tc>
          <w:tcPr>
            <w:tcW w:w="13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Price Paid</w:t>
            </w:r>
          </w:p>
        </w:tc>
        <w:tc>
          <w:tcPr>
            <w:tcW w:w="15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Announced Plans or</w:t>
            </w: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Under the Plans or</w:t>
            </w:r>
          </w:p>
        </w:tc>
        <w:tc>
          <w:tcPr>
            <w:tcW w:w="0" w:type="dxa"/>
            <w:vAlign w:val="bottom"/>
          </w:tcPr>
          <w:p>
            <w:pPr>
              <w:spacing w:after="0"/>
              <w:rPr>
                <w:sz w:val="1"/>
                <w:szCs w:val="1"/>
                <w:color w:val="auto"/>
              </w:rPr>
            </w:pPr>
          </w:p>
        </w:tc>
      </w:tr>
      <w:tr>
        <w:trPr>
          <w:trHeight w:val="168"/>
        </w:trPr>
        <w:tc>
          <w:tcPr>
            <w:tcW w:w="400" w:type="dxa"/>
            <w:vAlign w:val="bottom"/>
            <w:tcBorders>
              <w:bottom w:val="single" w:sz="8" w:color="auto"/>
            </w:tcBorders>
            <w:vMerge w:val="continue"/>
          </w:tcPr>
          <w:p>
            <w:pPr>
              <w:spacing w:after="0"/>
              <w:rPr>
                <w:sz w:val="14"/>
                <w:szCs w:val="14"/>
                <w:color w:val="auto"/>
              </w:rPr>
            </w:pPr>
          </w:p>
        </w:tc>
        <w:tc>
          <w:tcPr>
            <w:tcW w:w="4600" w:type="dxa"/>
            <w:vAlign w:val="bottom"/>
            <w:gridSpan w:val="2"/>
            <w:vMerge w:val="continue"/>
          </w:tcPr>
          <w:p>
            <w:pPr>
              <w:spacing w:after="0"/>
              <w:rPr>
                <w:sz w:val="14"/>
                <w:szCs w:val="14"/>
                <w:color w:val="auto"/>
              </w:rPr>
            </w:pPr>
          </w:p>
        </w:tc>
        <w:tc>
          <w:tcPr>
            <w:tcW w:w="980" w:type="dxa"/>
            <w:vAlign w:val="bottom"/>
            <w:gridSpan w:val="2"/>
          </w:tcPr>
          <w:p>
            <w:pPr>
              <w:jc w:val="center"/>
              <w:ind w:right="40"/>
              <w:spacing w:after="0" w:line="148" w:lineRule="exact"/>
              <w:rPr>
                <w:sz w:val="20"/>
                <w:szCs w:val="20"/>
                <w:color w:val="auto"/>
              </w:rPr>
            </w:pPr>
            <w:r>
              <w:rPr>
                <w:rFonts w:ascii="Arial" w:cs="Arial" w:eastAsia="Arial" w:hAnsi="Arial"/>
                <w:sz w:val="14"/>
                <w:szCs w:val="14"/>
                <w:b w:val="1"/>
                <w:bCs w:val="1"/>
                <w:color w:val="auto"/>
                <w:w w:val="86"/>
              </w:rPr>
              <w:t>Purchased</w:t>
            </w:r>
          </w:p>
        </w:tc>
        <w:tc>
          <w:tcPr>
            <w:tcW w:w="720" w:type="dxa"/>
            <w:vAlign w:val="bottom"/>
          </w:tcPr>
          <w:p>
            <w:pPr>
              <w:spacing w:after="0"/>
              <w:rPr>
                <w:sz w:val="14"/>
                <w:szCs w:val="14"/>
                <w:color w:val="auto"/>
              </w:rPr>
            </w:pPr>
          </w:p>
        </w:tc>
        <w:tc>
          <w:tcPr>
            <w:tcW w:w="138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rPr>
              <w:t>per Share</w:t>
            </w:r>
          </w:p>
        </w:tc>
        <w:tc>
          <w:tcPr>
            <w:tcW w:w="156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85"/>
              </w:rPr>
              <w:t>Programs</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0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85"/>
              </w:rPr>
              <w:t>Programs (1)</w:t>
            </w:r>
          </w:p>
        </w:tc>
        <w:tc>
          <w:tcPr>
            <w:tcW w:w="0" w:type="dxa"/>
            <w:vAlign w:val="bottom"/>
          </w:tcPr>
          <w:p>
            <w:pPr>
              <w:spacing w:after="0"/>
              <w:rPr>
                <w:sz w:val="1"/>
                <w:szCs w:val="1"/>
                <w:color w:val="auto"/>
              </w:rPr>
            </w:pPr>
          </w:p>
        </w:tc>
      </w:tr>
      <w:tr>
        <w:trPr>
          <w:trHeight w:val="203"/>
        </w:trPr>
        <w:tc>
          <w:tcPr>
            <w:tcW w:w="500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November 2 — November 29, 2014</w:t>
            </w: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108,300</w:t>
            </w:r>
          </w:p>
        </w:tc>
        <w:tc>
          <w:tcPr>
            <w:tcW w:w="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4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13.84</w:t>
            </w:r>
          </w:p>
        </w:tc>
        <w:tc>
          <w:tcPr>
            <w:tcW w:w="760" w:type="dxa"/>
            <w:vAlign w:val="bottom"/>
            <w:tcBorders>
              <w:top w:val="single" w:sz="8" w:color="CCEEFF"/>
            </w:tcBorders>
            <w:shd w:val="clear" w:color="auto" w:fill="CCEEFF"/>
          </w:tcPr>
          <w:p>
            <w:pPr>
              <w:spacing w:after="0"/>
              <w:rPr>
                <w:sz w:val="17"/>
                <w:szCs w:val="17"/>
                <w:color w:val="auto"/>
              </w:rPr>
            </w:pPr>
          </w:p>
        </w:tc>
        <w:tc>
          <w:tcPr>
            <w:tcW w:w="11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108,300</w:t>
            </w:r>
          </w:p>
        </w:tc>
        <w:tc>
          <w:tcPr>
            <w:tcW w:w="38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211,918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000" w:type="dxa"/>
            <w:vAlign w:val="bottom"/>
            <w:gridSpan w:val="3"/>
          </w:tcPr>
          <w:p>
            <w:pPr>
              <w:spacing w:after="0"/>
              <w:rPr>
                <w:sz w:val="20"/>
                <w:szCs w:val="20"/>
                <w:color w:val="auto"/>
              </w:rPr>
            </w:pPr>
            <w:r>
              <w:rPr>
                <w:rFonts w:ascii="Arial" w:cs="Arial" w:eastAsia="Arial" w:hAnsi="Arial"/>
                <w:sz w:val="18"/>
                <w:szCs w:val="18"/>
                <w:color w:val="auto"/>
              </w:rPr>
              <w:t>November 30 — December 27, 2014</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1,069,174</w:t>
            </w:r>
          </w:p>
        </w:tc>
        <w:tc>
          <w:tcPr>
            <w:tcW w:w="88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760"/>
              <w:spacing w:after="0"/>
              <w:rPr>
                <w:sz w:val="20"/>
                <w:szCs w:val="20"/>
                <w:color w:val="auto"/>
              </w:rPr>
            </w:pPr>
            <w:r>
              <w:rPr>
                <w:rFonts w:ascii="Arial" w:cs="Arial" w:eastAsia="Arial" w:hAnsi="Arial"/>
                <w:sz w:val="18"/>
                <w:szCs w:val="18"/>
                <w:color w:val="auto"/>
                <w:w w:val="97"/>
              </w:rPr>
              <w:t>14.25</w:t>
            </w:r>
          </w:p>
        </w:tc>
        <w:tc>
          <w:tcPr>
            <w:tcW w:w="1560" w:type="dxa"/>
            <w:vAlign w:val="bottom"/>
            <w:gridSpan w:val="2"/>
          </w:tcPr>
          <w:p>
            <w:pPr>
              <w:jc w:val="right"/>
              <w:ind w:right="380"/>
              <w:spacing w:after="0"/>
              <w:rPr>
                <w:sz w:val="20"/>
                <w:szCs w:val="20"/>
                <w:color w:val="auto"/>
              </w:rPr>
            </w:pPr>
            <w:r>
              <w:rPr>
                <w:rFonts w:ascii="Arial" w:cs="Arial" w:eastAsia="Arial" w:hAnsi="Arial"/>
                <w:sz w:val="18"/>
                <w:szCs w:val="18"/>
                <w:color w:val="auto"/>
              </w:rPr>
              <w:t>1,069,174</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446,671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December 28 — January 31, 2015</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225,900</w:t>
            </w:r>
          </w:p>
        </w:tc>
        <w:tc>
          <w:tcPr>
            <w:tcW w:w="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w w:val="97"/>
              </w:rPr>
              <w:t>14.22</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225,900</w:t>
            </w:r>
          </w:p>
        </w:tc>
        <w:tc>
          <w:tcPr>
            <w:tcW w:w="38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443,457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000" w:type="dxa"/>
            <w:vAlign w:val="bottom"/>
            <w:gridSpan w:val="3"/>
          </w:tcPr>
          <w:p>
            <w:pPr>
              <w:spacing w:after="0"/>
              <w:rPr>
                <w:sz w:val="20"/>
                <w:szCs w:val="20"/>
                <w:color w:val="auto"/>
              </w:rPr>
            </w:pPr>
            <w:r>
              <w:rPr>
                <w:rFonts w:ascii="Arial" w:cs="Arial" w:eastAsia="Arial" w:hAnsi="Arial"/>
                <w:sz w:val="18"/>
                <w:szCs w:val="18"/>
                <w:color w:val="auto"/>
              </w:rPr>
              <w:t>Total</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1,403,374</w:t>
            </w:r>
          </w:p>
        </w:tc>
        <w:tc>
          <w:tcPr>
            <w:tcW w:w="88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760"/>
              <w:spacing w:after="0"/>
              <w:rPr>
                <w:sz w:val="20"/>
                <w:szCs w:val="20"/>
                <w:color w:val="auto"/>
              </w:rPr>
            </w:pPr>
            <w:r>
              <w:rPr>
                <w:rFonts w:ascii="Arial" w:cs="Arial" w:eastAsia="Arial" w:hAnsi="Arial"/>
                <w:sz w:val="18"/>
                <w:szCs w:val="18"/>
                <w:color w:val="auto"/>
                <w:w w:val="97"/>
              </w:rPr>
              <w:t>14.21</w:t>
            </w:r>
          </w:p>
        </w:tc>
        <w:tc>
          <w:tcPr>
            <w:tcW w:w="1560" w:type="dxa"/>
            <w:vAlign w:val="bottom"/>
            <w:gridSpan w:val="2"/>
          </w:tcPr>
          <w:p>
            <w:pPr>
              <w:jc w:val="right"/>
              <w:ind w:right="380"/>
              <w:spacing w:after="0"/>
              <w:rPr>
                <w:sz w:val="20"/>
                <w:szCs w:val="20"/>
                <w:color w:val="auto"/>
              </w:rPr>
            </w:pPr>
            <w:r>
              <w:rPr>
                <w:rFonts w:ascii="Arial" w:cs="Arial" w:eastAsia="Arial" w:hAnsi="Arial"/>
                <w:sz w:val="18"/>
                <w:szCs w:val="18"/>
                <w:color w:val="auto"/>
              </w:rPr>
              <w:t>1,403,374</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443,457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0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3840" w:type="dxa"/>
            <w:vAlign w:val="bottom"/>
          </w:tcPr>
          <w:p>
            <w:pPr>
              <w:spacing w:after="0"/>
              <w:rPr>
                <w:sz w:val="8"/>
                <w:szCs w:val="8"/>
                <w:color w:val="auto"/>
              </w:rPr>
            </w:pPr>
          </w:p>
        </w:tc>
        <w:tc>
          <w:tcPr>
            <w:tcW w:w="960" w:type="dxa"/>
            <w:vAlign w:val="bottom"/>
          </w:tcPr>
          <w:p>
            <w:pPr>
              <w:spacing w:after="0"/>
              <w:rPr>
                <w:sz w:val="8"/>
                <w:szCs w:val="8"/>
                <w:color w:val="auto"/>
              </w:rPr>
            </w:pPr>
          </w:p>
        </w:tc>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60" w:type="dxa"/>
            <w:vAlign w:val="bottom"/>
          </w:tcPr>
          <w:p>
            <w:pPr>
              <w:spacing w:after="0"/>
              <w:rPr>
                <w:sz w:val="8"/>
                <w:szCs w:val="8"/>
                <w:color w:val="auto"/>
              </w:rPr>
            </w:pPr>
          </w:p>
        </w:tc>
        <w:tc>
          <w:tcPr>
            <w:tcW w:w="7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00" w:hanging="452"/>
        <w:spacing w:after="0" w:line="290" w:lineRule="auto"/>
        <w:tabs>
          <w:tab w:leader="none" w:pos="4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Our board of directors authorized an additional $1.5 billion in fiscal 2012, $1.0 billion in fiscal 2013 and $250 million in fiscal 2015 to be used to repurchase our common shares under the share repurchase program for a total available under the program of $3.25 billion.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96"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14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8"/>
              </w:rPr>
              <w:t>January 31,</w:t>
            </w:r>
          </w:p>
        </w:tc>
        <w:tc>
          <w:tcPr>
            <w:tcW w:w="98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2"/>
              </w:rPr>
              <w:t>February 1,</w:t>
            </w:r>
          </w:p>
        </w:tc>
        <w:tc>
          <w:tcPr>
            <w:tcW w:w="16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5"/>
              </w:rPr>
              <w:t>February 2,</w:t>
            </w:r>
          </w:p>
        </w:tc>
        <w:tc>
          <w:tcPr>
            <w:tcW w:w="300" w:type="dxa"/>
            <w:vAlign w:val="bottom"/>
          </w:tcPr>
          <w:p>
            <w:pPr>
              <w:spacing w:after="0"/>
              <w:rPr>
                <w:sz w:val="14"/>
                <w:szCs w:val="14"/>
                <w:color w:val="auto"/>
              </w:rPr>
            </w:pPr>
          </w:p>
        </w:tc>
        <w:tc>
          <w:tcPr>
            <w:tcW w:w="840" w:type="dxa"/>
            <w:vAlign w:val="bottom"/>
            <w:gridSpan w:val="2"/>
          </w:tcPr>
          <w:p>
            <w:pPr>
              <w:jc w:val="right"/>
              <w:spacing w:after="0"/>
              <w:rPr>
                <w:sz w:val="20"/>
                <w:szCs w:val="20"/>
                <w:color w:val="auto"/>
              </w:rPr>
            </w:pPr>
            <w:r>
              <w:rPr>
                <w:rFonts w:ascii="Arial" w:cs="Arial" w:eastAsia="Arial" w:hAnsi="Arial"/>
                <w:sz w:val="14"/>
                <w:szCs w:val="14"/>
                <w:b w:val="1"/>
                <w:bCs w:val="1"/>
                <w:color w:val="auto"/>
                <w:w w:val="95"/>
              </w:rPr>
              <w:t>January 28,</w:t>
            </w:r>
          </w:p>
        </w:tc>
        <w:tc>
          <w:tcPr>
            <w:tcW w:w="300" w:type="dxa"/>
            <w:vAlign w:val="bottom"/>
          </w:tcPr>
          <w:p>
            <w:pPr>
              <w:spacing w:after="0"/>
              <w:rPr>
                <w:sz w:val="14"/>
                <w:szCs w:val="14"/>
                <w:color w:val="auto"/>
              </w:rPr>
            </w:pPr>
          </w:p>
        </w:tc>
        <w:tc>
          <w:tcPr>
            <w:tcW w:w="9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5"/>
              </w:rPr>
              <w:t>January 29,</w:t>
            </w: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9"/>
              </w:rPr>
              <w:t>2015 (1)</w:t>
            </w: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2014 (2)</w:t>
            </w:r>
          </w:p>
        </w:tc>
        <w:tc>
          <w:tcPr>
            <w:tcW w:w="1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2013 (3)</w:t>
            </w: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w w:val="95"/>
              </w:rPr>
              <w:t>2012 (4)</w:t>
            </w: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w w:val="99"/>
              </w:rPr>
              <w:t>2011 (5)</w:t>
            </w:r>
          </w:p>
        </w:tc>
        <w:tc>
          <w:tcPr>
            <w:tcW w:w="10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560" w:type="dxa"/>
            <w:vAlign w:val="bottom"/>
            <w:gridSpan w:val="13"/>
          </w:tcPr>
          <w:p>
            <w:pPr>
              <w:jc w:val="right"/>
              <w:spacing w:after="0" w:line="142" w:lineRule="exact"/>
              <w:rPr>
                <w:sz w:val="20"/>
                <w:szCs w:val="20"/>
                <w:color w:val="auto"/>
              </w:rPr>
            </w:pPr>
            <w:r>
              <w:rPr>
                <w:rFonts w:ascii="Arial" w:cs="Arial" w:eastAsia="Arial" w:hAnsi="Arial"/>
                <w:sz w:val="14"/>
                <w:szCs w:val="14"/>
                <w:b w:val="1"/>
                <w:bCs w:val="1"/>
                <w:color w:val="auto"/>
                <w:w w:val="99"/>
              </w:rPr>
              <w:t>(in thousands, except per share amounts and number of employees)</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Statements of Operations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revenue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3,706,963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3,404,400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3,168,630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3,393,040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3,611,893</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1,843,706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1,663,730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1,493,497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1,465,805</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1,473,274</w:t>
            </w:r>
          </w:p>
        </w:tc>
      </w:tr>
      <w:tr>
        <w:trPr>
          <w:trHeight w:val="216"/>
        </w:trPr>
        <w:tc>
          <w:tcPr>
            <w:tcW w:w="20" w:type="dxa"/>
            <w:vAlign w:val="bottom"/>
          </w:tcPr>
          <w:p>
            <w:pPr>
              <w:spacing w:after="0"/>
              <w:rPr>
                <w:sz w:val="18"/>
                <w:szCs w:val="18"/>
                <w:color w:val="auto"/>
              </w:rPr>
            </w:pPr>
          </w:p>
        </w:tc>
        <w:tc>
          <w:tcPr>
            <w:tcW w:w="59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1,164,059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1,156,885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1,057,445</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1,013,678</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897,578</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408,819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280,691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294,657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604,146</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901,192</w:t>
            </w:r>
          </w:p>
        </w:tc>
      </w:tr>
      <w:tr>
        <w:trPr>
          <w:trHeight w:val="223"/>
        </w:trPr>
        <w:tc>
          <w:tcPr>
            <w:tcW w:w="20" w:type="dxa"/>
            <w:vAlign w:val="bottom"/>
          </w:tcPr>
          <w:p>
            <w:pPr>
              <w:spacing w:after="0"/>
              <w:rPr>
                <w:sz w:val="19"/>
                <w:szCs w:val="19"/>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435,346</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315,320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306,585</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615,091</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904,129</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Basic</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0.85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0.64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0.55</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1.01</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1.39</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0.84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0.63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0.99</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1.34</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Weighted average shares: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511,089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496,518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555,310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607,857</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648,347</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Diluted</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520,760</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504,413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563,123</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623,268</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676,878</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2,529,555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1,969,405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1,918,990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2,246,498</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2,930,030</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2,706,644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2,187,914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1,977,458</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2,489,407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3,071,961</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assets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5,884,387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5,451,010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5,261,764</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5,767,619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6,338,157</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5,146,089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4,675,910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4,484,595</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5,014,018</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5,521,869</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b w:val="1"/>
                <w:bCs w:val="1"/>
                <w:color w:val="auto"/>
              </w:rPr>
              <w:t>Other Data:</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Cash dividends declared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22"/>
        </w:trPr>
        <w:tc>
          <w:tcPr>
            <w:tcW w:w="20" w:type="dxa"/>
            <w:vAlign w:val="bottom"/>
          </w:tcPr>
          <w:p>
            <w:pPr>
              <w:spacing w:after="0"/>
              <w:rPr>
                <w:sz w:val="19"/>
                <w:szCs w:val="19"/>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Number of employees</w:t>
            </w:r>
          </w:p>
        </w:tc>
        <w:tc>
          <w:tcPr>
            <w:tcW w:w="10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7,163</w:t>
            </w:r>
          </w:p>
        </w:tc>
        <w:tc>
          <w:tcPr>
            <w:tcW w:w="10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7,355</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7,259</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6,970</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5,893</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360" w:hanging="452"/>
        <w:spacing w:after="0" w:line="253"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Fiscal 2015 includes $13.8 million of restructuring and other exit-related costs that include $3.4 million for the write off of in-process research and development (“IPR&amp;D”), and $3.2 million related to a loss from a contract termination, an $8.8 million gain from the sale of an investment, and a $7.3 million of costs associated with the surety bond to appeal the CMU judgment.</w:t>
      </w:r>
    </w:p>
    <w:p>
      <w:pPr>
        <w:ind w:left="460" w:right="160" w:hanging="452"/>
        <w:spacing w:after="0" w:line="281" w:lineRule="auto"/>
        <w:tabs>
          <w:tab w:leader="none" w:pos="4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Fiscal 2014 includes $14.7 million for litigation settlements, an $8.1 million charge for the impairment of an intangible asset, a $7.0 million gain from the sale of a business, and $4.7 million of restructuring and other exit-related costs. The litigation settlements do not relate to our litigation with CMU.</w:t>
      </w:r>
    </w:p>
    <w:p>
      <w:pPr>
        <w:spacing w:after="0" w:line="1" w:lineRule="exact"/>
        <w:rPr>
          <w:rFonts w:ascii="Arial" w:cs="Arial" w:eastAsia="Arial" w:hAnsi="Arial"/>
          <w:sz w:val="16"/>
          <w:szCs w:val="16"/>
          <w:color w:val="auto"/>
        </w:rPr>
      </w:pPr>
    </w:p>
    <w:p>
      <w:pPr>
        <w:ind w:left="460" w:right="160" w:hanging="452"/>
        <w:spacing w:after="0" w:line="250"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Fiscal 2013 includes $5.7 million for an expense related to an ongoing litigation matter and $4.9 million for expenses related to acquisitions in prior fiscal years.</w:t>
      </w:r>
    </w:p>
    <w:p>
      <w:pPr>
        <w:ind w:left="460" w:hanging="452"/>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Fiscal 2012 includes $6.7 million for litigation settlements and assessments of payroll taxes on employee benefits in certain jurisdictions.</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Fiscal 2011 includes $8.5 million for litigation settlements.</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143" w:lineRule="exact"/>
        <w:rPr>
          <w:sz w:val="20"/>
          <w:szCs w:val="20"/>
          <w:color w:val="auto"/>
        </w:rPr>
      </w:pPr>
    </w:p>
    <w:p>
      <w:pPr>
        <w:ind w:firstLine="456"/>
        <w:spacing w:after="0" w:line="309" w:lineRule="auto"/>
        <w:rPr>
          <w:sz w:val="20"/>
          <w:szCs w:val="20"/>
          <w:color w:val="auto"/>
        </w:rPr>
      </w:pPr>
      <w:r>
        <w:rPr>
          <w:rFonts w:ascii="Arial" w:cs="Arial" w:eastAsia="Arial" w:hAnsi="Arial"/>
          <w:sz w:val="15"/>
          <w:szCs w:val="15"/>
          <w:color w:val="auto"/>
        </w:rPr>
        <w:t>We are a fabless semiconductor provider of high-performance application-specific standard products. Our core strength of expertise is the development of complex SoC and SiP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 mobile handsets, connectivity, IoT devices and other consumer electronics. Our products serve diverse applications used in carrier, metropolitan, enterprise and PC-client data communications and storage systems. Additionally, we serve the consumer electronics market for the convergence of voice, video and data applications. As a fabless integrated circuit company,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fiscal 2015, we experienced growth in net revenue for the second consecutive year. Net revenue in fiscal 2015 reached a record high of $3.7 billion and was 9% higher than net revenue of $3.4 billion in fiscal 2014. The growth was led by a 28% increase in revenue from products for the mobile and wireless end markets, particularly in the first half of fiscal 2015, together with stable year over year growth in the storage market. Moreover, our operating income in fiscal 2015 accelerated more rapidly than revenue as we were able to effectively control our operating expenses. Going into fiscal 2016, we expect revenue growth to be driven by areas such as mobile handsets, tablets, connectivity and smart home devices along with a continued focus on operational execution.</w:t>
      </w:r>
    </w:p>
    <w:p>
      <w:pPr>
        <w:spacing w:after="0" w:line="35" w:lineRule="exact"/>
        <w:rPr>
          <w:sz w:val="20"/>
          <w:szCs w:val="20"/>
          <w:color w:val="auto"/>
        </w:rPr>
      </w:pPr>
    </w:p>
    <w:p>
      <w:pPr>
        <w:ind w:left="900" w:hanging="325"/>
        <w:spacing w:after="0" w:line="287" w:lineRule="auto"/>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In the mobile market, competition and pricing remain fierce, and negatively affected our operating results in the second half of the year. However, we continue to make steady progress with our LTE solutions. Our focus was initially on the LTE market in China where we saw more OEM partners start new 4G LTE smartphone, tablet and mobile broadband device projects with our chipsets. We also expanded into multiple geographies and saw good expansion of our 4G LTE products outside of China with a leading OEM launching our LTE solution in the European market. Last fall, Samsung launched the new Galaxy Mini 4G smartphone and its multi-mode LTE mobile hotspot. We also introduced two new products, our quad-core 64-bit ARMANDA Mobile PXA 1908 platform and our octa-core 64-bit ARMADA Mobile PXA 1936. We expect many of our tier-1 customers in Korea and China to introduce smartphones using these solutions. Despite the positive steps, the ramp of open market smartphones as opposed to the initial “carrier driven” models was faster than anticipated. We are making solid progress in our turnkey LTE platforms including board layout and software to target the open market in China. With the expansion of our LTE solutions to markets outside of China, we will subsequently attempt to bring our turnkey platforms to those markets as well.</w:t>
      </w:r>
    </w:p>
    <w:p>
      <w:pPr>
        <w:spacing w:after="0" w:line="41" w:lineRule="exact"/>
        <w:rPr>
          <w:rFonts w:ascii="Arial" w:cs="Arial" w:eastAsia="Arial" w:hAnsi="Arial"/>
          <w:sz w:val="16"/>
          <w:szCs w:val="16"/>
          <w:color w:val="auto"/>
        </w:rPr>
      </w:pPr>
    </w:p>
    <w:p>
      <w:pPr>
        <w:ind w:left="900" w:right="20" w:hanging="325"/>
        <w:spacing w:after="0" w:line="255"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 the wireless connectivity market, we recently introduced the 4x4 11ac Wave-2 Wi-Fi and SoC platform for enterprise access point and smart home gateway solutions. Our 4x4 11ac devices have been growing our market share in carrier grade access point, supporting tier-1 customers like Cisco Systems, Inc. We believe we are well positioned to further expand into high-performance 4x4 MIMO product categories in both retail and service provider gateways with more devices in the pipeline for launch next year. Our wireless connectivity solutions are being used in game consoles at both</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spacing w:after="0" w:line="287" w:lineRule="auto"/>
        <w:rPr>
          <w:sz w:val="20"/>
          <w:szCs w:val="20"/>
          <w:color w:val="auto"/>
        </w:rPr>
      </w:pPr>
      <w:r>
        <w:rPr>
          <w:rFonts w:ascii="Arial" w:cs="Arial" w:eastAsia="Arial" w:hAnsi="Arial"/>
          <w:sz w:val="16"/>
          <w:szCs w:val="16"/>
          <w:color w:val="auto"/>
        </w:rPr>
        <w:t>Microsoft and Sony. We are seeing new opportunities for our connectivity solutions across multiple market segments. Our Wi-Fi and Zigbee devices are gaining strong adoption in the fast-growing IoT end market. Our EZ-Connect wireless microcontrollers have been well received and we have a strong design pipeline across a broad range of applications including lighting, appliances, home automation and other smart home and commercial IoT applications across China and North American regions. For example, Xiaomi launched a line of smart home products in late fall of 2014 based on our wireless microcontrollers. We are also an early partner in Apple’s HomeKit and we have several tier-1 customers designing HomeKit products using our EZ-Connect microcontrollers. In the video business, we saw strong volume shipments into Google Chromecast in European, South American and Asian markets. On the service provider side of the video business, a leading service provider in Korea launched their 4K platform using our ARMADA 1500 device and we expect several other service providers to start shipping their own version of Internet Protocol television and over-the-top hybrid set-top boxes using our ARMADA 1500 family of video SoC in the near future. For example, one of our leading service providers in France recently launched their set-top box based on the ARMDA 1500 PRO SoC.</w:t>
      </w:r>
    </w:p>
    <w:p>
      <w:pPr>
        <w:spacing w:after="0" w:line="42" w:lineRule="exact"/>
        <w:rPr>
          <w:sz w:val="20"/>
          <w:szCs w:val="20"/>
          <w:color w:val="auto"/>
        </w:rPr>
      </w:pPr>
    </w:p>
    <w:p>
      <w:pPr>
        <w:ind w:left="900" w:right="80" w:hanging="325"/>
        <w:spacing w:after="0" w:line="287" w:lineRule="auto"/>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In the storage market, we continued to execute well and the overall industry appears to have stabilized. Our HDD market remains strong as we continue to experience strong demand for our 500 gigabyte per platter products. We continued to see increased demand for our products used in enterprise drives at a top North America-based HDD customer. We are also continuing to accelerate our investment in next generation HDD technologies. Within the SSD market, our strategy of partnering with top tier OEMs has resulted in excellent traction for our advanced SSD solutions. Earlier this fiscal year, we announced multiple new products including our 5</w:t>
      </w:r>
      <w:r>
        <w:rPr>
          <w:rFonts w:ascii="Arial" w:cs="Arial" w:eastAsia="Arial" w:hAnsi="Arial"/>
          <w:sz w:val="10"/>
          <w:szCs w:val="10"/>
          <w:color w:val="auto"/>
        </w:rPr>
        <w:t>th</w:t>
      </w:r>
      <w:r>
        <w:rPr>
          <w:rFonts w:ascii="Arial" w:cs="Arial" w:eastAsia="Arial" w:hAnsi="Arial"/>
          <w:sz w:val="16"/>
          <w:szCs w:val="16"/>
          <w:color w:val="auto"/>
        </w:rPr>
        <w:t xml:space="preserve"> generation SATA product with LDPC technology to support 3D NAND, as well as 15 nanometer 2D NAND, and a low-cost PCIe-based SSD solution priced similar to our SATA solution but with much higher performance. We continue to gain traction with our SATA SSD controller and are starting to see increased adoption of our PCIe SSD controller. We are also on track to introduce multiple embedded SSD products for the mobile market and expect to generate revenues from these products in fiscal 2016. Despite the drop in market share of one of our major customers, we are working to solidify our leadership position in the market over the next few years.</w:t>
      </w:r>
    </w:p>
    <w:p>
      <w:pPr>
        <w:spacing w:after="0" w:line="41" w:lineRule="exact"/>
        <w:rPr>
          <w:rFonts w:ascii="Arial" w:cs="Arial" w:eastAsia="Arial" w:hAnsi="Arial"/>
          <w:sz w:val="16"/>
          <w:szCs w:val="16"/>
          <w:color w:val="auto"/>
        </w:rPr>
      </w:pPr>
    </w:p>
    <w:p>
      <w:pPr>
        <w:ind w:left="900" w:right="60" w:hanging="325"/>
        <w:spacing w:after="0" w:line="291" w:lineRule="auto"/>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In the networking market, design win momentum continues with new programs that cover low-end fixed solutions to high-end modular platforms in the enterprise and service provider markets, driving new opportunities with our latest family of network processing solutions. We continue to gain traction with our recently introduced Questflo product line of network search engines that broadens our growing networking product portfolio. Today’s traditional TCAM-based solutions are unable to address future scaling requirements and multiple customers are actively engaged with us for next generation solutions. Our SRAM-based Questflo products are targeted for carrier customers and increase capacity using less power delivering better performance-power metrics compared to competitors.</w:t>
      </w:r>
    </w:p>
    <w:p>
      <w:pPr>
        <w:spacing w:after="0" w:line="12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Our cost of goods sold as a percentage of net revenue for fiscal 2015 was higher compared to fiscal 2014. As we expand our presence in the mobile and wireless end markets, we expect our gross margin to face downward pressure, as these end markets generally have lower average gross margins than the rest of our business. However, we expect this growth will result in improvement to total gross margin dollars and operating profit. In addition, we are focused on efforts to improve both aspects of our gross profit, including through cost improvement and pricing.</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our financial position is strong and we remain committed to deliver shareholder value through our share repurchase and dividend programs.</w:t>
      </w:r>
    </w:p>
    <w:p>
      <w:pPr>
        <w:spacing w:after="0" w:line="113" w:lineRule="exact"/>
        <w:rPr>
          <w:sz w:val="20"/>
          <w:szCs w:val="20"/>
          <w:color w:val="auto"/>
        </w:rPr>
      </w:pPr>
    </w:p>
    <w:p>
      <w:pPr>
        <w:ind w:left="900" w:hanging="325"/>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$2.5 billion at January 31, 2015.</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We generated cash flow from operations of $728.9 million during fiscal 2015.</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80" w:hanging="325"/>
        <w:spacing w:after="0" w:line="268" w:lineRule="auto"/>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We paid cash dividends of $0.24 per share for a total of $122.8 million in fiscal 2015 and we recently announced a dividend of $0.06 per share to be paid in the first quarter of fiscal 2016.</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We repurchased 5.1 million of our common shares for $65.0 million in fiscal 2015.</w:t>
      </w:r>
    </w:p>
    <w:p>
      <w:pPr>
        <w:spacing w:after="0" w:line="17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currently involved in a patent litigation action with CMU (See “Risk Factors” under Part I, Item 1A of this Annual Report on Form 10-K and “Note 10 — Commitments and Contingencies” in the Notes to the Consolidated Financial Statements for a further discussion of the risks associated with this matter and other patent litigation matters). A jury has awarded past damages of $1.17 billion, and the Court calculated damages, including enhancement, to total approximately $1.54 billion, and held that, under its decision, CMU is entitled to post judgment interest and an ongoing royalty. Based on the royalty rate assessed by the District Court, such additional royalties for the period of time commencing on the date ordered by the District Court, January 15, 2013, through January 31, 2015 could be as much as $400 million. On May 7, 2014, the District Court entered final judgment and on May 14, 2014, we filed a notice of appeal to the U.S. Court of Appeals for the Federal Circuit in Washington, D.C., which is set for oral argument in April 2015. We have secured certain surety bonds for the duration of the appeal to stay execution of judgment pending the appeal. See “Note 10 — Commitments and Contingencies — Surety Bonds” in the Notes to the Consolidated Financial Statements for a further discussion of these surety bonds. We strongly believe that we do not infringe on the methods described in the CMU patents and that our products use our own internally developed patented read channel technology.</w:t>
      </w:r>
    </w:p>
    <w:p>
      <w:pPr>
        <w:spacing w:after="0" w:line="12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consumer electronics sales are heavily dependent on new product launch timelines and product refreshes. For example, our sales of wireless connectivity products may increase significantly during a period when one of our consumers launches a new gaming console, and these sales may taper significantly after the initial launch period.</w:t>
      </w:r>
    </w:p>
    <w:p>
      <w:pPr>
        <w:spacing w:after="0" w:line="11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Net revenue from one customer was 20%, 24% and 24% for fiscal 2015, 2014 and 2013, respectively. Net revenue from a second customer was 13%, 12% and 10% for fiscal 2015, 2014 and 2013, respectively. In fiscal 2013, net revenue from a third customer was 10%. We had net revenue from one distributor representing 11% and 11% for fiscal 2015 and 2013, respectively. No distributors accounted for 10% or greater of total net revenue in fiscal 2014.</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Most of our sales are made to customers located outside of the United States, primarily in Asia. Sales to customers in Asia represented approximately 96%, 95% and 90% of our net revenue for fiscal 2015, 2014 and 2013, respectively. Because many manufacturers and manufacturing subcontractors of our customers are located in Asia, we expect that most of our net revenue will continue to be represented by sales to our customers in that region. Substantially all of our sales are denominated in U.S. dollars.</w:t>
      </w:r>
    </w:p>
    <w:p>
      <w:pPr>
        <w:spacing w:after="0" w:line="14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preparation of consolidated financial statements in conformity with generally accepted accounting principles in the United States (“GAAP”) requires management to make estimates, judgments and assumptions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380"/>
          </w:cols>
          <w:pgMar w:left="240" w:top="459" w:right="27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89" w:lineRule="auto"/>
        <w:rPr>
          <w:sz w:val="20"/>
          <w:szCs w:val="20"/>
          <w:color w:val="auto"/>
        </w:rPr>
      </w:pPr>
      <w:r>
        <w:rPr>
          <w:rFonts w:ascii="Arial" w:cs="Arial" w:eastAsia="Arial" w:hAnsi="Arial"/>
          <w:sz w:val="16"/>
          <w:szCs w:val="16"/>
          <w:color w:val="auto"/>
        </w:rPr>
        <w:t>that affect the reported amounts of assets, liabilities, revenues and expenses, and related disclosure of contingent assets and liabilities. On an ongoing basis, we evaluate our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we use assumptions when employing the Monte Carlo simulation and Black-Scholes valuation models to calculate the fair value of share-based awards granted.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18"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recognize revenue when there is persuasive evidence of an arrangement, delivery has occurred, the fee is fixed or determinable,</w:t>
      </w:r>
      <w:r>
        <w:rPr>
          <w:rFonts w:ascii="Arial" w:cs="Arial" w:eastAsia="Arial" w:hAnsi="Arial"/>
          <w:sz w:val="18"/>
          <w:szCs w:val="18"/>
          <w:i w:val="1"/>
          <w:iCs w:val="1"/>
          <w:color w:val="auto"/>
        </w:rPr>
        <w:t xml:space="preserve"> </w:t>
      </w:r>
      <w:r>
        <w:rPr>
          <w:rFonts w:ascii="Arial" w:cs="Arial" w:eastAsia="Arial" w:hAnsi="Arial"/>
          <w:sz w:val="18"/>
          <w:szCs w:val="18"/>
          <w:color w:val="auto"/>
        </w:rPr>
        <w:t>and collection is reasonably assured.</w:t>
      </w:r>
    </w:p>
    <w:p>
      <w:pPr>
        <w:spacing w:after="0" w:line="132"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our sales are made through distributors under agreements allowing for price protection, shipped from stock pricing adjustment rights, and limited rights of stock rotation on product unsold by the distributors. Although title passes to the distributor upon shipment terms and payment by our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We do not believe that there is any significant exposure related to impairment of deferred cost of sales, as our historical returns have been minimal and inventory turnover for our distributors generally ranges from 60 to 90 days. Our sales to direct customers are made primarily pursuant to standard purchase orders for delivery of products.</w:t>
      </w:r>
    </w:p>
    <w:p>
      <w:pPr>
        <w:spacing w:after="0" w:line="118"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A portion of our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85"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The provision for estimated sales returns and allowances on product sales is recorded in the same period the related revenues are recorded. These estimates are based on historical sales returns, analysis of credit memo data and other known factors. In addition, payments to our customers, in cases where products with potential quality issues are not returned to us and the related quality issue can otherwise not be verified, or where the amount of the payment is not sufficiently supported by the fair value of the quality issue, may be recorded as a reduction of revenue. Actual returns could differ from these estimates. We account for rebates by recording reductions to revenue in the same period that the related revenue is recorded. The amount of these reductions is based upon the terms agreed to with the customers.</w:t>
      </w:r>
    </w:p>
    <w:p>
      <w:pPr>
        <w:spacing w:after="0" w:line="144" w:lineRule="exact"/>
        <w:rPr>
          <w:sz w:val="20"/>
          <w:szCs w:val="20"/>
          <w:color w:val="auto"/>
        </w:rPr>
      </w:pPr>
    </w:p>
    <w:p>
      <w:pPr>
        <w:ind w:right="260" w:firstLine="456"/>
        <w:spacing w:after="0" w:line="256" w:lineRule="auto"/>
        <w:rPr>
          <w:sz w:val="20"/>
          <w:szCs w:val="20"/>
          <w:color w:val="auto"/>
        </w:rPr>
      </w:pPr>
      <w:r>
        <w:rPr>
          <w:rFonts w:ascii="Arial" w:cs="Arial" w:eastAsia="Arial" w:hAnsi="Arial"/>
          <w:sz w:val="18"/>
          <w:szCs w:val="18"/>
          <w:i w:val="1"/>
          <w:iCs w:val="1"/>
          <w:color w:val="auto"/>
        </w:rPr>
        <w:t xml:space="preserve">Share-based Compensation. </w:t>
      </w:r>
      <w:r>
        <w:rPr>
          <w:rFonts w:ascii="Arial" w:cs="Arial" w:eastAsia="Arial" w:hAnsi="Arial"/>
          <w:sz w:val="18"/>
          <w:szCs w:val="18"/>
          <w:color w:val="auto"/>
        </w:rPr>
        <w:t>We measure our share-based compensation at the grant date, based on the fair value of the award, and is recognized as</w:t>
      </w:r>
      <w:r>
        <w:rPr>
          <w:rFonts w:ascii="Arial" w:cs="Arial" w:eastAsia="Arial" w:hAnsi="Arial"/>
          <w:sz w:val="18"/>
          <w:szCs w:val="18"/>
          <w:i w:val="1"/>
          <w:iCs w:val="1"/>
          <w:color w:val="auto"/>
        </w:rPr>
        <w:t xml:space="preserve"> </w:t>
      </w:r>
      <w:r>
        <w:rPr>
          <w:rFonts w:ascii="Arial" w:cs="Arial" w:eastAsia="Arial" w:hAnsi="Arial"/>
          <w:sz w:val="18"/>
          <w:szCs w:val="18"/>
          <w:color w:val="auto"/>
        </w:rPr>
        <w:t>expense over the requisite service period. We amortize share-based compensation expense for time-based and market-based awards under the straight-line attribution method over the vesting period, which is generally four years for annual grants to employees and five years for new hire grants. Performance-based awards are amortized using the accelerated method.</w:t>
      </w:r>
    </w:p>
    <w:p>
      <w:pPr>
        <w:spacing w:after="0" w:line="143"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estimate the fair value of time-based stock option awards on the date of grant using the Black Scholes option-pricing model. The fair value of market-based option awards is estimated on the date of grant using a Monte Carlo simulation model. The value of the portion of the awards that is ultimately expected to vest is recognized as expense over the requisite service periods. The Black-Scholes and Monte Carlo models incorporate various highly subjective assumptions including expected term of awards, expected future stock price volatility and expected forfeiture rates.</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developing estimates used to calculate assumptions, we establish the expected term for employee options, as well as expected forfeiture rates, based on the historical settlement experience and after giving consideration to vesting schedules. Assumptions for stock option exercises and pre-vesting terminations of stock options were stratified by employee groups with sufficiently distinct behavior patterns. Expected volatility was developed based on an equally weighted combination of historical stock price volatility and implied volatility derived from traded options on our stock in the marketplace. The expected dividend yield is calculated by dividing annualized dividend payments by the closing stock price on the grant date of the option.</w:t>
      </w:r>
    </w:p>
    <w:p>
      <w:pPr>
        <w:spacing w:after="0" w:line="116"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Share-based compensation expense is recorded net of estimated forfeitures such that expense is recorded only for those share-based awards that are expected to vest. Previously recognized expense is reversed for the portion of awards forfeited prior to vesting as and when forfeitures occurred.</w:t>
      </w:r>
    </w:p>
    <w:p>
      <w:pPr>
        <w:spacing w:after="0" w:line="10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for both stock options and restricted stock units, we are required to estimate forfeiture rates, and true up these forfeiture rates when actual results are different from our estimates. Assumptions for forfeitures are stratified by employee groups with sufficiently distinct behavior patterns. Changes in the estimated forfeiture rate can have a significant effect on reported share-based compensation expense, as the effect of adjusting the rate for all expense amortization is recognized in the period the forfeiture estimate is changed. If the actual forfeiture rate is higher than the estimated forfeiture rate, then an adjustment will be made to increase the estimated forfeiture rate, which will result in a decrease to the expense recognized in the financial statements. If the actual forfeiture rate is lower than the estimated forfeiture rate, then an adjustment will be made to lower the estimated forfeiture rate, which will result in an increase to the expense recognized in the financial statements. The expense we recognize in future periods could be affected by changes in the estimated forfeiture rate and may differ significantly from amounts recognized in the current period and/or our forecasts.</w:t>
      </w:r>
    </w:p>
    <w:p>
      <w:pPr>
        <w:spacing w:after="0" w:line="118"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Additionally, for certain of our performance-based awards, we must make subjective assumptions regarding the likelihood that the related performance metrics will be met. These assumptions are based on various revenue and operating performance criteria. Changes in our actual performance could cause a significant adjustment in future periods for these performance-based awards.</w:t>
      </w:r>
    </w:p>
    <w:p>
      <w:pPr>
        <w:spacing w:after="0" w:line="140"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i w:val="1"/>
          <w:iCs w:val="1"/>
          <w:color w:val="auto"/>
        </w:rPr>
        <w:t xml:space="preserve">Accounting for Income Taxes. </w:t>
      </w:r>
      <w:r>
        <w:rPr>
          <w:rFonts w:ascii="Arial" w:cs="Arial" w:eastAsia="Arial" w:hAnsi="Arial"/>
          <w:sz w:val="16"/>
          <w:szCs w:val="16"/>
          <w:color w:val="auto"/>
        </w:rPr>
        <w:t>We estimate our income taxes in each of the jurisdictions in which we operate. This process involves estimating our actual</w:t>
      </w:r>
      <w:r>
        <w:rPr>
          <w:rFonts w:ascii="Arial" w:cs="Arial" w:eastAsia="Arial" w:hAnsi="Arial"/>
          <w:sz w:val="16"/>
          <w:szCs w:val="16"/>
          <w:i w:val="1"/>
          <w:iCs w:val="1"/>
          <w:color w:val="auto"/>
        </w:rPr>
        <w:t xml:space="preserve"> </w:t>
      </w:r>
      <w:r>
        <w:rPr>
          <w:rFonts w:ascii="Arial" w:cs="Arial" w:eastAsia="Arial" w:hAnsi="Arial"/>
          <w:sz w:val="16"/>
          <w:szCs w:val="16"/>
          <w:color w:val="auto"/>
        </w:rPr>
        <w:t>tax exposure together with assessing temporary differences resulting from the differing treatment of certain items for tax return and financial statement purposes. These differences result in deferred tax assets and liabilities, which are included within our consolidated balance sheets.</w:t>
      </w:r>
    </w:p>
    <w:p>
      <w:pPr>
        <w:spacing w:after="0" w:line="10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143"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Evaluating the need for an amount of a valuation allowance for deferred tax assets often requires judgment and analysis of all the positive and negative evidence available to determine whether all or some portion of the deferred tax assets will not be realized. A valuation allowance must be established for deferred tax assets when it is more likely than not that they will not be realized. Based on the available evidence and judgment, we have determined that it is more likely than not that our U.S. research credits, which we earn in excess of our current year tax liabilities, and certain acquired net operating losses will not be realized. Therefore, we have provided a full valuation allowance against these credits and a portion against the net operating losses. If there is a change in</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our ability to realize our deferred tax assets, then our tax provision may decrease in the period in which we determine that realization is more likely than not.</w:t>
      </w:r>
    </w:p>
    <w:p>
      <w:pPr>
        <w:spacing w:after="0" w:line="19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We recognize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We record interest and penalties related to unrecognized tax benefits in income tax expense. The calculation of our tax liabilities involves the inherent uncertainty associated with the application of GAAP and complex tax laws. We believe we have adequately provided for in our financial statements additional taxes that we estimate may be required to be paid as a result of such examinations. While we believe that we have adequately provided for all tax positions, amounts asserted by tax authorities could be greater or less than our accrued position. These tax liabilities, including the interest and penalties, are released pursuant to a settlement with tax authorities, completion of audit or expiration of various statutes of limitation. The material jurisdictions in which we may be subject to potential examination by tax authorities throughout the world include China, Israel, Singapore, Switzerland and the United States.</w:t>
      </w:r>
    </w:p>
    <w:p>
      <w:pPr>
        <w:spacing w:after="0" w:line="120"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85"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i w:val="1"/>
          <w:iCs w:val="1"/>
          <w:color w:val="auto"/>
        </w:rPr>
        <w:t xml:space="preserve">Inventories. </w:t>
      </w:r>
      <w:r>
        <w:rPr>
          <w:rFonts w:ascii="Arial" w:cs="Arial" w:eastAsia="Arial" w:hAnsi="Arial"/>
          <w:sz w:val="16"/>
          <w:szCs w:val="16"/>
          <w:color w:val="auto"/>
        </w:rPr>
        <w:t>We value our inventory at the lower of cost or market, cost being determined under the first-in, first-out method. We regularly review</w:t>
      </w:r>
      <w:r>
        <w:rPr>
          <w:rFonts w:ascii="Arial" w:cs="Arial" w:eastAsia="Arial" w:hAnsi="Arial"/>
          <w:sz w:val="16"/>
          <w:szCs w:val="16"/>
          <w:i w:val="1"/>
          <w:iCs w:val="1"/>
          <w:color w:val="auto"/>
        </w:rPr>
        <w:t xml:space="preserve"> </w:t>
      </w:r>
      <w:r>
        <w:rPr>
          <w:rFonts w:ascii="Arial" w:cs="Arial" w:eastAsia="Arial" w:hAnsi="Arial"/>
          <w:sz w:val="16"/>
          <w:szCs w:val="16"/>
          <w:color w:val="auto"/>
        </w:rPr>
        <w:t>inventory quantities on hand and record a reduction to the total carrying value of our inventory for any difference between cost and estimated market value of inventory that is determined to be excess, obsolete or unsellable inventory based primarily on our estimated forecast of product demand and production requirements.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reduction to the total carrying value of our inventory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i w:val="1"/>
          <w:iCs w:val="1"/>
          <w:color w:val="auto"/>
        </w:rPr>
        <w:t xml:space="preserve">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w:t>
      </w:r>
    </w:p>
    <w:p>
      <w:pPr>
        <w:spacing w:after="0" w:line="59" w:lineRule="exact"/>
        <w:rPr>
          <w:sz w:val="20"/>
          <w:szCs w:val="20"/>
          <w:color w:val="auto"/>
        </w:rPr>
      </w:pPr>
    </w:p>
    <w:p>
      <w:pPr>
        <w:ind w:left="900" w:hanging="325"/>
        <w:spacing w:after="0"/>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decreases in the market price of the asset;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adverse changes in the business climate or legal factors;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accumulation of costs significantly in excess of the amount originally expected for the acquisition or construction of the asset;</w:t>
      </w:r>
    </w:p>
    <w:p>
      <w:pPr>
        <w:spacing w:after="0" w:line="9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current period cash flow or operating losses combined with a history of losses or a forecast of continuing losses associated with the use of the asset;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4"/>
        </w:numPr>
        <w:rPr>
          <w:rFonts w:ascii="Arial" w:cs="Arial" w:eastAsia="Arial" w:hAnsi="Arial"/>
          <w:sz w:val="16"/>
          <w:szCs w:val="16"/>
          <w:color w:val="auto"/>
        </w:rPr>
      </w:pPr>
      <w:r>
        <w:rPr>
          <w:rFonts w:ascii="Arial" w:cs="Arial" w:eastAsia="Arial" w:hAnsi="Arial"/>
          <w:sz w:val="16"/>
          <w:szCs w:val="16"/>
          <w:color w:val="auto"/>
        </w:rPr>
        <w:t>current expectation that the asset will more likely than not be sold or disposed of significantly before the end of its estimated useful life.</w:t>
      </w:r>
    </w:p>
    <w:p>
      <w:pPr>
        <w:spacing w:after="0" w:line="194"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Whenever events or changes in circumstances suggest that the carrying amount of long-lived assets and intangible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11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As of January 31, 2015, we had a total of $30.7 million in acquired intangible assets. In connection with our IPR&amp;D, we performed a qualitative assessment in 2015 to determine whether it was more likely than not that our IPR&amp;D was impaired. Based on our assessment we recorded a charge of $3.4 million in fiscal 2015 to write off IPR&amp;D related to an abandoned project. In fiscal 2014, we recorded a charge of $8.1 million for the impairment of an acquired intangible asset as a result of our annual impairment evaluation.</w:t>
      </w:r>
    </w:p>
    <w:p>
      <w:pPr>
        <w:spacing w:after="0" w:line="143"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i w:val="1"/>
          <w:iCs w:val="1"/>
          <w:color w:val="auto"/>
        </w:rPr>
        <w:t xml:space="preserve">Goodwill. </w:t>
      </w:r>
      <w:r>
        <w:rPr>
          <w:rFonts w:ascii="Arial" w:cs="Arial" w:eastAsia="Arial" w:hAnsi="Arial"/>
          <w:sz w:val="18"/>
          <w:szCs w:val="18"/>
          <w:color w:val="auto"/>
        </w:rPr>
        <w:t>We evaluate goodwill for impairment whenever events or changes in circumstances indicate that the carrying value of such assets may not be</w:t>
      </w:r>
      <w:r>
        <w:rPr>
          <w:rFonts w:ascii="Arial" w:cs="Arial" w:eastAsia="Arial" w:hAnsi="Arial"/>
          <w:sz w:val="18"/>
          <w:szCs w:val="18"/>
          <w:i w:val="1"/>
          <w:iCs w:val="1"/>
          <w:color w:val="auto"/>
        </w:rPr>
        <w:t xml:space="preserve"> </w:t>
      </w:r>
      <w:r>
        <w:rPr>
          <w:rFonts w:ascii="Arial" w:cs="Arial" w:eastAsia="Arial" w:hAnsi="Arial"/>
          <w:sz w:val="18"/>
          <w:szCs w:val="18"/>
          <w:color w:val="auto"/>
        </w:rPr>
        <w:t>recoverable. Factors we consider important which could trigger a goodwill impairment review include;</w:t>
      </w:r>
    </w:p>
    <w:p>
      <w:pPr>
        <w:spacing w:after="0" w:line="51" w:lineRule="exact"/>
        <w:rPr>
          <w:sz w:val="20"/>
          <w:szCs w:val="20"/>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171"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When performing our assessment, we include a control premium, in addition to our fair value to reflect the full value and amount that a buyer would be willing to pay for the company. Since our inception, we have not recognized any impairment of goodwill.</w:t>
      </w:r>
    </w:p>
    <w:p>
      <w:pPr>
        <w:spacing w:after="0" w:line="132"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i w:val="1"/>
          <w:iCs w:val="1"/>
          <w:color w:val="auto"/>
        </w:rPr>
        <w:t xml:space="preserve">Litigation Costs. </w:t>
      </w:r>
      <w:r>
        <w:rPr>
          <w:rFonts w:ascii="Arial" w:cs="Arial" w:eastAsia="Arial" w:hAnsi="Arial"/>
          <w:sz w:val="18"/>
          <w:szCs w:val="18"/>
          <w:color w:val="auto"/>
        </w:rPr>
        <w:t>From time to time, we are involved in legal actions arising in the ordinary course of business. There can be no assurance these actions 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third-party assertions will be resolved without costly litigation, in a manner that does not adversely impact our financial position, results of operations or cash flows or without requiring royalty payments in the future, which may adversely impact gross margins. We are aggressively defending these litigation matters and believe no material adverse outcome will result. We record a liability when it is probable that a loss has been incurred and the amount can be reasonably estimated. In determining the probability of a loss and consequently, determining a reasonable estimate, management is required to use significant judgment. Given the uncertainties associated with any litigation, the actual outcome can be different than our estimates and could adversely affect our results of operations, financial position and cash flows.</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5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gridSpan w:val="3"/>
          </w:tcPr>
          <w:p>
            <w:pPr>
              <w:jc w:val="center"/>
              <w:ind w:right="78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560" w:type="dxa"/>
            <w:vAlign w:val="bottom"/>
          </w:tcPr>
          <w:p>
            <w:pPr>
              <w:spacing w:after="0"/>
              <w:rPr>
                <w:sz w:val="11"/>
                <w:szCs w:val="11"/>
                <w:color w:val="auto"/>
              </w:rPr>
            </w:pPr>
          </w:p>
        </w:tc>
        <w:tc>
          <w:tcPr>
            <w:tcW w:w="1480" w:type="dxa"/>
            <w:vAlign w:val="bottom"/>
            <w:gridSpan w:val="3"/>
          </w:tcPr>
          <w:p>
            <w:pPr>
              <w:jc w:val="right"/>
              <w:ind w:right="712"/>
              <w:spacing w:after="0" w:line="129" w:lineRule="exact"/>
              <w:rPr>
                <w:sz w:val="20"/>
                <w:szCs w:val="20"/>
                <w:color w:val="auto"/>
              </w:rPr>
            </w:pPr>
            <w:r>
              <w:rPr>
                <w:rFonts w:ascii="Arial" w:cs="Arial" w:eastAsia="Arial" w:hAnsi="Arial"/>
                <w:sz w:val="14"/>
                <w:szCs w:val="14"/>
                <w:b w:val="1"/>
                <w:bCs w:val="1"/>
                <w:color w:val="auto"/>
                <w:w w:val="88"/>
              </w:rPr>
              <w:t>January 31,</w:t>
            </w:r>
          </w:p>
        </w:tc>
        <w:tc>
          <w:tcPr>
            <w:tcW w:w="1460" w:type="dxa"/>
            <w:vAlign w:val="bottom"/>
            <w:gridSpan w:val="3"/>
          </w:tcPr>
          <w:p>
            <w:pPr>
              <w:jc w:val="center"/>
              <w:ind w:right="780"/>
              <w:spacing w:after="0" w:line="129" w:lineRule="exact"/>
              <w:rPr>
                <w:sz w:val="20"/>
                <w:szCs w:val="20"/>
                <w:color w:val="auto"/>
              </w:rPr>
            </w:pPr>
            <w:r>
              <w:rPr>
                <w:rFonts w:ascii="Arial" w:cs="Arial" w:eastAsia="Arial" w:hAnsi="Arial"/>
                <w:sz w:val="14"/>
                <w:szCs w:val="14"/>
                <w:b w:val="1"/>
                <w:bCs w:val="1"/>
                <w:color w:val="auto"/>
                <w:w w:val="90"/>
              </w:rPr>
              <w:t>February 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56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gridSpan w:val="2"/>
          </w:tcPr>
          <w:p>
            <w:pPr>
              <w:jc w:val="right"/>
              <w:ind w:right="152"/>
              <w:spacing w:after="0"/>
              <w:rPr>
                <w:sz w:val="20"/>
                <w:szCs w:val="20"/>
                <w:color w:val="auto"/>
              </w:rPr>
            </w:pPr>
            <w:r>
              <w:rPr>
                <w:rFonts w:ascii="Arial" w:cs="Arial" w:eastAsia="Arial" w:hAnsi="Arial"/>
                <w:sz w:val="14"/>
                <w:szCs w:val="14"/>
                <w:b w:val="1"/>
                <w:bCs w:val="1"/>
                <w:color w:val="auto"/>
              </w:rPr>
              <w:t>2015</w:t>
            </w:r>
          </w:p>
        </w:tc>
        <w:tc>
          <w:tcPr>
            <w:tcW w:w="78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2014</w:t>
            </w:r>
          </w:p>
        </w:tc>
        <w:tc>
          <w:tcPr>
            <w:tcW w:w="220" w:type="dxa"/>
            <w:vAlign w:val="bottom"/>
            <w:tcBorders>
              <w:bottom w:val="single" w:sz="8" w:color="CCEEFF"/>
            </w:tcBorders>
          </w:tcPr>
          <w:p>
            <w:pPr>
              <w:spacing w:after="0"/>
              <w:rPr>
                <w:sz w:val="14"/>
                <w:szCs w:val="14"/>
                <w:color w:val="auto"/>
              </w:rPr>
            </w:pPr>
          </w:p>
        </w:tc>
        <w:tc>
          <w:tcPr>
            <w:tcW w:w="56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5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480" w:type="dxa"/>
            <w:vAlign w:val="bottom"/>
            <w:gridSpan w:val="3"/>
            <w:shd w:val="clear" w:color="auto" w:fill="CCEEFF"/>
          </w:tcPr>
          <w:p>
            <w:pPr>
              <w:jc w:val="right"/>
              <w:ind w:right="572"/>
              <w:spacing w:after="0"/>
              <w:rPr>
                <w:sz w:val="20"/>
                <w:szCs w:val="20"/>
                <w:color w:val="auto"/>
              </w:rPr>
            </w:pPr>
            <w:r>
              <w:rPr>
                <w:rFonts w:ascii="Arial" w:cs="Arial" w:eastAsia="Arial" w:hAnsi="Arial"/>
                <w:sz w:val="18"/>
                <w:szCs w:val="18"/>
                <w:color w:val="auto"/>
              </w:rPr>
              <w:t>100.0%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5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49.7</w:t>
            </w:r>
          </w:p>
        </w:tc>
        <w:tc>
          <w:tcPr>
            <w:tcW w:w="7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48.9</w:t>
            </w:r>
          </w:p>
        </w:tc>
        <w:tc>
          <w:tcPr>
            <w:tcW w:w="5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47.1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31.4</w:t>
            </w:r>
          </w:p>
        </w:tc>
        <w:tc>
          <w:tcPr>
            <w:tcW w:w="7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34.0</w:t>
            </w:r>
          </w:p>
        </w:tc>
        <w:tc>
          <w:tcPr>
            <w:tcW w:w="56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7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4.5</w:t>
            </w:r>
          </w:p>
        </w:tc>
        <w:tc>
          <w:tcPr>
            <w:tcW w:w="5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3.5</w:t>
            </w:r>
          </w:p>
        </w:tc>
        <w:tc>
          <w:tcPr>
            <w:tcW w:w="7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3.1</w:t>
            </w:r>
          </w:p>
        </w:tc>
        <w:tc>
          <w:tcPr>
            <w:tcW w:w="56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7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w:t>
            </w:r>
          </w:p>
        </w:tc>
        <w:tc>
          <w:tcPr>
            <w:tcW w:w="5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56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16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560" w:type="dxa"/>
            <w:vAlign w:val="bottom"/>
            <w:vMerge w:val="continue"/>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89.0</w:t>
            </w:r>
          </w:p>
        </w:tc>
        <w:tc>
          <w:tcPr>
            <w:tcW w:w="780" w:type="dxa"/>
            <w:vAlign w:val="bottom"/>
          </w:tcPr>
          <w:p>
            <w:pPr>
              <w:spacing w:after="0"/>
              <w:rPr>
                <w:sz w:val="19"/>
                <w:szCs w:val="19"/>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91.8</w:t>
            </w:r>
          </w:p>
        </w:tc>
        <w:tc>
          <w:tcPr>
            <w:tcW w:w="56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90.7</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5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5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11.0</w:t>
            </w:r>
          </w:p>
        </w:tc>
        <w:tc>
          <w:tcPr>
            <w:tcW w:w="7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8.2</w:t>
            </w:r>
          </w:p>
        </w:tc>
        <w:tc>
          <w:tcPr>
            <w:tcW w:w="5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0.6</w:t>
            </w:r>
          </w:p>
        </w:tc>
        <w:tc>
          <w:tcPr>
            <w:tcW w:w="7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0.7</w:t>
            </w:r>
          </w:p>
        </w:tc>
        <w:tc>
          <w:tcPr>
            <w:tcW w:w="56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5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56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11.6</w:t>
            </w:r>
          </w:p>
        </w:tc>
        <w:tc>
          <w:tcPr>
            <w:tcW w:w="7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8.9</w:t>
            </w:r>
          </w:p>
        </w:tc>
        <w:tc>
          <w:tcPr>
            <w:tcW w:w="5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480" w:type="dxa"/>
            <w:vAlign w:val="bottom"/>
            <w:gridSpan w:val="3"/>
          </w:tcPr>
          <w:p>
            <w:pPr>
              <w:jc w:val="right"/>
              <w:ind w:right="652"/>
              <w:spacing w:after="0"/>
              <w:rPr>
                <w:sz w:val="20"/>
                <w:szCs w:val="20"/>
                <w:color w:val="auto"/>
              </w:rPr>
            </w:pPr>
            <w:r>
              <w:rPr>
                <w:rFonts w:ascii="Arial" w:cs="Arial" w:eastAsia="Arial" w:hAnsi="Arial"/>
                <w:sz w:val="18"/>
                <w:szCs w:val="18"/>
                <w:color w:val="auto"/>
              </w:rPr>
              <w:t>(0.1)</w:t>
            </w:r>
          </w:p>
        </w:tc>
        <w:tc>
          <w:tcPr>
            <w:tcW w:w="900" w:type="dxa"/>
            <w:vAlign w:val="bottom"/>
            <w:gridSpan w:val="2"/>
          </w:tcPr>
          <w:p>
            <w:pPr>
              <w:jc w:val="right"/>
              <w:ind w:right="160"/>
              <w:spacing w:after="0"/>
              <w:rPr>
                <w:sz w:val="20"/>
                <w:szCs w:val="20"/>
                <w:color w:val="auto"/>
              </w:rPr>
            </w:pPr>
            <w:r>
              <w:rPr>
                <w:rFonts w:ascii="Arial" w:cs="Arial" w:eastAsia="Arial" w:hAnsi="Arial"/>
                <w:sz w:val="18"/>
                <w:szCs w:val="18"/>
                <w:color w:val="auto"/>
              </w:rPr>
              <w:t>(0.3)</w:t>
            </w:r>
          </w:p>
        </w:tc>
        <w:tc>
          <w:tcPr>
            <w:tcW w:w="56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5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5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480" w:type="dxa"/>
            <w:vAlign w:val="bottom"/>
            <w:gridSpan w:val="3"/>
            <w:shd w:val="clear" w:color="auto" w:fill="CCEEFF"/>
          </w:tcPr>
          <w:p>
            <w:pPr>
              <w:jc w:val="right"/>
              <w:ind w:right="572"/>
              <w:spacing w:after="0"/>
              <w:rPr>
                <w:sz w:val="20"/>
                <w:szCs w:val="20"/>
                <w:color w:val="auto"/>
              </w:rPr>
            </w:pPr>
            <w:r>
              <w:rPr>
                <w:rFonts w:ascii="Arial" w:cs="Arial" w:eastAsia="Arial" w:hAnsi="Arial"/>
                <w:sz w:val="18"/>
                <w:szCs w:val="18"/>
                <w:color w:val="auto"/>
              </w:rPr>
              <w:t>11.7%</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9.2%</w:t>
            </w:r>
          </w:p>
        </w:tc>
        <w:tc>
          <w:tcPr>
            <w:tcW w:w="5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560" w:type="dxa"/>
            <w:vAlign w:val="bottom"/>
            <w:vMerge w:val="restart"/>
          </w:tcPr>
          <w:p>
            <w:pPr>
              <w:ind w:left="440"/>
              <w:spacing w:after="0"/>
              <w:rPr>
                <w:sz w:val="20"/>
                <w:szCs w:val="20"/>
                <w:color w:val="auto"/>
              </w:rPr>
            </w:pPr>
            <w:r>
              <w:rPr>
                <w:rFonts w:ascii="Arial" w:cs="Arial" w:eastAsia="Arial" w:hAnsi="Arial"/>
                <w:sz w:val="18"/>
                <w:szCs w:val="18"/>
                <w:b w:val="1"/>
                <w:bCs w:val="1"/>
                <w:i w:val="1"/>
                <w:iCs w:val="1"/>
                <w:color w:val="auto"/>
              </w:rPr>
              <w:t>Years Ended January 31, 2015 and February 1, 2014</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20" w:type="dxa"/>
            <w:vAlign w:val="bottom"/>
          </w:tcPr>
          <w:p>
            <w:pPr>
              <w:spacing w:after="0"/>
              <w:rPr>
                <w:sz w:val="24"/>
                <w:szCs w:val="24"/>
                <w:color w:val="auto"/>
              </w:rPr>
            </w:pPr>
          </w:p>
        </w:tc>
        <w:tc>
          <w:tcPr>
            <w:tcW w:w="756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7560" w:type="dxa"/>
            <w:vAlign w:val="bottom"/>
          </w:tcPr>
          <w:p>
            <w:pPr>
              <w:ind w:left="440"/>
              <w:spacing w:after="0"/>
              <w:rPr>
                <w:sz w:val="20"/>
                <w:szCs w:val="20"/>
                <w:color w:val="auto"/>
              </w:rPr>
            </w:pPr>
            <w:r>
              <w:rPr>
                <w:rFonts w:ascii="Arial" w:cs="Arial" w:eastAsia="Arial" w:hAnsi="Arial"/>
                <w:sz w:val="18"/>
                <w:szCs w:val="18"/>
                <w:i w:val="1"/>
                <w:iCs w:val="1"/>
                <w:color w:val="auto"/>
              </w:rPr>
              <w:t>Net Revenue</w:t>
            </w: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5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40" w:type="dxa"/>
            <w:vAlign w:val="bottom"/>
            <w:gridSpan w:val="4"/>
          </w:tcPr>
          <w:p>
            <w:pPr>
              <w:ind w:left="220"/>
              <w:spacing w:after="0"/>
              <w:rPr>
                <w:sz w:val="20"/>
                <w:szCs w:val="20"/>
                <w:color w:val="auto"/>
              </w:rPr>
            </w:pPr>
            <w:r>
              <w:rPr>
                <w:rFonts w:ascii="Arial" w:cs="Arial" w:eastAsia="Arial" w:hAnsi="Arial"/>
                <w:sz w:val="14"/>
                <w:szCs w:val="14"/>
                <w:b w:val="1"/>
                <w:bCs w:val="1"/>
                <w:color w:val="auto"/>
              </w:rPr>
              <w:t>Year Ended</w:t>
            </w:r>
          </w:p>
        </w:tc>
        <w:tc>
          <w:tcPr>
            <w:tcW w:w="900" w:type="dxa"/>
            <w:vAlign w:val="bottom"/>
            <w:gridSpan w:val="2"/>
            <w:vMerge w:val="restart"/>
          </w:tcPr>
          <w:p>
            <w:pPr>
              <w:jc w:val="right"/>
              <w:ind w:right="20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320" w:type="dxa"/>
            <w:vAlign w:val="bottom"/>
            <w:tcBorders>
              <w:top w:val="single" w:sz="8" w:color="auto"/>
            </w:tcBorders>
            <w:gridSpan w:val="2"/>
          </w:tcPr>
          <w:p>
            <w:pPr>
              <w:jc w:val="right"/>
              <w:ind w:right="512"/>
              <w:spacing w:after="0" w:line="129" w:lineRule="exact"/>
              <w:rPr>
                <w:sz w:val="20"/>
                <w:szCs w:val="20"/>
                <w:color w:val="auto"/>
              </w:rPr>
            </w:pPr>
            <w:r>
              <w:rPr>
                <w:rFonts w:ascii="Arial" w:cs="Arial" w:eastAsia="Arial" w:hAnsi="Arial"/>
                <w:sz w:val="14"/>
                <w:szCs w:val="14"/>
                <w:b w:val="1"/>
                <w:bCs w:val="1"/>
                <w:color w:val="auto"/>
                <w:w w:val="93"/>
              </w:rPr>
              <w:t>January 31,</w:t>
            </w:r>
          </w:p>
        </w:tc>
        <w:tc>
          <w:tcPr>
            <w:tcW w:w="900" w:type="dxa"/>
            <w:vAlign w:val="bottom"/>
            <w:tcBorders>
              <w:top w:val="single" w:sz="8" w:color="auto"/>
            </w:tcBorders>
            <w:gridSpan w:val="2"/>
          </w:tcPr>
          <w:p>
            <w:pPr>
              <w:jc w:val="right"/>
              <w:ind w:right="60"/>
              <w:spacing w:after="0" w:line="129" w:lineRule="exact"/>
              <w:rPr>
                <w:sz w:val="20"/>
                <w:szCs w:val="20"/>
                <w:color w:val="auto"/>
              </w:rPr>
            </w:pPr>
            <w:r>
              <w:rPr>
                <w:rFonts w:ascii="Arial" w:cs="Arial" w:eastAsia="Arial" w:hAnsi="Arial"/>
                <w:sz w:val="14"/>
                <w:szCs w:val="14"/>
                <w:b w:val="1"/>
                <w:bCs w:val="1"/>
                <w:color w:val="auto"/>
              </w:rPr>
              <w:t>February 1,</w:t>
            </w:r>
          </w:p>
        </w:tc>
        <w:tc>
          <w:tcPr>
            <w:tcW w:w="560" w:type="dxa"/>
            <w:vAlign w:val="bottom"/>
          </w:tcPr>
          <w:p>
            <w:pPr>
              <w:spacing w:after="0"/>
              <w:rPr>
                <w:sz w:val="11"/>
                <w:szCs w:val="11"/>
                <w:color w:val="auto"/>
              </w:rPr>
            </w:pPr>
          </w:p>
        </w:tc>
        <w:tc>
          <w:tcPr>
            <w:tcW w:w="9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560" w:type="dxa"/>
            <w:vAlign w:val="bottom"/>
          </w:tcPr>
          <w:p>
            <w:pPr>
              <w:spacing w:after="0"/>
              <w:rPr>
                <w:sz w:val="14"/>
                <w:szCs w:val="14"/>
                <w:color w:val="auto"/>
              </w:rPr>
            </w:pPr>
          </w:p>
        </w:tc>
        <w:tc>
          <w:tcPr>
            <w:tcW w:w="70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2015</w:t>
            </w:r>
          </w:p>
        </w:tc>
        <w:tc>
          <w:tcPr>
            <w:tcW w:w="78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Arial" w:cs="Arial" w:eastAsia="Arial" w:hAnsi="Arial"/>
                <w:sz w:val="14"/>
                <w:szCs w:val="14"/>
                <w:b w:val="1"/>
                <w:bCs w:val="1"/>
                <w:color w:val="auto"/>
              </w:rPr>
              <w:t>2014</w:t>
            </w: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in 2015</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5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2240" w:type="dxa"/>
            <w:vAlign w:val="bottom"/>
            <w:tcBorders>
              <w:top w:val="single" w:sz="8" w:color="auto"/>
            </w:tcBorders>
            <w:gridSpan w:val="4"/>
          </w:tcPr>
          <w:p>
            <w:pPr>
              <w:ind w:left="240"/>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7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80" w:type="dxa"/>
            <w:vAlign w:val="bottom"/>
            <w:gridSpan w:val="3"/>
            <w:shd w:val="clear" w:color="auto" w:fill="CCEEFF"/>
          </w:tcPr>
          <w:p>
            <w:pPr>
              <w:jc w:val="right"/>
              <w:ind w:right="472"/>
              <w:spacing w:after="0"/>
              <w:rPr>
                <w:sz w:val="20"/>
                <w:szCs w:val="20"/>
                <w:color w:val="auto"/>
              </w:rPr>
            </w:pPr>
            <w:r>
              <w:rPr>
                <w:rFonts w:ascii="Arial" w:cs="Arial" w:eastAsia="Arial" w:hAnsi="Arial"/>
                <w:sz w:val="18"/>
                <w:szCs w:val="18"/>
                <w:color w:val="auto"/>
              </w:rPr>
              <w:t>$3,706,963</w:t>
            </w:r>
          </w:p>
        </w:tc>
        <w:tc>
          <w:tcPr>
            <w:tcW w:w="1460" w:type="dxa"/>
            <w:vAlign w:val="bottom"/>
            <w:gridSpan w:val="3"/>
            <w:shd w:val="clear" w:color="auto" w:fill="CCEEFF"/>
          </w:tcPr>
          <w:p>
            <w:pPr>
              <w:jc w:val="right"/>
              <w:ind w:right="560"/>
              <w:spacing w:after="0"/>
              <w:rPr>
                <w:sz w:val="20"/>
                <w:szCs w:val="20"/>
                <w:color w:val="auto"/>
              </w:rPr>
            </w:pPr>
            <w:r>
              <w:rPr>
                <w:rFonts w:ascii="Arial" w:cs="Arial" w:eastAsia="Arial" w:hAnsi="Arial"/>
                <w:sz w:val="18"/>
                <w:szCs w:val="18"/>
                <w:color w:val="auto"/>
                <w:w w:val="97"/>
              </w:rPr>
              <w:t>$3,404,400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8.9%</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60" w:firstLine="456"/>
        <w:spacing w:after="0" w:line="318" w:lineRule="auto"/>
        <w:rPr>
          <w:sz w:val="20"/>
          <w:szCs w:val="20"/>
          <w:color w:val="auto"/>
        </w:rPr>
      </w:pPr>
      <w:r>
        <w:rPr>
          <w:rFonts w:ascii="Arial" w:cs="Arial" w:eastAsia="Arial" w:hAnsi="Arial"/>
          <w:sz w:val="15"/>
          <w:szCs w:val="15"/>
          <w:color w:val="auto"/>
        </w:rPr>
        <w:t>Net revenue is gross revenue, net of accruals for estimated sales returns and rebates. Our net revenue for fiscal 2015 increased by $302.6 million compared to net revenue for fiscal 2014. The increase was led by sales of our mobile and wireless products, particularly in the first half of fiscal 2015, where we saw strong growth from multiple customers who launched their 4G LTE smartphones based on our solutions. In the storage market, we saw higher HDD revenue, which was mostly driven by continued growth for our 500 gigabyte per platter products and increased demand for our products used in enterprise drives at a top North America based HDD customer. Our networking revenue was up 1% in fiscal 2015 over fiscal 2014 due higher demand for enterprise switches and routers.</w:t>
      </w:r>
    </w:p>
    <w:p>
      <w:pPr>
        <w:spacing w:after="0" w:line="10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In the first quarter of fiscal 2016, we expect net revenue to decline, driven by a softening of demand in the PC end market, normal seasonality and slightly higher inventories in the supply chain at the end of the fourth quarter of fiscal 2015.</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8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20" w:type="dxa"/>
            <w:vAlign w:val="bottom"/>
          </w:tcPr>
          <w:p>
            <w:pPr>
              <w:spacing w:after="0"/>
              <w:rPr>
                <w:sz w:val="14"/>
                <w:szCs w:val="14"/>
                <w:color w:val="auto"/>
              </w:rPr>
            </w:pPr>
          </w:p>
        </w:tc>
        <w:tc>
          <w:tcPr>
            <w:tcW w:w="9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3480" w:type="dxa"/>
            <w:vAlign w:val="bottom"/>
          </w:tcPr>
          <w:p>
            <w:pPr>
              <w:spacing w:after="0"/>
              <w:rPr>
                <w:sz w:val="11"/>
                <w:szCs w:val="11"/>
                <w:color w:val="auto"/>
              </w:rPr>
            </w:pPr>
          </w:p>
        </w:tc>
        <w:tc>
          <w:tcPr>
            <w:tcW w:w="4080" w:type="dxa"/>
            <w:vAlign w:val="bottom"/>
          </w:tcPr>
          <w:p>
            <w:pPr>
              <w:spacing w:after="0"/>
              <w:rPr>
                <w:sz w:val="11"/>
                <w:szCs w:val="11"/>
                <w:color w:val="auto"/>
              </w:rPr>
            </w:pPr>
          </w:p>
        </w:tc>
        <w:tc>
          <w:tcPr>
            <w:tcW w:w="1500" w:type="dxa"/>
            <w:vAlign w:val="bottom"/>
          </w:tcPr>
          <w:p>
            <w:pPr>
              <w:jc w:val="right"/>
              <w:ind w:right="692"/>
              <w:spacing w:after="0" w:line="129" w:lineRule="exact"/>
              <w:rPr>
                <w:sz w:val="20"/>
                <w:szCs w:val="20"/>
                <w:color w:val="auto"/>
              </w:rPr>
            </w:pPr>
            <w:r>
              <w:rPr>
                <w:rFonts w:ascii="Arial" w:cs="Arial" w:eastAsia="Arial" w:hAnsi="Arial"/>
                <w:sz w:val="14"/>
                <w:szCs w:val="14"/>
                <w:b w:val="1"/>
                <w:bCs w:val="1"/>
                <w:color w:val="auto"/>
                <w:w w:val="93"/>
              </w:rPr>
              <w:t>January 31,</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5"/>
              </w:rPr>
              <w:t>February 1,</w:t>
            </w:r>
          </w:p>
        </w:tc>
        <w:tc>
          <w:tcPr>
            <w:tcW w:w="62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480" w:type="dxa"/>
            <w:vAlign w:val="bottom"/>
          </w:tcPr>
          <w:p>
            <w:pPr>
              <w:spacing w:after="0"/>
              <w:rPr>
                <w:sz w:val="14"/>
                <w:szCs w:val="14"/>
                <w:color w:val="auto"/>
              </w:rPr>
            </w:pPr>
          </w:p>
        </w:tc>
        <w:tc>
          <w:tcPr>
            <w:tcW w:w="5580" w:type="dxa"/>
            <w:vAlign w:val="bottom"/>
            <w:gridSpan w:val="2"/>
          </w:tcPr>
          <w:p>
            <w:pPr>
              <w:jc w:val="right"/>
              <w:ind w:right="892"/>
              <w:spacing w:after="0"/>
              <w:rPr>
                <w:sz w:val="20"/>
                <w:szCs w:val="20"/>
                <w:color w:val="auto"/>
              </w:rPr>
            </w:pPr>
            <w:r>
              <w:rPr>
                <w:rFonts w:ascii="Arial" w:cs="Arial" w:eastAsia="Arial" w:hAnsi="Arial"/>
                <w:sz w:val="14"/>
                <w:szCs w:val="14"/>
                <w:b w:val="1"/>
                <w:bCs w:val="1"/>
                <w:color w:val="auto"/>
              </w:rPr>
              <w:t>2015</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2014</w:t>
            </w:r>
          </w:p>
        </w:tc>
        <w:tc>
          <w:tcPr>
            <w:tcW w:w="620" w:type="dxa"/>
            <w:vAlign w:val="bottom"/>
          </w:tcPr>
          <w:p>
            <w:pPr>
              <w:spacing w:after="0"/>
              <w:rPr>
                <w:sz w:val="14"/>
                <w:szCs w:val="14"/>
                <w:color w:val="auto"/>
              </w:rPr>
            </w:pPr>
          </w:p>
        </w:tc>
        <w:tc>
          <w:tcPr>
            <w:tcW w:w="9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3480" w:type="dxa"/>
            <w:vAlign w:val="bottom"/>
          </w:tcPr>
          <w:p>
            <w:pPr>
              <w:spacing w:after="0"/>
              <w:rPr>
                <w:sz w:val="12"/>
                <w:szCs w:val="12"/>
                <w:color w:val="auto"/>
              </w:rPr>
            </w:pPr>
          </w:p>
        </w:tc>
        <w:tc>
          <w:tcPr>
            <w:tcW w:w="4080" w:type="dxa"/>
            <w:vAlign w:val="bottom"/>
          </w:tcPr>
          <w:p>
            <w:pPr>
              <w:spacing w:after="0"/>
              <w:rPr>
                <w:sz w:val="12"/>
                <w:szCs w:val="12"/>
                <w:color w:val="auto"/>
              </w:rPr>
            </w:pPr>
          </w:p>
        </w:tc>
        <w:tc>
          <w:tcPr>
            <w:tcW w:w="292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55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$1,843,706</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$1,663,730</w:t>
            </w:r>
          </w:p>
        </w:tc>
        <w:tc>
          <w:tcPr>
            <w:tcW w:w="6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22"/>
        </w:trPr>
        <w:tc>
          <w:tcPr>
            <w:tcW w:w="3480" w:type="dxa"/>
            <w:vAlign w:val="bottom"/>
          </w:tcPr>
          <w:p>
            <w:pPr>
              <w:spacing w:after="0"/>
              <w:rPr>
                <w:sz w:val="20"/>
                <w:szCs w:val="20"/>
                <w:color w:val="auto"/>
              </w:rPr>
            </w:pPr>
            <w:r>
              <w:rPr>
                <w:rFonts w:ascii="Arial" w:cs="Arial" w:eastAsia="Arial" w:hAnsi="Arial"/>
                <w:sz w:val="18"/>
                <w:szCs w:val="18"/>
                <w:color w:val="auto"/>
              </w:rPr>
              <w:t>% of net revenue</w:t>
            </w:r>
          </w:p>
        </w:tc>
        <w:tc>
          <w:tcPr>
            <w:tcW w:w="5580" w:type="dxa"/>
            <w:vAlign w:val="bottom"/>
            <w:gridSpan w:val="2"/>
          </w:tcPr>
          <w:p>
            <w:pPr>
              <w:jc w:val="right"/>
              <w:ind w:right="492"/>
              <w:spacing w:after="0"/>
              <w:rPr>
                <w:sz w:val="20"/>
                <w:szCs w:val="20"/>
                <w:color w:val="auto"/>
              </w:rPr>
            </w:pPr>
            <w:r>
              <w:rPr>
                <w:rFonts w:ascii="Arial" w:cs="Arial" w:eastAsia="Arial" w:hAnsi="Arial"/>
                <w:sz w:val="18"/>
                <w:szCs w:val="18"/>
                <w:color w:val="auto"/>
              </w:rPr>
              <w:t>49.7%</w:t>
            </w:r>
          </w:p>
        </w:tc>
        <w:tc>
          <w:tcPr>
            <w:tcW w:w="1420" w:type="dxa"/>
            <w:vAlign w:val="bottom"/>
            <w:gridSpan w:val="2"/>
          </w:tcPr>
          <w:p>
            <w:pPr>
              <w:jc w:val="right"/>
              <w:ind w:right="460"/>
              <w:spacing w:after="0"/>
              <w:rPr>
                <w:sz w:val="20"/>
                <w:szCs w:val="20"/>
                <w:color w:val="auto"/>
              </w:rPr>
            </w:pPr>
            <w:r>
              <w:rPr>
                <w:rFonts w:ascii="Arial" w:cs="Arial" w:eastAsia="Arial" w:hAnsi="Arial"/>
                <w:sz w:val="18"/>
                <w:szCs w:val="18"/>
                <w:color w:val="auto"/>
              </w:rPr>
              <w:t>48.9%</w:t>
            </w:r>
          </w:p>
        </w:tc>
        <w:tc>
          <w:tcPr>
            <w:tcW w:w="7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480" w:type="dxa"/>
            <w:vAlign w:val="bottom"/>
          </w:tcPr>
          <w:p>
            <w:pPr>
              <w:spacing w:after="0"/>
              <w:rPr>
                <w:sz w:val="24"/>
                <w:szCs w:val="24"/>
                <w:color w:val="auto"/>
              </w:rPr>
            </w:pPr>
          </w:p>
        </w:tc>
        <w:tc>
          <w:tcPr>
            <w:tcW w:w="4080" w:type="dxa"/>
            <w:vAlign w:val="bottom"/>
          </w:tcPr>
          <w:p>
            <w:pPr>
              <w:jc w:val="right"/>
              <w:ind w:right="1677"/>
              <w:spacing w:after="0"/>
              <w:rPr>
                <w:sz w:val="20"/>
                <w:szCs w:val="20"/>
                <w:color w:val="auto"/>
              </w:rPr>
            </w:pPr>
            <w:r>
              <w:rPr>
                <w:rFonts w:ascii="Arial" w:cs="Arial" w:eastAsia="Arial" w:hAnsi="Arial"/>
                <w:sz w:val="18"/>
                <w:szCs w:val="18"/>
                <w:color w:val="auto"/>
              </w:rPr>
              <w:t>41</w:t>
            </w:r>
          </w:p>
        </w:tc>
        <w:tc>
          <w:tcPr>
            <w:tcW w:w="15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Cost of goods sold as a percentage of net revenue was higher in fiscal 2015 due to a shift in the mix of our revenue, particularly in the first half of fiscal 2015, towards our mobile and wireless products which have a higher average cost of goods sold as a percentage of revenue. In addition, we also had higher inventory write downs and increased royalty expense in fiscal 2015 compared to fiscal 2014.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We currently expect that cost of goods sold as a percentage of net revenue in the first quarter of fiscal 2016 will be slightly higher than the amount in the fourth quarter of fiscal 2015.</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4"/>
          </w:tcPr>
          <w:p>
            <w:pPr>
              <w:ind w:left="480"/>
              <w:spacing w:after="0"/>
              <w:rPr>
                <w:sz w:val="20"/>
                <w:szCs w:val="20"/>
                <w:color w:val="auto"/>
              </w:rPr>
            </w:pPr>
            <w:r>
              <w:rPr>
                <w:rFonts w:ascii="Arial" w:cs="Arial" w:eastAsia="Arial" w:hAnsi="Arial"/>
                <w:sz w:val="14"/>
                <w:szCs w:val="14"/>
                <w:b w:val="1"/>
                <w:bCs w:val="1"/>
                <w:color w:val="auto"/>
                <w:w w:val="85"/>
              </w:rPr>
              <w:t>Year Ended</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700" w:type="dxa"/>
            <w:vAlign w:val="bottom"/>
          </w:tcPr>
          <w:p>
            <w:pPr>
              <w:spacing w:after="0"/>
              <w:rPr>
                <w:sz w:val="11"/>
                <w:szCs w:val="11"/>
                <w:color w:val="auto"/>
              </w:rPr>
            </w:pPr>
          </w:p>
        </w:tc>
        <w:tc>
          <w:tcPr>
            <w:tcW w:w="3780" w:type="dxa"/>
            <w:vAlign w:val="bottom"/>
          </w:tcPr>
          <w:p>
            <w:pPr>
              <w:spacing w:after="0"/>
              <w:rPr>
                <w:sz w:val="11"/>
                <w:szCs w:val="11"/>
                <w:color w:val="auto"/>
              </w:rPr>
            </w:pPr>
          </w:p>
        </w:tc>
        <w:tc>
          <w:tcPr>
            <w:tcW w:w="9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20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90"/>
              </w:rPr>
              <w:t>February 1,</w:t>
            </w:r>
          </w:p>
        </w:tc>
        <w:tc>
          <w:tcPr>
            <w:tcW w:w="100" w:type="dxa"/>
            <w:vAlign w:val="bottom"/>
          </w:tcPr>
          <w:p>
            <w:pPr>
              <w:spacing w:after="0"/>
              <w:rPr>
                <w:sz w:val="11"/>
                <w:szCs w:val="11"/>
                <w:color w:val="auto"/>
              </w:rPr>
            </w:pPr>
          </w:p>
        </w:tc>
      </w:t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2015</w:t>
            </w:r>
          </w:p>
        </w:tc>
        <w:tc>
          <w:tcPr>
            <w:tcW w:w="2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42"/>
        </w:trPr>
        <w:tc>
          <w:tcPr>
            <w:tcW w:w="5700" w:type="dxa"/>
            <w:vAlign w:val="bottom"/>
          </w:tcPr>
          <w:p>
            <w:pPr>
              <w:spacing w:after="0"/>
              <w:rPr>
                <w:sz w:val="12"/>
                <w:szCs w:val="12"/>
                <w:color w:val="auto"/>
              </w:rPr>
            </w:pPr>
          </w:p>
        </w:tc>
        <w:tc>
          <w:tcPr>
            <w:tcW w:w="3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40" w:type="dxa"/>
            <w:vAlign w:val="bottom"/>
            <w:gridSpan w:val="5"/>
          </w:tcPr>
          <w:p>
            <w:pPr>
              <w:jc w:val="right"/>
              <w:ind w:right="436"/>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7,972</w:t>
            </w:r>
          </w:p>
        </w:tc>
        <w:tc>
          <w:tcPr>
            <w:tcW w:w="2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8,863</w:t>
            </w:r>
          </w:p>
        </w:tc>
      </w:tr>
      <w:tr>
        <w:trPr>
          <w:trHeight w:val="216"/>
        </w:trPr>
        <w:tc>
          <w:tcPr>
            <w:tcW w:w="57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94,432</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109,432</w:t>
            </w: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11,469</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13,940</w:t>
            </w:r>
          </w:p>
        </w:tc>
      </w:tr>
      <w:tr>
        <w:trPr>
          <w:trHeight w:val="223"/>
        </w:trPr>
        <w:tc>
          <w:tcPr>
            <w:tcW w:w="57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23,373</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23,638</w:t>
            </w:r>
          </w:p>
        </w:tc>
        <w:tc>
          <w:tcPr>
            <w:tcW w:w="100" w:type="dxa"/>
            <w:vAlign w:val="bottom"/>
          </w:tcPr>
          <w:p>
            <w:pPr>
              <w:spacing w:after="0"/>
              <w:rPr>
                <w:sz w:val="19"/>
                <w:szCs w:val="19"/>
                <w:color w:val="auto"/>
              </w:rPr>
            </w:pPr>
          </w:p>
        </w:tc>
      </w:tr>
      <w:tr>
        <w:trPr>
          <w:trHeight w:val="216"/>
        </w:trPr>
        <w:tc>
          <w:tcPr>
            <w:tcW w:w="5700" w:type="dxa"/>
            <w:vAlign w:val="bottom"/>
            <w:shd w:val="clear" w:color="auto" w:fill="CCEEFF"/>
          </w:tcPr>
          <w:p>
            <w:pPr>
              <w:spacing w:after="0"/>
              <w:rPr>
                <w:sz w:val="18"/>
                <w:szCs w:val="18"/>
                <w:color w:val="auto"/>
              </w:rPr>
            </w:pP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137,246</w:t>
            </w:r>
          </w:p>
        </w:tc>
        <w:tc>
          <w:tcPr>
            <w:tcW w:w="2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155,873</w:t>
            </w:r>
          </w:p>
        </w:tc>
      </w:tr>
      <w:tr>
        <w:trPr>
          <w:trHeight w:val="20"/>
        </w:trPr>
        <w:tc>
          <w:tcPr>
            <w:tcW w:w="5700" w:type="dxa"/>
            <w:vAlign w:val="bottom"/>
          </w:tcPr>
          <w:p>
            <w:pPr>
              <w:spacing w:after="0" w:line="20" w:lineRule="exact"/>
              <w:rPr>
                <w:sz w:val="1"/>
                <w:szCs w:val="1"/>
                <w:color w:val="auto"/>
              </w:rPr>
            </w:pPr>
          </w:p>
        </w:tc>
        <w:tc>
          <w:tcPr>
            <w:tcW w:w="3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Share-based compensation expense decreased by $18.6 million in fiscal 2015 compared to fiscal 2014. The decrease was primarily due to lower expense related to the employee stock purchase plan. In addition, the reversal of previously recognized expense associated with unvested equity awards that were cancelled as a result of the resignation in February 2014 of our former Chief Technology Officer reduced the fiscal 2015 share-based compensation expense. These decreases were partially offset by new grants of performance-based awards in fiscal 2015 to members of senior management and in April 2014 to our executive officers.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00" w:type="dxa"/>
            <w:vAlign w:val="bottom"/>
          </w:tcPr>
          <w:p>
            <w:pPr>
              <w:spacing w:after="0"/>
              <w:rPr>
                <w:sz w:val="14"/>
                <w:szCs w:val="14"/>
                <w:color w:val="auto"/>
              </w:rPr>
            </w:pPr>
          </w:p>
        </w:tc>
        <w:tc>
          <w:tcPr>
            <w:tcW w:w="92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3"/>
              </w:rPr>
              <w:t>January 31,</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5"/>
              </w:rPr>
              <w:t>February 1,</w:t>
            </w:r>
          </w:p>
        </w:tc>
        <w:tc>
          <w:tcPr>
            <w:tcW w:w="60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1500" w:type="dxa"/>
            <w:vAlign w:val="bottom"/>
          </w:tcPr>
          <w:p>
            <w:pPr>
              <w:jc w:val="right"/>
              <w:ind w:right="886"/>
              <w:spacing w:after="0"/>
              <w:rPr>
                <w:sz w:val="20"/>
                <w:szCs w:val="20"/>
                <w:color w:val="auto"/>
              </w:rPr>
            </w:pPr>
            <w:r>
              <w:rPr>
                <w:rFonts w:ascii="Arial" w:cs="Arial" w:eastAsia="Arial" w:hAnsi="Arial"/>
                <w:sz w:val="14"/>
                <w:szCs w:val="14"/>
                <w:b w:val="1"/>
                <w:bCs w:val="1"/>
                <w:color w:val="auto"/>
              </w:rPr>
              <w:t>2015</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2014</w:t>
            </w:r>
          </w:p>
        </w:tc>
        <w:tc>
          <w:tcPr>
            <w:tcW w:w="600" w:type="dxa"/>
            <w:vAlign w:val="bottom"/>
          </w:tcPr>
          <w:p>
            <w:pPr>
              <w:spacing w:after="0"/>
              <w:rPr>
                <w:sz w:val="14"/>
                <w:szCs w:val="14"/>
                <w:color w:val="auto"/>
              </w:rPr>
            </w:pPr>
          </w:p>
        </w:tc>
        <w:tc>
          <w:tcPr>
            <w:tcW w:w="9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290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500" w:type="dxa"/>
            <w:vAlign w:val="bottom"/>
            <w:shd w:val="clear" w:color="auto" w:fill="CCEEFF"/>
          </w:tcPr>
          <w:p>
            <w:pPr>
              <w:jc w:val="right"/>
              <w:ind w:right="626"/>
              <w:spacing w:after="0"/>
              <w:rPr>
                <w:sz w:val="20"/>
                <w:szCs w:val="20"/>
                <w:color w:val="auto"/>
              </w:rPr>
            </w:pPr>
            <w:r>
              <w:rPr>
                <w:rFonts w:ascii="Arial" w:cs="Arial" w:eastAsia="Arial" w:hAnsi="Arial"/>
                <w:sz w:val="18"/>
                <w:szCs w:val="18"/>
                <w:color w:val="auto"/>
                <w:w w:val="86"/>
              </w:rPr>
              <w:t>$1,164,059</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$1,156,885</w:t>
            </w:r>
          </w:p>
        </w:tc>
        <w:tc>
          <w:tcPr>
            <w:tcW w:w="6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0.6%</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31.4%</w:t>
            </w:r>
          </w:p>
        </w:tc>
        <w:tc>
          <w:tcPr>
            <w:tcW w:w="1400" w:type="dxa"/>
            <w:vAlign w:val="bottom"/>
            <w:gridSpan w:val="2"/>
          </w:tcPr>
          <w:p>
            <w:pPr>
              <w:jc w:val="right"/>
              <w:ind w:right="460"/>
              <w:spacing w:after="0"/>
              <w:rPr>
                <w:sz w:val="20"/>
                <w:szCs w:val="20"/>
                <w:color w:val="auto"/>
              </w:rPr>
            </w:pPr>
            <w:r>
              <w:rPr>
                <w:rFonts w:ascii="Arial" w:cs="Arial" w:eastAsia="Arial" w:hAnsi="Arial"/>
                <w:sz w:val="18"/>
                <w:szCs w:val="18"/>
                <w:color w:val="auto"/>
              </w:rPr>
              <w:t>34.0%</w:t>
            </w:r>
          </w:p>
        </w:tc>
        <w:tc>
          <w:tcPr>
            <w:tcW w:w="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Research and development expense increased by $7.2 million in fiscal 2015 compared to fiscal 2014. The increase was primarily attributable to $27.5 million of higher personnel-related costs primarily associated with an increase in incentive compensation expense that were partially offset by lower share-based compensation. In addition, we had $3.8 million of higher depreciation and amortization expenses. These increases were offset by $26.5 million of lower costs primarily for non-recurring engineering services due to higher reimbursement from our customers combined with efforts to closely monitor research and development spending to improve efficiencies. In addition, there was $5.2 million of restructuring and other exit-related costs included in research and development expense in fiscal 2015 compared to $2.9 million in fiscal 2014, which is further described in the restructuring section of Management’s Discussion and Analysis of Financial Condition and Results of Operations.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660" w:type="dxa"/>
            <w:vAlign w:val="bottom"/>
          </w:tcPr>
          <w:p>
            <w:pPr>
              <w:spacing w:after="0"/>
              <w:rPr>
                <w:sz w:val="11"/>
                <w:szCs w:val="11"/>
                <w:color w:val="auto"/>
              </w:rPr>
            </w:pPr>
          </w:p>
        </w:tc>
        <w:tc>
          <w:tcPr>
            <w:tcW w:w="310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5"/>
              </w:rPr>
              <w:t>January 31,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1,</w:t>
            </w:r>
          </w:p>
        </w:tc>
        <w:tc>
          <w:tcPr>
            <w:tcW w:w="66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60" w:type="dxa"/>
            <w:vAlign w:val="bottom"/>
          </w:tcPr>
          <w:p>
            <w:pPr>
              <w:spacing w:after="0"/>
              <w:rPr>
                <w:sz w:val="14"/>
                <w:szCs w:val="14"/>
                <w:color w:val="auto"/>
              </w:rPr>
            </w:pPr>
          </w:p>
        </w:tc>
        <w:tc>
          <w:tcPr>
            <w:tcW w:w="448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2015</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66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466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27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44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$ 143,952</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$ 152,698</w:t>
            </w:r>
          </w:p>
        </w:tc>
        <w:tc>
          <w:tcPr>
            <w:tcW w:w="6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22"/>
        </w:trPr>
        <w:tc>
          <w:tcPr>
            <w:tcW w:w="4660" w:type="dxa"/>
            <w:vAlign w:val="bottom"/>
          </w:tcPr>
          <w:p>
            <w:pPr>
              <w:spacing w:after="0"/>
              <w:rPr>
                <w:sz w:val="20"/>
                <w:szCs w:val="20"/>
                <w:color w:val="auto"/>
              </w:rPr>
            </w:pPr>
            <w:r>
              <w:rPr>
                <w:rFonts w:ascii="Arial" w:cs="Arial" w:eastAsia="Arial" w:hAnsi="Arial"/>
                <w:sz w:val="18"/>
                <w:szCs w:val="18"/>
                <w:color w:val="auto"/>
              </w:rPr>
              <w:t>% of net revenue</w:t>
            </w:r>
          </w:p>
        </w:tc>
        <w:tc>
          <w:tcPr>
            <w:tcW w:w="4480" w:type="dxa"/>
            <w:vAlign w:val="bottom"/>
            <w:gridSpan w:val="2"/>
          </w:tcPr>
          <w:p>
            <w:pPr>
              <w:jc w:val="right"/>
              <w:ind w:right="472"/>
              <w:spacing w:after="0"/>
              <w:rPr>
                <w:sz w:val="20"/>
                <w:szCs w:val="20"/>
                <w:color w:val="auto"/>
              </w:rPr>
            </w:pPr>
            <w:r>
              <w:rPr>
                <w:rFonts w:ascii="Arial" w:cs="Arial" w:eastAsia="Arial" w:hAnsi="Arial"/>
                <w:sz w:val="18"/>
                <w:szCs w:val="18"/>
                <w:color w:val="auto"/>
              </w:rPr>
              <w:t>3.9%</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4.5%</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720" w:firstLine="456"/>
        <w:spacing w:after="0" w:line="332" w:lineRule="auto"/>
        <w:rPr>
          <w:sz w:val="20"/>
          <w:szCs w:val="20"/>
          <w:color w:val="auto"/>
        </w:rPr>
      </w:pPr>
      <w:r>
        <w:rPr>
          <w:rFonts w:ascii="Arial" w:cs="Arial" w:eastAsia="Arial" w:hAnsi="Arial"/>
          <w:sz w:val="16"/>
          <w:szCs w:val="16"/>
          <w:color w:val="auto"/>
        </w:rPr>
        <w:t>Selling and marketing expense decreased by $8.7 million in fiscal 2015 compared to fiscal 2014. The decrease was primarily attributable to lower personnel-related costs of $9.7 million due to lower headcount, which was partially offset by slightly higher marketing advertisement activities.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88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84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140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66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40" w:type="dxa"/>
            <w:vAlign w:val="bottom"/>
          </w:tcPr>
          <w:p>
            <w:pPr>
              <w:spacing w:after="0"/>
              <w:rPr>
                <w:sz w:val="14"/>
                <w:szCs w:val="14"/>
                <w:color w:val="auto"/>
              </w:rPr>
            </w:pPr>
          </w:p>
        </w:tc>
        <w:tc>
          <w:tcPr>
            <w:tcW w:w="4340" w:type="dxa"/>
            <w:vAlign w:val="bottom"/>
            <w:gridSpan w:val="2"/>
          </w:tcPr>
          <w:p>
            <w:pPr>
              <w:jc w:val="right"/>
              <w:ind w:right="852"/>
              <w:spacing w:after="0"/>
              <w:rPr>
                <w:sz w:val="20"/>
                <w:szCs w:val="20"/>
                <w:color w:val="auto"/>
              </w:rPr>
            </w:pPr>
            <w:r>
              <w:rPr>
                <w:rFonts w:ascii="Arial" w:cs="Arial" w:eastAsia="Arial" w:hAnsi="Arial"/>
                <w:sz w:val="14"/>
                <w:szCs w:val="14"/>
                <w:b w:val="1"/>
                <w:bCs w:val="1"/>
                <w:color w:val="auto"/>
              </w:rPr>
              <w:t>2015</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660" w:type="dxa"/>
            <w:vAlign w:val="bottom"/>
          </w:tcPr>
          <w:p>
            <w:pPr>
              <w:spacing w:after="0"/>
              <w:rPr>
                <w:sz w:val="14"/>
                <w:szCs w:val="14"/>
                <w:color w:val="auto"/>
              </w:rPr>
            </w:pPr>
          </w:p>
        </w:tc>
        <w:tc>
          <w:tcPr>
            <w:tcW w:w="88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484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76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434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$ 130,030</w:t>
            </w:r>
          </w:p>
        </w:tc>
        <w:tc>
          <w:tcPr>
            <w:tcW w:w="13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84"/>
              </w:rPr>
              <w:t>$ 106,471</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22.1%</w:t>
            </w:r>
          </w:p>
        </w:tc>
        <w:tc>
          <w:tcPr>
            <w:tcW w:w="0" w:type="dxa"/>
            <w:vAlign w:val="bottom"/>
          </w:tcPr>
          <w:p>
            <w:pPr>
              <w:spacing w:after="0"/>
              <w:rPr>
                <w:sz w:val="1"/>
                <w:szCs w:val="1"/>
                <w:color w:val="auto"/>
              </w:rPr>
            </w:pPr>
          </w:p>
        </w:tc>
      </w:tr>
      <w:tr>
        <w:trPr>
          <w:trHeight w:val="222"/>
        </w:trPr>
        <w:tc>
          <w:tcPr>
            <w:tcW w:w="4840" w:type="dxa"/>
            <w:vAlign w:val="bottom"/>
          </w:tcPr>
          <w:p>
            <w:pPr>
              <w:spacing w:after="0"/>
              <w:rPr>
                <w:sz w:val="20"/>
                <w:szCs w:val="20"/>
                <w:color w:val="auto"/>
              </w:rPr>
            </w:pPr>
            <w:r>
              <w:rPr>
                <w:rFonts w:ascii="Arial" w:cs="Arial" w:eastAsia="Arial" w:hAnsi="Arial"/>
                <w:sz w:val="18"/>
                <w:szCs w:val="18"/>
                <w:color w:val="auto"/>
              </w:rPr>
              <w:t>% of net revenue</w:t>
            </w:r>
          </w:p>
        </w:tc>
        <w:tc>
          <w:tcPr>
            <w:tcW w:w="4340" w:type="dxa"/>
            <w:vAlign w:val="bottom"/>
            <w:gridSpan w:val="2"/>
          </w:tcPr>
          <w:p>
            <w:pPr>
              <w:jc w:val="right"/>
              <w:ind w:right="492"/>
              <w:spacing w:after="0"/>
              <w:rPr>
                <w:sz w:val="20"/>
                <w:szCs w:val="20"/>
                <w:color w:val="auto"/>
              </w:rPr>
            </w:pPr>
            <w:r>
              <w:rPr>
                <w:rFonts w:ascii="Arial" w:cs="Arial" w:eastAsia="Arial" w:hAnsi="Arial"/>
                <w:sz w:val="18"/>
                <w:szCs w:val="18"/>
                <w:color w:val="auto"/>
              </w:rPr>
              <w:t>3.5%</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3.1%</w:t>
            </w:r>
          </w:p>
        </w:tc>
        <w:tc>
          <w:tcPr>
            <w:tcW w:w="6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General and administrative expense increased by $23.6 million in fiscal 2015 compared to fiscal 2014. The increase was primarily attributable to higher legal expenses of $8.3 million for ongoing litigation matters and costs of $7.2 million associated with the surety bond to appeal the CMU judgment. Higher incentive compensation expenses of $5.0 million in fiscal 2015 also contributed to the increase in general and administrative expense. In addition, there were $5.2 million of restructuring and other exit-related costs included in general and administrative expense in fiscal 2015 compared to $1.1 million in fiscal 2014.</w:t>
      </w:r>
    </w:p>
    <w:p>
      <w:pPr>
        <w:spacing w:after="0" w:line="113"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We expect general and administrative expenses for the first quarter of fiscal 2016 to increase compared to the fourth quarter of fiscal 2015 due to a cash payment to our Chief Executive Officer. See “Note 15 — Subsequent Event” in our Notes to the Consolidated Financial Statements set forth in Part II, Item 8 of the Annual Report on Form 10-K for further information.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6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586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5"/>
              </w:rPr>
              <w:t>January 31,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1,</w:t>
            </w:r>
          </w:p>
        </w:tc>
        <w:tc>
          <w:tcPr>
            <w:tcW w:w="66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860" w:type="dxa"/>
            <w:vAlign w:val="bottom"/>
          </w:tcPr>
          <w:p>
            <w:pPr>
              <w:spacing w:after="0"/>
              <w:rPr>
                <w:sz w:val="14"/>
                <w:szCs w:val="14"/>
                <w:color w:val="auto"/>
              </w:rPr>
            </w:pPr>
          </w:p>
        </w:tc>
        <w:tc>
          <w:tcPr>
            <w:tcW w:w="328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2015</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66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586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27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32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16,397</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  43,925</w:t>
            </w:r>
          </w:p>
        </w:tc>
        <w:tc>
          <w:tcPr>
            <w:tcW w:w="6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(62.7)%</w:t>
            </w:r>
          </w:p>
        </w:tc>
        <w:tc>
          <w:tcPr>
            <w:tcW w:w="0" w:type="dxa"/>
            <w:vAlign w:val="bottom"/>
          </w:tcPr>
          <w:p>
            <w:pPr>
              <w:spacing w:after="0"/>
              <w:rPr>
                <w:sz w:val="1"/>
                <w:szCs w:val="1"/>
                <w:color w:val="auto"/>
              </w:rPr>
            </w:pPr>
          </w:p>
        </w:tc>
      </w:tr>
      <w:tr>
        <w:trPr>
          <w:trHeight w:val="222"/>
        </w:trPr>
        <w:tc>
          <w:tcPr>
            <w:tcW w:w="5860" w:type="dxa"/>
            <w:vAlign w:val="bottom"/>
          </w:tcPr>
          <w:p>
            <w:pPr>
              <w:spacing w:after="0"/>
              <w:rPr>
                <w:sz w:val="20"/>
                <w:szCs w:val="20"/>
                <w:color w:val="auto"/>
              </w:rPr>
            </w:pPr>
            <w:r>
              <w:rPr>
                <w:rFonts w:ascii="Arial" w:cs="Arial" w:eastAsia="Arial" w:hAnsi="Arial"/>
                <w:sz w:val="18"/>
                <w:szCs w:val="18"/>
                <w:color w:val="auto"/>
              </w:rPr>
              <w:t>% of net revenue</w:t>
            </w:r>
          </w:p>
        </w:tc>
        <w:tc>
          <w:tcPr>
            <w:tcW w:w="3280" w:type="dxa"/>
            <w:vAlign w:val="bottom"/>
            <w:gridSpan w:val="2"/>
          </w:tcPr>
          <w:p>
            <w:pPr>
              <w:jc w:val="right"/>
              <w:ind w:right="472"/>
              <w:spacing w:after="0"/>
              <w:rPr>
                <w:sz w:val="20"/>
                <w:szCs w:val="20"/>
                <w:color w:val="auto"/>
              </w:rPr>
            </w:pPr>
            <w:r>
              <w:rPr>
                <w:rFonts w:ascii="Arial" w:cs="Arial" w:eastAsia="Arial" w:hAnsi="Arial"/>
                <w:sz w:val="18"/>
                <w:szCs w:val="18"/>
                <w:color w:val="auto"/>
              </w:rPr>
              <w:t>0.5%</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1.3%</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Amortization and write-off of acquired intangible assets decreased by $27.5 million in fiscal 2015 compared to fiscal 2014. The decrease was due to a reduction in amortization expense as certain intangible assets became fully amortized. In addition, fiscal 2015 included a $3.4 million write off of IPR&amp;D upon our decision to discontinue the related project compared to a write-off of $8.1 million for the impairment of an acquired intangible asset in fiscal 2014.</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rPr>
              <w:t>Year Ended</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920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74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100" w:type="dxa"/>
            <w:vAlign w:val="bottom"/>
          </w:tcPr>
          <w:p>
            <w:pPr>
              <w:spacing w:after="0"/>
              <w:rPr>
                <w:sz w:val="11"/>
                <w:szCs w:val="11"/>
                <w:color w:val="auto"/>
              </w:rPr>
            </w:pPr>
          </w:p>
        </w:tc>
      </w:tr>
      <w:tr>
        <w:trPr>
          <w:trHeight w:val="161"/>
        </w:trPr>
        <w:tc>
          <w:tcPr>
            <w:tcW w:w="9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2015</w:t>
            </w:r>
          </w:p>
        </w:tc>
        <w:tc>
          <w:tcPr>
            <w:tcW w:w="7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92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5,249</w:t>
            </w:r>
          </w:p>
        </w:tc>
        <w:tc>
          <w:tcPr>
            <w:tcW w:w="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100" w:type="dxa"/>
            <w:vAlign w:val="bottom"/>
            <w:shd w:val="clear" w:color="auto" w:fill="CCEEFF"/>
          </w:tcPr>
          <w:p>
            <w:pPr>
              <w:spacing w:after="0"/>
              <w:rPr>
                <w:sz w:val="18"/>
                <w:szCs w:val="18"/>
                <w:color w:val="auto"/>
              </w:rPr>
            </w:pPr>
          </w:p>
        </w:tc>
      </w:tr>
      <w:tr>
        <w:trPr>
          <w:trHeight w:val="216"/>
        </w:trPr>
        <w:tc>
          <w:tcPr>
            <w:tcW w:w="9200" w:type="dxa"/>
            <w:vAlign w:val="bottom"/>
          </w:tcPr>
          <w:p>
            <w:pPr>
              <w:spacing w:after="0"/>
              <w:rPr>
                <w:sz w:val="20"/>
                <w:szCs w:val="20"/>
                <w:color w:val="auto"/>
              </w:rPr>
            </w:pPr>
            <w:r>
              <w:rPr>
                <w:rFonts w:ascii="Arial" w:cs="Arial" w:eastAsia="Arial" w:hAnsi="Arial"/>
                <w:sz w:val="18"/>
                <w:szCs w:val="18"/>
                <w:color w:val="auto"/>
              </w:rPr>
              <w:t>Selling and marketing</w:t>
            </w:r>
          </w:p>
        </w:tc>
        <w:tc>
          <w:tcPr>
            <w:tcW w:w="160" w:type="dxa"/>
            <w:vAlign w:val="bottom"/>
          </w:tcPr>
          <w:p>
            <w:pPr>
              <w:spacing w:after="0"/>
              <w:rPr>
                <w:sz w:val="18"/>
                <w:szCs w:val="18"/>
                <w:color w:val="auto"/>
              </w:rPr>
            </w:pPr>
          </w:p>
        </w:tc>
        <w:tc>
          <w:tcPr>
            <w:tcW w:w="540" w:type="dxa"/>
            <w:vAlign w:val="bottom"/>
          </w:tcPr>
          <w:p>
            <w:pPr>
              <w:jc w:val="right"/>
              <w:ind w:right="16"/>
              <w:spacing w:after="0"/>
              <w:rPr>
                <w:sz w:val="20"/>
                <w:szCs w:val="20"/>
                <w:color w:val="auto"/>
              </w:rPr>
            </w:pPr>
            <w:r>
              <w:rPr>
                <w:rFonts w:ascii="Arial" w:cs="Arial" w:eastAsia="Arial" w:hAnsi="Arial"/>
                <w:sz w:val="18"/>
                <w:szCs w:val="18"/>
                <w:color w:val="auto"/>
              </w:rPr>
              <w:t>—</w:t>
            </w:r>
          </w:p>
        </w:tc>
        <w:tc>
          <w:tcPr>
            <w:tcW w:w="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795</w:t>
            </w:r>
          </w:p>
        </w:tc>
        <w:tc>
          <w:tcPr>
            <w:tcW w:w="100" w:type="dxa"/>
            <w:vAlign w:val="bottom"/>
          </w:tcPr>
          <w:p>
            <w:pPr>
              <w:spacing w:after="0"/>
              <w:rPr>
                <w:sz w:val="18"/>
                <w:szCs w:val="18"/>
                <w:color w:val="auto"/>
              </w:rPr>
            </w:pPr>
          </w:p>
        </w:tc>
      </w:tr>
      <w:tr>
        <w:trPr>
          <w:trHeight w:val="216"/>
        </w:trPr>
        <w:tc>
          <w:tcPr>
            <w:tcW w:w="92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5,189</w:t>
            </w:r>
          </w:p>
        </w:tc>
        <w:tc>
          <w:tcPr>
            <w:tcW w:w="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1,051</w:t>
            </w:r>
          </w:p>
        </w:tc>
        <w:tc>
          <w:tcPr>
            <w:tcW w:w="100" w:type="dxa"/>
            <w:vAlign w:val="bottom"/>
            <w:shd w:val="clear" w:color="auto" w:fill="CCEEFF"/>
          </w:tcPr>
          <w:p>
            <w:pPr>
              <w:spacing w:after="0"/>
              <w:rPr>
                <w:sz w:val="18"/>
                <w:szCs w:val="18"/>
                <w:color w:val="auto"/>
              </w:rPr>
            </w:pPr>
          </w:p>
        </w:tc>
      </w:tr>
      <w:tr>
        <w:trPr>
          <w:trHeight w:val="223"/>
        </w:trPr>
        <w:tc>
          <w:tcPr>
            <w:tcW w:w="920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7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9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13,824</w:t>
            </w:r>
          </w:p>
        </w:tc>
        <w:tc>
          <w:tcPr>
            <w:tcW w:w="88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4,732</w:t>
            </w:r>
          </w:p>
        </w:tc>
        <w:tc>
          <w:tcPr>
            <w:tcW w:w="100" w:type="dxa"/>
            <w:vAlign w:val="bottom"/>
            <w:shd w:val="clear" w:color="auto" w:fill="CCEEFF"/>
          </w:tcPr>
          <w:p>
            <w:pPr>
              <w:spacing w:after="0"/>
              <w:rPr>
                <w:sz w:val="18"/>
                <w:szCs w:val="18"/>
                <w:color w:val="auto"/>
              </w:rPr>
            </w:pPr>
          </w:p>
        </w:tc>
      </w:tr>
      <w:tr>
        <w:trPr>
          <w:trHeight w:val="20"/>
        </w:trPr>
        <w:tc>
          <w:tcPr>
            <w:tcW w:w="9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We recorded a total $13.8 million restructuring charge in fiscal 2015, which included severance costs of $5.2 million and other exit-related costs of $2.0 million, primarily associated with facility closures. In addition, the charge included $3.4 million to write off an acquired intangible asset and a $3.2 million loss related to a lease agreement. The fiscal 2014 restructuring charge primarily related to the closure of two sites for a total cost of $4.2 million for severance and other exit-related costs. See “Note 8 — Restructuring” in the Notes to the Consolidated Financial Statements for a more complete discussion of these restructuring charges.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840" w:type="dxa"/>
            <w:vAlign w:val="bottom"/>
          </w:tcPr>
          <w:p>
            <w:pPr>
              <w:spacing w:after="0"/>
              <w:rPr>
                <w:sz w:val="11"/>
                <w:szCs w:val="11"/>
                <w:color w:val="auto"/>
              </w:rPr>
            </w:pPr>
          </w:p>
        </w:tc>
        <w:tc>
          <w:tcPr>
            <w:tcW w:w="2740" w:type="dxa"/>
            <w:vAlign w:val="bottom"/>
          </w:tcPr>
          <w:p>
            <w:pPr>
              <w:spacing w:after="0"/>
              <w:rPr>
                <w:sz w:val="11"/>
                <w:szCs w:val="11"/>
                <w:color w:val="auto"/>
              </w:rPr>
            </w:pPr>
          </w:p>
        </w:tc>
        <w:tc>
          <w:tcPr>
            <w:tcW w:w="1460" w:type="dxa"/>
            <w:vAlign w:val="bottom"/>
          </w:tcPr>
          <w:p>
            <w:pPr>
              <w:jc w:val="right"/>
              <w:ind w:right="692"/>
              <w:spacing w:after="0" w:line="129" w:lineRule="exact"/>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72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40" w:type="dxa"/>
            <w:vAlign w:val="bottom"/>
          </w:tcPr>
          <w:p>
            <w:pPr>
              <w:spacing w:after="0"/>
              <w:rPr>
                <w:sz w:val="14"/>
                <w:szCs w:val="14"/>
                <w:color w:val="auto"/>
              </w:rPr>
            </w:pPr>
          </w:p>
        </w:tc>
        <w:tc>
          <w:tcPr>
            <w:tcW w:w="4200" w:type="dxa"/>
            <w:vAlign w:val="bottom"/>
            <w:gridSpan w:val="2"/>
          </w:tcPr>
          <w:p>
            <w:pPr>
              <w:jc w:val="right"/>
              <w:ind w:right="912"/>
              <w:spacing w:after="0"/>
              <w:rPr>
                <w:sz w:val="20"/>
                <w:szCs w:val="20"/>
                <w:color w:val="auto"/>
              </w:rPr>
            </w:pPr>
            <w:r>
              <w:rPr>
                <w:rFonts w:ascii="Arial" w:cs="Arial" w:eastAsia="Arial" w:hAnsi="Arial"/>
                <w:sz w:val="14"/>
                <w:szCs w:val="14"/>
                <w:b w:val="1"/>
                <w:bCs w:val="1"/>
                <w:color w:val="auto"/>
              </w:rPr>
              <w:t>2015</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spacing w:after="0"/>
              <w:rPr>
                <w:sz w:val="14"/>
                <w:szCs w:val="14"/>
                <w:color w:val="auto"/>
              </w:rPr>
            </w:pPr>
          </w:p>
        </w:tc>
        <w:tc>
          <w:tcPr>
            <w:tcW w:w="9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4840" w:type="dxa"/>
            <w:vAlign w:val="bottom"/>
          </w:tcPr>
          <w:p>
            <w:pPr>
              <w:spacing w:after="0"/>
              <w:rPr>
                <w:sz w:val="12"/>
                <w:szCs w:val="12"/>
                <w:color w:val="auto"/>
              </w:rPr>
            </w:pPr>
          </w:p>
        </w:tc>
        <w:tc>
          <w:tcPr>
            <w:tcW w:w="2740" w:type="dxa"/>
            <w:vAlign w:val="bottom"/>
          </w:tcPr>
          <w:p>
            <w:pPr>
              <w:spacing w:after="0"/>
              <w:rPr>
                <w:sz w:val="12"/>
                <w:szCs w:val="12"/>
                <w:color w:val="auto"/>
              </w:rPr>
            </w:pPr>
          </w:p>
        </w:tc>
        <w:tc>
          <w:tcPr>
            <w:tcW w:w="288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4200" w:type="dxa"/>
            <w:vAlign w:val="bottom"/>
            <w:gridSpan w:val="2"/>
            <w:shd w:val="clear" w:color="auto" w:fill="CCEEFF"/>
          </w:tcPr>
          <w:p>
            <w:pPr>
              <w:jc w:val="right"/>
              <w:ind w:right="692"/>
              <w:spacing w:after="0"/>
              <w:rPr>
                <w:sz w:val="20"/>
                <w:szCs w:val="20"/>
                <w:color w:val="auto"/>
              </w:rPr>
            </w:pPr>
            <w:r>
              <w:rPr>
                <w:rFonts w:ascii="Arial" w:cs="Arial" w:eastAsia="Arial" w:hAnsi="Arial"/>
                <w:sz w:val="18"/>
                <w:szCs w:val="18"/>
                <w:color w:val="auto"/>
              </w:rPr>
              <w:t>$  23,334</w:t>
            </w:r>
          </w:p>
        </w:tc>
        <w:tc>
          <w:tcPr>
            <w:tcW w:w="14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90"/>
              </w:rPr>
              <w:t>$  25,566</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r>
        <w:trPr>
          <w:trHeight w:val="222"/>
        </w:trPr>
        <w:tc>
          <w:tcPr>
            <w:tcW w:w="4840" w:type="dxa"/>
            <w:vAlign w:val="bottom"/>
          </w:tcPr>
          <w:p>
            <w:pPr>
              <w:spacing w:after="0"/>
              <w:rPr>
                <w:sz w:val="20"/>
                <w:szCs w:val="20"/>
                <w:color w:val="auto"/>
              </w:rPr>
            </w:pPr>
            <w:r>
              <w:rPr>
                <w:rFonts w:ascii="Arial" w:cs="Arial" w:eastAsia="Arial" w:hAnsi="Arial"/>
                <w:sz w:val="18"/>
                <w:szCs w:val="18"/>
                <w:color w:val="auto"/>
              </w:rPr>
              <w:t>% of net revenue</w:t>
            </w:r>
          </w:p>
        </w:tc>
        <w:tc>
          <w:tcPr>
            <w:tcW w:w="4200" w:type="dxa"/>
            <w:vAlign w:val="bottom"/>
            <w:gridSpan w:val="2"/>
          </w:tcPr>
          <w:p>
            <w:pPr>
              <w:jc w:val="right"/>
              <w:ind w:right="552"/>
              <w:spacing w:after="0"/>
              <w:rPr>
                <w:sz w:val="20"/>
                <w:szCs w:val="20"/>
                <w:color w:val="auto"/>
              </w:rPr>
            </w:pPr>
            <w:r>
              <w:rPr>
                <w:rFonts w:ascii="Arial" w:cs="Arial" w:eastAsia="Arial" w:hAnsi="Arial"/>
                <w:sz w:val="18"/>
                <w:szCs w:val="18"/>
                <w:color w:val="auto"/>
              </w:rPr>
              <w:t>0.6%</w:t>
            </w:r>
          </w:p>
        </w:tc>
        <w:tc>
          <w:tcPr>
            <w:tcW w:w="1420" w:type="dxa"/>
            <w:vAlign w:val="bottom"/>
            <w:gridSpan w:val="2"/>
          </w:tcPr>
          <w:p>
            <w:pPr>
              <w:jc w:val="right"/>
              <w:ind w:right="560"/>
              <w:spacing w:after="0"/>
              <w:rPr>
                <w:sz w:val="20"/>
                <w:szCs w:val="20"/>
                <w:color w:val="auto"/>
              </w:rPr>
            </w:pPr>
            <w:r>
              <w:rPr>
                <w:rFonts w:ascii="Arial" w:cs="Arial" w:eastAsia="Arial" w:hAnsi="Arial"/>
                <w:sz w:val="18"/>
                <w:szCs w:val="18"/>
                <w:color w:val="auto"/>
              </w:rPr>
              <w:t>0.7%</w:t>
            </w: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Interest and other income, net, decreased by $2.2 million in fiscal 2015 compared to fiscal 2014. The decrease was primarily due to the recognition of foreign currency gains, which were $6.9 million lower in fiscal 2015 compared to fiscal 2014. Although the U.S. dollar strengthened over certain foreign currencies in which we had exposures during fiscal 2015, most of our foreign currency gains arose from the revaluation of our foreign currency denominated tax liabilities that were lower in fiscal 2015 compared to fiscal 2014. The decrease in foreign currency gains was partially offset by an increase in interest income from higher average cash and investment balances combined with an increase in other income. Other income included an $8.8 million gain from the sale of an investment in fiscal 2015 compared to a $7.0 million gain from the sale of a business in fiscal 2014.</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8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20" w:type="dxa"/>
            <w:vAlign w:val="bottom"/>
            <w:tcBorders>
              <w:bottom w:val="single" w:sz="8" w:color="auto"/>
            </w:tcBorders>
          </w:tcPr>
          <w:p>
            <w:pPr>
              <w:spacing w:after="0"/>
              <w:rPr>
                <w:sz w:val="14"/>
                <w:szCs w:val="14"/>
                <w:color w:val="auto"/>
              </w:rPr>
            </w:pPr>
          </w:p>
        </w:tc>
        <w:tc>
          <w:tcPr>
            <w:tcW w:w="720" w:type="dxa"/>
            <w:vAlign w:val="bottom"/>
          </w:tcPr>
          <w:p>
            <w:pPr>
              <w:spacing w:after="0"/>
              <w:rPr>
                <w:sz w:val="14"/>
                <w:szCs w:val="14"/>
                <w:color w:val="auto"/>
              </w:rPr>
            </w:pPr>
          </w:p>
        </w:tc>
        <w:tc>
          <w:tcPr>
            <w:tcW w:w="100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80" w:type="dxa"/>
            <w:vAlign w:val="bottom"/>
          </w:tcPr>
          <w:p>
            <w:pPr>
              <w:spacing w:after="0"/>
              <w:rPr>
                <w:sz w:val="11"/>
                <w:szCs w:val="11"/>
                <w:color w:val="auto"/>
              </w:rPr>
            </w:pPr>
          </w:p>
        </w:tc>
        <w:tc>
          <w:tcPr>
            <w:tcW w:w="1500" w:type="dxa"/>
            <w:vAlign w:val="bottom"/>
          </w:tcPr>
          <w:p>
            <w:pPr>
              <w:jc w:val="right"/>
              <w:ind w:right="726"/>
              <w:spacing w:after="0" w:line="129" w:lineRule="exact"/>
              <w:rPr>
                <w:sz w:val="20"/>
                <w:szCs w:val="20"/>
                <w:color w:val="auto"/>
              </w:rPr>
            </w:pPr>
            <w:r>
              <w:rPr>
                <w:rFonts w:ascii="Arial" w:cs="Arial" w:eastAsia="Arial" w:hAnsi="Arial"/>
                <w:sz w:val="14"/>
                <w:szCs w:val="14"/>
                <w:b w:val="1"/>
                <w:bCs w:val="1"/>
                <w:color w:val="auto"/>
                <w:w w:val="88"/>
              </w:rPr>
              <w:t>January 31,</w:t>
            </w:r>
          </w:p>
        </w:tc>
        <w:tc>
          <w:tcPr>
            <w:tcW w:w="7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72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80" w:type="dxa"/>
            <w:vAlign w:val="bottom"/>
          </w:tcPr>
          <w:p>
            <w:pPr>
              <w:spacing w:after="0"/>
              <w:rPr>
                <w:sz w:val="14"/>
                <w:szCs w:val="14"/>
                <w:color w:val="auto"/>
              </w:rPr>
            </w:pPr>
          </w:p>
        </w:tc>
        <w:tc>
          <w:tcPr>
            <w:tcW w:w="1500" w:type="dxa"/>
            <w:vAlign w:val="bottom"/>
          </w:tcPr>
          <w:p>
            <w:pPr>
              <w:jc w:val="right"/>
              <w:ind w:right="946"/>
              <w:spacing w:after="0"/>
              <w:rPr>
                <w:sz w:val="20"/>
                <w:szCs w:val="20"/>
                <w:color w:val="auto"/>
              </w:rPr>
            </w:pPr>
            <w:r>
              <w:rPr>
                <w:rFonts w:ascii="Arial" w:cs="Arial" w:eastAsia="Arial" w:hAnsi="Arial"/>
                <w:sz w:val="14"/>
                <w:szCs w:val="14"/>
                <w:b w:val="1"/>
                <w:bCs w:val="1"/>
                <w:color w:val="auto"/>
              </w:rPr>
              <w:t>2015</w:t>
            </w:r>
          </w:p>
        </w:tc>
        <w:tc>
          <w:tcPr>
            <w:tcW w:w="7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spacing w:after="0"/>
              <w:rPr>
                <w:sz w:val="14"/>
                <w:szCs w:val="14"/>
                <w:color w:val="auto"/>
              </w:rPr>
            </w:pPr>
          </w:p>
        </w:tc>
        <w:tc>
          <w:tcPr>
            <w:tcW w:w="10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7480" w:type="dxa"/>
            <w:vAlign w:val="bottom"/>
          </w:tcPr>
          <w:p>
            <w:pPr>
              <w:spacing w:after="0"/>
              <w:rPr>
                <w:sz w:val="12"/>
                <w:szCs w:val="12"/>
                <w:color w:val="auto"/>
              </w:rPr>
            </w:pPr>
          </w:p>
        </w:tc>
        <w:tc>
          <w:tcPr>
            <w:tcW w:w="294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Benefit for income taxes</w:t>
            </w:r>
          </w:p>
        </w:tc>
        <w:tc>
          <w:tcPr>
            <w:tcW w:w="1500" w:type="dxa"/>
            <w:vAlign w:val="bottom"/>
            <w:shd w:val="clear" w:color="auto" w:fill="CCEEFF"/>
          </w:tcPr>
          <w:p>
            <w:pPr>
              <w:jc w:val="right"/>
              <w:ind w:right="666"/>
              <w:spacing w:after="0"/>
              <w:rPr>
                <w:sz w:val="20"/>
                <w:szCs w:val="20"/>
                <w:color w:val="auto"/>
              </w:rPr>
            </w:pPr>
            <w:r>
              <w:rPr>
                <w:rFonts w:ascii="Arial" w:cs="Arial" w:eastAsia="Arial" w:hAnsi="Arial"/>
                <w:sz w:val="18"/>
                <w:szCs w:val="18"/>
                <w:color w:val="auto"/>
                <w:w w:val="95"/>
              </w:rPr>
              <w:t>$  (3,193)</w:t>
            </w:r>
          </w:p>
        </w:tc>
        <w:tc>
          <w:tcPr>
            <w:tcW w:w="144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98"/>
              </w:rPr>
              <w:t>$  (9,063)</w:t>
            </w: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(64.8)%</w:t>
            </w:r>
          </w:p>
        </w:tc>
        <w:tc>
          <w:tcPr>
            <w:tcW w:w="0" w:type="dxa"/>
            <w:vAlign w:val="bottom"/>
          </w:tcPr>
          <w:p>
            <w:pPr>
              <w:spacing w:after="0"/>
              <w:rPr>
                <w:sz w:val="1"/>
                <w:szCs w:val="1"/>
                <w:color w:val="auto"/>
              </w:rPr>
            </w:pPr>
          </w:p>
        </w:tc>
      </w:tr>
      <w:tr>
        <w:trPr>
          <w:trHeight w:val="222"/>
        </w:trPr>
        <w:tc>
          <w:tcPr>
            <w:tcW w:w="748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526"/>
              <w:spacing w:after="0"/>
              <w:rPr>
                <w:sz w:val="20"/>
                <w:szCs w:val="20"/>
                <w:color w:val="auto"/>
              </w:rPr>
            </w:pPr>
            <w:r>
              <w:rPr>
                <w:rFonts w:ascii="Arial" w:cs="Arial" w:eastAsia="Arial" w:hAnsi="Arial"/>
                <w:sz w:val="18"/>
                <w:szCs w:val="18"/>
                <w:color w:val="auto"/>
              </w:rPr>
              <w:t>(0.1)%</w:t>
            </w:r>
          </w:p>
        </w:tc>
        <w:tc>
          <w:tcPr>
            <w:tcW w:w="1440" w:type="dxa"/>
            <w:vAlign w:val="bottom"/>
            <w:gridSpan w:val="2"/>
          </w:tcPr>
          <w:p>
            <w:pPr>
              <w:jc w:val="right"/>
              <w:ind w:right="520"/>
              <w:spacing w:after="0"/>
              <w:rPr>
                <w:sz w:val="20"/>
                <w:szCs w:val="20"/>
                <w:color w:val="auto"/>
              </w:rPr>
            </w:pPr>
            <w:r>
              <w:rPr>
                <w:rFonts w:ascii="Arial" w:cs="Arial" w:eastAsia="Arial" w:hAnsi="Arial"/>
                <w:sz w:val="18"/>
                <w:szCs w:val="18"/>
                <w:color w:val="auto"/>
              </w:rPr>
              <w:t>(0.3)%</w:t>
            </w:r>
          </w:p>
        </w:tc>
        <w:tc>
          <w:tcPr>
            <w:tcW w:w="7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had income tax benefits of 0.7% in fiscal 2015 compared to 3.0% in fiscal 2014. The income tax benefit for fiscal 2015 included the current income tax liability of $17.4 million, plus a $7.4 million increase in current unrecognized tax benefits in non-U.S. jurisdictions. These charges were offset by a reduction in unrecognized tax benefits that arose from the release of $16.4 million due to the expiration of statutes of limitation and a $12.9 million increase in net deferred tax assets. The increase in net deferred tax assets was mostly due to an increase in the Singapore deferred tax assets since we re-negotiated with the Singapore government and in fiscal 2015, they extended the DEI until June 2019. See “Note 9 – Income Taxes” in our Notes to the Consolidated Financial Statements set forth in Part II, Item 8 of the Annual Report on Form 10-K for further information.</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Years Ended February 1, 2014 and February 2, 2013</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0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2780" w:type="dxa"/>
            <w:vAlign w:val="bottom"/>
            <w:gridSpan w:val="3"/>
          </w:tcPr>
          <w:p>
            <w:pPr>
              <w:ind w:left="760"/>
              <w:spacing w:after="0"/>
              <w:rPr>
                <w:sz w:val="20"/>
                <w:szCs w:val="20"/>
                <w:color w:val="auto"/>
              </w:rPr>
            </w:pPr>
            <w:r>
              <w:rPr>
                <w:rFonts w:ascii="Arial" w:cs="Arial" w:eastAsia="Arial" w:hAnsi="Arial"/>
                <w:sz w:val="14"/>
                <w:szCs w:val="14"/>
                <w:b w:val="1"/>
                <w:bCs w:val="1"/>
                <w:color w:val="auto"/>
              </w:rPr>
              <w:t>Year Ended</w:t>
            </w:r>
          </w:p>
        </w:tc>
        <w:tc>
          <w:tcPr>
            <w:tcW w:w="90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300" w:type="dxa"/>
            <w:vAlign w:val="bottom"/>
          </w:tcPr>
          <w:p>
            <w:pPr>
              <w:spacing w:after="0"/>
              <w:rPr>
                <w:sz w:val="11"/>
                <w:szCs w:val="11"/>
                <w:color w:val="auto"/>
              </w:rPr>
            </w:pPr>
          </w:p>
        </w:tc>
        <w:tc>
          <w:tcPr>
            <w:tcW w:w="3440" w:type="dxa"/>
            <w:vAlign w:val="bottom"/>
          </w:tcPr>
          <w:p>
            <w:pPr>
              <w:spacing w:after="0"/>
              <w:rPr>
                <w:sz w:val="11"/>
                <w:szCs w:val="11"/>
                <w:color w:val="auto"/>
              </w:rPr>
            </w:pPr>
          </w:p>
        </w:tc>
        <w:tc>
          <w:tcPr>
            <w:tcW w:w="110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February 1,</w:t>
            </w:r>
          </w:p>
        </w:tc>
        <w:tc>
          <w:tcPr>
            <w:tcW w:w="1120" w:type="dxa"/>
            <w:vAlign w:val="bottom"/>
            <w:tcBorders>
              <w:top w:val="single" w:sz="8" w:color="auto"/>
            </w:tcBorders>
          </w:tcPr>
          <w:p>
            <w:pPr>
              <w:ind w:left="380"/>
              <w:spacing w:after="0" w:line="129" w:lineRule="exact"/>
              <w:rPr>
                <w:sz w:val="20"/>
                <w:szCs w:val="20"/>
                <w:color w:val="auto"/>
              </w:rPr>
            </w:pPr>
            <w:r>
              <w:rPr>
                <w:rFonts w:ascii="Arial" w:cs="Arial" w:eastAsia="Arial" w:hAnsi="Arial"/>
                <w:sz w:val="14"/>
                <w:szCs w:val="14"/>
                <w:b w:val="1"/>
                <w:bCs w:val="1"/>
                <w:color w:val="auto"/>
                <w:w w:val="95"/>
              </w:rPr>
              <w:t>February 2,</w:t>
            </w:r>
          </w:p>
        </w:tc>
        <w:tc>
          <w:tcPr>
            <w:tcW w:w="560" w:type="dxa"/>
            <w:vAlign w:val="bottom"/>
          </w:tcPr>
          <w:p>
            <w:pPr>
              <w:spacing w:after="0"/>
              <w:rPr>
                <w:sz w:val="11"/>
                <w:szCs w:val="11"/>
                <w:color w:val="auto"/>
              </w:rPr>
            </w:pPr>
          </w:p>
        </w:tc>
        <w:tc>
          <w:tcPr>
            <w:tcW w:w="9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00" w:type="dxa"/>
            <w:vAlign w:val="bottom"/>
          </w:tcPr>
          <w:p>
            <w:pPr>
              <w:spacing w:after="0"/>
              <w:rPr>
                <w:sz w:val="14"/>
                <w:szCs w:val="14"/>
                <w:color w:val="auto"/>
              </w:rPr>
            </w:pPr>
          </w:p>
        </w:tc>
        <w:tc>
          <w:tcPr>
            <w:tcW w:w="4540" w:type="dxa"/>
            <w:vAlign w:val="bottom"/>
            <w:gridSpan w:val="2"/>
          </w:tcPr>
          <w:p>
            <w:pPr>
              <w:jc w:val="right"/>
              <w:ind w:right="512"/>
              <w:spacing w:after="0"/>
              <w:rPr>
                <w:sz w:val="20"/>
                <w:szCs w:val="20"/>
                <w:color w:val="auto"/>
              </w:rPr>
            </w:pPr>
            <w:r>
              <w:rPr>
                <w:rFonts w:ascii="Arial" w:cs="Arial" w:eastAsia="Arial" w:hAnsi="Arial"/>
                <w:sz w:val="14"/>
                <w:szCs w:val="14"/>
                <w:b w:val="1"/>
                <w:bCs w:val="1"/>
                <w:color w:val="auto"/>
              </w:rPr>
              <w:t>2014</w:t>
            </w:r>
          </w:p>
        </w:tc>
        <w:tc>
          <w:tcPr>
            <w:tcW w:w="1120" w:type="dxa"/>
            <w:vAlign w:val="bottom"/>
          </w:tcPr>
          <w:p>
            <w:pPr>
              <w:jc w:val="right"/>
              <w:ind w:right="186"/>
              <w:spacing w:after="0"/>
              <w:rPr>
                <w:sz w:val="20"/>
                <w:szCs w:val="20"/>
                <w:color w:val="auto"/>
              </w:rPr>
            </w:pPr>
            <w:r>
              <w:rPr>
                <w:rFonts w:ascii="Arial" w:cs="Arial" w:eastAsia="Arial" w:hAnsi="Arial"/>
                <w:sz w:val="14"/>
                <w:szCs w:val="14"/>
                <w:b w:val="1"/>
                <w:bCs w:val="1"/>
                <w:color w:val="auto"/>
              </w:rPr>
              <w:t>2013</w:t>
            </w:r>
          </w:p>
        </w:tc>
        <w:tc>
          <w:tcPr>
            <w:tcW w:w="560" w:type="dxa"/>
            <w:vAlign w:val="bottom"/>
          </w:tcPr>
          <w:p>
            <w:pPr>
              <w:spacing w:after="0"/>
              <w:rPr>
                <w:sz w:val="14"/>
                <w:szCs w:val="14"/>
                <w:color w:val="auto"/>
              </w:rPr>
            </w:pPr>
          </w:p>
        </w:tc>
        <w:tc>
          <w:tcPr>
            <w:tcW w:w="9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430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2780" w:type="dxa"/>
            <w:vAlign w:val="bottom"/>
            <w:tcBorders>
              <w:top w:val="single" w:sz="8" w:color="auto"/>
            </w:tcBorders>
            <w:gridSpan w:val="3"/>
          </w:tcPr>
          <w:p>
            <w:pPr>
              <w:ind w:left="780"/>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7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54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$3,404,400</w:t>
            </w:r>
          </w:p>
        </w:tc>
        <w:tc>
          <w:tcPr>
            <w:tcW w:w="16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$3,168,630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The increase in net revenue of 235.8 million for fiscal 2014 compared to fiscal 2013 was driven by an increase in sales of our storage products, as we continued to see growth for our 500-gigabyte-per-platter products and increased demand for enterprise drives at a top North America based HDD customer. In addition, revenue for SSD controllers increased significantly compared to the prior year, as these products continued to gain traction and popularity. We experienced growth in revenue for our mobile and wireless products in the second half of fiscal 2014 due to successful launches of our new multi-core 3G mobile devices with key OEM’s into mobile handsets and tablets. In addition, we saw increased demand for our wireless products driven by the holiday ramp up of new gaming platforms at two of our customers and the launch of new programs such as the Google Chromecast. However, mobile and wireless revenue was flat year over year as fiscal 2014 included significantly higher revenue from a North American handset customer. The increase in net revenue for fiscal 2014 was partially offset by slightly lower revenue for our networking products, primarily due to a weaker overall market and its effect on our networking customers.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20" w:type="dxa"/>
            <w:vAlign w:val="bottom"/>
          </w:tcPr>
          <w:p>
            <w:pPr>
              <w:spacing w:after="0"/>
              <w:rPr>
                <w:sz w:val="14"/>
                <w:szCs w:val="14"/>
                <w:color w:val="auto"/>
              </w:rPr>
            </w:pPr>
          </w:p>
        </w:tc>
        <w:tc>
          <w:tcPr>
            <w:tcW w:w="9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440" w:type="dxa"/>
            <w:vAlign w:val="bottom"/>
          </w:tcPr>
          <w:p>
            <w:pPr>
              <w:spacing w:after="0"/>
              <w:rPr>
                <w:sz w:val="11"/>
                <w:szCs w:val="11"/>
                <w:color w:val="auto"/>
              </w:rPr>
            </w:pPr>
          </w:p>
        </w:tc>
        <w:tc>
          <w:tcPr>
            <w:tcW w:w="3120" w:type="dxa"/>
            <w:vAlign w:val="bottom"/>
          </w:tcPr>
          <w:p>
            <w:pPr>
              <w:spacing w:after="0"/>
              <w:rPr>
                <w:sz w:val="11"/>
                <w:szCs w:val="11"/>
                <w:color w:val="auto"/>
              </w:rPr>
            </w:pPr>
          </w:p>
        </w:tc>
        <w:tc>
          <w:tcPr>
            <w:tcW w:w="1500" w:type="dxa"/>
            <w:vAlign w:val="bottom"/>
          </w:tcPr>
          <w:p>
            <w:pPr>
              <w:jc w:val="right"/>
              <w:ind w:right="692"/>
              <w:spacing w:after="0" w:line="129" w:lineRule="exact"/>
              <w:rPr>
                <w:sz w:val="20"/>
                <w:szCs w:val="20"/>
                <w:color w:val="auto"/>
              </w:rPr>
            </w:pPr>
            <w:r>
              <w:rPr>
                <w:rFonts w:ascii="Arial" w:cs="Arial" w:eastAsia="Arial" w:hAnsi="Arial"/>
                <w:sz w:val="14"/>
                <w:szCs w:val="14"/>
                <w:b w:val="1"/>
                <w:bCs w:val="1"/>
                <w:color w:val="auto"/>
                <w:w w:val="95"/>
              </w:rPr>
              <w:t>February 1,</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5"/>
              </w:rPr>
              <w:t>February 2,</w:t>
            </w:r>
          </w:p>
        </w:tc>
        <w:tc>
          <w:tcPr>
            <w:tcW w:w="62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40" w:type="dxa"/>
            <w:vAlign w:val="bottom"/>
          </w:tcPr>
          <w:p>
            <w:pPr>
              <w:spacing w:after="0"/>
              <w:rPr>
                <w:sz w:val="14"/>
                <w:szCs w:val="14"/>
                <w:color w:val="auto"/>
              </w:rPr>
            </w:pPr>
          </w:p>
        </w:tc>
        <w:tc>
          <w:tcPr>
            <w:tcW w:w="4620" w:type="dxa"/>
            <w:vAlign w:val="bottom"/>
            <w:gridSpan w:val="2"/>
          </w:tcPr>
          <w:p>
            <w:pPr>
              <w:jc w:val="right"/>
              <w:ind w:right="892"/>
              <w:spacing w:after="0"/>
              <w:rPr>
                <w:sz w:val="20"/>
                <w:szCs w:val="20"/>
                <w:color w:val="auto"/>
              </w:rPr>
            </w:pPr>
            <w:r>
              <w:rPr>
                <w:rFonts w:ascii="Arial" w:cs="Arial" w:eastAsia="Arial" w:hAnsi="Arial"/>
                <w:sz w:val="14"/>
                <w:szCs w:val="14"/>
                <w:b w:val="1"/>
                <w:bCs w:val="1"/>
                <w:color w:val="auto"/>
              </w:rPr>
              <w:t>2014</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2013</w:t>
            </w:r>
          </w:p>
        </w:tc>
        <w:tc>
          <w:tcPr>
            <w:tcW w:w="620" w:type="dxa"/>
            <w:vAlign w:val="bottom"/>
          </w:tcPr>
          <w:p>
            <w:pPr>
              <w:spacing w:after="0"/>
              <w:rPr>
                <w:sz w:val="14"/>
                <w:szCs w:val="14"/>
                <w:color w:val="auto"/>
              </w:rPr>
            </w:pPr>
          </w:p>
        </w:tc>
        <w:tc>
          <w:tcPr>
            <w:tcW w:w="9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4440" w:type="dxa"/>
            <w:vAlign w:val="bottom"/>
          </w:tcPr>
          <w:p>
            <w:pPr>
              <w:spacing w:after="0"/>
              <w:rPr>
                <w:sz w:val="12"/>
                <w:szCs w:val="12"/>
                <w:color w:val="auto"/>
              </w:rPr>
            </w:pPr>
          </w:p>
        </w:tc>
        <w:tc>
          <w:tcPr>
            <w:tcW w:w="3120" w:type="dxa"/>
            <w:vAlign w:val="bottom"/>
          </w:tcPr>
          <w:p>
            <w:pPr>
              <w:spacing w:after="0"/>
              <w:rPr>
                <w:sz w:val="12"/>
                <w:szCs w:val="12"/>
                <w:color w:val="auto"/>
              </w:rPr>
            </w:pPr>
          </w:p>
        </w:tc>
        <w:tc>
          <w:tcPr>
            <w:tcW w:w="292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462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$1,663,730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$1,493,497</w:t>
            </w:r>
          </w:p>
        </w:tc>
        <w:tc>
          <w:tcPr>
            <w:tcW w:w="6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11.4%</w:t>
            </w:r>
          </w:p>
        </w:tc>
        <w:tc>
          <w:tcPr>
            <w:tcW w:w="0" w:type="dxa"/>
            <w:vAlign w:val="bottom"/>
          </w:tcPr>
          <w:p>
            <w:pPr>
              <w:spacing w:after="0"/>
              <w:rPr>
                <w:sz w:val="1"/>
                <w:szCs w:val="1"/>
                <w:color w:val="auto"/>
              </w:rPr>
            </w:pPr>
          </w:p>
        </w:tc>
      </w:tr>
      <w:tr>
        <w:trPr>
          <w:trHeight w:val="222"/>
        </w:trPr>
        <w:tc>
          <w:tcPr>
            <w:tcW w:w="4440" w:type="dxa"/>
            <w:vAlign w:val="bottom"/>
          </w:tcPr>
          <w:p>
            <w:pPr>
              <w:spacing w:after="0"/>
              <w:rPr>
                <w:sz w:val="20"/>
                <w:szCs w:val="20"/>
                <w:color w:val="auto"/>
              </w:rPr>
            </w:pPr>
            <w:r>
              <w:rPr>
                <w:rFonts w:ascii="Arial" w:cs="Arial" w:eastAsia="Arial" w:hAnsi="Arial"/>
                <w:sz w:val="18"/>
                <w:szCs w:val="18"/>
                <w:color w:val="auto"/>
              </w:rPr>
              <w:t>% of net revenue</w:t>
            </w:r>
          </w:p>
        </w:tc>
        <w:tc>
          <w:tcPr>
            <w:tcW w:w="4620" w:type="dxa"/>
            <w:vAlign w:val="bottom"/>
            <w:gridSpan w:val="2"/>
          </w:tcPr>
          <w:p>
            <w:pPr>
              <w:jc w:val="right"/>
              <w:ind w:right="492"/>
              <w:spacing w:after="0"/>
              <w:rPr>
                <w:sz w:val="20"/>
                <w:szCs w:val="20"/>
                <w:color w:val="auto"/>
              </w:rPr>
            </w:pPr>
            <w:r>
              <w:rPr>
                <w:rFonts w:ascii="Arial" w:cs="Arial" w:eastAsia="Arial" w:hAnsi="Arial"/>
                <w:sz w:val="18"/>
                <w:szCs w:val="18"/>
                <w:color w:val="auto"/>
              </w:rPr>
              <w:t>48.9%</w:t>
            </w:r>
          </w:p>
        </w:tc>
        <w:tc>
          <w:tcPr>
            <w:tcW w:w="1420" w:type="dxa"/>
            <w:vAlign w:val="bottom"/>
            <w:gridSpan w:val="2"/>
          </w:tcPr>
          <w:p>
            <w:pPr>
              <w:jc w:val="right"/>
              <w:ind w:right="460"/>
              <w:spacing w:after="0"/>
              <w:rPr>
                <w:sz w:val="20"/>
                <w:szCs w:val="20"/>
                <w:color w:val="auto"/>
              </w:rPr>
            </w:pPr>
            <w:r>
              <w:rPr>
                <w:rFonts w:ascii="Arial" w:cs="Arial" w:eastAsia="Arial" w:hAnsi="Arial"/>
                <w:sz w:val="18"/>
                <w:szCs w:val="18"/>
                <w:color w:val="auto"/>
              </w:rPr>
              <w:t>47.1%</w:t>
            </w:r>
          </w:p>
        </w:tc>
        <w:tc>
          <w:tcPr>
            <w:tcW w:w="7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Cost of goods sold as a percentage of net revenue was higher in fiscal 2014. Although we continued to benefit from lower commodity costs driven by our replacement of gold in our products with copper, manufacturing costs were higher in fiscal 2014 due to increased royalty expense and the ramp up of new product designs in consumer-oriented products.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3"/>
          </w:tcPr>
          <w:p>
            <w:pPr>
              <w:ind w:left="480"/>
              <w:spacing w:after="0"/>
              <w:rPr>
                <w:sz w:val="20"/>
                <w:szCs w:val="20"/>
                <w:color w:val="auto"/>
              </w:rPr>
            </w:pPr>
            <w:r>
              <w:rPr>
                <w:rFonts w:ascii="Arial" w:cs="Arial" w:eastAsia="Arial" w:hAnsi="Arial"/>
                <w:sz w:val="14"/>
                <w:szCs w:val="14"/>
                <w:b w:val="1"/>
                <w:bCs w:val="1"/>
                <w:color w:val="auto"/>
                <w:w w:val="85"/>
              </w:rPr>
              <w:t>Year Ended</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700" w:type="dxa"/>
            <w:vAlign w:val="bottom"/>
          </w:tcPr>
          <w:p>
            <w:pPr>
              <w:spacing w:after="0"/>
              <w:rPr>
                <w:sz w:val="11"/>
                <w:szCs w:val="11"/>
                <w:color w:val="auto"/>
              </w:rPr>
            </w:pPr>
          </w:p>
        </w:tc>
        <w:tc>
          <w:tcPr>
            <w:tcW w:w="378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1,</w:t>
            </w:r>
          </w:p>
        </w:tc>
        <w:tc>
          <w:tcPr>
            <w:tcW w:w="42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2014</w:t>
            </w:r>
          </w:p>
        </w:tc>
        <w:tc>
          <w:tcPr>
            <w:tcW w:w="4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r>
      <w:tr>
        <w:trPr>
          <w:trHeight w:val="142"/>
        </w:trPr>
        <w:tc>
          <w:tcPr>
            <w:tcW w:w="5700" w:type="dxa"/>
            <w:vAlign w:val="bottom"/>
          </w:tcPr>
          <w:p>
            <w:pPr>
              <w:spacing w:after="0"/>
              <w:rPr>
                <w:sz w:val="12"/>
                <w:szCs w:val="12"/>
                <w:color w:val="auto"/>
              </w:rPr>
            </w:pPr>
          </w:p>
        </w:tc>
        <w:tc>
          <w:tcPr>
            <w:tcW w:w="3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40" w:type="dxa"/>
            <w:vAlign w:val="bottom"/>
            <w:gridSpan w:val="4"/>
          </w:tcPr>
          <w:p>
            <w:pPr>
              <w:jc w:val="right"/>
              <w:ind w:right="436"/>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8,863</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8,142</w:t>
            </w:r>
          </w:p>
        </w:tc>
      </w:tr>
      <w:tr>
        <w:trPr>
          <w:trHeight w:val="216"/>
        </w:trPr>
        <w:tc>
          <w:tcPr>
            <w:tcW w:w="57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109,432</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87,149</w:t>
            </w: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13,940</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13,278</w:t>
            </w:r>
          </w:p>
        </w:tc>
      </w:tr>
      <w:tr>
        <w:trPr>
          <w:trHeight w:val="223"/>
        </w:trPr>
        <w:tc>
          <w:tcPr>
            <w:tcW w:w="57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23,638</w:t>
            </w:r>
          </w:p>
        </w:tc>
        <w:tc>
          <w:tcPr>
            <w:tcW w:w="4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18,711</w:t>
            </w:r>
          </w:p>
        </w:tc>
        <w:tc>
          <w:tcPr>
            <w:tcW w:w="100" w:type="dxa"/>
            <w:vAlign w:val="bottom"/>
          </w:tcPr>
          <w:p>
            <w:pPr>
              <w:spacing w:after="0"/>
              <w:rPr>
                <w:sz w:val="19"/>
                <w:szCs w:val="19"/>
                <w:color w:val="auto"/>
              </w:rPr>
            </w:pPr>
          </w:p>
        </w:tc>
      </w:tr>
      <w:tr>
        <w:trPr>
          <w:trHeight w:val="216"/>
        </w:trPr>
        <w:tc>
          <w:tcPr>
            <w:tcW w:w="5700" w:type="dxa"/>
            <w:vAlign w:val="bottom"/>
            <w:shd w:val="clear" w:color="auto" w:fill="CCEEFF"/>
          </w:tcPr>
          <w:p>
            <w:pPr>
              <w:spacing w:after="0"/>
              <w:rPr>
                <w:sz w:val="18"/>
                <w:szCs w:val="18"/>
                <w:color w:val="auto"/>
              </w:rPr>
            </w:pP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155,873</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127,280</w:t>
            </w:r>
          </w:p>
        </w:tc>
      </w:tr>
      <w:tr>
        <w:trPr>
          <w:trHeight w:val="20"/>
        </w:trPr>
        <w:tc>
          <w:tcPr>
            <w:tcW w:w="5700" w:type="dxa"/>
            <w:vAlign w:val="bottom"/>
          </w:tcPr>
          <w:p>
            <w:pPr>
              <w:spacing w:after="0" w:line="20" w:lineRule="exact"/>
              <w:rPr>
                <w:sz w:val="1"/>
                <w:szCs w:val="1"/>
                <w:color w:val="auto"/>
              </w:rPr>
            </w:pPr>
          </w:p>
        </w:tc>
        <w:tc>
          <w:tcPr>
            <w:tcW w:w="3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Share-based compensation expense increased by $28.6 million in fiscal 2014 compared to fiscal 2013. These increases were primarily due to increased headcount in fiscal 2014, combined with higher expense related to the employee stock purchase plan. The offering price of the employee stock purchase plan was reset in June 2012 and also in December 2012 due to the decline in our stock price. In addition, equity awards granted in fiscal 2014 contained shorter vesting periods, which accelerated the amount of share-based compensation expense.</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gridSpan w:val="2"/>
          </w:tcPr>
          <w:p>
            <w:pPr>
              <w:jc w:val="center"/>
              <w:ind w:right="72"/>
              <w:spacing w:after="0"/>
              <w:rPr>
                <w:sz w:val="20"/>
                <w:szCs w:val="20"/>
                <w:color w:val="auto"/>
              </w:rPr>
            </w:pPr>
            <w:r>
              <w:rPr>
                <w:rFonts w:ascii="Arial" w:cs="Arial" w:eastAsia="Arial" w:hAnsi="Arial"/>
                <w:sz w:val="14"/>
                <w:szCs w:val="14"/>
                <w:b w:val="1"/>
                <w:bCs w:val="1"/>
                <w:color w:val="auto"/>
                <w:w w:val="88"/>
              </w:rPr>
              <w:t>Year Ended</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920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74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r>
      <w:tr>
        <w:trPr>
          <w:trHeight w:val="161"/>
        </w:trPr>
        <w:tc>
          <w:tcPr>
            <w:tcW w:w="9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2014</w:t>
            </w:r>
          </w:p>
        </w:tc>
        <w:tc>
          <w:tcPr>
            <w:tcW w:w="7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Pr>
          <w:p>
            <w:pPr>
              <w:spacing w:after="0"/>
              <w:rPr>
                <w:sz w:val="14"/>
                <w:szCs w:val="14"/>
                <w:color w:val="auto"/>
              </w:rPr>
            </w:pPr>
          </w:p>
        </w:tc>
      </w:tr>
      <w:tr>
        <w:trPr>
          <w:trHeight w:val="142"/>
        </w:trPr>
        <w:tc>
          <w:tcPr>
            <w:tcW w:w="9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40" w:type="dxa"/>
            <w:vAlign w:val="bottom"/>
            <w:gridSpan w:val="3"/>
          </w:tcPr>
          <w:p>
            <w:pPr>
              <w:jc w:val="center"/>
              <w:ind w:left="299"/>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92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90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47</w:t>
            </w:r>
          </w:p>
        </w:tc>
      </w:tr>
      <w:tr>
        <w:trPr>
          <w:trHeight w:val="216"/>
        </w:trPr>
        <w:tc>
          <w:tcPr>
            <w:tcW w:w="9200" w:type="dxa"/>
            <w:vAlign w:val="bottom"/>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795</w:t>
            </w: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w:t>
            </w:r>
          </w:p>
        </w:tc>
      </w:tr>
      <w:tr>
        <w:trPr>
          <w:trHeight w:val="216"/>
        </w:trPr>
        <w:tc>
          <w:tcPr>
            <w:tcW w:w="92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1,051</w:t>
            </w:r>
          </w:p>
        </w:tc>
        <w:tc>
          <w:tcPr>
            <w:tcW w:w="7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1,213</w:t>
            </w:r>
          </w:p>
        </w:tc>
        <w:tc>
          <w:tcPr>
            <w:tcW w:w="100" w:type="dxa"/>
            <w:vAlign w:val="bottom"/>
            <w:shd w:val="clear" w:color="auto" w:fill="CCEEFF"/>
          </w:tcPr>
          <w:p>
            <w:pPr>
              <w:spacing w:after="0"/>
              <w:rPr>
                <w:sz w:val="18"/>
                <w:szCs w:val="18"/>
                <w:color w:val="auto"/>
              </w:rPr>
            </w:pPr>
          </w:p>
        </w:tc>
      </w:tr>
      <w:tr>
        <w:trPr>
          <w:trHeight w:val="222"/>
        </w:trPr>
        <w:tc>
          <w:tcPr>
            <w:tcW w:w="92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4,732</w:t>
            </w:r>
          </w:p>
        </w:tc>
        <w:tc>
          <w:tcPr>
            <w:tcW w:w="90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1,257</w:t>
            </w:r>
          </w:p>
        </w:tc>
      </w:tr>
      <w:tr>
        <w:trPr>
          <w:trHeight w:val="20"/>
        </w:trPr>
        <w:tc>
          <w:tcPr>
            <w:tcW w:w="9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We recorded a $4.2 million charge primarily related to the closure of two sites in fiscal 2014. This amount included $2.8 million of severance costs, $1.3 million for other exit-related costs in connection with vacating three facilities and $0.1 million for the write off of equipment. All activities related to the closure of the two sites were substantially completed by the end of the fiscal year.</w:t>
      </w:r>
    </w:p>
    <w:p>
      <w:pPr>
        <w:spacing w:after="0" w:line="14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During fiscal 2014, we also continued to make payments and incur ongoing operating expenses related to vacated facilities under previous restructure actions.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00" w:type="dxa"/>
            <w:vAlign w:val="bottom"/>
          </w:tcPr>
          <w:p>
            <w:pPr>
              <w:spacing w:after="0"/>
              <w:rPr>
                <w:sz w:val="14"/>
                <w:szCs w:val="14"/>
                <w:color w:val="auto"/>
              </w:rPr>
            </w:pPr>
          </w:p>
        </w:tc>
        <w:tc>
          <w:tcPr>
            <w:tcW w:w="92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5"/>
              </w:rPr>
              <w:t>February 1,</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5"/>
              </w:rPr>
              <w:t>February 2,</w:t>
            </w:r>
          </w:p>
        </w:tc>
        <w:tc>
          <w:tcPr>
            <w:tcW w:w="60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1500" w:type="dxa"/>
            <w:vAlign w:val="bottom"/>
            <w:tcBorders>
              <w:bottom w:val="single" w:sz="8" w:color="auto"/>
            </w:tcBorders>
          </w:tcPr>
          <w:p>
            <w:pPr>
              <w:jc w:val="right"/>
              <w:ind w:right="886"/>
              <w:spacing w:after="0"/>
              <w:rPr>
                <w:sz w:val="20"/>
                <w:szCs w:val="20"/>
                <w:color w:val="auto"/>
              </w:rPr>
            </w:pPr>
            <w:r>
              <w:rPr>
                <w:rFonts w:ascii="Arial" w:cs="Arial" w:eastAsia="Arial" w:hAnsi="Arial"/>
                <w:sz w:val="14"/>
                <w:szCs w:val="14"/>
                <w:b w:val="1"/>
                <w:bCs w:val="1"/>
                <w:color w:val="auto"/>
              </w:rPr>
              <w:t>2014</w:t>
            </w:r>
          </w:p>
        </w:tc>
        <w:tc>
          <w:tcPr>
            <w:tcW w:w="800" w:type="dxa"/>
            <w:vAlign w:val="bottom"/>
            <w:tcBorders>
              <w:bottom w:val="single" w:sz="8" w:color="auto"/>
            </w:tcBorders>
          </w:tcPr>
          <w:p>
            <w:pPr>
              <w:jc w:val="right"/>
              <w:ind w:right="182"/>
              <w:spacing w:after="0"/>
              <w:rPr>
                <w:sz w:val="20"/>
                <w:szCs w:val="20"/>
                <w:color w:val="auto"/>
              </w:rPr>
            </w:pPr>
            <w:r>
              <w:rPr>
                <w:rFonts w:ascii="Arial" w:cs="Arial" w:eastAsia="Arial" w:hAnsi="Arial"/>
                <w:sz w:val="14"/>
                <w:szCs w:val="14"/>
                <w:b w:val="1"/>
                <w:bCs w:val="1"/>
                <w:color w:val="auto"/>
              </w:rPr>
              <w:t>2013</w:t>
            </w:r>
          </w:p>
        </w:tc>
        <w:tc>
          <w:tcPr>
            <w:tcW w:w="6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06"/>
              <w:spacing w:after="0"/>
              <w:rPr>
                <w:sz w:val="20"/>
                <w:szCs w:val="20"/>
                <w:color w:val="auto"/>
              </w:rPr>
            </w:pPr>
            <w:r>
              <w:rPr>
                <w:rFonts w:ascii="Arial" w:cs="Arial" w:eastAsia="Arial" w:hAnsi="Arial"/>
                <w:sz w:val="14"/>
                <w:szCs w:val="14"/>
                <w:b w:val="1"/>
                <w:bCs w:val="1"/>
                <w:color w:val="auto"/>
              </w:rPr>
              <w:t>2014</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2900" w:type="dxa"/>
            <w:vAlign w:val="bottom"/>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500" w:type="dxa"/>
            <w:vAlign w:val="bottom"/>
            <w:shd w:val="clear" w:color="auto" w:fill="CCEEFF"/>
          </w:tcPr>
          <w:p>
            <w:pPr>
              <w:jc w:val="right"/>
              <w:ind w:right="626"/>
              <w:spacing w:after="0"/>
              <w:rPr>
                <w:sz w:val="20"/>
                <w:szCs w:val="20"/>
                <w:color w:val="auto"/>
              </w:rPr>
            </w:pPr>
            <w:r>
              <w:rPr>
                <w:rFonts w:ascii="Arial" w:cs="Arial" w:eastAsia="Arial" w:hAnsi="Arial"/>
                <w:sz w:val="18"/>
                <w:szCs w:val="18"/>
                <w:color w:val="auto"/>
                <w:w w:val="86"/>
              </w:rPr>
              <w:t>$1,156,885</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$1,057,445</w:t>
            </w:r>
          </w:p>
        </w:tc>
        <w:tc>
          <w:tcPr>
            <w:tcW w:w="6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34.0%</w:t>
            </w:r>
          </w:p>
        </w:tc>
        <w:tc>
          <w:tcPr>
            <w:tcW w:w="1400" w:type="dxa"/>
            <w:vAlign w:val="bottom"/>
            <w:gridSpan w:val="2"/>
          </w:tcPr>
          <w:p>
            <w:pPr>
              <w:jc w:val="right"/>
              <w:ind w:right="460"/>
              <w:spacing w:after="0"/>
              <w:rPr>
                <w:sz w:val="20"/>
                <w:szCs w:val="20"/>
                <w:color w:val="auto"/>
              </w:rPr>
            </w:pPr>
            <w:r>
              <w:rPr>
                <w:rFonts w:ascii="Arial" w:cs="Arial" w:eastAsia="Arial" w:hAnsi="Arial"/>
                <w:sz w:val="18"/>
                <w:szCs w:val="18"/>
                <w:color w:val="auto"/>
              </w:rPr>
              <w:t>33.4%</w:t>
            </w:r>
          </w:p>
        </w:tc>
        <w:tc>
          <w:tcPr>
            <w:tcW w:w="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Research and development expense increased by $99.4 million in fiscal 2014 compared to fiscal 2013, primarily attributable to higher personnel-related costs as a result of increased headcount in fiscal 2014 to support new designs, higher share-based compensation and higher average employee compensation. The increase in expense also reflected higher computer-aided design tool costs, and higher depreciation and amortization costs as we continued to invest in the development of innovative solutions.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660" w:type="dxa"/>
            <w:vAlign w:val="bottom"/>
          </w:tcPr>
          <w:p>
            <w:pPr>
              <w:spacing w:after="0"/>
              <w:rPr>
                <w:sz w:val="11"/>
                <w:szCs w:val="11"/>
                <w:color w:val="auto"/>
              </w:rPr>
            </w:pPr>
          </w:p>
        </w:tc>
        <w:tc>
          <w:tcPr>
            <w:tcW w:w="310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7"/>
              </w:rPr>
              <w:t>February 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66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60" w:type="dxa"/>
            <w:vAlign w:val="bottom"/>
          </w:tcPr>
          <w:p>
            <w:pPr>
              <w:spacing w:after="0"/>
              <w:rPr>
                <w:sz w:val="14"/>
                <w:szCs w:val="14"/>
                <w:color w:val="auto"/>
              </w:rPr>
            </w:pPr>
          </w:p>
        </w:tc>
        <w:tc>
          <w:tcPr>
            <w:tcW w:w="448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2014</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66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466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27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44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$ 152,698</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$ 161,817</w:t>
            </w:r>
          </w:p>
        </w:tc>
        <w:tc>
          <w:tcPr>
            <w:tcW w:w="6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22"/>
        </w:trPr>
        <w:tc>
          <w:tcPr>
            <w:tcW w:w="4660" w:type="dxa"/>
            <w:vAlign w:val="bottom"/>
          </w:tcPr>
          <w:p>
            <w:pPr>
              <w:spacing w:after="0"/>
              <w:rPr>
                <w:sz w:val="20"/>
                <w:szCs w:val="20"/>
                <w:color w:val="auto"/>
              </w:rPr>
            </w:pPr>
            <w:r>
              <w:rPr>
                <w:rFonts w:ascii="Arial" w:cs="Arial" w:eastAsia="Arial" w:hAnsi="Arial"/>
                <w:sz w:val="18"/>
                <w:szCs w:val="18"/>
                <w:color w:val="auto"/>
              </w:rPr>
              <w:t>% of net revenue</w:t>
            </w:r>
          </w:p>
        </w:tc>
        <w:tc>
          <w:tcPr>
            <w:tcW w:w="4480" w:type="dxa"/>
            <w:vAlign w:val="bottom"/>
            <w:gridSpan w:val="2"/>
          </w:tcPr>
          <w:p>
            <w:pPr>
              <w:jc w:val="right"/>
              <w:ind w:right="472"/>
              <w:spacing w:after="0"/>
              <w:rPr>
                <w:sz w:val="20"/>
                <w:szCs w:val="20"/>
                <w:color w:val="auto"/>
              </w:rPr>
            </w:pPr>
            <w:r>
              <w:rPr>
                <w:rFonts w:ascii="Arial" w:cs="Arial" w:eastAsia="Arial" w:hAnsi="Arial"/>
                <w:sz w:val="18"/>
                <w:szCs w:val="18"/>
                <w:color w:val="auto"/>
              </w:rPr>
              <w:t>4.5%</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5.1%</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Selling and marketing expense decreased by $9.1 million in fiscal 2014 compared to fiscal 2013. The decrease was primarily attributable to lower costs for marketing communication activities as a result of efforts to control discretionary spending and lower personnel-related costs caused by a decrease in headcount in fiscal 2014.</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400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400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7"/>
              </w:rPr>
              <w:t>February 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66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538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2014</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66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4000" w:type="dxa"/>
            <w:vAlign w:val="bottom"/>
          </w:tcPr>
          <w:p>
            <w:pPr>
              <w:spacing w:after="0"/>
              <w:rPr>
                <w:sz w:val="12"/>
                <w:szCs w:val="12"/>
                <w:color w:val="auto"/>
              </w:rPr>
            </w:pPr>
          </w:p>
        </w:tc>
        <w:tc>
          <w:tcPr>
            <w:tcW w:w="27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53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$ 106,471</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$ 108,514</w:t>
            </w:r>
          </w:p>
        </w:tc>
        <w:tc>
          <w:tcPr>
            <w:tcW w:w="6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22"/>
        </w:trPr>
        <w:tc>
          <w:tcPr>
            <w:tcW w:w="3760" w:type="dxa"/>
            <w:vAlign w:val="bottom"/>
          </w:tcPr>
          <w:p>
            <w:pPr>
              <w:spacing w:after="0"/>
              <w:rPr>
                <w:sz w:val="20"/>
                <w:szCs w:val="20"/>
                <w:color w:val="auto"/>
              </w:rPr>
            </w:pPr>
            <w:r>
              <w:rPr>
                <w:rFonts w:ascii="Arial" w:cs="Arial" w:eastAsia="Arial" w:hAnsi="Arial"/>
                <w:sz w:val="18"/>
                <w:szCs w:val="18"/>
                <w:color w:val="auto"/>
              </w:rPr>
              <w:t>% of net revenue</w:t>
            </w:r>
          </w:p>
        </w:tc>
        <w:tc>
          <w:tcPr>
            <w:tcW w:w="5380" w:type="dxa"/>
            <w:vAlign w:val="bottom"/>
            <w:gridSpan w:val="2"/>
          </w:tcPr>
          <w:p>
            <w:pPr>
              <w:jc w:val="right"/>
              <w:ind w:right="472"/>
              <w:spacing w:after="0"/>
              <w:rPr>
                <w:sz w:val="20"/>
                <w:szCs w:val="20"/>
                <w:color w:val="auto"/>
              </w:rPr>
            </w:pPr>
            <w:r>
              <w:rPr>
                <w:rFonts w:ascii="Arial" w:cs="Arial" w:eastAsia="Arial" w:hAnsi="Arial"/>
                <w:sz w:val="18"/>
                <w:szCs w:val="18"/>
                <w:color w:val="auto"/>
              </w:rPr>
              <w:t>3.1%</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3.4%</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760" w:type="dxa"/>
            <w:vAlign w:val="bottom"/>
          </w:tcPr>
          <w:p>
            <w:pPr>
              <w:spacing w:after="0"/>
              <w:rPr>
                <w:sz w:val="24"/>
                <w:szCs w:val="24"/>
                <w:color w:val="auto"/>
              </w:rPr>
            </w:pPr>
          </w:p>
        </w:tc>
        <w:tc>
          <w:tcPr>
            <w:tcW w:w="4000" w:type="dxa"/>
            <w:vAlign w:val="bottom"/>
          </w:tcPr>
          <w:p>
            <w:pPr>
              <w:jc w:val="right"/>
              <w:ind w:right="1877"/>
              <w:spacing w:after="0"/>
              <w:rPr>
                <w:sz w:val="20"/>
                <w:szCs w:val="20"/>
                <w:color w:val="auto"/>
              </w:rPr>
            </w:pPr>
            <w:r>
              <w:rPr>
                <w:rFonts w:ascii="Arial" w:cs="Arial" w:eastAsia="Arial" w:hAnsi="Arial"/>
                <w:sz w:val="18"/>
                <w:szCs w:val="18"/>
                <w:color w:val="auto"/>
              </w:rPr>
              <w:t>46</w:t>
            </w:r>
          </w:p>
        </w:tc>
        <w:tc>
          <w:tcPr>
            <w:tcW w:w="13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General and administrative expense decreased by $2.0 million in fiscal 2014 compared to fiscal 2013. The decrease was primarily attributable to lower legal costs for ongoing litigation matters, partially offset by higher share-based compensation.</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6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586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7"/>
              </w:rPr>
              <w:t>February 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66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860" w:type="dxa"/>
            <w:vAlign w:val="bottom"/>
          </w:tcPr>
          <w:p>
            <w:pPr>
              <w:spacing w:after="0"/>
              <w:rPr>
                <w:sz w:val="14"/>
                <w:szCs w:val="14"/>
                <w:color w:val="auto"/>
              </w:rPr>
            </w:pPr>
          </w:p>
        </w:tc>
        <w:tc>
          <w:tcPr>
            <w:tcW w:w="328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2014</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66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586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27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32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43,925</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  52,700</w:t>
            </w:r>
          </w:p>
        </w:tc>
        <w:tc>
          <w:tcPr>
            <w:tcW w:w="6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(16.7)%</w:t>
            </w:r>
          </w:p>
        </w:tc>
        <w:tc>
          <w:tcPr>
            <w:tcW w:w="0" w:type="dxa"/>
            <w:vAlign w:val="bottom"/>
          </w:tcPr>
          <w:p>
            <w:pPr>
              <w:spacing w:after="0"/>
              <w:rPr>
                <w:sz w:val="1"/>
                <w:szCs w:val="1"/>
                <w:color w:val="auto"/>
              </w:rPr>
            </w:pPr>
          </w:p>
        </w:tc>
      </w:tr>
      <w:tr>
        <w:trPr>
          <w:trHeight w:val="222"/>
        </w:trPr>
        <w:tc>
          <w:tcPr>
            <w:tcW w:w="5860" w:type="dxa"/>
            <w:vAlign w:val="bottom"/>
          </w:tcPr>
          <w:p>
            <w:pPr>
              <w:spacing w:after="0"/>
              <w:rPr>
                <w:sz w:val="20"/>
                <w:szCs w:val="20"/>
                <w:color w:val="auto"/>
              </w:rPr>
            </w:pPr>
            <w:r>
              <w:rPr>
                <w:rFonts w:ascii="Arial" w:cs="Arial" w:eastAsia="Arial" w:hAnsi="Arial"/>
                <w:sz w:val="18"/>
                <w:szCs w:val="18"/>
                <w:color w:val="auto"/>
              </w:rPr>
              <w:t>% of net revenue</w:t>
            </w:r>
          </w:p>
        </w:tc>
        <w:tc>
          <w:tcPr>
            <w:tcW w:w="3280" w:type="dxa"/>
            <w:vAlign w:val="bottom"/>
            <w:gridSpan w:val="2"/>
          </w:tcPr>
          <w:p>
            <w:pPr>
              <w:jc w:val="right"/>
              <w:ind w:right="472"/>
              <w:spacing w:after="0"/>
              <w:rPr>
                <w:sz w:val="20"/>
                <w:szCs w:val="20"/>
                <w:color w:val="auto"/>
              </w:rPr>
            </w:pPr>
            <w:r>
              <w:rPr>
                <w:rFonts w:ascii="Arial" w:cs="Arial" w:eastAsia="Arial" w:hAnsi="Arial"/>
                <w:sz w:val="18"/>
                <w:szCs w:val="18"/>
                <w:color w:val="auto"/>
              </w:rPr>
              <w:t>1.3%</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1.7%</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Amortization and write-off of acquired intangible assets decreased by $8.8 million in fiscal 2014 compared to fiscal 2013. The decrease was primarily due to certain intangible assets that became fully amortized. In addition, fiscal 2014 included a write-off of $8.1 million for the impairment of an acquired intangible asset compared to fiscal 2014, which included a $0.8 million write-off of IPR&amp;D related to an abandoned project.</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4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88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940" w:type="dxa"/>
            <w:vAlign w:val="bottom"/>
          </w:tcPr>
          <w:p>
            <w:pPr>
              <w:spacing w:after="0"/>
              <w:rPr>
                <w:sz w:val="11"/>
                <w:szCs w:val="11"/>
                <w:color w:val="auto"/>
              </w:rPr>
            </w:pPr>
          </w:p>
        </w:tc>
        <w:tc>
          <w:tcPr>
            <w:tcW w:w="2840" w:type="dxa"/>
            <w:vAlign w:val="bottom"/>
          </w:tcPr>
          <w:p>
            <w:pPr>
              <w:spacing w:after="0"/>
              <w:rPr>
                <w:sz w:val="11"/>
                <w:szCs w:val="11"/>
                <w:color w:val="auto"/>
              </w:rPr>
            </w:pPr>
          </w:p>
        </w:tc>
        <w:tc>
          <w:tcPr>
            <w:tcW w:w="140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90"/>
              </w:rPr>
              <w:t>February 1,</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66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940" w:type="dxa"/>
            <w:vAlign w:val="bottom"/>
          </w:tcPr>
          <w:p>
            <w:pPr>
              <w:spacing w:after="0"/>
              <w:rPr>
                <w:sz w:val="14"/>
                <w:szCs w:val="14"/>
                <w:color w:val="auto"/>
              </w:rPr>
            </w:pPr>
          </w:p>
        </w:tc>
        <w:tc>
          <w:tcPr>
            <w:tcW w:w="4240" w:type="dxa"/>
            <w:vAlign w:val="bottom"/>
            <w:gridSpan w:val="2"/>
          </w:tcPr>
          <w:p>
            <w:pPr>
              <w:jc w:val="right"/>
              <w:ind w:right="852"/>
              <w:spacing w:after="0"/>
              <w:rPr>
                <w:sz w:val="20"/>
                <w:szCs w:val="20"/>
                <w:color w:val="auto"/>
              </w:rPr>
            </w:pPr>
            <w:r>
              <w:rPr>
                <w:rFonts w:ascii="Arial" w:cs="Arial" w:eastAsia="Arial" w:hAnsi="Arial"/>
                <w:sz w:val="14"/>
                <w:szCs w:val="14"/>
                <w:b w:val="1"/>
                <w:bCs w:val="1"/>
                <w:color w:val="auto"/>
              </w:rPr>
              <w:t>2014</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660" w:type="dxa"/>
            <w:vAlign w:val="bottom"/>
          </w:tcPr>
          <w:p>
            <w:pPr>
              <w:spacing w:after="0"/>
              <w:rPr>
                <w:sz w:val="14"/>
                <w:szCs w:val="14"/>
                <w:color w:val="auto"/>
              </w:rPr>
            </w:pPr>
          </w:p>
        </w:tc>
        <w:tc>
          <w:tcPr>
            <w:tcW w:w="88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4940" w:type="dxa"/>
            <w:vAlign w:val="bottom"/>
          </w:tcPr>
          <w:p>
            <w:pPr>
              <w:spacing w:after="0"/>
              <w:rPr>
                <w:sz w:val="12"/>
                <w:szCs w:val="12"/>
                <w:color w:val="auto"/>
              </w:rPr>
            </w:pPr>
          </w:p>
        </w:tc>
        <w:tc>
          <w:tcPr>
            <w:tcW w:w="2840" w:type="dxa"/>
            <w:vAlign w:val="bottom"/>
          </w:tcPr>
          <w:p>
            <w:pPr>
              <w:spacing w:after="0"/>
              <w:rPr>
                <w:sz w:val="12"/>
                <w:szCs w:val="12"/>
                <w:color w:val="auto"/>
              </w:rPr>
            </w:pPr>
          </w:p>
        </w:tc>
        <w:tc>
          <w:tcPr>
            <w:tcW w:w="276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424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25,566</w:t>
            </w:r>
          </w:p>
        </w:tc>
        <w:tc>
          <w:tcPr>
            <w:tcW w:w="13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90"/>
              </w:rPr>
              <w:t>$  15,533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64.6%</w:t>
            </w:r>
          </w:p>
        </w:tc>
        <w:tc>
          <w:tcPr>
            <w:tcW w:w="0" w:type="dxa"/>
            <w:vAlign w:val="bottom"/>
          </w:tcPr>
          <w:p>
            <w:pPr>
              <w:spacing w:after="0"/>
              <w:rPr>
                <w:sz w:val="1"/>
                <w:szCs w:val="1"/>
                <w:color w:val="auto"/>
              </w:rPr>
            </w:pPr>
          </w:p>
        </w:tc>
      </w:tr>
      <w:tr>
        <w:trPr>
          <w:trHeight w:val="222"/>
        </w:trPr>
        <w:tc>
          <w:tcPr>
            <w:tcW w:w="4940" w:type="dxa"/>
            <w:vAlign w:val="bottom"/>
          </w:tcPr>
          <w:p>
            <w:pPr>
              <w:spacing w:after="0"/>
              <w:rPr>
                <w:sz w:val="20"/>
                <w:szCs w:val="20"/>
                <w:color w:val="auto"/>
              </w:rPr>
            </w:pPr>
            <w:r>
              <w:rPr>
                <w:rFonts w:ascii="Arial" w:cs="Arial" w:eastAsia="Arial" w:hAnsi="Arial"/>
                <w:sz w:val="18"/>
                <w:szCs w:val="18"/>
                <w:color w:val="auto"/>
              </w:rPr>
              <w:t>% of net revenue</w:t>
            </w:r>
          </w:p>
        </w:tc>
        <w:tc>
          <w:tcPr>
            <w:tcW w:w="4240" w:type="dxa"/>
            <w:vAlign w:val="bottom"/>
            <w:gridSpan w:val="2"/>
          </w:tcPr>
          <w:p>
            <w:pPr>
              <w:jc w:val="right"/>
              <w:ind w:right="492"/>
              <w:spacing w:after="0"/>
              <w:rPr>
                <w:sz w:val="20"/>
                <w:szCs w:val="20"/>
                <w:color w:val="auto"/>
              </w:rPr>
            </w:pPr>
            <w:r>
              <w:rPr>
                <w:rFonts w:ascii="Arial" w:cs="Arial" w:eastAsia="Arial" w:hAnsi="Arial"/>
                <w:sz w:val="18"/>
                <w:szCs w:val="18"/>
                <w:color w:val="auto"/>
              </w:rPr>
              <w:t>0.7%</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0.5%</w:t>
            </w:r>
          </w:p>
        </w:tc>
        <w:tc>
          <w:tcPr>
            <w:tcW w:w="6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Interest and other income, net, increased by $10.0 million in fiscal 2014 as compared to fiscal 2013, primarily due to a $7.0 million gain on the sale of a business (see “Note 2 — Divestiture” in our Notes to the Consolidated Financial Statements set forth in Part II, Item 8 of the Annual Report on Form 10-K for further information) and the impact of the strengthening of the U.S. dollar on our foreign currency denominated tax liabilities. This was partially offset by lower interest income from lower average cash and investment balances, lower realized investment gains, and higher imputed interest expense related to technology license obligations during fiscal 2014. We also had $1.5 million in write downs of equity investments in fiscal 2014.</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2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2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9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20" w:type="dxa"/>
            <w:vAlign w:val="bottom"/>
          </w:tcPr>
          <w:p>
            <w:pPr>
              <w:spacing w:after="0"/>
              <w:rPr>
                <w:sz w:val="11"/>
                <w:szCs w:val="11"/>
                <w:color w:val="auto"/>
              </w:rPr>
            </w:pPr>
          </w:p>
        </w:tc>
        <w:tc>
          <w:tcPr>
            <w:tcW w:w="1500" w:type="dxa"/>
            <w:vAlign w:val="bottom"/>
          </w:tcPr>
          <w:p>
            <w:pPr>
              <w:jc w:val="right"/>
              <w:ind w:right="746"/>
              <w:spacing w:after="0" w:line="129" w:lineRule="exact"/>
              <w:rPr>
                <w:sz w:val="20"/>
                <w:szCs w:val="20"/>
                <w:color w:val="auto"/>
              </w:rPr>
            </w:pPr>
            <w:r>
              <w:rPr>
                <w:rFonts w:ascii="Arial" w:cs="Arial" w:eastAsia="Arial" w:hAnsi="Arial"/>
                <w:sz w:val="14"/>
                <w:szCs w:val="14"/>
                <w:b w:val="1"/>
                <w:bCs w:val="1"/>
                <w:color w:val="auto"/>
                <w:w w:val="87"/>
              </w:rPr>
              <w:t>February 1,</w:t>
            </w:r>
          </w:p>
        </w:tc>
        <w:tc>
          <w:tcPr>
            <w:tcW w:w="7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20" w:type="dxa"/>
            <w:vAlign w:val="bottom"/>
          </w:tcPr>
          <w:p>
            <w:pPr>
              <w:spacing w:after="0"/>
              <w:rPr>
                <w:sz w:val="14"/>
                <w:szCs w:val="14"/>
                <w:color w:val="auto"/>
              </w:rPr>
            </w:pPr>
          </w:p>
        </w:tc>
        <w:tc>
          <w:tcPr>
            <w:tcW w:w="1500" w:type="dxa"/>
            <w:vAlign w:val="bottom"/>
          </w:tcPr>
          <w:p>
            <w:pPr>
              <w:jc w:val="right"/>
              <w:ind w:right="946"/>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700" w:type="dxa"/>
            <w:vAlign w:val="bottom"/>
          </w:tcPr>
          <w:p>
            <w:pPr>
              <w:spacing w:after="0"/>
              <w:rPr>
                <w:sz w:val="14"/>
                <w:szCs w:val="14"/>
                <w:color w:val="auto"/>
              </w:rPr>
            </w:pPr>
          </w:p>
        </w:tc>
        <w:tc>
          <w:tcPr>
            <w:tcW w:w="9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7520" w:type="dxa"/>
            <w:vAlign w:val="bottom"/>
          </w:tcPr>
          <w:p>
            <w:pPr>
              <w:spacing w:after="0"/>
              <w:rPr>
                <w:sz w:val="12"/>
                <w:szCs w:val="12"/>
                <w:color w:val="auto"/>
              </w:rPr>
            </w:pPr>
          </w:p>
        </w:tc>
        <w:tc>
          <w:tcPr>
            <w:tcW w:w="2920" w:type="dxa"/>
            <w:vAlign w:val="bottom"/>
            <w:tcBorders>
              <w:top w:val="single" w:sz="8" w:color="auto"/>
            </w:tcBorders>
            <w:gridSpan w:val="3"/>
          </w:tcPr>
          <w:p>
            <w:pPr>
              <w:jc w:val="right"/>
              <w:ind w:right="12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500" w:type="dxa"/>
            <w:vAlign w:val="bottom"/>
            <w:shd w:val="clear" w:color="auto" w:fill="CCEEFF"/>
          </w:tcPr>
          <w:p>
            <w:pPr>
              <w:jc w:val="right"/>
              <w:ind w:right="686"/>
              <w:spacing w:after="0"/>
              <w:rPr>
                <w:sz w:val="20"/>
                <w:szCs w:val="20"/>
                <w:color w:val="auto"/>
              </w:rPr>
            </w:pPr>
            <w:r>
              <w:rPr>
                <w:rFonts w:ascii="Arial" w:cs="Arial" w:eastAsia="Arial" w:hAnsi="Arial"/>
                <w:sz w:val="18"/>
                <w:szCs w:val="18"/>
                <w:color w:val="auto"/>
                <w:w w:val="93"/>
              </w:rPr>
              <w:t>$  (9,063)</w:t>
            </w:r>
          </w:p>
        </w:tc>
        <w:tc>
          <w:tcPr>
            <w:tcW w:w="14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  3,605</w:t>
            </w: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(351.4)%</w:t>
            </w:r>
          </w:p>
        </w:tc>
        <w:tc>
          <w:tcPr>
            <w:tcW w:w="0" w:type="dxa"/>
            <w:vAlign w:val="bottom"/>
          </w:tcPr>
          <w:p>
            <w:pPr>
              <w:spacing w:after="0"/>
              <w:rPr>
                <w:sz w:val="1"/>
                <w:szCs w:val="1"/>
                <w:color w:val="auto"/>
              </w:rPr>
            </w:pPr>
          </w:p>
        </w:tc>
      </w:tr>
      <w:tr>
        <w:trPr>
          <w:trHeight w:val="222"/>
        </w:trPr>
        <w:tc>
          <w:tcPr>
            <w:tcW w:w="752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526"/>
              <w:spacing w:after="0"/>
              <w:rPr>
                <w:sz w:val="20"/>
                <w:szCs w:val="20"/>
                <w:color w:val="auto"/>
              </w:rPr>
            </w:pPr>
            <w:r>
              <w:rPr>
                <w:rFonts w:ascii="Arial" w:cs="Arial" w:eastAsia="Arial" w:hAnsi="Arial"/>
                <w:sz w:val="18"/>
                <w:szCs w:val="18"/>
                <w:color w:val="auto"/>
              </w:rPr>
              <w:t>(0.3)%</w:t>
            </w:r>
          </w:p>
        </w:tc>
        <w:tc>
          <w:tcPr>
            <w:tcW w:w="1420" w:type="dxa"/>
            <w:vAlign w:val="bottom"/>
            <w:gridSpan w:val="2"/>
          </w:tcPr>
          <w:p>
            <w:pPr>
              <w:jc w:val="right"/>
              <w:ind w:right="540"/>
              <w:spacing w:after="0"/>
              <w:rPr>
                <w:sz w:val="20"/>
                <w:szCs w:val="20"/>
                <w:color w:val="auto"/>
              </w:rPr>
            </w:pPr>
            <w:r>
              <w:rPr>
                <w:rFonts w:ascii="Arial" w:cs="Arial" w:eastAsia="Arial" w:hAnsi="Arial"/>
                <w:sz w:val="18"/>
                <w:szCs w:val="18"/>
                <w:color w:val="auto"/>
              </w:rPr>
              <w:t>0.1%</w:t>
            </w:r>
          </w:p>
        </w:tc>
        <w:tc>
          <w:tcPr>
            <w:tcW w:w="7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We had an income tax benefit of 3.0% in fiscal 2014 compared to an effective tax rate of 1.2% in fiscal 2013. The income tax benefit for fiscal 2014 included the current income tax liability of $13.2 million plus a $3.9 million reduction in net deferred tax assets that included $1.2 million charge for the settlement of an audit in a non-U.S. jurisdiction. These tax charges were offset by a net reduction in unrecognized tax benefits of $22.6 million combined with a $3.9 million tax benefit due to return-to-provision adjustments upon filing of tax returns in fiscal 2014 that included a $0.5 million benefit from the settlement of an audit in a non-U.S. jurisdiction. The reduction in net deferred tax assets was mostly due to an increase in the Singapore deferred tax liability since the Singapore government had not yet granted an extension of the tax incentive arrangement in Singapore which was then expected to expire in June 2014. See “Note 9 — Income Taxes” in our Notes to the Consolidated Financial Statements set forth in Part II, Item 8 of the Annual Report on Form 10-K for further information. The net reduction in unrecognized tax benefits primarily arose from the expiration of statute of limitations in non-U.S. jurisdictions and from the settlement of two audits in non-U.S. jurisdictions less an increase in current unrecognized tax estimates.</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color w:val="auto"/>
        </w:rPr>
        <w:t>Our principal source of liquidity as of January 31, 2015 consisted of approximately $2.5 billion of cash, cash equivalents and short-term investments, of which approximately $900 million was held by foreign subsidiaries (outside Bermuda). Approximately $400 million of this amount held by foreign subsidiaries is related to undistributed earnings, which have been indefinitely reinvested outside of Bermuda. These funds are primarily held in China, Israel, Singapore,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$100 million.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 Specifically, with respect to the CMU litigation, a jury has awarded past damages of $1.17 billion plus enhancements. Based on a series of post-trial rulings, the District Court calculated the damages including enhancement to total approximately $1.54 billion, and held that, under its decision, CMU is entitled to post judgment interest and an ongoing royalty. Based on the royalty rate assessed by the District Court, such additional royalties for the period of time commencing on the date ordered by the District Court, January 15, 2013, through January 31, 2015 could be as much as $400 million. On May 7, 2014, the District Court entered final judgment and on May 14, 2014 we filed a notice of appeal to the U.S. Court of Appeals for the Federal Circuit in Washington, D.C., which is set for oral argument in April 2015. We have secured certain surety bonds for the duration of the appeal to stay execution of judgment pending the appeal. See “Note 10 — Commitments and Contingencies — Surety Bonds” in the Notes to the Consolidated Financial Statements for a further discussion of these surety bonds. We strongly believe that we do not infringe on the methods described in the CMU patents and that our products use our own internally developed patented read channel technology. See the section entitled “Off-Balance Sheet Arrangements” below for a discussion of the effects on liquidity from the CMU litigation.</w:t>
      </w:r>
    </w:p>
    <w:p>
      <w:pPr>
        <w:spacing w:after="0" w:line="128"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47"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On February 19, 2015, the Company announced that its board of directors declared a cash dividend of $0.06 per share to be paid on April 2, 2015 to shareholders of record as of March 12, 2015.</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Net cash provided by operating activities was $728.9 million for fiscal 2015 compared to $448.0 million for fiscal 2014 and $729.0 million for fiscal 2013. The cash inflows from operations for fiscal 2015 were primarily due to $673.5 million of net income adjusted for non-cash items and positive working capital changes of $55.4 million. The positive impact on working capital was primarily driven by a decrease in accounts receivable</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due to improved collections and a decrease in inventories, combined with an increase in accrued employee compensation as a result of higher incentive compensation. The positive effect on working capital was partially offset by decreases in accounts payable, and accrued liabilities and other non-current liabilities due the timing of payments.</w:t>
      </w:r>
    </w:p>
    <w:p>
      <w:pPr>
        <w:spacing w:after="0" w:line="14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cash inflows from operations for fiscal 2014 were primarily due to $623.0 million of net income adjusted for non-cash items and positive working capital changes of $175.0 million. The negative change in working capital for fiscal 2014 was primarily driven by an increase in accounts receivable from higher revenue levels and higher inventories due to the ramp up of new products.</w:t>
      </w:r>
    </w:p>
    <w:p>
      <w:pPr>
        <w:spacing w:after="0" w:line="140"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The cash inflows from operations for fiscal 2013 were primarily due to $592.0 million of net income adjusted for non-cash items and positive working capital changes of $137.0 million. The positive change in working capital for fiscal 2013 was primarily driven by a decrease in inventories due to increased shipment towards the end of the current year and a decrease in accounts receivable due to improved collections in the fourth quarter of fiscal 2013 compared to the fourth quarter of fiscal 2012.</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and (Used in) Investing Activities</w:t>
      </w:r>
    </w:p>
    <w:p>
      <w:pPr>
        <w:spacing w:after="0" w:line="90" w:lineRule="exact"/>
        <w:rPr>
          <w:sz w:val="20"/>
          <w:szCs w:val="20"/>
          <w:color w:val="auto"/>
        </w:rPr>
      </w:pPr>
    </w:p>
    <w:p>
      <w:pPr>
        <w:jc w:val="both"/>
        <w:ind w:right="280" w:firstLine="456"/>
        <w:spacing w:after="0" w:line="256" w:lineRule="auto"/>
        <w:rPr>
          <w:sz w:val="20"/>
          <w:szCs w:val="20"/>
          <w:color w:val="auto"/>
        </w:rPr>
      </w:pPr>
      <w:r>
        <w:rPr>
          <w:rFonts w:ascii="Arial" w:cs="Arial" w:eastAsia="Arial" w:hAnsi="Arial"/>
          <w:sz w:val="18"/>
          <w:szCs w:val="18"/>
          <w:color w:val="auto"/>
        </w:rPr>
        <w:t>Net cash used in investing activities was $368.9 million for fiscal 2015 compared to net cash provided by investing activities of $74.8 million for fiscal 2014 and $178.8 million for fiscal 2013. For fiscal 2015, net cash used in investing activities was primarily due to purchases of available-for-sale securities of $1.1 billion, offset by the sales and maturities of available-for-sale securities of $826.3 million. In addition, we paid $63.0 million for the purchase of property and equipment, and $16.4 million for the purchase of technology licenses.</w:t>
      </w:r>
    </w:p>
    <w:p>
      <w:pPr>
        <w:spacing w:after="0" w:line="143"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For fiscal 2014, net cash provided by investing activities was primarily generated from the sale and maturities of available-for-sale securities of $995.0 million less purchases of available-for-sale securities of $837.9 million. The net cash inflow from available-for-sale securities in fiscal 2014 was partially offset by the purchases of $66.6 million of property and equipment, and $17.6 million of IP licenses.</w:t>
      </w:r>
    </w:p>
    <w:p>
      <w:pPr>
        <w:spacing w:after="0" w:line="14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For fiscal 2013, net cash provided by investing activities was primarily generated from the sale and maturities of available-for-sale securities of $1.8 billion less purchases of available-for-sale securities of $1.5 billion. The net cash inflow from available-for-sale securities in fiscal 2013 was partially offset by the purchases of $68.2 million of property and equipment, and $35.0 million of IP licenses.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jc w:val="both"/>
        <w:ind w:right="80" w:firstLine="456"/>
        <w:spacing w:after="0" w:line="298" w:lineRule="auto"/>
        <w:rPr>
          <w:sz w:val="20"/>
          <w:szCs w:val="20"/>
          <w:color w:val="auto"/>
        </w:rPr>
      </w:pPr>
      <w:r>
        <w:rPr>
          <w:rFonts w:ascii="Arial" w:cs="Arial" w:eastAsia="Arial" w:hAnsi="Arial"/>
          <w:sz w:val="16"/>
          <w:szCs w:val="16"/>
          <w:color w:val="auto"/>
        </w:rPr>
        <w:t>Net cash used in financing activities was $114.8 million for fiscal 2015 compared to $309.0 million for fiscal 2014 and $940.8 million for fiscal 2013. For fiscal 2015, net cash used in financing activities was primarily attributable to payments of our quarterly cash dividends of $122.8 million and repurchases under our share repurchase program of our common shares in the open market for $65.0 million. The cash outflow was partially offset by net proceeds of $85.9 million from the issuance of our common shares under our share-based plans less the minimum tax withholding on behalf of employees for net share settlements.</w:t>
      </w:r>
    </w:p>
    <w:p>
      <w:pPr>
        <w:spacing w:after="0" w:line="113"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For fiscal 2014, net cash used in financing activities was primarily attributable to repurchases under our share repurchase program of $376.3 million and payment of our quarterly cash dividends of $119.4 million in fiscal 2014. The cash outflow was partially offset by net proceeds of $194.1 million from the issuance of our common shares under our share-based plans less the minimum tax withholding paid on behalf of employees for net share settlements.</w:t>
      </w:r>
    </w:p>
    <w:p>
      <w:pPr>
        <w:spacing w:after="0" w:line="107"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For fiscal 2013, net cash used in financing activities was primarily attributable to repurchases under our share repurchase program of $959.1 million. Of this amount, $22.2 million was unpaid and included in accrued liabilities as of February 2, 2013. We also paid cash dividends of $98.8 million in fiscal 2013. The cash outflow was partially offset by net proceeds of $94.8 million from the issuance of our common shares under our share-based plans less the minimum tax withholding paid on behalf of employees for net share settlements.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459" w:right="2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On May 14, 2014, we filed a Notice of Appeal to appeal the final judgment issued by the District Court 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 See also “Note 10 — Commitments and Contingencies” in the Notes to the Consolidated Financial Statements for a further discussion of this matter.</w:t>
      </w:r>
    </w:p>
    <w:p>
      <w:pPr>
        <w:spacing w:after="0" w:line="120"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The Court has required us to report ongoing royalties under the current judgment. Based on the royalty rate assessed by the District Court, such additional royalties for the period of time commencing on the date ordered by the District Court, January 15, 2013, through January 31, 2015 could be as much as $400 million. 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$139 million at January 31, 2015. We and CMU have agreed that the second bond and commitment satisfy the security for ongoing royalties while the appeal is pending.</w:t>
      </w:r>
    </w:p>
    <w:p>
      <w:pPr>
        <w:spacing w:after="0" w:line="144"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31, 2015, we were not involved in any unconsolidated SPE transactions.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requires repayment of all expenses incurred through the date of cancellation. As of January 31, 2015, these foundries had incurred approximately $252.1 million of manufacturing costs and expenses relating to our outstanding purchase orders.</w:t>
      </w:r>
    </w:p>
    <w:p>
      <w:pPr>
        <w:spacing w:after="0" w:line="14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January 31, 2015 and the effect that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160" w:type="dxa"/>
            <w:vAlign w:val="bottom"/>
            <w:tcBorders>
              <w:bottom w:val="single" w:sz="8" w:color="auto"/>
            </w:tcBorders>
            <w:gridSpan w:val="8"/>
          </w:tcPr>
          <w:p>
            <w:pPr>
              <w:ind w:left="20"/>
              <w:spacing w:after="0"/>
              <w:rPr>
                <w:sz w:val="20"/>
                <w:szCs w:val="20"/>
                <w:color w:val="auto"/>
              </w:rPr>
            </w:pPr>
            <w:r>
              <w:rPr>
                <w:rFonts w:ascii="Arial" w:cs="Arial" w:eastAsia="Arial" w:hAnsi="Arial"/>
                <w:sz w:val="14"/>
                <w:szCs w:val="14"/>
                <w:b w:val="1"/>
                <w:bCs w:val="1"/>
                <w:color w:val="auto"/>
                <w:w w:val="89"/>
              </w:rPr>
              <w:t>Payment Obligations by Fiscal Year</w:t>
            </w:r>
          </w:p>
        </w:tc>
        <w:tc>
          <w:tcPr>
            <w:tcW w:w="24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82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460" w:type="dxa"/>
            <w:vAlign w:val="bottom"/>
            <w:tcBorders>
              <w:bottom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w w:val="96"/>
              </w:rPr>
              <w:t>2016</w:t>
            </w:r>
          </w:p>
        </w:tc>
        <w:tc>
          <w:tcPr>
            <w:tcW w:w="28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400" w:type="dxa"/>
            <w:vAlign w:val="bottom"/>
            <w:tcBorders>
              <w:bottom w:val="single" w:sz="8" w:color="auto"/>
            </w:tcBorders>
          </w:tcPr>
          <w:p>
            <w:pPr>
              <w:jc w:val="right"/>
              <w:ind w:right="32"/>
              <w:spacing w:after="0" w:line="142" w:lineRule="exact"/>
              <w:rPr>
                <w:sz w:val="20"/>
                <w:szCs w:val="20"/>
                <w:color w:val="auto"/>
              </w:rPr>
            </w:pPr>
            <w:r>
              <w:rPr>
                <w:rFonts w:ascii="Arial" w:cs="Arial" w:eastAsia="Arial" w:hAnsi="Arial"/>
                <w:sz w:val="14"/>
                <w:szCs w:val="14"/>
                <w:b w:val="1"/>
                <w:bCs w:val="1"/>
                <w:color w:val="auto"/>
                <w:w w:val="89"/>
              </w:rPr>
              <w:t>2017</w:t>
            </w:r>
          </w:p>
        </w:tc>
        <w:tc>
          <w:tcPr>
            <w:tcW w:w="28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420" w:type="dxa"/>
            <w:vAlign w:val="bottom"/>
            <w:tcBorders>
              <w:bottom w:val="single" w:sz="8" w:color="auto"/>
            </w:tcBorders>
          </w:tcPr>
          <w:p>
            <w:pPr>
              <w:jc w:val="right"/>
              <w:ind w:right="32"/>
              <w:spacing w:after="0" w:line="142" w:lineRule="exact"/>
              <w:rPr>
                <w:sz w:val="20"/>
                <w:szCs w:val="20"/>
                <w:color w:val="auto"/>
              </w:rPr>
            </w:pPr>
            <w:r>
              <w:rPr>
                <w:rFonts w:ascii="Arial" w:cs="Arial" w:eastAsia="Arial" w:hAnsi="Arial"/>
                <w:sz w:val="14"/>
                <w:szCs w:val="14"/>
                <w:b w:val="1"/>
                <w:bCs w:val="1"/>
                <w:color w:val="auto"/>
                <w:w w:val="96"/>
              </w:rPr>
              <w:t>2018</w:t>
            </w:r>
          </w:p>
        </w:tc>
        <w:tc>
          <w:tcPr>
            <w:tcW w:w="300" w:type="dxa"/>
            <w:vAlign w:val="bottom"/>
            <w:tcBorders>
              <w:bottom w:val="single" w:sz="8" w:color="CCEEFF"/>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360" w:type="dxa"/>
            <w:vAlign w:val="bottom"/>
            <w:tcBorders>
              <w:bottom w:val="single" w:sz="8" w:color="auto"/>
            </w:tcBorders>
          </w:tcPr>
          <w:p>
            <w:pPr>
              <w:jc w:val="right"/>
              <w:ind w:right="12"/>
              <w:spacing w:after="0" w:line="142" w:lineRule="exact"/>
              <w:rPr>
                <w:sz w:val="20"/>
                <w:szCs w:val="20"/>
                <w:color w:val="auto"/>
              </w:rPr>
            </w:pPr>
            <w:r>
              <w:rPr>
                <w:rFonts w:ascii="Arial" w:cs="Arial" w:eastAsia="Arial" w:hAnsi="Arial"/>
                <w:sz w:val="14"/>
                <w:szCs w:val="14"/>
                <w:b w:val="1"/>
                <w:bCs w:val="1"/>
                <w:color w:val="auto"/>
                <w:w w:val="83"/>
              </w:rPr>
              <w:t>2019</w:t>
            </w:r>
          </w:p>
        </w:tc>
        <w:tc>
          <w:tcPr>
            <w:tcW w:w="28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360" w:type="dxa"/>
            <w:vAlign w:val="bottom"/>
            <w:tcBorders>
              <w:bottom w:val="single" w:sz="8" w:color="auto"/>
            </w:tcBorders>
          </w:tcPr>
          <w:p>
            <w:pPr>
              <w:jc w:val="right"/>
              <w:ind w:right="12"/>
              <w:spacing w:after="0" w:line="142" w:lineRule="exact"/>
              <w:rPr>
                <w:sz w:val="20"/>
                <w:szCs w:val="20"/>
                <w:color w:val="auto"/>
              </w:rPr>
            </w:pPr>
            <w:r>
              <w:rPr>
                <w:rFonts w:ascii="Arial" w:cs="Arial" w:eastAsia="Arial" w:hAnsi="Arial"/>
                <w:sz w:val="14"/>
                <w:szCs w:val="14"/>
                <w:b w:val="1"/>
                <w:bCs w:val="1"/>
                <w:color w:val="auto"/>
                <w:w w:val="83"/>
              </w:rPr>
              <w:t>2020</w:t>
            </w:r>
          </w:p>
        </w:tc>
        <w:tc>
          <w:tcPr>
            <w:tcW w:w="300" w:type="dxa"/>
            <w:vAlign w:val="bottom"/>
            <w:tcBorders>
              <w:bottom w:val="single" w:sz="8" w:color="CCEEFF"/>
            </w:tcBorders>
          </w:tcPr>
          <w:p>
            <w:pPr>
              <w:spacing w:after="0"/>
              <w:rPr>
                <w:sz w:val="12"/>
                <w:szCs w:val="12"/>
                <w:color w:val="auto"/>
              </w:rPr>
            </w:pPr>
          </w:p>
        </w:tc>
        <w:tc>
          <w:tcPr>
            <w:tcW w:w="72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w w:val="96"/>
              </w:rPr>
              <w:t>Thereafter</w:t>
            </w:r>
          </w:p>
        </w:tc>
        <w:tc>
          <w:tcPr>
            <w:tcW w:w="30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500" w:type="dxa"/>
            <w:vAlign w:val="bottom"/>
            <w:tcBorders>
              <w:bottom w:val="single" w:sz="8" w:color="auto"/>
            </w:tcBorders>
          </w:tcPr>
          <w:p>
            <w:pPr>
              <w:jc w:val="right"/>
              <w:ind w:right="92"/>
              <w:spacing w:after="0" w:line="142" w:lineRule="exact"/>
              <w:rPr>
                <w:sz w:val="20"/>
                <w:szCs w:val="20"/>
                <w:color w:val="auto"/>
              </w:rPr>
            </w:pPr>
            <w:r>
              <w:rPr>
                <w:rFonts w:ascii="Arial" w:cs="Arial" w:eastAsia="Arial" w:hAnsi="Arial"/>
                <w:sz w:val="14"/>
                <w:szCs w:val="14"/>
                <w:b w:val="1"/>
                <w:bCs w:val="1"/>
                <w:color w:val="auto"/>
                <w:w w:val="95"/>
              </w:rPr>
              <w:t>Total</w:t>
            </w:r>
          </w:p>
        </w:tc>
        <w:tc>
          <w:tcPr>
            <w:tcW w:w="1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820" w:type="dxa"/>
            <w:vAlign w:val="bottom"/>
            <w:shd w:val="clear" w:color="auto" w:fill="CCEEFF"/>
          </w:tcPr>
          <w:p>
            <w:pPr>
              <w:spacing w:after="0" w:line="129" w:lineRule="exact"/>
              <w:rPr>
                <w:sz w:val="20"/>
                <w:szCs w:val="20"/>
                <w:color w:val="auto"/>
              </w:rPr>
            </w:pPr>
            <w:r>
              <w:rPr>
                <w:rFonts w:ascii="Arial" w:cs="Arial" w:eastAsia="Arial" w:hAnsi="Arial"/>
                <w:sz w:val="14"/>
                <w:szCs w:val="14"/>
                <w:color w:val="auto"/>
              </w:rPr>
              <w:t>Contractual obligations:</w:t>
            </w:r>
          </w:p>
        </w:tc>
        <w:tc>
          <w:tcPr>
            <w:tcW w:w="10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48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820" w:type="dxa"/>
            <w:vAlign w:val="bottom"/>
          </w:tcPr>
          <w:p>
            <w:pPr>
              <w:ind w:left="440"/>
              <w:spacing w:after="0" w:line="149" w:lineRule="exact"/>
              <w:rPr>
                <w:sz w:val="20"/>
                <w:szCs w:val="20"/>
                <w:color w:val="auto"/>
              </w:rPr>
            </w:pPr>
            <w:r>
              <w:rPr>
                <w:rFonts w:ascii="Arial" w:cs="Arial" w:eastAsia="Arial" w:hAnsi="Arial"/>
                <w:sz w:val="14"/>
                <w:szCs w:val="14"/>
                <w:color w:val="auto"/>
              </w:rPr>
              <w:t>Facilities operating leases, net</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rPr>
              <w:t>23,251</w:t>
            </w:r>
          </w:p>
        </w:tc>
        <w:tc>
          <w:tcPr>
            <w:tcW w:w="280" w:type="dxa"/>
            <w:vAlign w:val="bottom"/>
          </w:tcPr>
          <w:p>
            <w:pPr>
              <w:spacing w:after="0"/>
              <w:rPr>
                <w:sz w:val="12"/>
                <w:szCs w:val="12"/>
                <w:color w:val="auto"/>
              </w:rPr>
            </w:pPr>
          </w:p>
        </w:tc>
        <w:tc>
          <w:tcPr>
            <w:tcW w:w="100" w:type="dxa"/>
            <w:vAlign w:val="bottom"/>
          </w:tcPr>
          <w:p>
            <w:pPr>
              <w:jc w:val="right"/>
              <w:spacing w:after="0" w:line="149" w:lineRule="exact"/>
              <w:rPr>
                <w:sz w:val="20"/>
                <w:szCs w:val="20"/>
                <w:color w:val="auto"/>
              </w:rPr>
            </w:pPr>
            <w:r>
              <w:rPr>
                <w:rFonts w:ascii="Arial" w:cs="Arial" w:eastAsia="Arial" w:hAnsi="Arial"/>
                <w:sz w:val="14"/>
                <w:szCs w:val="14"/>
                <w:color w:val="auto"/>
                <w:w w:val="76"/>
              </w:rPr>
              <w:t>$</w:t>
            </w: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w w:val="88"/>
              </w:rPr>
              <w:t>11,885</w:t>
            </w:r>
          </w:p>
        </w:tc>
        <w:tc>
          <w:tcPr>
            <w:tcW w:w="3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5,113</w:t>
            </w: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360" w:type="dxa"/>
            <w:vAlign w:val="bottom"/>
          </w:tcPr>
          <w:p>
            <w:pPr>
              <w:jc w:val="right"/>
              <w:spacing w:after="0" w:line="149" w:lineRule="exact"/>
              <w:rPr>
                <w:sz w:val="20"/>
                <w:szCs w:val="20"/>
                <w:color w:val="auto"/>
              </w:rPr>
            </w:pPr>
            <w:r>
              <w:rPr>
                <w:rFonts w:ascii="Arial" w:cs="Arial" w:eastAsia="Arial" w:hAnsi="Arial"/>
                <w:sz w:val="14"/>
                <w:szCs w:val="14"/>
                <w:color w:val="auto"/>
                <w:w w:val="96"/>
              </w:rPr>
              <w:t>1,622</w:t>
            </w:r>
          </w:p>
        </w:tc>
        <w:tc>
          <w:tcPr>
            <w:tcW w:w="3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tcPr>
          <w:p>
            <w:pPr>
              <w:jc w:val="right"/>
              <w:spacing w:after="0" w:line="149" w:lineRule="exact"/>
              <w:rPr>
                <w:sz w:val="20"/>
                <w:szCs w:val="20"/>
                <w:color w:val="auto"/>
              </w:rPr>
            </w:pPr>
            <w:r>
              <w:rPr>
                <w:rFonts w:ascii="Arial" w:cs="Arial" w:eastAsia="Arial" w:hAnsi="Arial"/>
                <w:sz w:val="14"/>
                <w:szCs w:val="14"/>
                <w:color w:val="auto"/>
                <w:w w:val="96"/>
              </w:rPr>
              <w:t>1,594</w:t>
            </w:r>
          </w:p>
        </w:tc>
        <w:tc>
          <w:tcPr>
            <w:tcW w:w="300" w:type="dxa"/>
            <w:vAlign w:val="bottom"/>
          </w:tcPr>
          <w:p>
            <w:pPr>
              <w:spacing w:after="0"/>
              <w:rPr>
                <w:sz w:val="12"/>
                <w:szCs w:val="12"/>
                <w:color w:val="auto"/>
              </w:rPr>
            </w:pPr>
          </w:p>
        </w:tc>
        <w:tc>
          <w:tcPr>
            <w:tcW w:w="240" w:type="dxa"/>
            <w:vAlign w:val="bottom"/>
          </w:tcPr>
          <w:p>
            <w:pPr>
              <w:jc w:val="right"/>
              <w:ind w:right="124"/>
              <w:spacing w:after="0"/>
              <w:rPr>
                <w:sz w:val="20"/>
                <w:szCs w:val="20"/>
                <w:color w:val="auto"/>
              </w:rPr>
            </w:pPr>
            <w:r>
              <w:rPr>
                <w:rFonts w:ascii="Arial" w:cs="Arial" w:eastAsia="Arial" w:hAnsi="Arial"/>
                <w:sz w:val="10"/>
                <w:szCs w:val="10"/>
                <w:color w:val="auto"/>
                <w:w w:val="71"/>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3,542</w:t>
            </w:r>
          </w:p>
        </w:tc>
        <w:tc>
          <w:tcPr>
            <w:tcW w:w="4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47,007</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CAD and other operating leases</w:t>
            </w:r>
          </w:p>
        </w:tc>
        <w:tc>
          <w:tcPr>
            <w:tcW w:w="10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48,238</w:t>
            </w:r>
          </w:p>
        </w:tc>
        <w:tc>
          <w:tcPr>
            <w:tcW w:w="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8"/>
              </w:rPr>
              <w:t>30,435</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7,496</w:t>
            </w:r>
          </w:p>
        </w:tc>
        <w:tc>
          <w:tcPr>
            <w:tcW w:w="60" w:type="dxa"/>
            <w:vAlign w:val="bottom"/>
            <w:shd w:val="clear" w:color="auto" w:fill="CCEEFF"/>
          </w:tcPr>
          <w:p>
            <w:pPr>
              <w:spacing w:after="0"/>
              <w:rPr>
                <w:sz w:val="12"/>
                <w:szCs w:val="12"/>
                <w:color w:val="auto"/>
              </w:rPr>
            </w:pPr>
          </w:p>
        </w:tc>
        <w:tc>
          <w:tcPr>
            <w:tcW w:w="3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1,078</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1,078</w:t>
            </w:r>
          </w:p>
        </w:tc>
        <w:tc>
          <w:tcPr>
            <w:tcW w:w="30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180</w:t>
            </w:r>
          </w:p>
        </w:tc>
        <w:tc>
          <w:tcPr>
            <w:tcW w:w="3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88,505</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tcPr>
          <w:p>
            <w:pPr>
              <w:ind w:left="440"/>
              <w:spacing w:after="0" w:line="149" w:lineRule="exact"/>
              <w:rPr>
                <w:sz w:val="20"/>
                <w:szCs w:val="20"/>
                <w:color w:val="auto"/>
              </w:rPr>
            </w:pPr>
            <w:r>
              <w:rPr>
                <w:rFonts w:ascii="Arial" w:cs="Arial" w:eastAsia="Arial" w:hAnsi="Arial"/>
                <w:sz w:val="14"/>
                <w:szCs w:val="14"/>
                <w:color w:val="auto"/>
              </w:rPr>
              <w:t>Purchase commitments to foundries</w:t>
            </w:r>
          </w:p>
        </w:tc>
        <w:tc>
          <w:tcPr>
            <w:tcW w:w="100" w:type="dxa"/>
            <w:vAlign w:val="bottom"/>
          </w:tcPr>
          <w:p>
            <w:pPr>
              <w:spacing w:after="0"/>
              <w:rPr>
                <w:sz w:val="12"/>
                <w:szCs w:val="12"/>
                <w:color w:val="auto"/>
              </w:rPr>
            </w:pP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w w:val="86"/>
              </w:rPr>
              <w:t>252,063</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3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240" w:type="dxa"/>
            <w:vAlign w:val="bottom"/>
          </w:tcPr>
          <w:p>
            <w:pPr>
              <w:spacing w:after="0"/>
              <w:rPr>
                <w:sz w:val="12"/>
                <w:szCs w:val="12"/>
                <w:color w:val="auto"/>
              </w:rPr>
            </w:pP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w w:val="94"/>
              </w:rPr>
              <w:t>252,063</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Capital purchase obligations</w:t>
            </w:r>
          </w:p>
        </w:tc>
        <w:tc>
          <w:tcPr>
            <w:tcW w:w="10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39,133</w:t>
            </w:r>
          </w:p>
        </w:tc>
        <w:tc>
          <w:tcPr>
            <w:tcW w:w="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3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24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39,133</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tcPr>
          <w:p>
            <w:pPr>
              <w:ind w:left="440"/>
              <w:spacing w:after="0" w:line="149" w:lineRule="exact"/>
              <w:rPr>
                <w:sz w:val="20"/>
                <w:szCs w:val="20"/>
                <w:color w:val="auto"/>
              </w:rPr>
            </w:pPr>
            <w:r>
              <w:rPr>
                <w:rFonts w:ascii="Arial" w:cs="Arial" w:eastAsia="Arial" w:hAnsi="Arial"/>
                <w:sz w:val="14"/>
                <w:szCs w:val="14"/>
                <w:color w:val="auto"/>
              </w:rPr>
              <w:t>Technology license obligations</w:t>
            </w:r>
          </w:p>
        </w:tc>
        <w:tc>
          <w:tcPr>
            <w:tcW w:w="100" w:type="dxa"/>
            <w:vAlign w:val="bottom"/>
          </w:tcPr>
          <w:p>
            <w:pPr>
              <w:spacing w:after="0"/>
              <w:rPr>
                <w:sz w:val="12"/>
                <w:szCs w:val="12"/>
                <w:color w:val="auto"/>
              </w:rPr>
            </w:pP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rPr>
              <w:t>13,145</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rPr>
              <w:t>7,869</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9,180</w:t>
            </w:r>
          </w:p>
        </w:tc>
        <w:tc>
          <w:tcPr>
            <w:tcW w:w="60" w:type="dxa"/>
            <w:vAlign w:val="bottom"/>
          </w:tcPr>
          <w:p>
            <w:pPr>
              <w:spacing w:after="0"/>
              <w:rPr>
                <w:sz w:val="12"/>
                <w:szCs w:val="12"/>
                <w:color w:val="auto"/>
              </w:rPr>
            </w:pPr>
          </w:p>
        </w:tc>
        <w:tc>
          <w:tcPr>
            <w:tcW w:w="3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240" w:type="dxa"/>
            <w:vAlign w:val="bottom"/>
          </w:tcPr>
          <w:p>
            <w:pPr>
              <w:spacing w:after="0"/>
              <w:rPr>
                <w:sz w:val="12"/>
                <w:szCs w:val="12"/>
                <w:color w:val="auto"/>
              </w:rPr>
            </w:pP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30,194</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Other non-current obligations (1)</w:t>
            </w:r>
          </w:p>
        </w:tc>
        <w:tc>
          <w:tcPr>
            <w:tcW w:w="10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6,346</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2,000</w:t>
            </w:r>
          </w:p>
        </w:tc>
        <w:tc>
          <w:tcPr>
            <w:tcW w:w="60" w:type="dxa"/>
            <w:vAlign w:val="bottom"/>
            <w:shd w:val="clear" w:color="auto" w:fill="CCEEFF"/>
          </w:tcPr>
          <w:p>
            <w:pPr>
              <w:spacing w:after="0"/>
              <w:rPr>
                <w:sz w:val="12"/>
                <w:szCs w:val="12"/>
                <w:color w:val="auto"/>
              </w:rPr>
            </w:pPr>
          </w:p>
        </w:tc>
        <w:tc>
          <w:tcPr>
            <w:tcW w:w="3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2,000</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2,000</w:t>
            </w:r>
          </w:p>
        </w:tc>
        <w:tc>
          <w:tcPr>
            <w:tcW w:w="30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2,784</w:t>
            </w:r>
          </w:p>
        </w:tc>
        <w:tc>
          <w:tcPr>
            <w:tcW w:w="3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15,130</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820" w:type="dxa"/>
            <w:vAlign w:val="bottom"/>
            <w:vMerge w:val="restart"/>
          </w:tcPr>
          <w:p>
            <w:pPr>
              <w:spacing w:after="0"/>
              <w:rPr>
                <w:sz w:val="20"/>
                <w:szCs w:val="20"/>
                <w:color w:val="auto"/>
              </w:rPr>
            </w:pPr>
            <w:r>
              <w:rPr>
                <w:rFonts w:ascii="Arial" w:cs="Arial" w:eastAsia="Arial" w:hAnsi="Arial"/>
                <w:sz w:val="14"/>
                <w:szCs w:val="14"/>
                <w:color w:val="auto"/>
              </w:rPr>
              <w:t>Total contractual cash obligations</w:t>
            </w: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5820" w:type="dxa"/>
            <w:vAlign w:val="bottom"/>
            <w:vMerge w:val="continue"/>
          </w:tcPr>
          <w:p>
            <w:pPr>
              <w:spacing w:after="0"/>
              <w:rPr>
                <w:sz w:val="13"/>
                <w:szCs w:val="13"/>
                <w:color w:val="auto"/>
              </w:rPr>
            </w:pP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460" w:type="dxa"/>
            <w:vAlign w:val="bottom"/>
          </w:tcPr>
          <w:p>
            <w:pPr>
              <w:jc w:val="right"/>
              <w:spacing w:after="0" w:line="155" w:lineRule="exact"/>
              <w:rPr>
                <w:sz w:val="20"/>
                <w:szCs w:val="20"/>
                <w:color w:val="auto"/>
              </w:rPr>
            </w:pPr>
            <w:r>
              <w:rPr>
                <w:rFonts w:ascii="Arial" w:cs="Arial" w:eastAsia="Arial" w:hAnsi="Arial"/>
                <w:sz w:val="14"/>
                <w:szCs w:val="14"/>
                <w:color w:val="auto"/>
                <w:w w:val="86"/>
              </w:rPr>
              <w:t>375,830</w:t>
            </w:r>
          </w:p>
        </w:tc>
        <w:tc>
          <w:tcPr>
            <w:tcW w:w="280" w:type="dxa"/>
            <w:vAlign w:val="bottom"/>
          </w:tcPr>
          <w:p>
            <w:pPr>
              <w:spacing w:after="0"/>
              <w:rPr>
                <w:sz w:val="13"/>
                <w:szCs w:val="13"/>
                <w:color w:val="auto"/>
              </w:rPr>
            </w:pPr>
          </w:p>
        </w:tc>
        <w:tc>
          <w:tcPr>
            <w:tcW w:w="100" w:type="dxa"/>
            <w:vAlign w:val="bottom"/>
          </w:tcPr>
          <w:p>
            <w:pPr>
              <w:jc w:val="right"/>
              <w:spacing w:after="0" w:line="155" w:lineRule="exact"/>
              <w:rPr>
                <w:sz w:val="20"/>
                <w:szCs w:val="20"/>
                <w:color w:val="auto"/>
              </w:rPr>
            </w:pPr>
            <w:r>
              <w:rPr>
                <w:rFonts w:ascii="Arial" w:cs="Arial" w:eastAsia="Arial" w:hAnsi="Arial"/>
                <w:sz w:val="14"/>
                <w:szCs w:val="14"/>
                <w:color w:val="auto"/>
                <w:w w:val="76"/>
              </w:rPr>
              <w:t>$</w:t>
            </w:r>
          </w:p>
        </w:tc>
        <w:tc>
          <w:tcPr>
            <w:tcW w:w="400" w:type="dxa"/>
            <w:vAlign w:val="bottom"/>
          </w:tcPr>
          <w:p>
            <w:pPr>
              <w:jc w:val="right"/>
              <w:spacing w:after="0" w:line="155" w:lineRule="exact"/>
              <w:rPr>
                <w:sz w:val="20"/>
                <w:szCs w:val="20"/>
                <w:color w:val="auto"/>
              </w:rPr>
            </w:pPr>
            <w:r>
              <w:rPr>
                <w:rFonts w:ascii="Arial" w:cs="Arial" w:eastAsia="Arial" w:hAnsi="Arial"/>
                <w:sz w:val="14"/>
                <w:szCs w:val="14"/>
                <w:color w:val="auto"/>
                <w:w w:val="88"/>
              </w:rPr>
              <w:t>56,535</w:t>
            </w:r>
          </w:p>
        </w:tc>
        <w:tc>
          <w:tcPr>
            <w:tcW w:w="280" w:type="dxa"/>
            <w:vAlign w:val="bottom"/>
          </w:tcPr>
          <w:p>
            <w:pPr>
              <w:spacing w:after="0"/>
              <w:rPr>
                <w:sz w:val="13"/>
                <w:szCs w:val="13"/>
                <w:color w:val="auto"/>
              </w:rPr>
            </w:pPr>
          </w:p>
        </w:tc>
        <w:tc>
          <w:tcPr>
            <w:tcW w:w="80" w:type="dxa"/>
            <w:vAlign w:val="bottom"/>
          </w:tcPr>
          <w:p>
            <w:pPr>
              <w:jc w:val="right"/>
              <w:spacing w:after="0" w:line="155" w:lineRule="exact"/>
              <w:rPr>
                <w:sz w:val="20"/>
                <w:szCs w:val="20"/>
                <w:color w:val="auto"/>
              </w:rPr>
            </w:pPr>
            <w:r>
              <w:rPr>
                <w:rFonts w:ascii="Arial" w:cs="Arial" w:eastAsia="Arial" w:hAnsi="Arial"/>
                <w:sz w:val="14"/>
                <w:szCs w:val="14"/>
                <w:color w:val="auto"/>
                <w:w w:val="76"/>
              </w:rPr>
              <w:t>$</w:t>
            </w:r>
          </w:p>
        </w:tc>
        <w:tc>
          <w:tcPr>
            <w:tcW w:w="720" w:type="dxa"/>
            <w:vAlign w:val="bottom"/>
            <w:gridSpan w:val="2"/>
          </w:tcPr>
          <w:p>
            <w:pPr>
              <w:jc w:val="right"/>
              <w:ind w:right="300"/>
              <w:spacing w:after="0" w:line="155" w:lineRule="exact"/>
              <w:rPr>
                <w:sz w:val="20"/>
                <w:szCs w:val="20"/>
                <w:color w:val="auto"/>
              </w:rPr>
            </w:pPr>
            <w:r>
              <w:rPr>
                <w:rFonts w:ascii="Arial" w:cs="Arial" w:eastAsia="Arial" w:hAnsi="Arial"/>
                <w:sz w:val="14"/>
                <w:szCs w:val="14"/>
                <w:color w:val="auto"/>
                <w:w w:val="93"/>
              </w:rPr>
              <w:t>23,789</w:t>
            </w: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360" w:type="dxa"/>
            <w:vAlign w:val="bottom"/>
          </w:tcPr>
          <w:p>
            <w:pPr>
              <w:jc w:val="right"/>
              <w:spacing w:after="0" w:line="155" w:lineRule="exact"/>
              <w:rPr>
                <w:sz w:val="20"/>
                <w:szCs w:val="20"/>
                <w:color w:val="auto"/>
              </w:rPr>
            </w:pPr>
            <w:r>
              <w:rPr>
                <w:rFonts w:ascii="Arial" w:cs="Arial" w:eastAsia="Arial" w:hAnsi="Arial"/>
                <w:sz w:val="14"/>
                <w:szCs w:val="14"/>
                <w:color w:val="auto"/>
                <w:w w:val="96"/>
              </w:rPr>
              <w:t>4,700</w:t>
            </w:r>
          </w:p>
        </w:tc>
        <w:tc>
          <w:tcPr>
            <w:tcW w:w="360" w:type="dxa"/>
            <w:vAlign w:val="bottom"/>
            <w:gridSpan w:val="2"/>
          </w:tcPr>
          <w:p>
            <w:pPr>
              <w:jc w:val="right"/>
              <w:spacing w:after="0" w:line="155" w:lineRule="exact"/>
              <w:rPr>
                <w:sz w:val="20"/>
                <w:szCs w:val="20"/>
                <w:color w:val="auto"/>
              </w:rPr>
            </w:pPr>
            <w:r>
              <w:rPr>
                <w:rFonts w:ascii="Arial" w:cs="Arial" w:eastAsia="Arial" w:hAnsi="Arial"/>
                <w:sz w:val="14"/>
                <w:szCs w:val="14"/>
                <w:color w:val="auto"/>
              </w:rPr>
              <w:t>$</w:t>
            </w:r>
          </w:p>
        </w:tc>
        <w:tc>
          <w:tcPr>
            <w:tcW w:w="360" w:type="dxa"/>
            <w:vAlign w:val="bottom"/>
          </w:tcPr>
          <w:p>
            <w:pPr>
              <w:jc w:val="right"/>
              <w:spacing w:after="0" w:line="155" w:lineRule="exact"/>
              <w:rPr>
                <w:sz w:val="20"/>
                <w:szCs w:val="20"/>
                <w:color w:val="auto"/>
              </w:rPr>
            </w:pPr>
            <w:r>
              <w:rPr>
                <w:rFonts w:ascii="Arial" w:cs="Arial" w:eastAsia="Arial" w:hAnsi="Arial"/>
                <w:sz w:val="14"/>
                <w:szCs w:val="14"/>
                <w:color w:val="auto"/>
                <w:w w:val="96"/>
              </w:rPr>
              <w:t>4,672</w:t>
            </w:r>
          </w:p>
        </w:tc>
        <w:tc>
          <w:tcPr>
            <w:tcW w:w="300" w:type="dxa"/>
            <w:vAlign w:val="bottom"/>
          </w:tcPr>
          <w:p>
            <w:pPr>
              <w:spacing w:after="0"/>
              <w:rPr>
                <w:sz w:val="13"/>
                <w:szCs w:val="13"/>
                <w:color w:val="auto"/>
              </w:rPr>
            </w:pPr>
          </w:p>
        </w:tc>
        <w:tc>
          <w:tcPr>
            <w:tcW w:w="240" w:type="dxa"/>
            <w:vAlign w:val="bottom"/>
          </w:tcPr>
          <w:p>
            <w:pPr>
              <w:jc w:val="right"/>
              <w:ind w:right="124"/>
              <w:spacing w:after="0"/>
              <w:rPr>
                <w:sz w:val="20"/>
                <w:szCs w:val="20"/>
                <w:color w:val="auto"/>
              </w:rPr>
            </w:pPr>
            <w:r>
              <w:rPr>
                <w:rFonts w:ascii="Arial" w:cs="Arial" w:eastAsia="Arial" w:hAnsi="Arial"/>
                <w:sz w:val="10"/>
                <w:szCs w:val="10"/>
                <w:color w:val="auto"/>
                <w:w w:val="71"/>
              </w:rPr>
              <w:t>$</w:t>
            </w:r>
          </w:p>
        </w:tc>
        <w:tc>
          <w:tcPr>
            <w:tcW w:w="480" w:type="dxa"/>
            <w:vAlign w:val="bottom"/>
          </w:tcPr>
          <w:p>
            <w:pPr>
              <w:jc w:val="right"/>
              <w:spacing w:after="0" w:line="155" w:lineRule="exact"/>
              <w:rPr>
                <w:sz w:val="20"/>
                <w:szCs w:val="20"/>
                <w:color w:val="auto"/>
              </w:rPr>
            </w:pPr>
            <w:r>
              <w:rPr>
                <w:rFonts w:ascii="Arial" w:cs="Arial" w:eastAsia="Arial" w:hAnsi="Arial"/>
                <w:sz w:val="14"/>
                <w:szCs w:val="14"/>
                <w:color w:val="auto"/>
              </w:rPr>
              <w:t>6,506</w:t>
            </w:r>
          </w:p>
        </w:tc>
        <w:tc>
          <w:tcPr>
            <w:tcW w:w="420" w:type="dxa"/>
            <w:vAlign w:val="bottom"/>
            <w:gridSpan w:val="2"/>
          </w:tcPr>
          <w:p>
            <w:pPr>
              <w:jc w:val="right"/>
              <w:ind w:right="40"/>
              <w:spacing w:after="0" w:line="155"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55" w:lineRule="exact"/>
              <w:rPr>
                <w:sz w:val="20"/>
                <w:szCs w:val="20"/>
                <w:color w:val="auto"/>
              </w:rPr>
            </w:pPr>
            <w:r>
              <w:rPr>
                <w:rFonts w:ascii="Arial" w:cs="Arial" w:eastAsia="Arial" w:hAnsi="Arial"/>
                <w:sz w:val="14"/>
                <w:szCs w:val="14"/>
                <w:color w:val="auto"/>
                <w:w w:val="94"/>
              </w:rPr>
              <w:t>472,032</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5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77470</wp:posOffset>
            </wp:positionV>
            <wp:extent cx="72898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1" w:lineRule="exact"/>
        <w:rPr>
          <w:sz w:val="20"/>
          <w:szCs w:val="20"/>
          <w:color w:val="auto"/>
        </w:rPr>
      </w:pPr>
    </w:p>
    <w:p>
      <w:pPr>
        <w:ind w:left="340" w:hanging="332"/>
        <w:spacing w:after="0"/>
        <w:tabs>
          <w:tab w:leader="none" w:pos="340" w:val="left"/>
        </w:tabs>
        <w:numPr>
          <w:ilvl w:val="0"/>
          <w:numId w:val="26"/>
        </w:numPr>
        <w:rPr>
          <w:rFonts w:ascii="Arial" w:cs="Arial" w:eastAsia="Arial" w:hAnsi="Arial"/>
          <w:sz w:val="14"/>
          <w:szCs w:val="14"/>
          <w:color w:val="auto"/>
        </w:rPr>
      </w:pPr>
      <w:r>
        <w:rPr>
          <w:rFonts w:ascii="Arial" w:cs="Arial" w:eastAsia="Arial" w:hAnsi="Arial"/>
          <w:sz w:val="14"/>
          <w:szCs w:val="14"/>
          <w:color w:val="auto"/>
        </w:rPr>
        <w:t>Amounts represent anticipated future cash payments, including anticipated interest payments not recorded in the consolidated balance sheet.</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addition to the above commitments and contingencies, as of January 31, 2015, we have $38.5 million of unrecognized tax benefits as liabilities. We also have a liability for potential interest and penalties of $27.7 million as of January 31, 2015. During the next 12 months, it is reasonably possible that the amount of unrecognized tax benefits could increase or decrease significantly due to changes in tax law jurisdictions, new tax audits and changes in the U.S. dollar as compared to foreign currencies within the next 12 months. Excluding these factors, uncertain tax positions may decrease by as much as $20 million from the lapse of the statutes of limitation in various jurisdictions during the next 12 months.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Prospective Capital Needs</w:t>
      </w:r>
    </w:p>
    <w:p>
      <w:pPr>
        <w:spacing w:after="0" w:line="96" w:lineRule="exact"/>
        <w:rPr>
          <w:sz w:val="20"/>
          <w:szCs w:val="20"/>
          <w:color w:val="auto"/>
        </w:rPr>
      </w:pPr>
    </w:p>
    <w:p>
      <w:pPr>
        <w:ind w:right="40" w:firstLine="456"/>
        <w:spacing w:after="0" w:line="285" w:lineRule="auto"/>
        <w:rPr>
          <w:sz w:val="20"/>
          <w:szCs w:val="20"/>
          <w:color w:val="auto"/>
        </w:rPr>
      </w:pPr>
      <w:r>
        <w:rPr>
          <w:rFonts w:ascii="Arial" w:cs="Arial" w:eastAsia="Arial" w:hAnsi="Arial"/>
          <w:sz w:val="16"/>
          <w:szCs w:val="16"/>
          <w:color w:val="auto"/>
        </w:rPr>
        <w:t>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 Specifically, with respect to the CMU litigation, a jury has awarded past damages of $1.17 billion plus enhancements. Based on a series of post-trial rulings, the District Court calculated the damages including enhancement to total approximately $1.54 billion, and held that, under its decision, CMU is entitled to post judgment interest and an ongoing royalty. Based on the royalty rate assessed by the District Court, such additional royalties for the period of time commencing on the date ordered by the District Court, January 15, 2013, through January 31, 2015 could be as much as $400 million. On May 7, 2014, the District Court entered final judgment and on May 14, 2014 we filed a notice of appeal to the U.S. Court of Appeals for the Federal Circuit in Washington, D.C., which is set for oral argument in April 2015. We strongly believe that we do not infringe on the methods described in the CMU patents and that our products use our own internally developed patented read channel technology. See the sections entitled “Liquidity and Capital Resources” and “Off-Balance Sheet Arrangements” above for discussions of the effects on liquidity from the CMU litigation.</w:t>
      </w:r>
    </w:p>
    <w:p>
      <w:pPr>
        <w:spacing w:after="0" w:line="12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Please see “Note 1 — The Company and its Significant Accounting Policies — Recent Accounting Pronouncements” for further details in our Notes to the Consolidated Financial Statements set forth in Part II, Item 8 of this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Please see “Note 14 — Related Party Transactions” for further details in our Notes to the Consolidated Financial Statements set forth in Part II, Item 8 of this Form 10-K.</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w:t>
      </w:r>
      <w:r>
        <w:rPr>
          <w:rFonts w:ascii="Arial" w:cs="Arial" w:eastAsia="Arial" w:hAnsi="Arial"/>
          <w:sz w:val="16"/>
          <w:szCs w:val="16"/>
          <w:i w:val="1"/>
          <w:iCs w:val="1"/>
          <w:color w:val="auto"/>
        </w:rPr>
        <w:t xml:space="preserve"> </w:t>
      </w:r>
      <w:r>
        <w:rPr>
          <w:rFonts w:ascii="Arial" w:cs="Arial" w:eastAsia="Arial" w:hAnsi="Arial"/>
          <w:sz w:val="16"/>
          <w:szCs w:val="16"/>
          <w:color w:val="auto"/>
        </w:rPr>
        <w:t>of January 31, 2015.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agency debt, time deposits, money market funds, corporate debt securities and asset backed securities. These investments are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jc w:val="both"/>
        <w:ind w:right="40" w:firstLine="456"/>
        <w:spacing w:after="0" w:line="255" w:lineRule="auto"/>
        <w:rPr>
          <w:sz w:val="20"/>
          <w:szCs w:val="20"/>
          <w:color w:val="auto"/>
        </w:rPr>
      </w:pPr>
      <w:r>
        <w:rPr>
          <w:rFonts w:ascii="Arial" w:cs="Arial" w:eastAsia="Arial" w:hAnsi="Arial"/>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January 31, 2015, a hypothetical 100 basis point increase in interest rates across all maturities would result in a $18.8 million decline in the fair market value of the portfolio. Due to our positive cash flow from operations, the relatively short-term nature of our investment portfolio and our ability to hold investments to maturity, such change in fair market value would likely not result in any cash flow impact.</w:t>
      </w:r>
    </w:p>
    <w:p>
      <w:pPr>
        <w:spacing w:after="0" w:line="14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privately-held companies for strategic purposes. We account for these investments under the cost</w:t>
      </w:r>
      <w:r>
        <w:rPr>
          <w:rFonts w:ascii="Arial" w:cs="Arial" w:eastAsia="Arial" w:hAnsi="Arial"/>
          <w:sz w:val="18"/>
          <w:szCs w:val="18"/>
          <w:i w:val="1"/>
          <w:iCs w:val="1"/>
          <w:color w:val="auto"/>
        </w:rPr>
        <w:t xml:space="preserve"> </w:t>
      </w:r>
      <w:r>
        <w:rPr>
          <w:rFonts w:ascii="Arial" w:cs="Arial" w:eastAsia="Arial" w:hAnsi="Arial"/>
          <w:sz w:val="18"/>
          <w:szCs w:val="18"/>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$9.3 million at January 31, 2015,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300" w:firstLine="456"/>
        <w:spacing w:after="0" w:line="286"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w:t>
      </w:r>
      <w:r>
        <w:rPr>
          <w:rFonts w:ascii="Arial" w:cs="Arial" w:eastAsia="Arial" w:hAnsi="Arial"/>
          <w:sz w:val="16"/>
          <w:szCs w:val="16"/>
          <w:i w:val="1"/>
          <w:iCs w:val="1"/>
          <w:color w:val="auto"/>
        </w:rPr>
        <w:t xml:space="preserve"> </w:t>
      </w:r>
      <w:r>
        <w:rPr>
          <w:rFonts w:ascii="Arial" w:cs="Arial" w:eastAsia="Arial" w:hAnsi="Arial"/>
          <w:sz w:val="16"/>
          <w:szCs w:val="16"/>
          <w:color w:val="auto"/>
        </w:rPr>
        <w:t>many countries, we pay certain payroll and other operating expenses in local currencies, and these expenses may be higher or lower in U.S. dollar</w:t>
      </w:r>
    </w:p>
    <w:p>
      <w:pPr>
        <w:spacing w:after="0" w:line="290" w:lineRule="auto"/>
        <w:rPr>
          <w:sz w:val="20"/>
          <w:szCs w:val="20"/>
          <w:color w:val="auto"/>
        </w:rPr>
      </w:pPr>
      <w:r>
        <w:rPr>
          <w:rFonts w:ascii="Arial" w:cs="Arial" w:eastAsia="Arial" w:hAnsi="Arial"/>
          <w:sz w:val="16"/>
          <w:szCs w:val="16"/>
          <w:color w:val="auto"/>
        </w:rPr>
        <w:t>terms. Furthermore, our operations in Israel and China represent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and Chinese yuan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00"/>
          </w:cols>
          <w:pgMar w:left="240" w:top="459" w:right="2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332" w:lineRule="auto"/>
        <w:rPr>
          <w:sz w:val="20"/>
          <w:szCs w:val="20"/>
          <w:color w:val="auto"/>
        </w:rPr>
      </w:pPr>
      <w:r>
        <w:rPr>
          <w:rFonts w:ascii="Arial" w:cs="Arial" w:eastAsia="Arial" w:hAnsi="Arial"/>
          <w:sz w:val="16"/>
          <w:szCs w:val="16"/>
          <w:color w:val="auto"/>
        </w:rPr>
        <w:t>instruments not designated as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8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4.1%. We expect our hedges of foreign currency exposures to be highly effective and offset a significant portion of the short-term impact of changes in exchange rates.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5400" w:type="dxa"/>
            <w:vAlign w:val="bottom"/>
            <w:gridSpan w:val="5"/>
          </w:tcPr>
          <w:p>
            <w:pPr>
              <w:ind w:left="26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20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8"/>
        </w:trPr>
        <w:tc>
          <w:tcPr>
            <w:tcW w:w="78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960" w:type="dxa"/>
            <w:vAlign w:val="bottom"/>
          </w:tcPr>
          <w:p>
            <w:pPr>
              <w:jc w:val="center"/>
              <w:spacing w:after="0"/>
              <w:rPr>
                <w:sz w:val="20"/>
                <w:szCs w:val="20"/>
                <w:color w:val="auto"/>
              </w:rPr>
            </w:pPr>
            <w:r>
              <w:rPr>
                <w:rFonts w:ascii="Arial" w:cs="Arial" w:eastAsia="Arial" w:hAnsi="Arial"/>
                <w:sz w:val="18"/>
                <w:szCs w:val="18"/>
                <w:b w:val="1"/>
                <w:bCs w:val="1"/>
                <w:color w:val="auto"/>
              </w:rPr>
              <w:t>INDEX</w:t>
            </w:r>
          </w:p>
        </w:tc>
        <w:tc>
          <w:tcPr>
            <w:tcW w:w="2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8"/>
        </w:trPr>
        <w:tc>
          <w:tcPr>
            <w:tcW w:w="6180" w:type="dxa"/>
            <w:vAlign w:val="bottom"/>
            <w:gridSpan w:val="6"/>
            <w:vMerge w:val="restart"/>
          </w:tcPr>
          <w:p>
            <w:pPr>
              <w:spacing w:after="0"/>
              <w:rPr>
                <w:rFonts w:ascii="Arial" w:cs="Arial" w:eastAsia="Arial" w:hAnsi="Arial"/>
                <w:sz w:val="18"/>
                <w:szCs w:val="18"/>
                <w:color w:val="0000EE"/>
              </w:rPr>
            </w:pPr>
            <w:hyperlink w:anchor="page57">
              <w:r>
                <w:rPr>
                  <w:rFonts w:ascii="Arial" w:cs="Arial" w:eastAsia="Arial" w:hAnsi="Arial"/>
                  <w:sz w:val="18"/>
                  <w:szCs w:val="18"/>
                  <w:color w:val="0000EE"/>
                </w:rPr>
                <w:t>Report of Independent Registered Public Accounting Firm</w:t>
              </w:r>
            </w:hyperlink>
          </w:p>
        </w:tc>
        <w:tc>
          <w:tcPr>
            <w:tcW w:w="2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56"/>
        </w:trPr>
        <w:tc>
          <w:tcPr>
            <w:tcW w:w="6180" w:type="dxa"/>
            <w:vAlign w:val="bottom"/>
            <w:gridSpan w:val="6"/>
            <w:vMerge w:val="continue"/>
          </w:tcPr>
          <w:p>
            <w:pPr>
              <w:spacing w:after="0"/>
              <w:rPr>
                <w:sz w:val="13"/>
                <w:szCs w:val="13"/>
                <w:color w:val="auto"/>
              </w:rPr>
            </w:pPr>
          </w:p>
        </w:tc>
        <w:tc>
          <w:tcPr>
            <w:tcW w:w="20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320" w:type="dxa"/>
            <w:vAlign w:val="bottom"/>
          </w:tcPr>
          <w:p>
            <w:pPr>
              <w:jc w:val="right"/>
              <w:spacing w:after="0" w:line="142" w:lineRule="exact"/>
              <w:rPr>
                <w:sz w:val="20"/>
                <w:szCs w:val="20"/>
                <w:color w:val="auto"/>
              </w:rPr>
            </w:pPr>
            <w:r>
              <w:rPr>
                <w:rFonts w:ascii="Arial" w:cs="Arial" w:eastAsia="Arial" w:hAnsi="Arial"/>
                <w:sz w:val="16"/>
                <w:szCs w:val="16"/>
                <w:color w:val="auto"/>
              </w:rPr>
              <w:t>55</w:t>
            </w:r>
          </w:p>
        </w:tc>
        <w:tc>
          <w:tcPr>
            <w:tcW w:w="0" w:type="dxa"/>
            <w:vAlign w:val="bottom"/>
          </w:tcPr>
          <w:p>
            <w:pPr>
              <w:spacing w:after="0"/>
              <w:rPr>
                <w:sz w:val="1"/>
                <w:szCs w:val="1"/>
                <w:color w:val="auto"/>
              </w:rPr>
            </w:pPr>
          </w:p>
        </w:tc>
      </w:tr>
      <w:tr>
        <w:trPr>
          <w:trHeight w:val="20"/>
        </w:trPr>
        <w:tc>
          <w:tcPr>
            <w:tcW w:w="2340" w:type="dxa"/>
            <w:vAlign w:val="bottom"/>
            <w:gridSpan w:val="2"/>
            <w:shd w:val="clear" w:color="auto" w:fill="0000EE"/>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80" w:type="dxa"/>
            <w:vAlign w:val="bottom"/>
            <w:gridSpan w:val="6"/>
          </w:tcPr>
          <w:p>
            <w:pPr>
              <w:spacing w:after="0"/>
              <w:rPr>
                <w:rFonts w:ascii="Arial" w:cs="Arial" w:eastAsia="Arial" w:hAnsi="Arial"/>
                <w:sz w:val="18"/>
                <w:szCs w:val="18"/>
                <w:color w:val="0000EE"/>
              </w:rPr>
            </w:pPr>
            <w:hyperlink w:anchor="page58">
              <w:r>
                <w:rPr>
                  <w:rFonts w:ascii="Arial" w:cs="Arial" w:eastAsia="Arial" w:hAnsi="Arial"/>
                  <w:sz w:val="18"/>
                  <w:szCs w:val="18"/>
                  <w:color w:val="0000EE"/>
                </w:rPr>
                <w:t>Consolidated Balance Sheets as of January 31, 2015 and February 1, 2014</w:t>
              </w:r>
            </w:hyperlink>
          </w:p>
        </w:tc>
        <w:tc>
          <w:tcPr>
            <w:tcW w:w="20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0"/>
        </w:trPr>
        <w:tc>
          <w:tcPr>
            <w:tcW w:w="2340" w:type="dxa"/>
            <w:vAlign w:val="bottom"/>
            <w:gridSpan w:val="2"/>
            <w:shd w:val="clear" w:color="auto" w:fill="0000EE"/>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2140" w:type="dxa"/>
            <w:vAlign w:val="bottom"/>
            <w:gridSpan w:val="2"/>
            <w:shd w:val="clear" w:color="auto" w:fill="0000EE"/>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180" w:type="dxa"/>
            <w:vAlign w:val="bottom"/>
            <w:gridSpan w:val="6"/>
          </w:tcPr>
          <w:p>
            <w:pPr>
              <w:spacing w:after="0" w:line="196" w:lineRule="exact"/>
              <w:rPr>
                <w:rFonts w:ascii="Arial" w:cs="Arial" w:eastAsia="Arial" w:hAnsi="Arial"/>
                <w:sz w:val="18"/>
                <w:szCs w:val="18"/>
                <w:color w:val="0000EE"/>
                <w:w w:val="87"/>
              </w:rPr>
            </w:pPr>
            <w:hyperlink w:anchor="page59">
              <w:r>
                <w:rPr>
                  <w:rFonts w:ascii="Arial" w:cs="Arial" w:eastAsia="Arial" w:hAnsi="Arial"/>
                  <w:sz w:val="18"/>
                  <w:szCs w:val="18"/>
                  <w:color w:val="0000EE"/>
                  <w:w w:val="87"/>
                </w:rPr>
                <w:t>Consolidated Statements of Operations for the years ended January 31, 2015, February</w:t>
              </w:r>
            </w:hyperlink>
          </w:p>
        </w:tc>
        <w:tc>
          <w:tcPr>
            <w:tcW w:w="4820" w:type="dxa"/>
            <w:vAlign w:val="bottom"/>
            <w:gridSpan w:val="5"/>
          </w:tcPr>
          <w:p>
            <w:pPr>
              <w:ind w:left="20"/>
              <w:spacing w:after="0" w:line="196" w:lineRule="exact"/>
              <w:rPr>
                <w:rFonts w:ascii="Arial" w:cs="Arial" w:eastAsia="Arial" w:hAnsi="Arial"/>
                <w:sz w:val="18"/>
                <w:szCs w:val="18"/>
                <w:color w:val="0000EE"/>
              </w:rPr>
            </w:pPr>
            <w:hyperlink w:anchor="page59">
              <w:r>
                <w:rPr>
                  <w:rFonts w:ascii="Arial" w:cs="Arial" w:eastAsia="Arial" w:hAnsi="Arial"/>
                  <w:sz w:val="18"/>
                  <w:szCs w:val="18"/>
                  <w:color w:val="0000EE"/>
                </w:rPr>
                <w:t>1, 2014 and February 2, 2013</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0"/>
        </w:trPr>
        <w:tc>
          <w:tcPr>
            <w:tcW w:w="2340" w:type="dxa"/>
            <w:vAlign w:val="bottom"/>
            <w:gridSpan w:val="2"/>
            <w:shd w:val="clear" w:color="auto" w:fill="0000EE"/>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5180" w:type="dxa"/>
            <w:vAlign w:val="bottom"/>
            <w:gridSpan w:val="4"/>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000" w:type="dxa"/>
            <w:vAlign w:val="bottom"/>
            <w:gridSpan w:val="11"/>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Consolidated Statements of Comprehensive Income for the years ended January 31, 2015, February 1, 2014 and February 2, 2013</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196"/>
        </w:trPr>
        <w:tc>
          <w:tcPr>
            <w:tcW w:w="6180" w:type="dxa"/>
            <w:vAlign w:val="bottom"/>
            <w:tcBorders>
              <w:top w:val="single" w:sz="8" w:color="0000EE"/>
            </w:tcBorders>
            <w:gridSpan w:val="6"/>
          </w:tcPr>
          <w:p>
            <w:pPr>
              <w:spacing w:after="0" w:line="196" w:lineRule="exact"/>
              <w:rPr>
                <w:rFonts w:ascii="Arial" w:cs="Arial" w:eastAsia="Arial" w:hAnsi="Arial"/>
                <w:sz w:val="18"/>
                <w:szCs w:val="18"/>
                <w:color w:val="0000EE"/>
                <w:w w:val="87"/>
              </w:rPr>
            </w:pPr>
            <w:hyperlink w:anchor="page61">
              <w:r>
                <w:rPr>
                  <w:rFonts w:ascii="Arial" w:cs="Arial" w:eastAsia="Arial" w:hAnsi="Arial"/>
                  <w:sz w:val="18"/>
                  <w:szCs w:val="18"/>
                  <w:color w:val="0000EE"/>
                  <w:w w:val="87"/>
                </w:rPr>
                <w:t>Consolidated Statements of Shareholders’ Equity for the years ended January 31, 2015,</w:t>
              </w:r>
            </w:hyperlink>
          </w:p>
        </w:tc>
        <w:tc>
          <w:tcPr>
            <w:tcW w:w="2980" w:type="dxa"/>
            <w:vAlign w:val="bottom"/>
            <w:tcBorders>
              <w:top w:val="single" w:sz="8" w:color="0000EE"/>
            </w:tcBorders>
            <w:gridSpan w:val="4"/>
          </w:tcPr>
          <w:p>
            <w:pPr>
              <w:ind w:left="60"/>
              <w:spacing w:after="0" w:line="196" w:lineRule="exact"/>
              <w:rPr>
                <w:rFonts w:ascii="Arial" w:cs="Arial" w:eastAsia="Arial" w:hAnsi="Arial"/>
                <w:sz w:val="18"/>
                <w:szCs w:val="18"/>
                <w:color w:val="0000EE"/>
                <w:w w:val="92"/>
              </w:rPr>
            </w:pPr>
            <w:hyperlink w:anchor="page61">
              <w:r>
                <w:rPr>
                  <w:rFonts w:ascii="Arial" w:cs="Arial" w:eastAsia="Arial" w:hAnsi="Arial"/>
                  <w:sz w:val="18"/>
                  <w:szCs w:val="18"/>
                  <w:color w:val="0000EE"/>
                  <w:w w:val="92"/>
                </w:rPr>
                <w:t>February 1, 2014 and February 2, 2013</w:t>
              </w:r>
            </w:hyperlink>
          </w:p>
        </w:tc>
        <w:tc>
          <w:tcPr>
            <w:tcW w:w="184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196"/>
        </w:trPr>
        <w:tc>
          <w:tcPr>
            <w:tcW w:w="6180" w:type="dxa"/>
            <w:vAlign w:val="bottom"/>
            <w:tcBorders>
              <w:top w:val="single" w:sz="8" w:color="0000EE"/>
            </w:tcBorders>
            <w:gridSpan w:val="6"/>
          </w:tcPr>
          <w:p>
            <w:pPr>
              <w:spacing w:after="0" w:line="196" w:lineRule="exact"/>
              <w:rPr>
                <w:rFonts w:ascii="Arial" w:cs="Arial" w:eastAsia="Arial" w:hAnsi="Arial"/>
                <w:sz w:val="18"/>
                <w:szCs w:val="18"/>
                <w:color w:val="0000EE"/>
                <w:w w:val="87"/>
              </w:rPr>
            </w:pPr>
            <w:hyperlink w:anchor="page62">
              <w:r>
                <w:rPr>
                  <w:rFonts w:ascii="Arial" w:cs="Arial" w:eastAsia="Arial" w:hAnsi="Arial"/>
                  <w:sz w:val="18"/>
                  <w:szCs w:val="18"/>
                  <w:color w:val="0000EE"/>
                  <w:w w:val="87"/>
                </w:rPr>
                <w:t>Consolidated Statements of Cash Flows for the years ended January 31, 2015, February</w:t>
              </w:r>
            </w:hyperlink>
          </w:p>
        </w:tc>
        <w:tc>
          <w:tcPr>
            <w:tcW w:w="2800" w:type="dxa"/>
            <w:vAlign w:val="bottom"/>
            <w:tcBorders>
              <w:top w:val="single" w:sz="8" w:color="0000EE"/>
            </w:tcBorders>
            <w:gridSpan w:val="3"/>
          </w:tcPr>
          <w:p>
            <w:pPr>
              <w:ind w:left="60"/>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1, 2014 and February 2, 2013</w:t>
              </w:r>
            </w:hyperlink>
          </w:p>
        </w:tc>
        <w:tc>
          <w:tcPr>
            <w:tcW w:w="2020" w:type="dxa"/>
            <w:vAlign w:val="bottom"/>
            <w:gridSpan w:val="2"/>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196"/>
        </w:trPr>
        <w:tc>
          <w:tcPr>
            <w:tcW w:w="6180" w:type="dxa"/>
            <w:vAlign w:val="bottom"/>
            <w:tcBorders>
              <w:top w:val="single" w:sz="8" w:color="0000EE"/>
            </w:tcBorders>
            <w:gridSpan w:val="6"/>
          </w:tcPr>
          <w:p>
            <w:pPr>
              <w:spacing w:after="0" w:line="196" w:lineRule="exact"/>
              <w:rPr>
                <w:rFonts w:ascii="Arial" w:cs="Arial" w:eastAsia="Arial" w:hAnsi="Arial"/>
                <w:sz w:val="18"/>
                <w:szCs w:val="18"/>
                <w:color w:val="0000EE"/>
              </w:rPr>
            </w:pPr>
            <w:hyperlink w:anchor="page63">
              <w:r>
                <w:rPr>
                  <w:rFonts w:ascii="Arial" w:cs="Arial" w:eastAsia="Arial" w:hAnsi="Arial"/>
                  <w:sz w:val="18"/>
                  <w:szCs w:val="18"/>
                  <w:color w:val="0000EE"/>
                </w:rPr>
                <w:t>Notes to Consolidated Financial Statements</w:t>
              </w:r>
            </w:hyperlink>
          </w:p>
        </w:tc>
        <w:tc>
          <w:tcPr>
            <w:tcW w:w="208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196"/>
        </w:trPr>
        <w:tc>
          <w:tcPr>
            <w:tcW w:w="234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88"/>
              </w:rPr>
            </w:pPr>
            <w:hyperlink w:anchor="page102">
              <w:r>
                <w:rPr>
                  <w:rFonts w:ascii="Arial" w:cs="Arial" w:eastAsia="Arial" w:hAnsi="Arial"/>
                  <w:sz w:val="18"/>
                  <w:szCs w:val="18"/>
                  <w:color w:val="0000EE"/>
                  <w:w w:val="88"/>
                </w:rPr>
                <w:t>Supplementary Data (Unaudited)</w:t>
              </w:r>
            </w:hyperlink>
          </w:p>
        </w:tc>
        <w:tc>
          <w:tcPr>
            <w:tcW w:w="740" w:type="dxa"/>
            <w:vAlign w:val="bottom"/>
            <w:tcBorders>
              <w:top w:val="single" w:sz="8" w:color="0000EE"/>
            </w:tcBorders>
          </w:tcPr>
          <w:p>
            <w:pPr>
              <w:spacing w:after="0"/>
              <w:rPr>
                <w:sz w:val="17"/>
                <w:szCs w:val="17"/>
                <w:color w:val="auto"/>
              </w:rPr>
            </w:pPr>
          </w:p>
        </w:tc>
        <w:tc>
          <w:tcPr>
            <w:tcW w:w="3100" w:type="dxa"/>
            <w:vAlign w:val="bottom"/>
            <w:gridSpan w:val="3"/>
          </w:tcPr>
          <w:p>
            <w:pPr>
              <w:spacing w:after="0"/>
              <w:rPr>
                <w:sz w:val="17"/>
                <w:szCs w:val="17"/>
                <w:color w:val="auto"/>
              </w:rPr>
            </w:pPr>
          </w:p>
        </w:tc>
        <w:tc>
          <w:tcPr>
            <w:tcW w:w="20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w w:val="99"/>
              </w:rPr>
              <w:t>100</w:t>
            </w:r>
          </w:p>
        </w:tc>
        <w:tc>
          <w:tcPr>
            <w:tcW w:w="0" w:type="dxa"/>
            <w:vAlign w:val="bottom"/>
          </w:tcPr>
          <w:p>
            <w:pPr>
              <w:spacing w:after="0"/>
              <w:rPr>
                <w:sz w:val="1"/>
                <w:szCs w:val="1"/>
                <w:color w:val="auto"/>
              </w:rPr>
            </w:pPr>
          </w:p>
        </w:tc>
      </w:tr>
      <w:tr>
        <w:trPr>
          <w:trHeight w:val="383"/>
        </w:trPr>
        <w:tc>
          <w:tcPr>
            <w:tcW w:w="780" w:type="dxa"/>
            <w:vAlign w:val="bottom"/>
          </w:tcPr>
          <w:p>
            <w:pPr>
              <w:spacing w:after="0"/>
              <w:rPr>
                <w:sz w:val="24"/>
                <w:szCs w:val="24"/>
                <w:color w:val="auto"/>
              </w:rPr>
            </w:pPr>
          </w:p>
        </w:tc>
        <w:tc>
          <w:tcPr>
            <w:tcW w:w="5400" w:type="dxa"/>
            <w:vAlign w:val="bottom"/>
            <w:gridSpan w:val="5"/>
          </w:tcPr>
          <w:p>
            <w:pPr>
              <w:jc w:val="right"/>
              <w:ind w:right="292"/>
              <w:spacing w:after="0"/>
              <w:rPr>
                <w:sz w:val="20"/>
                <w:szCs w:val="20"/>
                <w:color w:val="auto"/>
              </w:rPr>
            </w:pPr>
            <w:r>
              <w:rPr>
                <w:rFonts w:ascii="Arial" w:cs="Arial" w:eastAsia="Arial" w:hAnsi="Arial"/>
                <w:sz w:val="18"/>
                <w:szCs w:val="18"/>
                <w:color w:val="auto"/>
              </w:rPr>
              <w:t>54</w:t>
            </w:r>
          </w:p>
        </w:tc>
        <w:tc>
          <w:tcPr>
            <w:tcW w:w="2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80" w:firstLine="2700"/>
        <w:spacing w:after="0" w:line="441"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spacing w:after="0" w:line="2" w:lineRule="exact"/>
        <w:rPr>
          <w:sz w:val="20"/>
          <w:szCs w:val="20"/>
          <w:color w:val="auto"/>
        </w:rPr>
      </w:pPr>
    </w:p>
    <w:p>
      <w:pPr>
        <w:ind w:right="20" w:firstLine="456"/>
        <w:spacing w:after="0" w:line="284" w:lineRule="auto"/>
        <w:rPr>
          <w:sz w:val="20"/>
          <w:szCs w:val="20"/>
          <w:color w:val="auto"/>
        </w:rPr>
      </w:pPr>
      <w:r>
        <w:rPr>
          <w:rFonts w:ascii="Arial" w:cs="Arial" w:eastAsia="Arial" w:hAnsi="Arial"/>
          <w:sz w:val="16"/>
          <w:szCs w:val="16"/>
          <w:color w:val="auto"/>
        </w:rPr>
        <w:t xml:space="preserve">In our opinion, the consolidated financial statements listed in the index appearing under Item 15(a)(1) present fairly, in all material respects, the financial position of Marvell Technology Group Ltd. and its subsidiaries at January 31, 2015 and February 1, 2014, and the results of their operations and their cash flows for each of the three years in the period ended January 31, 2015 in conformity with accounting principles generally accepted in the United States of America. In addition, in our opinion, the financial statement schedule listed in the index appearing under Item 15(a)(2) presents fairly, in all material respects, the information set forth therein when read in conjunction with the related consolidated financial statements. Also in our opinion, the Company maintained, in all material respects, effective internal control over financial reporting as of January 31, 2015,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(2013) </w:t>
      </w:r>
      <w:r>
        <w:rPr>
          <w:rFonts w:ascii="Arial" w:cs="Arial" w:eastAsia="Arial" w:hAnsi="Arial"/>
          <w:sz w:val="16"/>
          <w:szCs w:val="16"/>
          <w:color w:val="auto"/>
        </w:rPr>
        <w:t>issued by the Committee of Sponsoring Organizations of the Treadway Commission (COSO). The Company’s management is responsible for these</w:t>
      </w:r>
      <w:r>
        <w:rPr>
          <w:rFonts w:ascii="Arial" w:cs="Arial" w:eastAsia="Arial" w:hAnsi="Arial"/>
          <w:sz w:val="16"/>
          <w:szCs w:val="16"/>
          <w:i w:val="1"/>
          <w:iCs w:val="1"/>
          <w:color w:val="auto"/>
        </w:rPr>
        <w:t xml:space="preserve"> </w:t>
      </w:r>
      <w:r>
        <w:rPr>
          <w:rFonts w:ascii="Arial" w:cs="Arial" w:eastAsia="Arial" w:hAnsi="Arial"/>
          <w:sz w:val="16"/>
          <w:szCs w:val="16"/>
          <w:color w:val="auto"/>
        </w:rPr>
        <w:t>financial statements and financial statement schedule, for maintaining effective internal control over financial reporting and for its assessment of the effectiveness of internal control over financial reporting, included in Management’s Report on Internal Control over Financial Reporting appearing under Item 9A. Our responsibility is to express opinions on these financial statements, on the financial statement schedule, and on the Company’s internal control over financial reporting based on our integrated audits. We conducted our audits in accordance with the standards of the Public Company Accounting Oversight Board (United States). Those standards require that we plan and perform the audits to obtain reasonable assurance about whether the financial statements are free of material misstatement and whether effective internal control over financial reporting was maintained in all material respects. Our audits of the financial statements included examining, on a test basis, evidence supporting the amounts and disclosures in the financial statements, assessing the accounting principles used and significant estimates made by management, and evaluating the overall financial statement presentation.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audits also included performing such other procedures as we considered necessary in the circumstances. We believe that our audits provide a reasonable basis for our opinions.</w:t>
      </w:r>
    </w:p>
    <w:p>
      <w:pPr>
        <w:spacing w:after="0" w:line="13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11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March 26, 2015</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CONSOLIDATED BALANCE SHEETS</w:t>
      </w:r>
    </w:p>
    <w:p>
      <w:pPr>
        <w:spacing w:after="0" w:line="21" w:lineRule="exact"/>
        <w:rPr>
          <w:sz w:val="20"/>
          <w:szCs w:val="20"/>
          <w:color w:val="auto"/>
        </w:rPr>
      </w:pPr>
    </w:p>
    <w:p>
      <w:pPr>
        <w:ind w:left="4140"/>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4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5"/>
              </w:rPr>
              <w:t>January 31,</w:t>
            </w:r>
          </w:p>
        </w:tc>
        <w:tc>
          <w:tcPr>
            <w:tcW w:w="420" w:type="dxa"/>
            <w:vAlign w:val="bottom"/>
          </w:tcPr>
          <w:p>
            <w:pPr>
              <w:spacing w:after="0"/>
              <w:rPr>
                <w:sz w:val="14"/>
                <w:szCs w:val="14"/>
                <w:color w:val="auto"/>
              </w:rPr>
            </w:pPr>
          </w:p>
        </w:tc>
        <w:tc>
          <w:tcPr>
            <w:tcW w:w="940" w:type="dxa"/>
            <w:vAlign w:val="bottom"/>
            <w:gridSpan w:val="3"/>
          </w:tcPr>
          <w:p>
            <w:pPr>
              <w:ind w:left="80"/>
              <w:spacing w:after="0"/>
              <w:rPr>
                <w:sz w:val="20"/>
                <w:szCs w:val="20"/>
                <w:color w:val="auto"/>
              </w:rPr>
            </w:pPr>
            <w:r>
              <w:rPr>
                <w:rFonts w:ascii="Arial" w:cs="Arial" w:eastAsia="Arial" w:hAnsi="Arial"/>
                <w:sz w:val="14"/>
                <w:szCs w:val="14"/>
                <w:b w:val="1"/>
                <w:bCs w:val="1"/>
                <w:color w:val="auto"/>
              </w:rPr>
              <w:t>February 1,</w:t>
            </w:r>
          </w:p>
        </w:tc>
        <w:tc>
          <w:tcPr>
            <w:tcW w:w="0" w:type="dxa"/>
            <w:vAlign w:val="bottom"/>
          </w:tcPr>
          <w:p>
            <w:pPr>
              <w:spacing w:after="0"/>
              <w:rPr>
                <w:sz w:val="1"/>
                <w:szCs w:val="1"/>
                <w:color w:val="auto"/>
              </w:rPr>
            </w:pPr>
          </w:p>
        </w:tc>
      </w:tr>
      <w:tr>
        <w:trPr>
          <w:trHeight w:val="161"/>
        </w:trPr>
        <w:tc>
          <w:tcPr>
            <w:tcW w:w="92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2015</w:t>
            </w:r>
          </w:p>
        </w:tc>
        <w:tc>
          <w:tcPr>
            <w:tcW w:w="4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40" w:type="dxa"/>
            <w:vAlign w:val="bottom"/>
            <w:shd w:val="clear" w:color="auto" w:fill="CCEEFF"/>
          </w:tcPr>
          <w:p>
            <w:pPr>
              <w:ind w:left="414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1,210,977</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965,750</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1,318,578</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1,003,655</w:t>
            </w:r>
          </w:p>
        </w:tc>
        <w:tc>
          <w:tcPr>
            <w:tcW w:w="0" w:type="dxa"/>
            <w:vAlign w:val="bottom"/>
          </w:tcPr>
          <w:p>
            <w:pPr>
              <w:spacing w:after="0"/>
              <w:rPr>
                <w:sz w:val="1"/>
                <w:szCs w:val="1"/>
                <w:color w:val="auto"/>
              </w:rPr>
            </w:pPr>
          </w:p>
        </w:tc>
      </w:tr>
      <w:tr>
        <w:trPr>
          <w:trHeight w:val="208"/>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4"/>
              </w:rPr>
              <w:t>Accounts receivable, net of provision for sales returns and allowances of $2,112 and $2,294 in fiscal 2015 and 2014,</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respectively</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420,955</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453,496</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308,162</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347,861</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68,140</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56,952</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17,228</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11,506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3,344,040</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2,839,220</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340,639</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356,165</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16,279</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2,029,945</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2,029,945</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30,698</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49,035</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128,839</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160,366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5,884,387</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5,451,010</w:t>
            </w:r>
          </w:p>
        </w:tc>
        <w:tc>
          <w:tcPr>
            <w:tcW w:w="0" w:type="dxa"/>
            <w:vAlign w:val="bottom"/>
          </w:tcPr>
          <w:p>
            <w:pPr>
              <w:spacing w:after="0"/>
              <w:rPr>
                <w:sz w:val="1"/>
                <w:szCs w:val="1"/>
                <w:color w:val="auto"/>
              </w:rPr>
            </w:pPr>
          </w:p>
        </w:tc>
      </w:tr>
      <w:tr>
        <w:trPr>
          <w:trHeight w:val="20"/>
        </w:trPr>
        <w:tc>
          <w:tcPr>
            <w:tcW w:w="9240" w:type="dxa"/>
            <w:vAlign w:val="bottom"/>
            <w:vMerge w:val="restart"/>
          </w:tcPr>
          <w:p>
            <w:pPr>
              <w:ind w:left="256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2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282,899</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316,389</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131,388</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161,762</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154,969</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111,408</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68,120</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61,747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637,376</w:t>
            </w: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651,306</w:t>
            </w:r>
          </w:p>
        </w:tc>
        <w:tc>
          <w:tcPr>
            <w:tcW w:w="0" w:type="dxa"/>
            <w:vAlign w:val="bottom"/>
          </w:tcPr>
          <w:p>
            <w:pPr>
              <w:spacing w:after="0"/>
              <w:rPr>
                <w:sz w:val="1"/>
                <w:szCs w:val="1"/>
                <w:color w:val="auto"/>
              </w:rPr>
            </w:pPr>
          </w:p>
        </w:tc>
      </w:tr>
      <w:tr>
        <w:trPr>
          <w:trHeight w:val="217"/>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68,729</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81,325</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Other non-current liabilities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32,193</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738,298</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775,100</w:t>
            </w:r>
          </w:p>
        </w:tc>
        <w:tc>
          <w:tcPr>
            <w:tcW w:w="0" w:type="dxa"/>
            <w:vAlign w:val="bottom"/>
          </w:tcPr>
          <w:p>
            <w:pPr>
              <w:spacing w:after="0"/>
              <w:rPr>
                <w:sz w:val="1"/>
                <w:szCs w:val="1"/>
                <w:color w:val="auto"/>
              </w:rPr>
            </w:pPr>
          </w:p>
        </w:tc>
      </w:tr>
      <w:tr>
        <w:trPr>
          <w:trHeight w:val="221"/>
        </w:trPr>
        <w:tc>
          <w:tcPr>
            <w:tcW w:w="924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100" w:type="dxa"/>
            <w:vAlign w:val="bottom"/>
          </w:tcPr>
          <w:p>
            <w:pPr>
              <w:spacing w:after="0"/>
              <w:rPr>
                <w:sz w:val="18"/>
                <w:szCs w:val="18"/>
                <w:color w:val="auto"/>
              </w:rPr>
            </w:pPr>
          </w:p>
        </w:tc>
        <w:tc>
          <w:tcPr>
            <w:tcW w:w="72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3"/>
              </w:rPr>
              <w:t>Common stock, $0.002 par value; 992,000 shares authorized; 515,037 and 502,405 shares issued and outstanding in</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fiscal 2015 and 2014, respectively</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1,030</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1,005</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3,099,548</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2,941,650</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597</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2,045,203</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1,732,658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5,146,089</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4,675,910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5,884,387</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5,451,010</w:t>
            </w:r>
          </w:p>
        </w:tc>
        <w:tc>
          <w:tcPr>
            <w:tcW w:w="0" w:type="dxa"/>
            <w:vAlign w:val="bottom"/>
          </w:tcPr>
          <w:p>
            <w:pPr>
              <w:spacing w:after="0"/>
              <w:rPr>
                <w:sz w:val="1"/>
                <w:szCs w:val="1"/>
                <w:color w:val="auto"/>
              </w:rPr>
            </w:pPr>
          </w:p>
        </w:tc>
      </w:tr>
      <w:tr>
        <w:trPr>
          <w:trHeight w:val="20"/>
        </w:trPr>
        <w:tc>
          <w:tcPr>
            <w:tcW w:w="9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3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3"/>
          </w:tcPr>
          <w:p>
            <w:pPr>
              <w:jc w:val="center"/>
              <w:ind w:right="22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9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gridSpan w:val="4"/>
          </w:tcPr>
          <w:p>
            <w:pPr>
              <w:jc w:val="right"/>
              <w:ind w:right="320"/>
              <w:spacing w:after="0" w:line="129" w:lineRule="exact"/>
              <w:rPr>
                <w:sz w:val="20"/>
                <w:szCs w:val="20"/>
                <w:color w:val="auto"/>
              </w:rPr>
            </w:pPr>
            <w:r>
              <w:rPr>
                <w:rFonts w:ascii="Arial" w:cs="Arial" w:eastAsia="Arial" w:hAnsi="Arial"/>
                <w:sz w:val="14"/>
                <w:szCs w:val="14"/>
                <w:b w:val="1"/>
                <w:bCs w:val="1"/>
                <w:color w:val="auto"/>
                <w:w w:val="93"/>
              </w:rPr>
              <w:t>January 31,</w:t>
            </w:r>
          </w:p>
        </w:tc>
        <w:tc>
          <w:tcPr>
            <w:tcW w:w="180" w:type="dxa"/>
            <w:vAlign w:val="bottom"/>
          </w:tcPr>
          <w:p>
            <w:pPr>
              <w:spacing w:after="0"/>
              <w:rPr>
                <w:sz w:val="11"/>
                <w:szCs w:val="11"/>
                <w:color w:val="auto"/>
              </w:rPr>
            </w:pPr>
          </w:p>
        </w:tc>
        <w:tc>
          <w:tcPr>
            <w:tcW w:w="1060" w:type="dxa"/>
            <w:vAlign w:val="bottom"/>
            <w:gridSpan w:val="3"/>
          </w:tcPr>
          <w:p>
            <w:pPr>
              <w:jc w:val="center"/>
              <w:ind w:right="240"/>
              <w:spacing w:after="0" w:line="129" w:lineRule="exact"/>
              <w:rPr>
                <w:sz w:val="20"/>
                <w:szCs w:val="20"/>
                <w:color w:val="auto"/>
              </w:rPr>
            </w:pPr>
            <w:r>
              <w:rPr>
                <w:rFonts w:ascii="Arial" w:cs="Arial" w:eastAsia="Arial" w:hAnsi="Arial"/>
                <w:sz w:val="14"/>
                <w:szCs w:val="14"/>
                <w:b w:val="1"/>
                <w:bCs w:val="1"/>
                <w:color w:val="auto"/>
                <w:w w:val="92"/>
              </w:rPr>
              <w:t>February 1,</w:t>
            </w:r>
          </w:p>
        </w:tc>
        <w:tc>
          <w:tcPr>
            <w:tcW w:w="200" w:type="dxa"/>
            <w:vAlign w:val="bottom"/>
          </w:tcPr>
          <w:p>
            <w:pPr>
              <w:spacing w:after="0"/>
              <w:rPr>
                <w:sz w:val="11"/>
                <w:szCs w:val="11"/>
                <w:color w:val="auto"/>
              </w:rPr>
            </w:pPr>
          </w:p>
        </w:tc>
        <w:tc>
          <w:tcPr>
            <w:tcW w:w="8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5"/>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9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3"/>
              </w:rPr>
              <w:t>2014</w:t>
            </w:r>
          </w:p>
        </w:tc>
        <w:tc>
          <w:tcPr>
            <w:tcW w:w="24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3,706,963</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3,404,400</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3,168,630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1,843,706</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7"/>
              </w:rPr>
              <w:t>1,663,730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1,493,497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1,164,059</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87"/>
              </w:rPr>
              <w:t>1,156,885</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1,057,445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143,952</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152,698</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161,817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130,030</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106,471</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108,514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16,397</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43,925</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52,700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9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3,298,144</w:t>
            </w:r>
          </w:p>
        </w:tc>
        <w:tc>
          <w:tcPr>
            <w:tcW w:w="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3,123,709</w:t>
            </w: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2,873,973</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408,819</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280,691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294,657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23,334</w:t>
            </w: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25,566</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15,533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432,153</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306,257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310,190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3"/>
          </w:tcPr>
          <w:p>
            <w:pPr>
              <w:jc w:val="right"/>
              <w:ind w:right="200"/>
              <w:spacing w:after="0"/>
              <w:rPr>
                <w:sz w:val="20"/>
                <w:szCs w:val="20"/>
                <w:color w:val="auto"/>
              </w:rPr>
            </w:pPr>
            <w:r>
              <w:rPr>
                <w:rFonts w:ascii="Arial" w:cs="Arial" w:eastAsia="Arial" w:hAnsi="Arial"/>
                <w:sz w:val="18"/>
                <w:szCs w:val="18"/>
                <w:color w:val="auto"/>
              </w:rPr>
              <w:t>(3,193)</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(9,063)</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3,605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9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435,346</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315,320</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306,585</w:t>
            </w: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9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0.85</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0.64</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0.55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960" w:type="dxa"/>
            <w:vAlign w:val="bottom"/>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0.84</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0.63</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0.54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511,089</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496,518</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555,310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520,760</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504,413</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563,123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Cash dividends declared per share</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98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0.24</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0.24</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060"/>
        <w:spacing w:after="0"/>
        <w:rPr>
          <w:sz w:val="20"/>
          <w:szCs w:val="20"/>
          <w:color w:val="auto"/>
        </w:rPr>
      </w:pPr>
      <w:r>
        <w:rPr>
          <w:rFonts w:ascii="Arial" w:cs="Arial" w:eastAsia="Arial" w:hAnsi="Arial"/>
          <w:sz w:val="18"/>
          <w:szCs w:val="18"/>
          <w:b w:val="1"/>
          <w:bCs w:val="1"/>
          <w:color w:val="auto"/>
        </w:rPr>
        <w:t>CONSOLIDATED STATEMENTS OF COMPREHENSIVE INCOME</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2"/>
          </w:tcPr>
          <w:p>
            <w:pPr>
              <w:jc w:val="center"/>
              <w:ind w:right="42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52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940" w:type="dxa"/>
            <w:vAlign w:val="bottom"/>
            <w:gridSpan w:val="2"/>
          </w:tcPr>
          <w:p>
            <w:pPr>
              <w:jc w:val="right"/>
              <w:ind w:right="240"/>
              <w:spacing w:after="0" w:line="129" w:lineRule="exact"/>
              <w:rPr>
                <w:sz w:val="20"/>
                <w:szCs w:val="20"/>
                <w:color w:val="auto"/>
              </w:rPr>
            </w:pPr>
            <w:r>
              <w:rPr>
                <w:rFonts w:ascii="Arial" w:cs="Arial" w:eastAsia="Arial" w:hAnsi="Arial"/>
                <w:sz w:val="14"/>
                <w:szCs w:val="14"/>
                <w:b w:val="1"/>
                <w:bCs w:val="1"/>
                <w:color w:val="auto"/>
                <w:w w:val="88"/>
              </w:rPr>
              <w:t>January 31,</w:t>
            </w:r>
          </w:p>
        </w:tc>
        <w:tc>
          <w:tcPr>
            <w:tcW w:w="200" w:type="dxa"/>
            <w:vAlign w:val="bottom"/>
          </w:tcPr>
          <w:p>
            <w:pPr>
              <w:spacing w:after="0"/>
              <w:rPr>
                <w:sz w:val="11"/>
                <w:szCs w:val="11"/>
                <w:color w:val="auto"/>
              </w:rPr>
            </w:pPr>
          </w:p>
        </w:tc>
        <w:tc>
          <w:tcPr>
            <w:tcW w:w="1140" w:type="dxa"/>
            <w:vAlign w:val="bottom"/>
            <w:gridSpan w:val="2"/>
          </w:tcPr>
          <w:p>
            <w:pPr>
              <w:jc w:val="center"/>
              <w:ind w:right="460"/>
              <w:spacing w:after="0" w:line="129" w:lineRule="exact"/>
              <w:rPr>
                <w:sz w:val="20"/>
                <w:szCs w:val="20"/>
                <w:color w:val="auto"/>
              </w:rPr>
            </w:pPr>
            <w:r>
              <w:rPr>
                <w:rFonts w:ascii="Arial" w:cs="Arial" w:eastAsia="Arial" w:hAnsi="Arial"/>
                <w:sz w:val="14"/>
                <w:szCs w:val="14"/>
                <w:b w:val="1"/>
                <w:bCs w:val="1"/>
                <w:color w:val="auto"/>
                <w:w w:val="90"/>
              </w:rPr>
              <w:t>February 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7"/>
              </w:rPr>
              <w:t>February 2,</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2480" w:type="dxa"/>
            <w:vAlign w:val="bottom"/>
            <w:gridSpan w:val="2"/>
          </w:tcPr>
          <w:p>
            <w:pPr>
              <w:jc w:val="right"/>
              <w:ind w:right="136"/>
              <w:spacing w:after="0"/>
              <w:rPr>
                <w:sz w:val="20"/>
                <w:szCs w:val="20"/>
                <w:color w:val="auto"/>
              </w:rPr>
            </w:pPr>
            <w:r>
              <w:rPr>
                <w:rFonts w:ascii="Arial" w:cs="Arial" w:eastAsia="Arial" w:hAnsi="Arial"/>
                <w:sz w:val="14"/>
                <w:szCs w:val="14"/>
                <w:b w:val="1"/>
                <w:bCs w:val="1"/>
                <w:color w:val="auto"/>
              </w:rPr>
              <w:t>2015</w:t>
            </w:r>
          </w:p>
        </w:tc>
        <w:tc>
          <w:tcPr>
            <w:tcW w:w="240" w:type="dxa"/>
            <w:vAlign w:val="bottom"/>
          </w:tcPr>
          <w:p>
            <w:pPr>
              <w:spacing w:after="0"/>
              <w:rPr>
                <w:sz w:val="14"/>
                <w:szCs w:val="14"/>
                <w:color w:val="auto"/>
              </w:rPr>
            </w:pPr>
          </w:p>
        </w:tc>
        <w:tc>
          <w:tcPr>
            <w:tcW w:w="900" w:type="dxa"/>
            <w:vAlign w:val="bottom"/>
            <w:gridSpan w:val="2"/>
          </w:tcPr>
          <w:p>
            <w:pPr>
              <w:jc w:val="center"/>
              <w:ind w:left="116"/>
              <w:spacing w:after="0"/>
              <w:rPr>
                <w:sz w:val="20"/>
                <w:szCs w:val="20"/>
                <w:color w:val="auto"/>
              </w:rPr>
            </w:pPr>
            <w:r>
              <w:rPr>
                <w:rFonts w:ascii="Arial" w:cs="Arial" w:eastAsia="Arial" w:hAnsi="Arial"/>
                <w:sz w:val="14"/>
                <w:szCs w:val="14"/>
                <w:b w:val="1"/>
                <w:bCs w:val="1"/>
                <w:color w:val="auto"/>
                <w:w w:val="83"/>
              </w:rPr>
              <w:t>2014</w:t>
            </w:r>
          </w:p>
        </w:tc>
        <w:tc>
          <w:tcPr>
            <w:tcW w:w="440" w:type="dxa"/>
            <w:vAlign w:val="bottom"/>
          </w:tcPr>
          <w:p>
            <w:pPr>
              <w:spacing w:after="0"/>
              <w:rPr>
                <w:sz w:val="14"/>
                <w:szCs w:val="14"/>
                <w:color w:val="auto"/>
              </w:rPr>
            </w:pPr>
          </w:p>
        </w:tc>
        <w:tc>
          <w:tcPr>
            <w:tcW w:w="700" w:type="dxa"/>
            <w:vAlign w:val="bottom"/>
          </w:tcPr>
          <w:p>
            <w:pPr>
              <w:jc w:val="right"/>
              <w:ind w:right="137"/>
              <w:spacing w:after="0"/>
              <w:rPr>
                <w:sz w:val="20"/>
                <w:szCs w:val="20"/>
                <w:color w:val="auto"/>
              </w:rPr>
            </w:pPr>
            <w:r>
              <w:rPr>
                <w:rFonts w:ascii="Arial" w:cs="Arial" w:eastAsia="Arial" w:hAnsi="Arial"/>
                <w:sz w:val="14"/>
                <w:szCs w:val="14"/>
                <w:b w:val="1"/>
                <w:bCs w:val="1"/>
                <w:color w:val="auto"/>
              </w:rPr>
              <w:t>2013</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178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$ 435,346</w:t>
            </w: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$ 315,320</w:t>
            </w:r>
          </w:p>
        </w:tc>
        <w:tc>
          <w:tcPr>
            <w:tcW w:w="44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$ 306,585</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1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marketable securities</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1,234</w:t>
            </w:r>
          </w:p>
        </w:tc>
        <w:tc>
          <w:tcPr>
            <w:tcW w:w="240" w:type="dxa"/>
            <w:vAlign w:val="bottom"/>
            <w:shd w:val="clear" w:color="auto" w:fill="CCEEFF"/>
          </w:tcPr>
          <w:p>
            <w:pPr>
              <w:spacing w:after="0"/>
              <w:rPr>
                <w:sz w:val="18"/>
                <w:szCs w:val="18"/>
                <w:color w:val="auto"/>
              </w:rPr>
            </w:pPr>
          </w:p>
        </w:tc>
        <w:tc>
          <w:tcPr>
            <w:tcW w:w="134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(208)</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tcPr>
          <w:p>
            <w:pPr>
              <w:ind w:left="420"/>
              <w:spacing w:after="0"/>
              <w:rPr>
                <w:sz w:val="20"/>
                <w:szCs w:val="20"/>
                <w:color w:val="auto"/>
              </w:rPr>
            </w:pPr>
            <w:r>
              <w:rPr>
                <w:rFonts w:ascii="Arial" w:cs="Arial" w:eastAsia="Arial" w:hAnsi="Arial"/>
                <w:sz w:val="18"/>
                <w:szCs w:val="18"/>
                <w:color w:val="auto"/>
              </w:rPr>
              <w:t>Net change in unrealized gain (loss) on auction rate securities</w:t>
            </w: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597</w:t>
            </w:r>
          </w:p>
        </w:tc>
        <w:tc>
          <w:tcPr>
            <w:tcW w:w="240" w:type="dxa"/>
            <w:vAlign w:val="bottom"/>
          </w:tcPr>
          <w:p>
            <w:pPr>
              <w:spacing w:after="0"/>
              <w:rPr>
                <w:sz w:val="18"/>
                <w:szCs w:val="18"/>
                <w:color w:val="auto"/>
              </w:rPr>
            </w:pPr>
          </w:p>
        </w:tc>
        <w:tc>
          <w:tcPr>
            <w:tcW w:w="1340" w:type="dxa"/>
            <w:vAlign w:val="bottom"/>
            <w:gridSpan w:val="3"/>
          </w:tcPr>
          <w:p>
            <w:pPr>
              <w:jc w:val="right"/>
              <w:ind w:right="400"/>
              <w:spacing w:after="0"/>
              <w:rPr>
                <w:sz w:val="20"/>
                <w:szCs w:val="20"/>
                <w:color w:val="auto"/>
              </w:rPr>
            </w:pPr>
            <w:r>
              <w:rPr>
                <w:rFonts w:ascii="Arial" w:cs="Arial" w:eastAsia="Arial" w:hAnsi="Arial"/>
                <w:sz w:val="18"/>
                <w:szCs w:val="18"/>
                <w:color w:val="auto"/>
              </w:rPr>
              <w:t>(190)</w:t>
            </w: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(1,396)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cash flow hedges</w:t>
            </w:r>
          </w:p>
        </w:tc>
        <w:tc>
          <w:tcPr>
            <w:tcW w:w="17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(2,120)</w:t>
            </w:r>
          </w:p>
        </w:tc>
        <w:tc>
          <w:tcPr>
            <w:tcW w:w="134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(153)</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2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income (loss), net</w:t>
            </w:r>
          </w:p>
        </w:tc>
        <w:tc>
          <w:tcPr>
            <w:tcW w:w="178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6520" w:type="dxa"/>
            <w:vAlign w:val="bottom"/>
            <w:vMerge w:val="continue"/>
          </w:tcPr>
          <w:p>
            <w:pPr>
              <w:spacing w:after="0"/>
              <w:rPr>
                <w:sz w:val="20"/>
                <w:szCs w:val="20"/>
                <w:color w:val="auto"/>
              </w:rPr>
            </w:pPr>
          </w:p>
        </w:tc>
        <w:tc>
          <w:tcPr>
            <w:tcW w:w="1780" w:type="dxa"/>
            <w:vAlign w:val="bottom"/>
          </w:tcPr>
          <w:p>
            <w:pPr>
              <w:spacing w:after="0"/>
              <w:rPr>
                <w:sz w:val="20"/>
                <w:szCs w:val="20"/>
                <w:color w:val="auto"/>
              </w:rPr>
            </w:pPr>
          </w:p>
        </w:tc>
        <w:tc>
          <w:tcPr>
            <w:tcW w:w="940" w:type="dxa"/>
            <w:vAlign w:val="bottom"/>
            <w:gridSpan w:val="2"/>
          </w:tcPr>
          <w:p>
            <w:pPr>
              <w:jc w:val="right"/>
              <w:ind w:right="180"/>
              <w:spacing w:after="0"/>
              <w:rPr>
                <w:sz w:val="20"/>
                <w:szCs w:val="20"/>
                <w:color w:val="auto"/>
              </w:rPr>
            </w:pPr>
            <w:r>
              <w:rPr>
                <w:rFonts w:ascii="Arial" w:cs="Arial" w:eastAsia="Arial" w:hAnsi="Arial"/>
                <w:sz w:val="18"/>
                <w:szCs w:val="18"/>
                <w:color w:val="auto"/>
              </w:rPr>
              <w:t>(289)</w:t>
            </w:r>
          </w:p>
        </w:tc>
        <w:tc>
          <w:tcPr>
            <w:tcW w:w="1340" w:type="dxa"/>
            <w:vAlign w:val="bottom"/>
            <w:gridSpan w:val="3"/>
          </w:tcPr>
          <w:p>
            <w:pPr>
              <w:jc w:val="right"/>
              <w:ind w:right="400"/>
              <w:spacing w:after="0"/>
              <w:rPr>
                <w:sz w:val="20"/>
                <w:szCs w:val="20"/>
                <w:color w:val="auto"/>
              </w:rPr>
            </w:pPr>
            <w:r>
              <w:rPr>
                <w:rFonts w:ascii="Arial" w:cs="Arial" w:eastAsia="Arial" w:hAnsi="Arial"/>
                <w:sz w:val="18"/>
                <w:szCs w:val="18"/>
                <w:color w:val="auto"/>
              </w:rPr>
              <w:t>(551)</w:t>
            </w:r>
          </w:p>
        </w:tc>
        <w:tc>
          <w:tcPr>
            <w:tcW w:w="700" w:type="dxa"/>
            <w:vAlign w:val="bottom"/>
          </w:tcPr>
          <w:p>
            <w:pPr>
              <w:jc w:val="right"/>
              <w:spacing w:after="0"/>
              <w:rPr>
                <w:sz w:val="20"/>
                <w:szCs w:val="20"/>
                <w:color w:val="auto"/>
              </w:rPr>
            </w:pPr>
            <w:r>
              <w:rPr>
                <w:rFonts w:ascii="Arial" w:cs="Arial" w:eastAsia="Arial" w:hAnsi="Arial"/>
                <w:sz w:val="18"/>
                <w:szCs w:val="18"/>
                <w:color w:val="auto"/>
              </w:rPr>
              <w:t>372</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w:t>
            </w:r>
          </w:p>
        </w:tc>
        <w:tc>
          <w:tcPr>
            <w:tcW w:w="1780" w:type="dxa"/>
            <w:vAlign w:val="bottom"/>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$ 435,057</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$ 314,769</w:t>
            </w:r>
          </w:p>
        </w:tc>
        <w:tc>
          <w:tcPr>
            <w:tcW w:w="440" w:type="dxa"/>
            <w:vAlign w:val="bottom"/>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$ 306,957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2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20"/>
          </w:cols>
          <w:pgMar w:left="240" w:top="459" w:right="2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100"/>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1800" w:type="dxa"/>
            <w:vAlign w:val="bottom"/>
            <w:gridSpan w:val="6"/>
            <w:vMerge w:val="restart"/>
          </w:tcPr>
          <w:p>
            <w:pPr>
              <w:jc w:val="right"/>
              <w:ind w:right="620"/>
              <w:spacing w:after="0"/>
              <w:rPr>
                <w:sz w:val="20"/>
                <w:szCs w:val="20"/>
                <w:color w:val="auto"/>
              </w:rPr>
            </w:pPr>
            <w:r>
              <w:rPr>
                <w:rFonts w:ascii="Arial" w:cs="Arial" w:eastAsia="Arial" w:hAnsi="Arial"/>
                <w:sz w:val="14"/>
                <w:szCs w:val="14"/>
                <w:b w:val="1"/>
                <w:bCs w:val="1"/>
                <w:color w:val="auto"/>
              </w:rPr>
              <w:t>Common Stock</w:t>
            </w:r>
          </w:p>
        </w:tc>
        <w:tc>
          <w:tcPr>
            <w:tcW w:w="8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6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86"/>
              </w:rPr>
              <w:t>Accumulated</w:t>
            </w: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1800" w:type="dxa"/>
            <w:vAlign w:val="bottom"/>
            <w:gridSpan w:val="6"/>
            <w:vMerge w:val="continue"/>
          </w:tcPr>
          <w:p>
            <w:pPr>
              <w:spacing w:after="0"/>
              <w:rPr>
                <w:sz w:val="12"/>
                <w:szCs w:val="12"/>
                <w:color w:val="auto"/>
              </w:rPr>
            </w:pPr>
          </w:p>
        </w:tc>
        <w:tc>
          <w:tcPr>
            <w:tcW w:w="1140" w:type="dxa"/>
            <w:vAlign w:val="bottom"/>
            <w:gridSpan w:val="2"/>
          </w:tcPr>
          <w:p>
            <w:pPr>
              <w:jc w:val="right"/>
              <w:ind w:right="420"/>
              <w:spacing w:after="0" w:line="148" w:lineRule="exact"/>
              <w:rPr>
                <w:sz w:val="20"/>
                <w:szCs w:val="20"/>
                <w:color w:val="auto"/>
              </w:rPr>
            </w:pPr>
            <w:r>
              <w:rPr>
                <w:rFonts w:ascii="Arial" w:cs="Arial" w:eastAsia="Arial" w:hAnsi="Arial"/>
                <w:sz w:val="14"/>
                <w:szCs w:val="14"/>
                <w:b w:val="1"/>
                <w:bCs w:val="1"/>
                <w:color w:val="auto"/>
              </w:rPr>
              <w:t>Additional</w:t>
            </w:r>
          </w:p>
        </w:tc>
        <w:tc>
          <w:tcPr>
            <w:tcW w:w="160" w:type="dxa"/>
            <w:vAlign w:val="bottom"/>
          </w:tcPr>
          <w:p>
            <w:pPr>
              <w:spacing w:after="0"/>
              <w:rPr>
                <w:sz w:val="12"/>
                <w:szCs w:val="12"/>
                <w:color w:val="auto"/>
              </w:rPr>
            </w:pPr>
          </w:p>
        </w:tc>
        <w:tc>
          <w:tcPr>
            <w:tcW w:w="1100" w:type="dxa"/>
            <w:vAlign w:val="bottom"/>
            <w:gridSpan w:val="2"/>
          </w:tcPr>
          <w:p>
            <w:pPr>
              <w:jc w:val="center"/>
              <w:ind w:right="480"/>
              <w:spacing w:after="0" w:line="148" w:lineRule="exact"/>
              <w:rPr>
                <w:sz w:val="20"/>
                <w:szCs w:val="20"/>
                <w:color w:val="auto"/>
              </w:rPr>
            </w:pPr>
            <w:r>
              <w:rPr>
                <w:rFonts w:ascii="Arial" w:cs="Arial" w:eastAsia="Arial" w:hAnsi="Arial"/>
                <w:sz w:val="14"/>
                <w:szCs w:val="14"/>
                <w:b w:val="1"/>
                <w:bCs w:val="1"/>
                <w:color w:val="auto"/>
                <w:w w:val="90"/>
              </w:rPr>
              <w:t>Other</w:t>
            </w:r>
          </w:p>
        </w:tc>
        <w:tc>
          <w:tcPr>
            <w:tcW w:w="8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100" w:type="dxa"/>
            <w:vAlign w:val="bottom"/>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320" w:type="dxa"/>
            <w:vAlign w:val="bottom"/>
          </w:tcPr>
          <w:p>
            <w:pPr>
              <w:spacing w:after="0"/>
              <w:rPr>
                <w:sz w:val="11"/>
                <w:szCs w:val="11"/>
                <w:color w:val="auto"/>
              </w:rPr>
            </w:pPr>
          </w:p>
        </w:tc>
        <w:tc>
          <w:tcPr>
            <w:tcW w:w="1140" w:type="dxa"/>
            <w:vAlign w:val="bottom"/>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rPr>
              <w:t>Paid-in</w:t>
            </w:r>
          </w:p>
        </w:tc>
        <w:tc>
          <w:tcPr>
            <w:tcW w:w="1260" w:type="dxa"/>
            <w:vAlign w:val="bottom"/>
            <w:gridSpan w:val="3"/>
          </w:tcPr>
          <w:p>
            <w:pPr>
              <w:jc w:val="center"/>
              <w:ind w:right="320"/>
              <w:spacing w:after="0" w:line="129" w:lineRule="exact"/>
              <w:rPr>
                <w:sz w:val="20"/>
                <w:szCs w:val="20"/>
                <w:color w:val="auto"/>
              </w:rPr>
            </w:pPr>
            <w:r>
              <w:rPr>
                <w:rFonts w:ascii="Arial" w:cs="Arial" w:eastAsia="Arial" w:hAnsi="Arial"/>
                <w:sz w:val="14"/>
                <w:szCs w:val="14"/>
                <w:b w:val="1"/>
                <w:bCs w:val="1"/>
                <w:color w:val="auto"/>
                <w:w w:val="85"/>
              </w:rPr>
              <w:t>Comprehensive</w:t>
            </w:r>
          </w:p>
        </w:tc>
        <w:tc>
          <w:tcPr>
            <w:tcW w:w="1000" w:type="dxa"/>
            <w:vAlign w:val="bottom"/>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rPr>
              <w:t>Retained</w:t>
            </w:r>
          </w:p>
        </w:tc>
        <w:tc>
          <w:tcPr>
            <w:tcW w:w="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84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4"/>
                <w:szCs w:val="14"/>
                <w:color w:val="auto"/>
              </w:rPr>
            </w:pPr>
          </w:p>
        </w:tc>
        <w:tc>
          <w:tcPr>
            <w:tcW w:w="82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6"/>
              </w:rPr>
              <w:t>Amount</w:t>
            </w:r>
          </w:p>
        </w:tc>
        <w:tc>
          <w:tcPr>
            <w:tcW w:w="11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Capital</w:t>
            </w:r>
          </w:p>
        </w:tc>
        <w:tc>
          <w:tcPr>
            <w:tcW w:w="160" w:type="dxa"/>
            <w:vAlign w:val="bottom"/>
          </w:tcPr>
          <w:p>
            <w:pPr>
              <w:spacing w:after="0"/>
              <w:rPr>
                <w:sz w:val="14"/>
                <w:szCs w:val="14"/>
                <w:color w:val="auto"/>
              </w:rPr>
            </w:pPr>
          </w:p>
        </w:tc>
        <w:tc>
          <w:tcPr>
            <w:tcW w:w="110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89"/>
              </w:rPr>
              <w:t>Income</w:t>
            </w:r>
          </w:p>
        </w:tc>
        <w:tc>
          <w:tcPr>
            <w:tcW w:w="10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Earnings</w:t>
            </w:r>
          </w:p>
        </w:tc>
        <w:tc>
          <w:tcPr>
            <w:tcW w:w="140" w:type="dxa"/>
            <w:vAlign w:val="bottom"/>
          </w:tcPr>
          <w:p>
            <w:pPr>
              <w:spacing w:after="0"/>
              <w:rPr>
                <w:sz w:val="14"/>
                <w:szCs w:val="14"/>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Balance at January 28, 2012</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583,671</w:t>
            </w:r>
          </w:p>
        </w:tc>
        <w:tc>
          <w:tcPr>
            <w:tcW w:w="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1,167</w:t>
            </w:r>
          </w:p>
        </w:tc>
        <w:tc>
          <w:tcPr>
            <w:tcW w:w="3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3,683,112</w:t>
            </w:r>
          </w:p>
        </w:tc>
        <w:tc>
          <w:tcPr>
            <w:tcW w:w="3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ind w:left="500"/>
              <w:spacing w:after="0"/>
              <w:rPr>
                <w:sz w:val="20"/>
                <w:szCs w:val="20"/>
                <w:color w:val="auto"/>
              </w:rPr>
            </w:pPr>
            <w:r>
              <w:rPr>
                <w:rFonts w:ascii="Arial" w:cs="Arial" w:eastAsia="Arial" w:hAnsi="Arial"/>
                <w:sz w:val="18"/>
                <w:szCs w:val="18"/>
                <w:color w:val="auto"/>
                <w:w w:val="79"/>
              </w:rPr>
              <w:t>776</w:t>
            </w:r>
          </w:p>
        </w:tc>
        <w:tc>
          <w:tcPr>
            <w:tcW w:w="34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1,328,963</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5,014,018</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8,090</w:t>
            </w:r>
          </w:p>
        </w:tc>
        <w:tc>
          <w:tcPr>
            <w:tcW w:w="160" w:type="dxa"/>
            <w:vAlign w:val="bottom"/>
          </w:tcPr>
          <w:p>
            <w:pPr>
              <w:spacing w:after="0"/>
              <w:rPr>
                <w:sz w:val="18"/>
                <w:szCs w:val="18"/>
                <w:color w:val="auto"/>
              </w:rPr>
            </w:pPr>
          </w:p>
        </w:tc>
        <w:tc>
          <w:tcPr>
            <w:tcW w:w="960" w:type="dxa"/>
            <w:vAlign w:val="bottom"/>
            <w:gridSpan w:val="3"/>
          </w:tcPr>
          <w:p>
            <w:pPr>
              <w:jc w:val="right"/>
              <w:ind w:right="320"/>
              <w:spacing w:after="0"/>
              <w:rPr>
                <w:sz w:val="20"/>
                <w:szCs w:val="20"/>
                <w:color w:val="auto"/>
              </w:rPr>
            </w:pPr>
            <w:r>
              <w:rPr>
                <w:rFonts w:ascii="Arial" w:cs="Arial" w:eastAsia="Arial" w:hAnsi="Arial"/>
                <w:sz w:val="18"/>
                <w:szCs w:val="18"/>
                <w:color w:val="auto"/>
              </w:rPr>
              <w:t>17</w:t>
            </w:r>
          </w:p>
        </w:tc>
        <w:tc>
          <w:tcPr>
            <w:tcW w:w="820" w:type="dxa"/>
            <w:vAlign w:val="bottom"/>
          </w:tcPr>
          <w:p>
            <w:pPr>
              <w:jc w:val="right"/>
              <w:spacing w:after="0"/>
              <w:rPr>
                <w:sz w:val="20"/>
                <w:szCs w:val="20"/>
                <w:color w:val="auto"/>
              </w:rPr>
            </w:pPr>
            <w:r>
              <w:rPr>
                <w:rFonts w:ascii="Arial" w:cs="Arial" w:eastAsia="Arial" w:hAnsi="Arial"/>
                <w:sz w:val="18"/>
                <w:szCs w:val="18"/>
                <w:color w:val="auto"/>
              </w:rPr>
              <w:t>28,394</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28,411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7,578</w:t>
            </w:r>
          </w:p>
        </w:tc>
        <w:tc>
          <w:tcPr>
            <w:tcW w:w="16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15</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66,411</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66,426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84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126,683</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126,683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Tax deficiency from employee stock transactions</w:t>
            </w:r>
          </w:p>
        </w:tc>
        <w:tc>
          <w:tcPr>
            <w:tcW w:w="8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(52)</w:t>
            </w: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1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Repurchase of common stock</w:t>
            </w:r>
          </w:p>
        </w:tc>
        <w:tc>
          <w:tcPr>
            <w:tcW w:w="840" w:type="dxa"/>
            <w:vAlign w:val="bottom"/>
            <w:gridSpan w:val="3"/>
          </w:tcPr>
          <w:p>
            <w:pPr>
              <w:jc w:val="right"/>
              <w:ind w:right="120"/>
              <w:spacing w:after="0"/>
              <w:rPr>
                <w:sz w:val="20"/>
                <w:szCs w:val="20"/>
                <w:color w:val="auto"/>
              </w:rPr>
            </w:pPr>
            <w:r>
              <w:rPr>
                <w:rFonts w:ascii="Arial" w:cs="Arial" w:eastAsia="Arial" w:hAnsi="Arial"/>
                <w:sz w:val="18"/>
                <w:szCs w:val="18"/>
                <w:color w:val="auto"/>
              </w:rPr>
              <w:t>(91,001)</w:t>
            </w:r>
          </w:p>
        </w:tc>
        <w:tc>
          <w:tcPr>
            <w:tcW w:w="960" w:type="dxa"/>
            <w:vAlign w:val="bottom"/>
            <w:gridSpan w:val="3"/>
          </w:tcPr>
          <w:p>
            <w:pPr>
              <w:jc w:val="right"/>
              <w:ind w:right="260"/>
              <w:spacing w:after="0"/>
              <w:rPr>
                <w:sz w:val="20"/>
                <w:szCs w:val="20"/>
                <w:color w:val="auto"/>
              </w:rPr>
            </w:pPr>
            <w:r>
              <w:rPr>
                <w:rFonts w:ascii="Arial" w:cs="Arial" w:eastAsia="Arial" w:hAnsi="Arial"/>
                <w:sz w:val="18"/>
                <w:szCs w:val="18"/>
                <w:color w:val="auto"/>
              </w:rPr>
              <w:t>(182)</w:t>
            </w:r>
          </w:p>
        </w:tc>
        <w:tc>
          <w:tcPr>
            <w:tcW w:w="1140" w:type="dxa"/>
            <w:vAlign w:val="bottom"/>
            <w:gridSpan w:val="2"/>
          </w:tcPr>
          <w:p>
            <w:pPr>
              <w:jc w:val="right"/>
              <w:ind w:right="260"/>
              <w:spacing w:after="0"/>
              <w:rPr>
                <w:sz w:val="20"/>
                <w:szCs w:val="20"/>
                <w:color w:val="auto"/>
              </w:rPr>
            </w:pPr>
            <w:r>
              <w:rPr>
                <w:rFonts w:ascii="Arial" w:cs="Arial" w:eastAsia="Arial" w:hAnsi="Arial"/>
                <w:sz w:val="18"/>
                <w:szCs w:val="18"/>
                <w:color w:val="auto"/>
              </w:rPr>
              <w:t>(958,905)</w:t>
            </w: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(959,087)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8"/>
              </w:rPr>
              <w:t>Cash dividends declared and paid (cumulatively $0.18 per share)</w:t>
            </w:r>
          </w:p>
        </w:tc>
        <w:tc>
          <w:tcPr>
            <w:tcW w:w="8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(98,761)</w:t>
            </w:r>
          </w:p>
        </w:tc>
        <w:tc>
          <w:tcPr>
            <w:tcW w:w="11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(98,761)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Net income</w:t>
            </w:r>
          </w:p>
        </w:tc>
        <w:tc>
          <w:tcPr>
            <w:tcW w:w="84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306,585</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306,585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Other comprehensive income</w:t>
            </w:r>
          </w:p>
        </w:tc>
        <w:tc>
          <w:tcPr>
            <w:tcW w:w="660" w:type="dxa"/>
            <w:vAlign w:val="bottom"/>
            <w:tcBorders>
              <w:bottom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80" w:type="dxa"/>
            <w:vAlign w:val="bottom"/>
            <w:gridSpan w:val="2"/>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ind w:left="500"/>
              <w:spacing w:after="0"/>
              <w:rPr>
                <w:sz w:val="20"/>
                <w:szCs w:val="20"/>
                <w:color w:val="auto"/>
              </w:rPr>
            </w:pPr>
            <w:r>
              <w:rPr>
                <w:rFonts w:ascii="Arial" w:cs="Arial" w:eastAsia="Arial" w:hAnsi="Arial"/>
                <w:sz w:val="18"/>
                <w:szCs w:val="18"/>
                <w:color w:val="auto"/>
                <w:w w:val="79"/>
              </w:rPr>
              <w:t>372</w:t>
            </w:r>
          </w:p>
        </w:tc>
        <w:tc>
          <w:tcPr>
            <w:tcW w:w="340" w:type="dxa"/>
            <w:vAlign w:val="bottom"/>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120" w:type="dxa"/>
            <w:vAlign w:val="bottom"/>
            <w:gridSpan w:val="2"/>
          </w:tcPr>
          <w:p>
            <w:pPr>
              <w:spacing w:after="0"/>
              <w:rPr>
                <w:sz w:val="20"/>
                <w:szCs w:val="20"/>
                <w:color w:val="auto"/>
              </w:rPr>
            </w:pPr>
            <w:r>
              <w:rPr>
                <w:rFonts w:ascii="Arial" w:cs="Arial" w:eastAsia="Arial" w:hAnsi="Arial"/>
                <w:sz w:val="18"/>
                <w:szCs w:val="18"/>
                <w:b w:val="1"/>
                <w:bCs w:val="1"/>
                <w:color w:val="auto"/>
              </w:rPr>
              <w:t>Balance at February 2, 2013</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508,338</w:t>
            </w:r>
          </w:p>
        </w:tc>
        <w:tc>
          <w:tcPr>
            <w:tcW w:w="160" w:type="dxa"/>
            <w:vAlign w:val="bottom"/>
          </w:tcPr>
          <w:p>
            <w:pPr>
              <w:spacing w:after="0"/>
              <w:rPr>
                <w:sz w:val="19"/>
                <w:szCs w:val="19"/>
                <w:color w:val="auto"/>
              </w:rPr>
            </w:pPr>
          </w:p>
        </w:tc>
        <w:tc>
          <w:tcPr>
            <w:tcW w:w="960" w:type="dxa"/>
            <w:vAlign w:val="bottom"/>
            <w:gridSpan w:val="3"/>
          </w:tcPr>
          <w:p>
            <w:pPr>
              <w:jc w:val="right"/>
              <w:ind w:right="320"/>
              <w:spacing w:after="0"/>
              <w:rPr>
                <w:sz w:val="20"/>
                <w:szCs w:val="20"/>
                <w:color w:val="auto"/>
              </w:rPr>
            </w:pPr>
            <w:r>
              <w:rPr>
                <w:rFonts w:ascii="Arial" w:cs="Arial" w:eastAsia="Arial" w:hAnsi="Arial"/>
                <w:sz w:val="18"/>
                <w:szCs w:val="18"/>
                <w:color w:val="auto"/>
              </w:rPr>
              <w:t>1,017</w:t>
            </w:r>
          </w:p>
        </w:tc>
        <w:tc>
          <w:tcPr>
            <w:tcW w:w="820" w:type="dxa"/>
            <w:vAlign w:val="bottom"/>
          </w:tcPr>
          <w:p>
            <w:pPr>
              <w:jc w:val="right"/>
              <w:spacing w:after="0"/>
              <w:rPr>
                <w:sz w:val="20"/>
                <w:szCs w:val="20"/>
                <w:color w:val="auto"/>
              </w:rPr>
            </w:pPr>
            <w:r>
              <w:rPr>
                <w:rFonts w:ascii="Arial" w:cs="Arial" w:eastAsia="Arial" w:hAnsi="Arial"/>
                <w:sz w:val="18"/>
                <w:szCs w:val="18"/>
                <w:color w:val="auto"/>
                <w:w w:val="99"/>
              </w:rPr>
              <w:t>2,945,643</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tcPr>
          <w:p>
            <w:pPr>
              <w:ind w:left="380"/>
              <w:spacing w:after="0"/>
              <w:rPr>
                <w:sz w:val="20"/>
                <w:szCs w:val="20"/>
                <w:color w:val="auto"/>
              </w:rPr>
            </w:pPr>
            <w:r>
              <w:rPr>
                <w:rFonts w:ascii="Arial" w:cs="Arial" w:eastAsia="Arial" w:hAnsi="Arial"/>
                <w:sz w:val="18"/>
                <w:szCs w:val="18"/>
                <w:color w:val="auto"/>
                <w:w w:val="79"/>
              </w:rPr>
              <w:t>1,148</w:t>
            </w:r>
          </w:p>
        </w:tc>
        <w:tc>
          <w:tcPr>
            <w:tcW w:w="340" w:type="dxa"/>
            <w:vAlign w:val="bottom"/>
          </w:tcPr>
          <w:p>
            <w:pPr>
              <w:spacing w:after="0"/>
              <w:rPr>
                <w:sz w:val="19"/>
                <w:szCs w:val="19"/>
                <w:color w:val="auto"/>
              </w:rPr>
            </w:pP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w w:val="99"/>
              </w:rPr>
              <w:t>1,536,787</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4,484,595</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17,479</w:t>
            </w:r>
          </w:p>
        </w:tc>
        <w:tc>
          <w:tcPr>
            <w:tcW w:w="16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35</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122,392</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122,427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9,701</w:t>
            </w:r>
          </w:p>
        </w:tc>
        <w:tc>
          <w:tcPr>
            <w:tcW w:w="160" w:type="dxa"/>
            <w:vAlign w:val="bottom"/>
          </w:tcPr>
          <w:p>
            <w:pPr>
              <w:spacing w:after="0"/>
              <w:rPr>
                <w:sz w:val="18"/>
                <w:szCs w:val="18"/>
                <w:color w:val="auto"/>
              </w:rPr>
            </w:pPr>
          </w:p>
        </w:tc>
        <w:tc>
          <w:tcPr>
            <w:tcW w:w="960" w:type="dxa"/>
            <w:vAlign w:val="bottom"/>
            <w:gridSpan w:val="3"/>
          </w:tcPr>
          <w:p>
            <w:pPr>
              <w:jc w:val="right"/>
              <w:ind w:right="320"/>
              <w:spacing w:after="0"/>
              <w:rPr>
                <w:sz w:val="20"/>
                <w:szCs w:val="20"/>
                <w:color w:val="auto"/>
              </w:rPr>
            </w:pPr>
            <w:r>
              <w:rPr>
                <w:rFonts w:ascii="Arial" w:cs="Arial" w:eastAsia="Arial" w:hAnsi="Arial"/>
                <w:sz w:val="18"/>
                <w:szCs w:val="18"/>
                <w:color w:val="auto"/>
              </w:rPr>
              <w:t>19</w:t>
            </w:r>
          </w:p>
        </w:tc>
        <w:tc>
          <w:tcPr>
            <w:tcW w:w="820" w:type="dxa"/>
            <w:vAlign w:val="bottom"/>
          </w:tcPr>
          <w:p>
            <w:pPr>
              <w:jc w:val="right"/>
              <w:spacing w:after="0"/>
              <w:rPr>
                <w:sz w:val="20"/>
                <w:szCs w:val="20"/>
                <w:color w:val="auto"/>
              </w:rPr>
            </w:pPr>
            <w:r>
              <w:rPr>
                <w:rFonts w:ascii="Arial" w:cs="Arial" w:eastAsia="Arial" w:hAnsi="Arial"/>
                <w:sz w:val="18"/>
                <w:szCs w:val="18"/>
                <w:color w:val="auto"/>
              </w:rPr>
              <w:t>71,644</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71,663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Share-based compensation</w:t>
            </w:r>
          </w:p>
        </w:tc>
        <w:tc>
          <w:tcPr>
            <w:tcW w:w="8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156,126</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156,126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Tax deficiency from employee stock transactions</w:t>
            </w:r>
          </w:p>
        </w:tc>
        <w:tc>
          <w:tcPr>
            <w:tcW w:w="84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260"/>
              <w:spacing w:after="0"/>
              <w:rPr>
                <w:sz w:val="20"/>
                <w:szCs w:val="20"/>
                <w:color w:val="auto"/>
              </w:rPr>
            </w:pPr>
            <w:r>
              <w:rPr>
                <w:rFonts w:ascii="Arial" w:cs="Arial" w:eastAsia="Arial" w:hAnsi="Arial"/>
                <w:sz w:val="18"/>
                <w:szCs w:val="18"/>
                <w:color w:val="auto"/>
              </w:rPr>
              <w:t>(88)</w:t>
            </w: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8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(33,113)</w:t>
            </w:r>
          </w:p>
        </w:tc>
        <w:tc>
          <w:tcPr>
            <w:tcW w:w="9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(66)</w:t>
            </w:r>
          </w:p>
        </w:tc>
        <w:tc>
          <w:tcPr>
            <w:tcW w:w="11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(354,067)</w:t>
            </w: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1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(354,133)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w w:val="98"/>
              </w:rPr>
              <w:t>Cash dividends declared and paid (cumulatively $0.24 per share)</w:t>
            </w:r>
          </w:p>
        </w:tc>
        <w:tc>
          <w:tcPr>
            <w:tcW w:w="84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120"/>
              <w:spacing w:after="0"/>
              <w:rPr>
                <w:sz w:val="20"/>
                <w:szCs w:val="20"/>
                <w:color w:val="auto"/>
              </w:rPr>
            </w:pPr>
            <w:r>
              <w:rPr>
                <w:rFonts w:ascii="Arial" w:cs="Arial" w:eastAsia="Arial" w:hAnsi="Arial"/>
                <w:sz w:val="18"/>
                <w:szCs w:val="18"/>
                <w:color w:val="auto"/>
              </w:rPr>
              <w:t>(119,449)</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(119,449)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8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315,320</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315,320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66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180" w:type="dxa"/>
            <w:vAlign w:val="bottom"/>
            <w:gridSpan w:val="2"/>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8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00" w:type="dxa"/>
            <w:vAlign w:val="bottom"/>
            <w:gridSpan w:val="2"/>
          </w:tcPr>
          <w:p>
            <w:pPr>
              <w:ind w:left="440"/>
              <w:spacing w:after="0"/>
              <w:rPr>
                <w:sz w:val="20"/>
                <w:szCs w:val="20"/>
                <w:color w:val="auto"/>
              </w:rPr>
            </w:pPr>
            <w:r>
              <w:rPr>
                <w:rFonts w:ascii="Arial" w:cs="Arial" w:eastAsia="Arial" w:hAnsi="Arial"/>
                <w:sz w:val="18"/>
                <w:szCs w:val="18"/>
                <w:color w:val="auto"/>
              </w:rPr>
              <w:t>(551)</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(551)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February 1, 2014</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502,405</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1,005</w:t>
            </w:r>
          </w:p>
        </w:tc>
        <w:tc>
          <w:tcPr>
            <w:tcW w:w="320" w:type="dxa"/>
            <w:vAlign w:val="bottom"/>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2,941,650</w:t>
            </w:r>
          </w:p>
        </w:tc>
        <w:tc>
          <w:tcPr>
            <w:tcW w:w="32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ind w:left="500"/>
              <w:spacing w:after="0"/>
              <w:rPr>
                <w:sz w:val="20"/>
                <w:szCs w:val="20"/>
                <w:color w:val="auto"/>
              </w:rPr>
            </w:pPr>
            <w:r>
              <w:rPr>
                <w:rFonts w:ascii="Arial" w:cs="Arial" w:eastAsia="Arial" w:hAnsi="Arial"/>
                <w:sz w:val="18"/>
                <w:szCs w:val="18"/>
                <w:color w:val="auto"/>
                <w:w w:val="79"/>
              </w:rPr>
              <w:t>597</w:t>
            </w:r>
          </w:p>
        </w:tc>
        <w:tc>
          <w:tcPr>
            <w:tcW w:w="340" w:type="dxa"/>
            <w:vAlign w:val="bottom"/>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1,732,658</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4,675,910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8,012</w:t>
            </w:r>
          </w:p>
        </w:tc>
        <w:tc>
          <w:tcPr>
            <w:tcW w:w="160" w:type="dxa"/>
            <w:vAlign w:val="bottom"/>
          </w:tcPr>
          <w:p>
            <w:pPr>
              <w:spacing w:after="0"/>
              <w:rPr>
                <w:sz w:val="18"/>
                <w:szCs w:val="18"/>
                <w:color w:val="auto"/>
              </w:rPr>
            </w:pPr>
          </w:p>
        </w:tc>
        <w:tc>
          <w:tcPr>
            <w:tcW w:w="960" w:type="dxa"/>
            <w:vAlign w:val="bottom"/>
            <w:gridSpan w:val="3"/>
          </w:tcPr>
          <w:p>
            <w:pPr>
              <w:jc w:val="right"/>
              <w:ind w:right="320"/>
              <w:spacing w:after="0"/>
              <w:rPr>
                <w:sz w:val="20"/>
                <w:szCs w:val="20"/>
                <w:color w:val="auto"/>
              </w:rPr>
            </w:pPr>
            <w:r>
              <w:rPr>
                <w:rFonts w:ascii="Arial" w:cs="Arial" w:eastAsia="Arial" w:hAnsi="Arial"/>
                <w:sz w:val="18"/>
                <w:szCs w:val="18"/>
                <w:color w:val="auto"/>
              </w:rPr>
              <w:t>16</w:t>
            </w:r>
          </w:p>
        </w:tc>
        <w:tc>
          <w:tcPr>
            <w:tcW w:w="820" w:type="dxa"/>
            <w:vAlign w:val="bottom"/>
          </w:tcPr>
          <w:p>
            <w:pPr>
              <w:jc w:val="right"/>
              <w:spacing w:after="0"/>
              <w:rPr>
                <w:sz w:val="20"/>
                <w:szCs w:val="20"/>
                <w:color w:val="auto"/>
              </w:rPr>
            </w:pPr>
            <w:r>
              <w:rPr>
                <w:rFonts w:ascii="Arial" w:cs="Arial" w:eastAsia="Arial" w:hAnsi="Arial"/>
                <w:sz w:val="18"/>
                <w:szCs w:val="18"/>
                <w:color w:val="auto"/>
              </w:rPr>
              <w:t>11,529</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11,545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9,690</w:t>
            </w:r>
          </w:p>
        </w:tc>
        <w:tc>
          <w:tcPr>
            <w:tcW w:w="16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19</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74,299</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74,318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84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137,001</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137,001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Tax benefit from employee stock transactions</w:t>
            </w:r>
          </w:p>
        </w:tc>
        <w:tc>
          <w:tcPr>
            <w:tcW w:w="8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Repurchase of common stock</w:t>
            </w:r>
          </w:p>
        </w:tc>
        <w:tc>
          <w:tcPr>
            <w:tcW w:w="840" w:type="dxa"/>
            <w:vAlign w:val="bottom"/>
            <w:gridSpan w:val="3"/>
          </w:tcPr>
          <w:p>
            <w:pPr>
              <w:jc w:val="right"/>
              <w:ind w:right="120"/>
              <w:spacing w:after="0"/>
              <w:rPr>
                <w:sz w:val="20"/>
                <w:szCs w:val="20"/>
                <w:color w:val="auto"/>
              </w:rPr>
            </w:pPr>
            <w:r>
              <w:rPr>
                <w:rFonts w:ascii="Arial" w:cs="Arial" w:eastAsia="Arial" w:hAnsi="Arial"/>
                <w:sz w:val="18"/>
                <w:szCs w:val="18"/>
                <w:color w:val="auto"/>
              </w:rPr>
              <w:t>(5,070)</w:t>
            </w:r>
          </w:p>
        </w:tc>
        <w:tc>
          <w:tcPr>
            <w:tcW w:w="960" w:type="dxa"/>
            <w:vAlign w:val="bottom"/>
            <w:gridSpan w:val="3"/>
          </w:tcPr>
          <w:p>
            <w:pPr>
              <w:jc w:val="right"/>
              <w:ind w:right="260"/>
              <w:spacing w:after="0"/>
              <w:rPr>
                <w:sz w:val="20"/>
                <w:szCs w:val="20"/>
                <w:color w:val="auto"/>
              </w:rPr>
            </w:pPr>
            <w:r>
              <w:rPr>
                <w:rFonts w:ascii="Arial" w:cs="Arial" w:eastAsia="Arial" w:hAnsi="Arial"/>
                <w:sz w:val="18"/>
                <w:szCs w:val="18"/>
                <w:color w:val="auto"/>
              </w:rPr>
              <w:t>(10)</w:t>
            </w:r>
          </w:p>
        </w:tc>
        <w:tc>
          <w:tcPr>
            <w:tcW w:w="1140" w:type="dxa"/>
            <w:vAlign w:val="bottom"/>
            <w:gridSpan w:val="2"/>
          </w:tcPr>
          <w:p>
            <w:pPr>
              <w:jc w:val="right"/>
              <w:ind w:right="260"/>
              <w:spacing w:after="0"/>
              <w:rPr>
                <w:sz w:val="20"/>
                <w:szCs w:val="20"/>
                <w:color w:val="auto"/>
              </w:rPr>
            </w:pPr>
            <w:r>
              <w:rPr>
                <w:rFonts w:ascii="Arial" w:cs="Arial" w:eastAsia="Arial" w:hAnsi="Arial"/>
                <w:sz w:val="18"/>
                <w:szCs w:val="18"/>
                <w:color w:val="auto"/>
              </w:rPr>
              <w:t>(64,952)</w:t>
            </w: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(64,962)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8"/>
              </w:rPr>
              <w:t>Cash dividends declared and paid (cumulatively $0.24 per share)</w:t>
            </w:r>
          </w:p>
        </w:tc>
        <w:tc>
          <w:tcPr>
            <w:tcW w:w="8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(122,801)</w:t>
            </w:r>
          </w:p>
        </w:tc>
        <w:tc>
          <w:tcPr>
            <w:tcW w:w="11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(122,801)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Net income</w:t>
            </w:r>
          </w:p>
        </w:tc>
        <w:tc>
          <w:tcPr>
            <w:tcW w:w="84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1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435,346</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435,346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Other comprehensive loss</w:t>
            </w:r>
          </w:p>
        </w:tc>
        <w:tc>
          <w:tcPr>
            <w:tcW w:w="66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80" w:type="dxa"/>
            <w:vAlign w:val="bottom"/>
            <w:gridSpan w:val="2"/>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(289)</w:t>
            </w: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1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(289)</w:t>
            </w:r>
          </w:p>
        </w:tc>
        <w:tc>
          <w:tcPr>
            <w:tcW w:w="0" w:type="dxa"/>
            <w:vAlign w:val="bottom"/>
          </w:tcPr>
          <w:p>
            <w:pPr>
              <w:spacing w:after="0"/>
              <w:rPr>
                <w:sz w:val="1"/>
                <w:szCs w:val="1"/>
                <w:color w:val="auto"/>
              </w:rPr>
            </w:pPr>
          </w:p>
        </w:tc>
      </w:tr>
      <w:tr>
        <w:trPr>
          <w:trHeight w:val="20"/>
        </w:trPr>
        <w:tc>
          <w:tcPr>
            <w:tcW w:w="51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Balance at January 31, 2015</w:t>
            </w:r>
          </w:p>
        </w:tc>
        <w:tc>
          <w:tcPr>
            <w:tcW w:w="6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120" w:type="dxa"/>
            <w:vAlign w:val="bottom"/>
            <w:gridSpan w:val="2"/>
            <w:vMerge w:val="continue"/>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515,037</w:t>
            </w: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1,030</w:t>
            </w:r>
          </w:p>
        </w:tc>
        <w:tc>
          <w:tcPr>
            <w:tcW w:w="820" w:type="dxa"/>
            <w:vAlign w:val="bottom"/>
          </w:tcPr>
          <w:p>
            <w:pPr>
              <w:jc w:val="right"/>
              <w:spacing w:after="0"/>
              <w:rPr>
                <w:sz w:val="20"/>
                <w:szCs w:val="20"/>
                <w:color w:val="auto"/>
              </w:rPr>
            </w:pPr>
            <w:r>
              <w:rPr>
                <w:rFonts w:ascii="Arial" w:cs="Arial" w:eastAsia="Arial" w:hAnsi="Arial"/>
                <w:sz w:val="18"/>
                <w:szCs w:val="18"/>
                <w:u w:val="single" w:color="auto"/>
                <w:color w:val="auto"/>
                <w:w w:val="84"/>
              </w:rPr>
              <w:t>$</w:t>
            </w:r>
            <w:r>
              <w:rPr>
                <w:rFonts w:ascii="Arial" w:cs="Arial" w:eastAsia="Arial" w:hAnsi="Arial"/>
                <w:sz w:val="18"/>
                <w:szCs w:val="18"/>
                <w:color w:val="auto"/>
                <w:w w:val="84"/>
              </w:rPr>
              <w:t xml:space="preserve"> 3,099,548</w:t>
            </w:r>
          </w:p>
        </w:tc>
        <w:tc>
          <w:tcPr>
            <w:tcW w:w="320" w:type="dxa"/>
            <w:vAlign w:val="bottom"/>
          </w:tcPr>
          <w:p>
            <w:pPr>
              <w:spacing w:after="0"/>
              <w:rPr>
                <w:sz w:val="19"/>
                <w:szCs w:val="19"/>
                <w:color w:val="auto"/>
              </w:rPr>
            </w:pPr>
          </w:p>
        </w:tc>
        <w:tc>
          <w:tcPr>
            <w:tcW w:w="160" w:type="dxa"/>
            <w:vAlign w:val="bottom"/>
          </w:tcPr>
          <w:p>
            <w:pPr>
              <w:jc w:val="right"/>
              <w:ind w:right="9"/>
              <w:spacing w:after="0"/>
              <w:rPr>
                <w:sz w:val="20"/>
                <w:szCs w:val="20"/>
                <w:color w:val="auto"/>
              </w:rPr>
            </w:pPr>
            <w:r>
              <w:rPr>
                <w:rFonts w:ascii="Arial" w:cs="Arial" w:eastAsia="Arial" w:hAnsi="Arial"/>
                <w:sz w:val="15"/>
                <w:szCs w:val="15"/>
                <w:color w:val="auto"/>
                <w:w w:val="71"/>
              </w:rPr>
              <w:t>$</w:t>
            </w:r>
          </w:p>
        </w:tc>
        <w:tc>
          <w:tcPr>
            <w:tcW w:w="760" w:type="dxa"/>
            <w:vAlign w:val="bottom"/>
          </w:tcPr>
          <w:p>
            <w:pPr>
              <w:ind w:left="500"/>
              <w:spacing w:after="0"/>
              <w:rPr>
                <w:sz w:val="20"/>
                <w:szCs w:val="20"/>
                <w:color w:val="auto"/>
              </w:rPr>
            </w:pPr>
            <w:r>
              <w:rPr>
                <w:rFonts w:ascii="Arial" w:cs="Arial" w:eastAsia="Arial" w:hAnsi="Arial"/>
                <w:sz w:val="18"/>
                <w:szCs w:val="18"/>
                <w:color w:val="auto"/>
                <w:w w:val="79"/>
              </w:rPr>
              <w:t>308</w:t>
            </w:r>
          </w:p>
        </w:tc>
        <w:tc>
          <w:tcPr>
            <w:tcW w:w="340" w:type="dxa"/>
            <w:vAlign w:val="bottom"/>
          </w:tcPr>
          <w:p>
            <w:pPr>
              <w:spacing w:after="0"/>
              <w:rPr>
                <w:sz w:val="19"/>
                <w:szCs w:val="19"/>
                <w:color w:val="auto"/>
              </w:rPr>
            </w:pP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w w:val="84"/>
              </w:rPr>
              <w:t>$ 2,045,203</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$ 5,146,089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320" w:type="dxa"/>
            <w:vAlign w:val="bottom"/>
            <w:gridSpan w:val="2"/>
          </w:tcPr>
          <w:p>
            <w:pPr>
              <w:jc w:val="right"/>
              <w:ind w:right="620"/>
              <w:spacing w:after="0" w:line="129" w:lineRule="exact"/>
              <w:rPr>
                <w:sz w:val="20"/>
                <w:szCs w:val="20"/>
                <w:color w:val="auto"/>
              </w:rPr>
            </w:pPr>
            <w:r>
              <w:rPr>
                <w:rFonts w:ascii="Arial" w:cs="Arial" w:eastAsia="Arial" w:hAnsi="Arial"/>
                <w:sz w:val="14"/>
                <w:szCs w:val="14"/>
                <w:b w:val="1"/>
                <w:bCs w:val="1"/>
                <w:color w:val="auto"/>
                <w:w w:val="88"/>
              </w:rPr>
              <w:t>January 31,</w:t>
            </w:r>
          </w:p>
        </w:tc>
        <w:tc>
          <w:tcPr>
            <w:tcW w:w="12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1,</w:t>
            </w:r>
          </w:p>
        </w:tc>
        <w:tc>
          <w:tcPr>
            <w:tcW w:w="100" w:type="dxa"/>
            <w:vAlign w:val="bottom"/>
          </w:tcPr>
          <w:p>
            <w:pPr>
              <w:spacing w:after="0"/>
              <w:rPr>
                <w:sz w:val="11"/>
                <w:szCs w:val="11"/>
                <w:color w:val="auto"/>
              </w:rPr>
            </w:pPr>
          </w:p>
        </w:tc>
        <w:tc>
          <w:tcPr>
            <w:tcW w:w="780" w:type="dxa"/>
            <w:vAlign w:val="bottom"/>
          </w:tcPr>
          <w:p>
            <w:pPr>
              <w:jc w:val="right"/>
              <w:ind w:right="13"/>
              <w:spacing w:after="0" w:line="129" w:lineRule="exact"/>
              <w:rPr>
                <w:sz w:val="20"/>
                <w:szCs w:val="20"/>
                <w:color w:val="auto"/>
              </w:rPr>
            </w:pPr>
            <w:r>
              <w:rPr>
                <w:rFonts w:ascii="Arial" w:cs="Arial" w:eastAsia="Arial" w:hAnsi="Arial"/>
                <w:sz w:val="14"/>
                <w:szCs w:val="14"/>
                <w:b w:val="1"/>
                <w:bCs w:val="1"/>
                <w:color w:val="auto"/>
                <w:w w:val="87"/>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8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2014</w:t>
            </w:r>
          </w:p>
        </w:tc>
        <w:tc>
          <w:tcPr>
            <w:tcW w:w="5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8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80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435,346</w:t>
            </w:r>
          </w:p>
        </w:tc>
        <w:tc>
          <w:tcPr>
            <w:tcW w:w="540" w:type="dxa"/>
            <w:vAlign w:val="bottom"/>
          </w:tcPr>
          <w:p>
            <w:pPr>
              <w:spacing w:after="0"/>
              <w:rPr>
                <w:sz w:val="18"/>
                <w:szCs w:val="18"/>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315,320</w:t>
            </w:r>
          </w:p>
        </w:tc>
        <w:tc>
          <w:tcPr>
            <w:tcW w:w="5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306,585</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0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106,248</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102,752</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91,028</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137,246</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155,873</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127,280</w:t>
            </w:r>
          </w:p>
        </w:tc>
        <w:tc>
          <w:tcPr>
            <w:tcW w:w="0" w:type="dxa"/>
            <w:vAlign w:val="bottom"/>
          </w:tcPr>
          <w:p>
            <w:pPr>
              <w:spacing w:after="0"/>
              <w:rPr>
                <w:sz w:val="1"/>
                <w:szCs w:val="1"/>
                <w:color w:val="auto"/>
              </w:rPr>
            </w:pPr>
          </w:p>
        </w:tc>
      </w:tr>
      <w:tr>
        <w:trPr>
          <w:trHeight w:val="216"/>
        </w:trPr>
        <w:tc>
          <w:tcPr>
            <w:tcW w:w="780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18,337</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44,006</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52,700</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Gain on sale of business</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(6,975)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800" w:type="dxa"/>
            <w:vAlign w:val="bottom"/>
          </w:tcPr>
          <w:p>
            <w:pPr>
              <w:ind w:left="880"/>
              <w:spacing w:after="0"/>
              <w:rPr>
                <w:sz w:val="20"/>
                <w:szCs w:val="20"/>
                <w:color w:val="auto"/>
              </w:rPr>
            </w:pPr>
            <w:r>
              <w:rPr>
                <w:rFonts w:ascii="Arial" w:cs="Arial" w:eastAsia="Arial" w:hAnsi="Arial"/>
                <w:sz w:val="18"/>
                <w:szCs w:val="18"/>
                <w:color w:val="auto"/>
              </w:rPr>
              <w:t>Other expense, net</w:t>
            </w:r>
          </w:p>
        </w:tc>
        <w:tc>
          <w:tcPr>
            <w:tcW w:w="80" w:type="dxa"/>
            <w:vAlign w:val="bottom"/>
          </w:tcPr>
          <w:p>
            <w:pPr>
              <w:spacing w:after="0"/>
              <w:rPr>
                <w:sz w:val="18"/>
                <w:szCs w:val="18"/>
                <w:color w:val="auto"/>
              </w:rPr>
            </w:pP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(10,629)</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8,178</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7,392</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(145)</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16"/>
        </w:trPr>
        <w:tc>
          <w:tcPr>
            <w:tcW w:w="7800" w:type="dxa"/>
            <w:vAlign w:val="bottom"/>
          </w:tcPr>
          <w:p>
            <w:pPr>
              <w:ind w:left="880"/>
              <w:spacing w:after="0"/>
              <w:rPr>
                <w:sz w:val="20"/>
                <w:szCs w:val="20"/>
                <w:color w:val="auto"/>
              </w:rPr>
            </w:pPr>
            <w:r>
              <w:rPr>
                <w:rFonts w:ascii="Arial" w:cs="Arial" w:eastAsia="Arial" w:hAnsi="Arial"/>
                <w:sz w:val="18"/>
                <w:szCs w:val="18"/>
                <w:color w:val="auto"/>
              </w:rPr>
              <w:t>Deferred income tax</w:t>
            </w:r>
          </w:p>
        </w:tc>
        <w:tc>
          <w:tcPr>
            <w:tcW w:w="80" w:type="dxa"/>
            <w:vAlign w:val="bottom"/>
          </w:tcPr>
          <w:p>
            <w:pPr>
              <w:spacing w:after="0"/>
              <w:rPr>
                <w:sz w:val="18"/>
                <w:szCs w:val="18"/>
                <w:color w:val="auto"/>
              </w:rPr>
            </w:pP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(12,913)</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3,919</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7,026</w:t>
            </w:r>
          </w:p>
        </w:tc>
        <w:tc>
          <w:tcPr>
            <w:tcW w:w="0" w:type="dxa"/>
            <w:vAlign w:val="bottom"/>
          </w:tcPr>
          <w:p>
            <w:pPr>
              <w:spacing w:after="0"/>
              <w:rPr>
                <w:sz w:val="1"/>
                <w:szCs w:val="1"/>
                <w:color w:val="auto"/>
              </w:rPr>
            </w:pPr>
          </w:p>
        </w:tc>
      </w:tr>
      <w:tr>
        <w:trPr>
          <w:trHeight w:val="208"/>
        </w:trPr>
        <w:tc>
          <w:tcPr>
            <w:tcW w:w="78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Changes in assets and liabilities, net of assets acquired and liabilities assumed in</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780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acquisitions:</w:t>
            </w:r>
          </w:p>
        </w:tc>
        <w:tc>
          <w:tcPr>
            <w:tcW w:w="80" w:type="dxa"/>
            <w:vAlign w:val="bottom"/>
            <w:shd w:val="clear" w:color="auto" w:fill="CCEEFF"/>
          </w:tcPr>
          <w:p>
            <w:pPr>
              <w:spacing w:after="0"/>
              <w:rPr>
                <w:sz w:val="19"/>
                <w:szCs w:val="19"/>
                <w:color w:val="auto"/>
              </w:rPr>
            </w:pPr>
          </w:p>
        </w:tc>
        <w:tc>
          <w:tcPr>
            <w:tcW w:w="78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5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00" w:type="dxa"/>
            <w:vAlign w:val="bottom"/>
          </w:tcPr>
          <w:p>
            <w:pPr>
              <w:ind w:left="1300"/>
              <w:spacing w:after="0"/>
              <w:rPr>
                <w:sz w:val="20"/>
                <w:szCs w:val="20"/>
                <w:color w:val="auto"/>
              </w:rPr>
            </w:pPr>
            <w:r>
              <w:rPr>
                <w:rFonts w:ascii="Arial" w:cs="Arial" w:eastAsia="Arial" w:hAnsi="Arial"/>
                <w:sz w:val="18"/>
                <w:szCs w:val="18"/>
                <w:color w:val="auto"/>
              </w:rPr>
              <w:t>Accounts receivable</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34,165</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460"/>
              <w:spacing w:after="0"/>
              <w:rPr>
                <w:sz w:val="20"/>
                <w:szCs w:val="20"/>
                <w:color w:val="auto"/>
              </w:rPr>
            </w:pPr>
            <w:r>
              <w:rPr>
                <w:rFonts w:ascii="Arial" w:cs="Arial" w:eastAsia="Arial" w:hAnsi="Arial"/>
                <w:sz w:val="18"/>
                <w:szCs w:val="18"/>
                <w:color w:val="auto"/>
                <w:w w:val="88"/>
              </w:rPr>
              <w:t>(123,258)</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77,025</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39,454</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(97,188)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103,102</w:t>
            </w:r>
          </w:p>
        </w:tc>
        <w:tc>
          <w:tcPr>
            <w:tcW w:w="0" w:type="dxa"/>
            <w:vAlign w:val="bottom"/>
          </w:tcPr>
          <w:p>
            <w:pPr>
              <w:spacing w:after="0"/>
              <w:rPr>
                <w:sz w:val="1"/>
                <w:szCs w:val="1"/>
                <w:color w:val="auto"/>
              </w:rPr>
            </w:pPr>
          </w:p>
        </w:tc>
      </w:tr>
      <w:tr>
        <w:trPr>
          <w:trHeight w:val="216"/>
        </w:trPr>
        <w:tc>
          <w:tcPr>
            <w:tcW w:w="7800" w:type="dxa"/>
            <w:vAlign w:val="bottom"/>
          </w:tcPr>
          <w:p>
            <w:pPr>
              <w:ind w:left="130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5,788</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19,458</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(6,894)</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(43,871)</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39,791</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(24,304)</w:t>
            </w:r>
          </w:p>
        </w:tc>
        <w:tc>
          <w:tcPr>
            <w:tcW w:w="0" w:type="dxa"/>
            <w:vAlign w:val="bottom"/>
          </w:tcPr>
          <w:p>
            <w:pPr>
              <w:spacing w:after="0"/>
              <w:rPr>
                <w:sz w:val="1"/>
                <w:szCs w:val="1"/>
                <w:color w:val="auto"/>
              </w:rPr>
            </w:pPr>
          </w:p>
        </w:tc>
      </w:tr>
      <w:tr>
        <w:trPr>
          <w:trHeight w:val="216"/>
        </w:trPr>
        <w:tc>
          <w:tcPr>
            <w:tcW w:w="7800" w:type="dxa"/>
            <w:vAlign w:val="bottom"/>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80" w:type="dxa"/>
            <w:vAlign w:val="bottom"/>
          </w:tcPr>
          <w:p>
            <w:pPr>
              <w:spacing w:after="0"/>
              <w:rPr>
                <w:sz w:val="18"/>
                <w:szCs w:val="18"/>
                <w:color w:val="auto"/>
              </w:rPr>
            </w:pP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(30,024)</w:t>
            </w:r>
          </w:p>
        </w:tc>
        <w:tc>
          <w:tcPr>
            <w:tcW w:w="80" w:type="dxa"/>
            <w:vAlign w:val="bottom"/>
          </w:tcPr>
          <w:p>
            <w:pPr>
              <w:spacing w:after="0"/>
              <w:rPr>
                <w:sz w:val="18"/>
                <w:szCs w:val="18"/>
                <w:color w:val="auto"/>
              </w:rPr>
            </w:pPr>
          </w:p>
        </w:tc>
        <w:tc>
          <w:tcPr>
            <w:tcW w:w="1160" w:type="dxa"/>
            <w:vAlign w:val="bottom"/>
            <w:gridSpan w:val="2"/>
          </w:tcPr>
          <w:p>
            <w:pPr>
              <w:jc w:val="right"/>
              <w:ind w:right="460"/>
              <w:spacing w:after="0"/>
              <w:rPr>
                <w:sz w:val="20"/>
                <w:szCs w:val="20"/>
                <w:color w:val="auto"/>
              </w:rPr>
            </w:pPr>
            <w:r>
              <w:rPr>
                <w:rFonts w:ascii="Arial" w:cs="Arial" w:eastAsia="Arial" w:hAnsi="Arial"/>
                <w:sz w:val="18"/>
                <w:szCs w:val="18"/>
                <w:color w:val="auto"/>
              </w:rPr>
              <w:t>(9,627)</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8,014</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43,561</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(5,787)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(20,050)</w:t>
            </w:r>
          </w:p>
        </w:tc>
        <w:tc>
          <w:tcPr>
            <w:tcW w:w="0" w:type="dxa"/>
            <w:vAlign w:val="bottom"/>
          </w:tcPr>
          <w:p>
            <w:pPr>
              <w:spacing w:after="0"/>
              <w:rPr>
                <w:sz w:val="1"/>
                <w:szCs w:val="1"/>
                <w:color w:val="auto"/>
              </w:rPr>
            </w:pPr>
          </w:p>
        </w:tc>
      </w:tr>
      <w:tr>
        <w:trPr>
          <w:trHeight w:val="223"/>
        </w:trPr>
        <w:tc>
          <w:tcPr>
            <w:tcW w:w="780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6,373</w:t>
            </w:r>
          </w:p>
        </w:tc>
        <w:tc>
          <w:tcPr>
            <w:tcW w:w="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1,597</w:t>
            </w:r>
          </w:p>
        </w:tc>
        <w:tc>
          <w:tcPr>
            <w:tcW w:w="5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728,936</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448,039</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729,037</w:t>
            </w:r>
          </w:p>
        </w:tc>
        <w:tc>
          <w:tcPr>
            <w:tcW w:w="0" w:type="dxa"/>
            <w:vAlign w:val="bottom"/>
          </w:tcPr>
          <w:p>
            <w:pPr>
              <w:spacing w:after="0"/>
              <w:rPr>
                <w:sz w:val="1"/>
                <w:szCs w:val="1"/>
                <w:color w:val="auto"/>
              </w:rPr>
            </w:pPr>
          </w:p>
        </w:tc>
      </w:tr>
      <w:tr>
        <w:trPr>
          <w:trHeight w:val="222"/>
        </w:trPr>
        <w:tc>
          <w:tcPr>
            <w:tcW w:w="780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7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89"/>
              </w:rPr>
              <w:t>(1,128,319)</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8"/>
              </w:rPr>
              <w:t>(837,892)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(1,543,902)</w:t>
            </w:r>
          </w:p>
        </w:tc>
        <w:tc>
          <w:tcPr>
            <w:tcW w:w="0" w:type="dxa"/>
            <w:vAlign w:val="bottom"/>
          </w:tcPr>
          <w:p>
            <w:pPr>
              <w:spacing w:after="0"/>
              <w:rPr>
                <w:sz w:val="1"/>
                <w:szCs w:val="1"/>
                <w:color w:val="auto"/>
              </w:rPr>
            </w:pPr>
          </w:p>
        </w:tc>
      </w:tr>
      <w:tr>
        <w:trPr>
          <w:trHeight w:val="216"/>
        </w:trPr>
        <w:tc>
          <w:tcPr>
            <w:tcW w:w="7800" w:type="dxa"/>
            <w:vAlign w:val="bottom"/>
          </w:tcPr>
          <w:p>
            <w:pPr>
              <w:ind w:left="440"/>
              <w:spacing w:after="0"/>
              <w:rPr>
                <w:sz w:val="20"/>
                <w:szCs w:val="20"/>
                <w:color w:val="auto"/>
              </w:rPr>
            </w:pPr>
            <w:r>
              <w:rPr>
                <w:rFonts w:ascii="Arial" w:cs="Arial" w:eastAsia="Arial" w:hAnsi="Arial"/>
                <w:sz w:val="18"/>
                <w:szCs w:val="18"/>
                <w:color w:val="auto"/>
              </w:rPr>
              <w:t>Sales and maturities of available-for-sale securities</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826,310</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995,039</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1,835,655</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Investments in privately-held companies</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(701)</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(1,869)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(8,750)</w:t>
            </w:r>
          </w:p>
        </w:tc>
        <w:tc>
          <w:tcPr>
            <w:tcW w:w="0" w:type="dxa"/>
            <w:vAlign w:val="bottom"/>
          </w:tcPr>
          <w:p>
            <w:pPr>
              <w:spacing w:after="0"/>
              <w:rPr>
                <w:sz w:val="1"/>
                <w:szCs w:val="1"/>
                <w:color w:val="auto"/>
              </w:rPr>
            </w:pPr>
          </w:p>
        </w:tc>
      </w:tr>
      <w:tr>
        <w:trPr>
          <w:trHeight w:val="216"/>
        </w:trPr>
        <w:tc>
          <w:tcPr>
            <w:tcW w:w="7800" w:type="dxa"/>
            <w:vAlign w:val="bottom"/>
          </w:tcPr>
          <w:p>
            <w:pPr>
              <w:ind w:left="440"/>
              <w:spacing w:after="0"/>
              <w:rPr>
                <w:sz w:val="20"/>
                <w:szCs w:val="20"/>
                <w:color w:val="auto"/>
              </w:rPr>
            </w:pPr>
            <w:r>
              <w:rPr>
                <w:rFonts w:ascii="Arial" w:cs="Arial" w:eastAsia="Arial" w:hAnsi="Arial"/>
                <w:sz w:val="18"/>
                <w:szCs w:val="18"/>
                <w:color w:val="auto"/>
              </w:rPr>
              <w:t>Proceeds from sale of an investment in a privately-held company</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13,220</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paid for acquisitions, net</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(2,551)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7800" w:type="dxa"/>
            <w:vAlign w:val="bottom"/>
          </w:tcPr>
          <w:p>
            <w:pPr>
              <w:ind w:left="440"/>
              <w:spacing w:after="0"/>
              <w:rPr>
                <w:sz w:val="20"/>
                <w:szCs w:val="20"/>
                <w:color w:val="auto"/>
              </w:rPr>
            </w:pPr>
            <w:r>
              <w:rPr>
                <w:rFonts w:ascii="Arial" w:cs="Arial" w:eastAsia="Arial" w:hAnsi="Arial"/>
                <w:sz w:val="18"/>
                <w:szCs w:val="18"/>
                <w:color w:val="auto"/>
              </w:rPr>
              <w:t>Proceeds from sale of business</w:t>
            </w:r>
          </w:p>
        </w:tc>
        <w:tc>
          <w:tcPr>
            <w:tcW w:w="80" w:type="dxa"/>
            <w:vAlign w:val="bottom"/>
          </w:tcPr>
          <w:p>
            <w:pPr>
              <w:spacing w:after="0"/>
              <w:rPr>
                <w:sz w:val="18"/>
                <w:szCs w:val="18"/>
                <w:color w:val="auto"/>
              </w:rPr>
            </w:pPr>
          </w:p>
        </w:tc>
        <w:tc>
          <w:tcPr>
            <w:tcW w:w="132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6,306</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(16,424)</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(17,647)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(35,002)</w:t>
            </w:r>
          </w:p>
        </w:tc>
        <w:tc>
          <w:tcPr>
            <w:tcW w:w="0" w:type="dxa"/>
            <w:vAlign w:val="bottom"/>
          </w:tcPr>
          <w:p>
            <w:pPr>
              <w:spacing w:after="0"/>
              <w:rPr>
                <w:sz w:val="1"/>
                <w:szCs w:val="1"/>
                <w:color w:val="auto"/>
              </w:rPr>
            </w:pPr>
          </w:p>
        </w:tc>
      </w:tr>
      <w:tr>
        <w:trPr>
          <w:trHeight w:val="216"/>
        </w:trPr>
        <w:tc>
          <w:tcPr>
            <w:tcW w:w="780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(63,030)</w:t>
            </w:r>
          </w:p>
        </w:tc>
        <w:tc>
          <w:tcPr>
            <w:tcW w:w="80" w:type="dxa"/>
            <w:vAlign w:val="bottom"/>
          </w:tcPr>
          <w:p>
            <w:pPr>
              <w:spacing w:after="0"/>
              <w:rPr>
                <w:sz w:val="18"/>
                <w:szCs w:val="18"/>
                <w:color w:val="auto"/>
              </w:rPr>
            </w:pPr>
          </w:p>
        </w:tc>
        <w:tc>
          <w:tcPr>
            <w:tcW w:w="1160" w:type="dxa"/>
            <w:vAlign w:val="bottom"/>
            <w:gridSpan w:val="2"/>
          </w:tcPr>
          <w:p>
            <w:pPr>
              <w:jc w:val="right"/>
              <w:ind w:right="460"/>
              <w:spacing w:after="0"/>
              <w:rPr>
                <w:sz w:val="20"/>
                <w:szCs w:val="20"/>
                <w:color w:val="auto"/>
              </w:rPr>
            </w:pPr>
            <w:r>
              <w:rPr>
                <w:rFonts w:ascii="Arial" w:cs="Arial" w:eastAsia="Arial" w:hAnsi="Arial"/>
                <w:sz w:val="18"/>
                <w:szCs w:val="18"/>
                <w:color w:val="auto"/>
              </w:rPr>
              <w:t>(66,593)</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(68,186)</w:t>
            </w:r>
          </w:p>
        </w:tc>
        <w:tc>
          <w:tcPr>
            <w:tcW w:w="0" w:type="dxa"/>
            <w:vAlign w:val="bottom"/>
          </w:tcPr>
          <w:p>
            <w:pPr>
              <w:spacing w:after="0"/>
              <w:rPr>
                <w:sz w:val="1"/>
                <w:szCs w:val="1"/>
                <w:color w:val="auto"/>
              </w:rPr>
            </w:pPr>
          </w:p>
        </w:tc>
      </w:tr>
      <w:tr>
        <w:trPr>
          <w:trHeight w:val="27"/>
        </w:trPr>
        <w:tc>
          <w:tcPr>
            <w:tcW w:w="78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8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(used in) investing activities</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(368,944)</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74,793</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178,815</w:t>
            </w:r>
          </w:p>
        </w:tc>
        <w:tc>
          <w:tcPr>
            <w:tcW w:w="0" w:type="dxa"/>
            <w:vAlign w:val="bottom"/>
          </w:tcPr>
          <w:p>
            <w:pPr>
              <w:spacing w:after="0"/>
              <w:rPr>
                <w:sz w:val="1"/>
                <w:szCs w:val="1"/>
                <w:color w:val="auto"/>
              </w:rPr>
            </w:pPr>
          </w:p>
        </w:tc>
      </w:tr>
      <w:tr>
        <w:trPr>
          <w:trHeight w:val="222"/>
        </w:trPr>
        <w:tc>
          <w:tcPr>
            <w:tcW w:w="780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7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(64,962)</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8"/>
              </w:rPr>
              <w:t>(376,285)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(936,935)</w:t>
            </w:r>
          </w:p>
        </w:tc>
        <w:tc>
          <w:tcPr>
            <w:tcW w:w="0" w:type="dxa"/>
            <w:vAlign w:val="bottom"/>
          </w:tcPr>
          <w:p>
            <w:pPr>
              <w:spacing w:after="0"/>
              <w:rPr>
                <w:sz w:val="1"/>
                <w:szCs w:val="1"/>
                <w:color w:val="auto"/>
              </w:rPr>
            </w:pPr>
          </w:p>
        </w:tc>
      </w:tr>
      <w:tr>
        <w:trPr>
          <w:trHeight w:val="216"/>
        </w:trPr>
        <w:tc>
          <w:tcPr>
            <w:tcW w:w="780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1320" w:type="dxa"/>
            <w:vAlign w:val="bottom"/>
            <w:gridSpan w:val="2"/>
          </w:tcPr>
          <w:p>
            <w:pPr>
              <w:jc w:val="right"/>
              <w:ind w:right="540"/>
              <w:spacing w:after="0"/>
              <w:rPr>
                <w:sz w:val="20"/>
                <w:szCs w:val="20"/>
                <w:color w:val="auto"/>
              </w:rPr>
            </w:pPr>
            <w:r>
              <w:rPr>
                <w:rFonts w:ascii="Arial" w:cs="Arial" w:eastAsia="Arial" w:hAnsi="Arial"/>
                <w:sz w:val="18"/>
                <w:szCs w:val="18"/>
                <w:color w:val="auto"/>
              </w:rPr>
              <w:t>112,357</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204,962</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104,936</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(26,494)</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(10,872)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(10,099)</w:t>
            </w:r>
          </w:p>
        </w:tc>
        <w:tc>
          <w:tcPr>
            <w:tcW w:w="0" w:type="dxa"/>
            <w:vAlign w:val="bottom"/>
          </w:tcPr>
          <w:p>
            <w:pPr>
              <w:spacing w:after="0"/>
              <w:rPr>
                <w:sz w:val="1"/>
                <w:szCs w:val="1"/>
                <w:color w:val="auto"/>
              </w:rPr>
            </w:pPr>
          </w:p>
        </w:tc>
      </w:tr>
      <w:tr>
        <w:trPr>
          <w:trHeight w:val="216"/>
        </w:trPr>
        <w:tc>
          <w:tcPr>
            <w:tcW w:w="780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80" w:type="dxa"/>
            <w:vAlign w:val="bottom"/>
          </w:tcPr>
          <w:p>
            <w:pPr>
              <w:spacing w:after="0"/>
              <w:rPr>
                <w:sz w:val="18"/>
                <w:szCs w:val="18"/>
                <w:color w:val="auto"/>
              </w:rPr>
            </w:pP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(122,801)</w:t>
            </w:r>
          </w:p>
        </w:tc>
        <w:tc>
          <w:tcPr>
            <w:tcW w:w="80" w:type="dxa"/>
            <w:vAlign w:val="bottom"/>
          </w:tcPr>
          <w:p>
            <w:pPr>
              <w:spacing w:after="0"/>
              <w:rPr>
                <w:sz w:val="18"/>
                <w:szCs w:val="18"/>
                <w:color w:val="auto"/>
              </w:rPr>
            </w:pPr>
          </w:p>
        </w:tc>
        <w:tc>
          <w:tcPr>
            <w:tcW w:w="1160" w:type="dxa"/>
            <w:vAlign w:val="bottom"/>
            <w:gridSpan w:val="2"/>
          </w:tcPr>
          <w:p>
            <w:pPr>
              <w:jc w:val="right"/>
              <w:ind w:right="460"/>
              <w:spacing w:after="0"/>
              <w:rPr>
                <w:sz w:val="20"/>
                <w:szCs w:val="20"/>
                <w:color w:val="auto"/>
              </w:rPr>
            </w:pPr>
            <w:r>
              <w:rPr>
                <w:rFonts w:ascii="Arial" w:cs="Arial" w:eastAsia="Arial" w:hAnsi="Arial"/>
                <w:sz w:val="18"/>
                <w:szCs w:val="18"/>
                <w:color w:val="auto"/>
                <w:w w:val="88"/>
              </w:rPr>
              <w:t>(119,449)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(98,761)</w:t>
            </w: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(13,010)</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(7,411)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780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w:t>
            </w:r>
          </w:p>
        </w:tc>
        <w:tc>
          <w:tcPr>
            <w:tcW w:w="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w:t>
            </w:r>
          </w:p>
        </w:tc>
        <w:tc>
          <w:tcPr>
            <w:tcW w:w="5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(114,765)</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8"/>
              </w:rPr>
              <w:t>(309,035)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(940,801)</w:t>
            </w:r>
          </w:p>
        </w:tc>
        <w:tc>
          <w:tcPr>
            <w:tcW w:w="0" w:type="dxa"/>
            <w:vAlign w:val="bottom"/>
          </w:tcPr>
          <w:p>
            <w:pPr>
              <w:spacing w:after="0"/>
              <w:rPr>
                <w:sz w:val="1"/>
                <w:szCs w:val="1"/>
                <w:color w:val="auto"/>
              </w:rPr>
            </w:pPr>
          </w:p>
        </w:tc>
      </w:tr>
      <w:tr>
        <w:trPr>
          <w:trHeight w:val="20"/>
        </w:trPr>
        <w:tc>
          <w:tcPr>
            <w:tcW w:w="7800" w:type="dxa"/>
            <w:vAlign w:val="bottom"/>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8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245,227</w:t>
            </w: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213,797</w:t>
            </w:r>
          </w:p>
        </w:tc>
        <w:tc>
          <w:tcPr>
            <w:tcW w:w="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(32,949)</w:t>
            </w:r>
          </w:p>
        </w:tc>
        <w:tc>
          <w:tcPr>
            <w:tcW w:w="0" w:type="dxa"/>
            <w:vAlign w:val="bottom"/>
          </w:tcPr>
          <w:p>
            <w:pPr>
              <w:spacing w:after="0"/>
              <w:rPr>
                <w:sz w:val="1"/>
                <w:szCs w:val="1"/>
                <w:color w:val="auto"/>
              </w:rPr>
            </w:pPr>
          </w:p>
        </w:tc>
      </w:tr>
      <w:tr>
        <w:trPr>
          <w:trHeight w:val="218"/>
        </w:trPr>
        <w:tc>
          <w:tcPr>
            <w:tcW w:w="78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the year</w:t>
            </w:r>
          </w:p>
        </w:tc>
        <w:tc>
          <w:tcPr>
            <w:tcW w:w="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5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751,953</w:t>
            </w:r>
          </w:p>
        </w:tc>
        <w:tc>
          <w:tcPr>
            <w:tcW w:w="5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800" w:type="dxa"/>
            <w:vAlign w:val="bottom"/>
          </w:tcPr>
          <w:p>
            <w:pPr>
              <w:spacing w:after="0"/>
              <w:rPr>
                <w:sz w:val="20"/>
                <w:szCs w:val="20"/>
                <w:color w:val="auto"/>
              </w:rPr>
            </w:pPr>
            <w:r>
              <w:rPr>
                <w:rFonts w:ascii="Arial" w:cs="Arial" w:eastAsia="Arial" w:hAnsi="Arial"/>
                <w:sz w:val="18"/>
                <w:szCs w:val="18"/>
                <w:color w:val="auto"/>
              </w:rPr>
              <w:t>Cash and cash equivalents at end of the year</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1,210,977</w:t>
            </w:r>
          </w:p>
        </w:tc>
        <w:tc>
          <w:tcPr>
            <w:tcW w:w="540" w:type="dxa"/>
            <w:vAlign w:val="bottom"/>
          </w:tcPr>
          <w:p>
            <w:pPr>
              <w:spacing w:after="0"/>
              <w:rPr>
                <w:sz w:val="19"/>
                <w:szCs w:val="19"/>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965,750</w:t>
            </w:r>
          </w:p>
        </w:tc>
        <w:tc>
          <w:tcPr>
            <w:tcW w:w="5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751,953</w:t>
            </w:r>
          </w:p>
        </w:tc>
        <w:tc>
          <w:tcPr>
            <w:tcW w:w="0" w:type="dxa"/>
            <w:vAlign w:val="bottom"/>
          </w:tcPr>
          <w:p>
            <w:pPr>
              <w:spacing w:after="0"/>
              <w:rPr>
                <w:sz w:val="1"/>
                <w:szCs w:val="1"/>
                <w:color w:val="auto"/>
              </w:rPr>
            </w:pPr>
          </w:p>
        </w:tc>
      </w:tr>
      <w:tr>
        <w:trPr>
          <w:trHeight w:val="20"/>
        </w:trPr>
        <w:tc>
          <w:tcPr>
            <w:tcW w:w="78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7800" w:type="dxa"/>
            <w:vAlign w:val="bottom"/>
            <w:shd w:val="clear" w:color="auto" w:fill="CCEEFF"/>
          </w:tcPr>
          <w:p>
            <w:pPr>
              <w:ind w:left="440"/>
              <w:spacing w:after="0"/>
              <w:rPr>
                <w:sz w:val="20"/>
                <w:szCs w:val="20"/>
                <w:color w:val="auto"/>
              </w:rPr>
            </w:pPr>
            <w:r>
              <w:rPr>
                <w:rFonts w:ascii="Arial" w:cs="Arial" w:eastAsia="Arial" w:hAnsi="Arial"/>
                <w:sz w:val="18"/>
                <w:szCs w:val="18"/>
                <w:b w:val="1"/>
                <w:bCs w:val="1"/>
                <w:color w:val="auto"/>
              </w:rPr>
              <w:t>Supplemental cash flow information:</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00" w:type="dxa"/>
            <w:vAlign w:val="bottom"/>
          </w:tcPr>
          <w:p>
            <w:pPr>
              <w:ind w:left="880"/>
              <w:spacing w:after="0"/>
              <w:rPr>
                <w:sz w:val="20"/>
                <w:szCs w:val="20"/>
                <w:color w:val="auto"/>
              </w:rPr>
            </w:pPr>
            <w:r>
              <w:rPr>
                <w:rFonts w:ascii="Arial" w:cs="Arial" w:eastAsia="Arial" w:hAnsi="Arial"/>
                <w:sz w:val="18"/>
                <w:szCs w:val="18"/>
                <w:color w:val="auto"/>
              </w:rPr>
              <w:t>Cash paid for interest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1,167</w:t>
            </w:r>
          </w:p>
        </w:tc>
        <w:tc>
          <w:tcPr>
            <w:tcW w:w="540" w:type="dxa"/>
            <w:vAlign w:val="bottom"/>
          </w:tcPr>
          <w:p>
            <w:pPr>
              <w:spacing w:after="0"/>
              <w:rPr>
                <w:sz w:val="18"/>
                <w:szCs w:val="18"/>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1,873</w:t>
            </w:r>
          </w:p>
        </w:tc>
        <w:tc>
          <w:tcPr>
            <w:tcW w:w="5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563</w:t>
            </w:r>
          </w:p>
        </w:tc>
        <w:tc>
          <w:tcPr>
            <w:tcW w:w="0" w:type="dxa"/>
            <w:vAlign w:val="bottom"/>
          </w:tcPr>
          <w:p>
            <w:pPr>
              <w:spacing w:after="0"/>
              <w:rPr>
                <w:sz w:val="1"/>
                <w:szCs w:val="1"/>
                <w:color w:val="auto"/>
              </w:rPr>
            </w:pPr>
          </w:p>
        </w:tc>
      </w:tr>
      <w:tr>
        <w:trPr>
          <w:trHeight w:val="20"/>
        </w:trPr>
        <w:tc>
          <w:tcPr>
            <w:tcW w:w="78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8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Cash paid for income taxes, net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15,727</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9,385</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16,813</w:t>
            </w:r>
          </w:p>
        </w:tc>
        <w:tc>
          <w:tcPr>
            <w:tcW w:w="0" w:type="dxa"/>
            <w:vAlign w:val="bottom"/>
          </w:tcPr>
          <w:p>
            <w:pPr>
              <w:spacing w:after="0"/>
              <w:rPr>
                <w:sz w:val="1"/>
                <w:szCs w:val="1"/>
                <w:color w:val="auto"/>
              </w:rPr>
            </w:pPr>
          </w:p>
        </w:tc>
      </w:tr>
      <w:tr>
        <w:trPr>
          <w:trHeight w:val="20"/>
        </w:trPr>
        <w:tc>
          <w:tcPr>
            <w:tcW w:w="7800" w:type="dxa"/>
            <w:vAlign w:val="bottom"/>
            <w:vMerge w:val="restart"/>
          </w:tcPr>
          <w:p>
            <w:pPr>
              <w:ind w:left="440"/>
              <w:spacing w:after="0"/>
              <w:rPr>
                <w:sz w:val="20"/>
                <w:szCs w:val="20"/>
                <w:color w:val="auto"/>
              </w:rPr>
            </w:pPr>
            <w:r>
              <w:rPr>
                <w:rFonts w:ascii="Arial" w:cs="Arial" w:eastAsia="Arial" w:hAnsi="Arial"/>
                <w:sz w:val="18"/>
                <w:szCs w:val="18"/>
                <w:b w:val="1"/>
                <w:bCs w:val="1"/>
                <w:color w:val="auto"/>
              </w:rPr>
              <w:t>Non-Cash Investing and Financing Activities:</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80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78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Purchase of intellectual property under license obligations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3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8,900</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42,692</w:t>
            </w:r>
          </w:p>
        </w:tc>
        <w:tc>
          <w:tcPr>
            <w:tcW w:w="0" w:type="dxa"/>
            <w:vAlign w:val="bottom"/>
          </w:tcPr>
          <w:p>
            <w:pPr>
              <w:spacing w:after="0"/>
              <w:rPr>
                <w:sz w:val="1"/>
                <w:szCs w:val="1"/>
                <w:color w:val="auto"/>
              </w:rPr>
            </w:pPr>
          </w:p>
        </w:tc>
      </w:tr>
      <w:tr>
        <w:trPr>
          <w:trHeight w:val="20"/>
        </w:trPr>
        <w:tc>
          <w:tcPr>
            <w:tcW w:w="78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application-specific standard products. The Company’s core strength of expertise is the development of complex System-on-a-Chip and System-in-a-Package devices, leveraging its extensive technology portfolio of intellectual property in the areas of analog, mixed-signal, digital signal processing, and embedded and stand alone integrated circuits. The majority of the Company’s product portfolio leverages the ARM technology portfolio. The Company also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connectivity, Internet-of-Things devices and other consumer electronics.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2015 and 2014 each had a 52-week period, and fiscal 2013 had a 53-week period.</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time deposits, U.S. government and agency debt, municipal debt securities, corporate debt securities and money market funds.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Investments</w:t>
      </w:r>
    </w:p>
    <w:p>
      <w:pPr>
        <w:spacing w:after="0" w:line="9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Company’s marketable investments are classified as available-for-sale and are reported at fair value. The Company determines any realized gains or losses on the sale of available-for-sale securities on a specific</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00"/>
          </w:cols>
          <w:pgMar w:left="240" w:top="459" w:right="2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323" w:lineRule="auto"/>
        <w:rPr>
          <w:sz w:val="20"/>
          <w:szCs w:val="20"/>
          <w:color w:val="auto"/>
        </w:rPr>
      </w:pPr>
      <w:r>
        <w:rPr>
          <w:rFonts w:ascii="Arial" w:cs="Arial" w:eastAsia="Arial" w:hAnsi="Arial"/>
          <w:sz w:val="15"/>
          <w:szCs w:val="15"/>
          <w:color w:val="auto"/>
        </w:rPr>
        <w:t>identification method, and such gains and losses are recorded as a component of interest and other income, net. Unrealized gains and losses of the available-for-sale securities are excluded from earnings and reported as a component of accumulated other comprehensive income. The Company assesses whether an other-than-temporary impairment loss on its available-for-sale securities has occurred due to declines in fair value or other market conditions. Declines in fair value that are considered other-than-temporary are recorded as an impairment of investments in interest and other income, net in the consolidated statements of operations.</w:t>
      </w:r>
    </w:p>
    <w:p>
      <w:pPr>
        <w:spacing w:after="0" w:line="98"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If the Company has the ability to exercise significant influence over the investee, but not control, or if the investee is a partnership type investment, the Company accounts for the investments under the equity method. If the Company does not have the ability to exercise significant influence over the operations of the investee, the Company accounts for the investment under the cost method. Investments in privately-held companies are included in other non-current assets.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9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If a debt security’s market value is below amortized cost and the Company either intends to sell the security or it is more likely than not that the Company will be required to sell the security before its anticipated recovery, the Company records an other-than-temporary impairment charge to interest and other income, net in the consolidated statements of operations.</w:t>
      </w:r>
    </w:p>
    <w:p>
      <w:pPr>
        <w:spacing w:after="0" w:line="14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Investments in privately-held companies are subject to a periodic impairment review. Investments are considered impaired when the fair value is below the investment’s cost basis and the decline in value is judged to be other-than-temporary. This assessment is based on a qualitative and quantitative analysis, including, but not limited to, the investee’s revenue and earnings trends, available cash and liquidity, and the status of the investee’s products and the related market for such products. During fiscal 2014, the Company recorded a charge of $1.5 million to write down equity investments that were considered to be impaired. There were no such charges recorded in fiscal 2015 and 2013.</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9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For derivative instruments that hedge the exposure to variability in expected future cash flows and are designated as cash flow hedges, the effective portion of the gain or loss on the derivative instrument is reported as a component of accumulated other comprehensive income in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 Derivatives that are not designated as hedges must be adjusted to fair value through earnings.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9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Financial instruments that potentially subject the Company to a significant concentration of credit risk consist principally of cash equivalents, short-term investments and accounts receivable. Cash, cash equivalents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00"/>
          </w:cols>
          <w:pgMar w:left="240" w:top="459" w:right="25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40"/>
        <w:spacing w:after="0" w:line="290" w:lineRule="auto"/>
        <w:rPr>
          <w:sz w:val="20"/>
          <w:szCs w:val="20"/>
          <w:color w:val="auto"/>
        </w:rPr>
      </w:pPr>
      <w:r>
        <w:rPr>
          <w:rFonts w:ascii="Arial" w:cs="Arial" w:eastAsia="Arial" w:hAnsi="Arial"/>
          <w:sz w:val="16"/>
          <w:szCs w:val="16"/>
          <w:color w:val="auto"/>
        </w:rPr>
        <w:t>and short-term investments balances are maintained with high-quality financial institutions, the composition and maturities of which are regularly monitored by management. The Company believes that the concentration of credit risk in its trade receivables, which consists of a customer base located primarily in the Asia Pacific Region, is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118"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Company’s accounts receivable was concentrated with two customers at January 31, 2015, representing 15% and 14% of gross accounts receivable, respectively, and with one customer at February 1, 2014, representing 13% of gross accounts receivable.</w:t>
      </w:r>
    </w:p>
    <w:p>
      <w:pPr>
        <w:spacing w:after="0" w:line="132"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The allowance for doubtful accounts at January 31, 2015 and February 1, 2014 was $1.2 million and $1.3 million, respectively. Please see “Note 1 – The Company and its Significant Accounting Policies – Revenue Recognition” for additional information on sales returns and allowances.</w:t>
      </w:r>
    </w:p>
    <w:p>
      <w:pPr>
        <w:spacing w:after="0" w:line="8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the Company’s net revenue. Net revenue from one customer was 20%, 24% and 24% for fiscal 2015, 2014 and 2013, respectively. Net revenue from a second customer was 13%, 12% and 10% for fiscal 2015, 2014 and 2013, respectively. In fiscal 2013, net revenue from a third customer was 10%.</w:t>
      </w:r>
    </w:p>
    <w:p>
      <w:pPr>
        <w:spacing w:after="0" w:line="140" w:lineRule="exact"/>
        <w:rPr>
          <w:sz w:val="20"/>
          <w:szCs w:val="20"/>
          <w:color w:val="auto"/>
        </w:rPr>
      </w:pPr>
    </w:p>
    <w:p>
      <w:pPr>
        <w:jc w:val="both"/>
        <w:ind w:right="240" w:firstLine="456"/>
        <w:spacing w:after="0" w:line="306" w:lineRule="auto"/>
        <w:rPr>
          <w:sz w:val="20"/>
          <w:szCs w:val="20"/>
          <w:color w:val="auto"/>
        </w:rPr>
      </w:pPr>
      <w:r>
        <w:rPr>
          <w:rFonts w:ascii="Arial" w:cs="Arial" w:eastAsia="Arial" w:hAnsi="Arial"/>
          <w:sz w:val="16"/>
          <w:szCs w:val="16"/>
          <w:color w:val="auto"/>
        </w:rPr>
        <w:t>The Company also had net revenue from one distributor representing 11% and 11% for fiscal 2015 and 2013, respectively. No distributors accounted for 10% or greater of total net revenue in fiscal 2014. The Company continuously monitors the creditworthiness of its distributors and believes these distributors’ sales to diverse end customers and to diverse geographies further serve to mitigate the Company’s exposure to credit risk.</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Inventories</w:t>
      </w:r>
    </w:p>
    <w:p>
      <w:pPr>
        <w:spacing w:after="0" w:line="9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The total carrying value of the Company’s inventory is reduced for any difference between cost and estimated market value of inventory that is determined to be excess, obsolete or unsellable inventory based upon assumptions about future demand and market conditions. If actual future demand for the Company’s products is less than currently forecasted, the Company may be required to write inventory down below the current carrying value. Once the carrying value of inventory is reduced, it is maintained until the product to which it relates to is sold or otherwise disposed of. Shipping and handling costs are classified as a component of cost of goods sold in the consolidated statements of operations.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Property and equipment, net, are stated at cost less accumulated depreciation. Depreciation is computed using the straight-line method over the estimated useful lives of the assets, which ranges from three to seven years for machinery and equipment, computer software, and furniture and fixtures. Buildings are depreciated over an estimated useful life of 30 years and building improvements are depreciated over estimated useful lives of 15 years. Leasehold improvements are depreciated using the shorter of the remaining lease term or the estimated useful life of the asset.</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00"/>
          </w:cols>
          <w:pgMar w:left="240" w:top="459" w:right="2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Goodwill is recorded when the consideration paid for a business acquisition exceeds the fair value of net tangible and intangible assets acquired. Goodwill is measured and tested for impairment annually or more frequently if the Company believes indicators of impairment exist. The Company first assesses qualitative factors to determine whether it is more likely than not that the fair value of a reporting unit is less than its carrying amount. If the company concludes that it is more likely than not that the fair value of a reporting unit is less than its carrying amount, then a two-step quantitative impairment test is performed. The first step requires comparing the fair value of the reporting unit to its net book value, including goodwill. As the Company has only one reporting unit, the fair value of the reporting unit is determined by taking the market capitalization of the Company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 charge for the amount of impairment during the fiscal quarter in which the determination is made.</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assesses the impairment of long-lived assets and intangible assets whenever events or changes in circumstances indicate that the carrying amount of long-lived assets may not be recoverable. The Company estimates the future cash flows, undiscounted and without interest charges, expected to be generated by the assets from its use or eventual disposition. If the sum of the expected future cash flows is less than the carrying amount of those assets, the Company recognizes an impairment loss based on the excess of the carrying amount over the fair value of the assets. Please see “Note 7 – Goodwill and Acquired Intangible Assets” for further details regarding impairment of acquisition-related identified intangible assets.</w:t>
      </w:r>
    </w:p>
    <w:p>
      <w:pPr>
        <w:spacing w:after="0" w:line="116"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In-process research and development (“IPR&amp;D”) is not amortized until the completion of the related development.</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9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The functional currency of all of the Company’s non-U.S. operations is the U.S. dollar. Monetary accounts maintained in currencies other than the U.S.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The Company recognizes revenue when there is persuasive evidence of an arrangement, delivery has occurred, the fee is fixed or determinable, and collection is reasonably assured.</w:t>
      </w:r>
    </w:p>
    <w:p>
      <w:pPr>
        <w:spacing w:after="0" w:line="132"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the Company’s sales are made through distributors under agreements allowing for price protection, shipped from stock pricing adjustment rights, and limited rights of stock rotation on products unsold by the distributors. Although title passes to the distributor upon shipment terms</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380"/>
          </w:cols>
          <w:pgMar w:left="240" w:top="459" w:right="27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40"/>
        <w:spacing w:after="0" w:line="294" w:lineRule="auto"/>
        <w:rPr>
          <w:sz w:val="20"/>
          <w:szCs w:val="20"/>
          <w:color w:val="auto"/>
        </w:rPr>
      </w:pPr>
      <w:r>
        <w:rPr>
          <w:rFonts w:ascii="Arial" w:cs="Arial" w:eastAsia="Arial" w:hAnsi="Arial"/>
          <w:sz w:val="16"/>
          <w:szCs w:val="16"/>
          <w:color w:val="auto"/>
        </w:rPr>
        <w:t>and payment by the Company’s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w:t>
      </w:r>
    </w:p>
    <w:p>
      <w:pPr>
        <w:spacing w:after="0" w:line="116"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A portion of the Company’s net revenue is derived from sales through third-party logistics providers, who maintain warehouses in close proximity to the customer’s facilities. Revenue from sales through these third-party logistics providers is not recognized until the product is pulled from stock by the end customer.</w:t>
      </w:r>
    </w:p>
    <w:p>
      <w:pPr>
        <w:spacing w:after="0" w:line="8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agreed to with the customer.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Advertising costs are expensed as incurred.</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Share-based compensation is measured at the grant date, based on the fair value of the award, and is recognized as expense over the requisite service period. The Company amortizes share-based compensation expense for time-based and market-based awards under the straight-line attribution method over the vesting period, which is generally four years for annual grants to employees and five years for new hire grants. Performance-based awards are amortized using the accelerated method. For stock purchase rights under the stock purchase plan, the company amortized share-based compensation expense ratably over the two-year offering period.</w:t>
      </w:r>
    </w:p>
    <w:p>
      <w:pPr>
        <w:spacing w:after="0" w:line="14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Company estimates the fair value of time-based stock option and stock purchase awards on the date of grant using the Black Scholes option-pricing model. The fair value of market-based stock option awards is estimated on the date of grant using a Monte Carlo simulation model. The value of the portion of the awards that is ultimately expected to vest is recognized as expense over the requisite service periods. The Black Scholes and Monte Carlo models incorporate various highly subjective assumptions including expected term of awards, expected future stock price volatility and expected forfeiture rates.</w:t>
      </w:r>
    </w:p>
    <w:p>
      <w:pPr>
        <w:spacing w:after="0" w:line="11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developing estimates used to calculate assumptions, the Company establishes the expected term for employee stock options, as well as expected forfeiture rates, based on the historical settlement experience and after giving consideration to vesting schedules. Assumptions for stock option exercises and pre-vesting terminations of stock options were stratified by employee groups with sufficiently distinct behavior patterns. Expected volatility was developed based on equally weighted combination of historical stock price volatility and implied volatility derived from traded options on the Company’s stock in the marketplace. The expected dividend yield is calculated by dividing annualized dividend payments by the closing stock price on the grant date of the option.</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Share-based compensation expense is recorded net of estimated forfeitures such that expense is recorded only for those share-based awards that are expected to vest. Previously recognized expense is reversed for the portion of awards forfeited prior to vesting as and when forfeitures occurred.</w:t>
      </w:r>
    </w:p>
    <w:p>
      <w:pPr>
        <w:spacing w:after="0" w:line="10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Comprehensive income is comprised of net income and unrealized gains and losses, net of tax, on available-for-sale securities, auction rate securities and cash flow hedges. Accumulated other comprehensive income, as presented on the accompanying balance sheets, consists of net unrealized gains and losses on available-for-sale securities, auction rate securities and cash flow hedges, net of tax.</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14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 valuation allowance must be established for deferred tax assets when it is more likely than not that they will not be realized. Based on the available evidence and judgment, the Company has determined that it is more likely than not that U.S. research credits and certain acquired net operating losses will not be realized and therefore the Company has provided a full valuation allowance against these credits. If there is a change in the Company’s ability to realize its deferred tax assets, then the Company’s tax provision may decrease in the period in which it determines that realization is more likely than not.</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Company is subject to income tax audits by the respective tax authorities in each jurisdiction in which the Company operates. The Company recognizes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The Company records interest and penalties related to unrecognized tax benefits in income tax expense.</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The Company’s products carry a standard 90 day warranty, with certain exceptions in which the warranty period can extend to more than one year based on contractual agreements. The warranty accrual is primarily estimated based on historical claims compared to historical revenues and assumes that the Company will have to replace products subject to a claim. From time to time, the Company becomes aware of specific warranty situations, and it records specific accruals to cover these exposures.</w:t>
      </w:r>
    </w:p>
    <w:p>
      <w:pPr>
        <w:spacing w:after="0" w:line="12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340"/>
          </w:cols>
          <w:pgMar w:left="240" w:top="459" w:right="31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Accounting Pronouncements Recently Adopted</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July 2013, the Financial Accounting Standards Board (“FASB”) issued an amendment to the accounting guidance related to the financial statement presentation of an unrecognized tax benefit. The guidance requires an unrecognized tax benefit, or a portion of an unrecognized tax benefit, to be presented in the financial statements as a reduction to a deferred tax asset when a net operating loss carryforward, a similar tax loss or a tax credit carryforward is available at the reporting date. The Company adopted this guidance in fiscal 2015 on a prospective basis and presented a portion of its unrecognized tax benefits as a reduction of its deferred tax assets on the face of the consolidated balance sheet as of January 31, 2015. See also “Note 9 — Income Taxes” in the Notes to the Consolidated Financial Statements.”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Accounting Pronouncements Not Yet Effective</w:t>
      </w:r>
    </w:p>
    <w:p>
      <w:pPr>
        <w:spacing w:after="0" w:line="90"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In April 2014, the FASB issued an amendment to its guidance regarding the reporting requirements of discontinued operations. Under this amended guidance, a discontinued operation is defined as a disposal of a component or group of components that is disposed of or is classified as held for sale and represents a strategic shift that has (or will have) a major effect on an entity’s operations and financial results. In addition, this amendment requires an entity to present, for each comparative period, the assets and liabilities of a disposal group that includes a discontinued operation separately in the asset and liability sections, respectively, of the statement of financial position and additional disclosures about discontinued operations. This amended guidance is effective for annual and interim reporting periods beginning after December 15, 2014. The Company expects this guidance to have an impact on its financial statements only in the event of a future disposition which meets the criteria.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May 2014, the FASB issued a new standard on the recognition of revenue from contracts with customers, which will supersede nearly all existing revenue recognition guidance under GAAP. The core principal of the standard is that an entity should recognize revenue when a customer has control of promised goods or services in an amount that reflects the consideration to which the entity expects to be entitled in exchange for those goods or services. It also requires additional disclosure about the nature, amount, timing and uncertainty of revenue and cash flows arising from customer contracts, and assets recognized from costs incurred to obtain or fulfill a contract, including significant judgments and changes in judgments. This standard is effective for annual and interim reporting periods beginning after December 15, 2016 and will be effective for the Company’s first quarter of fiscal 2018. Early adoption is not permitted. The standard allows for either full retrospective or modified retrospective adoption. The Company is evaluating the transition method that will be elected and the potential effects of adoption on its financial statements.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Acquisitions and Divestitures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had no acquisitions or divestitures in fiscal 2015.</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Acquisitions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i w:val="1"/>
          <w:iCs w:val="1"/>
          <w:color w:val="auto"/>
        </w:rPr>
        <w:t xml:space="preserve">Fiscal 2014 and 2013. </w:t>
      </w:r>
      <w:r>
        <w:rPr>
          <w:rFonts w:ascii="Arial" w:cs="Arial" w:eastAsia="Arial" w:hAnsi="Arial"/>
          <w:sz w:val="16"/>
          <w:szCs w:val="16"/>
          <w:color w:val="auto"/>
        </w:rPr>
        <w:t>Acquisitions completed by the Company during fiscal 2014 or 2013 were not significant individually or in the aggregate.</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Divestiture</w:t>
      </w:r>
    </w:p>
    <w:p>
      <w:pPr>
        <w:spacing w:after="0" w:line="84" w:lineRule="exact"/>
        <w:rPr>
          <w:sz w:val="20"/>
          <w:szCs w:val="20"/>
          <w:color w:val="auto"/>
        </w:rPr>
      </w:pPr>
    </w:p>
    <w:p>
      <w:pPr>
        <w:ind w:right="120" w:firstLine="456"/>
        <w:spacing w:after="0" w:line="275" w:lineRule="auto"/>
        <w:rPr>
          <w:sz w:val="20"/>
          <w:szCs w:val="20"/>
          <w:color w:val="auto"/>
        </w:rPr>
      </w:pPr>
      <w:r>
        <w:rPr>
          <w:rFonts w:ascii="Arial" w:cs="Arial" w:eastAsia="Arial" w:hAnsi="Arial"/>
          <w:sz w:val="18"/>
          <w:szCs w:val="18"/>
          <w:i w:val="1"/>
          <w:iCs w:val="1"/>
          <w:color w:val="auto"/>
        </w:rPr>
        <w:t>Fiscal 2014</w:t>
      </w:r>
      <w:r>
        <w:rPr>
          <w:rFonts w:ascii="Arial" w:cs="Arial" w:eastAsia="Arial" w:hAnsi="Arial"/>
          <w:sz w:val="18"/>
          <w:szCs w:val="18"/>
          <w:b w:val="1"/>
          <w:bCs w:val="1"/>
          <w:color w:val="auto"/>
        </w:rPr>
        <w:t>.</w:t>
      </w:r>
      <w:r>
        <w:rPr>
          <w:rFonts w:ascii="Arial" w:cs="Arial" w:eastAsia="Arial" w:hAnsi="Arial"/>
          <w:sz w:val="18"/>
          <w:szCs w:val="18"/>
          <w:i w:val="1"/>
          <w:iCs w:val="1"/>
          <w:color w:val="auto"/>
        </w:rPr>
        <w:t xml:space="preserve"> </w:t>
      </w:r>
      <w:r>
        <w:rPr>
          <w:rFonts w:ascii="Arial" w:cs="Arial" w:eastAsia="Arial" w:hAnsi="Arial"/>
          <w:sz w:val="18"/>
          <w:szCs w:val="18"/>
          <w:color w:val="auto"/>
        </w:rPr>
        <w:t>The Company exited one of its businesses and sold certain assets to an unrelated third party as part of cost reduction efforts related to related</w:t>
      </w:r>
      <w:r>
        <w:rPr>
          <w:rFonts w:ascii="Arial" w:cs="Arial" w:eastAsia="Arial" w:hAnsi="Arial"/>
          <w:sz w:val="18"/>
          <w:szCs w:val="18"/>
          <w:i w:val="1"/>
          <w:iCs w:val="1"/>
          <w:color w:val="auto"/>
        </w:rPr>
        <w:t xml:space="preserve"> </w:t>
      </w:r>
      <w:r>
        <w:rPr>
          <w:rFonts w:ascii="Arial" w:cs="Arial" w:eastAsia="Arial" w:hAnsi="Arial"/>
          <w:sz w:val="18"/>
          <w:szCs w:val="18"/>
          <w:color w:val="auto"/>
        </w:rPr>
        <w:t>restructuring actions in fiscal 2014. See “Note 8 – Restructuring”</w:t>
      </w:r>
    </w:p>
    <w:p>
      <w:pPr>
        <w:spacing w:after="0" w:line="11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00"/>
          </w:cols>
          <w:pgMar w:left="240" w:top="459" w:right="25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spacing w:after="0" w:line="294" w:lineRule="auto"/>
        <w:rPr>
          <w:sz w:val="20"/>
          <w:szCs w:val="20"/>
          <w:color w:val="auto"/>
        </w:rPr>
      </w:pPr>
      <w:r>
        <w:rPr>
          <w:rFonts w:ascii="Arial" w:cs="Arial" w:eastAsia="Arial" w:hAnsi="Arial"/>
          <w:sz w:val="16"/>
          <w:szCs w:val="16"/>
          <w:color w:val="auto"/>
        </w:rPr>
        <w:t>for further information. The transaction primarily included the sale of intellectual property and equipment with a carrying value of $0.1 million. The Company also wrote off $2.6 million of goodwill allocated to the business based on the relative fair values of the business and the Company’s remaining reporting unit. The buyer also hired the former employees of the business. As part of the transaction, the Company received a license to the intellectual property it sold. It also entered into a separate support services agreement with the buyer to cover an 18-month period. As a result of the sale of this business, the Company recorded a gain of $7.0 million, which is included in interest and other income, net, in the consolidated statement of operations.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6"/>
          </w:tcPr>
          <w:p>
            <w:pPr>
              <w:jc w:val="right"/>
              <w:ind w:right="520"/>
              <w:spacing w:after="0"/>
              <w:rPr>
                <w:sz w:val="20"/>
                <w:szCs w:val="20"/>
                <w:color w:val="auto"/>
              </w:rPr>
            </w:pPr>
            <w:r>
              <w:rPr>
                <w:rFonts w:ascii="Arial" w:cs="Arial" w:eastAsia="Arial" w:hAnsi="Arial"/>
                <w:sz w:val="14"/>
                <w:szCs w:val="14"/>
                <w:b w:val="1"/>
                <w:bCs w:val="1"/>
                <w:color w:val="auto"/>
                <w:w w:val="94"/>
              </w:rPr>
              <w:t>As of January 31, 2015</w:t>
            </w: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320" w:type="dxa"/>
            <w:vAlign w:val="bottom"/>
          </w:tcPr>
          <w:p>
            <w:pPr>
              <w:spacing w:after="0"/>
              <w:rPr>
                <w:sz w:val="11"/>
                <w:szCs w:val="11"/>
                <w:color w:val="auto"/>
              </w:rPr>
            </w:pPr>
          </w:p>
        </w:tc>
        <w:tc>
          <w:tcPr>
            <w:tcW w:w="2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2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8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5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Available-for-sale:</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983,008</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3,872</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(563)</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178,898</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265</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(7)</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91,432</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108</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28,051</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61</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(2)</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33,421</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47</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40" w:type="dxa"/>
            <w:vAlign w:val="bottom"/>
            <w:gridSpan w:val="2"/>
            <w:vMerge w:val="continue"/>
          </w:tcPr>
          <w:p>
            <w:pPr>
              <w:spacing w:after="0"/>
              <w:rPr>
                <w:sz w:val="19"/>
                <w:szCs w:val="19"/>
                <w:color w:val="auto"/>
              </w:rPr>
            </w:pPr>
          </w:p>
        </w:tc>
        <w:tc>
          <w:tcPr>
            <w:tcW w:w="2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1,314,810</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4,353</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(585)</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1,318,578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Available-for-sale:</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12,500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(2,274)</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2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320" w:type="dxa"/>
            <w:vAlign w:val="bottom"/>
            <w:vMerge w:val="continue"/>
          </w:tcPr>
          <w:p>
            <w:pPr>
              <w:spacing w:after="0"/>
              <w:rPr>
                <w:sz w:val="19"/>
                <w:szCs w:val="19"/>
                <w:color w:val="auto"/>
              </w:rPr>
            </w:pPr>
          </w:p>
        </w:tc>
        <w:tc>
          <w:tcPr>
            <w:tcW w:w="2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12,500</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(2,274)</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320" w:type="dxa"/>
            <w:vAlign w:val="bottom"/>
          </w:tcPr>
          <w:p>
            <w:pPr>
              <w:spacing w:after="0"/>
              <w:rPr>
                <w:sz w:val="2"/>
                <w:szCs w:val="2"/>
                <w:color w:val="auto"/>
              </w:rPr>
            </w:pPr>
          </w:p>
        </w:tc>
        <w:tc>
          <w:tcPr>
            <w:tcW w:w="2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1,327,310</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4,353</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(2,859)</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1,328,804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2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960" w:type="dxa"/>
            <w:vAlign w:val="bottom"/>
            <w:tcBorders>
              <w:bottom w:val="single" w:sz="8" w:color="auto"/>
            </w:tcBorders>
            <w:gridSpan w:val="6"/>
          </w:tcPr>
          <w:p>
            <w:pPr>
              <w:jc w:val="right"/>
              <w:ind w:right="520"/>
              <w:spacing w:after="0"/>
              <w:rPr>
                <w:sz w:val="20"/>
                <w:szCs w:val="20"/>
                <w:color w:val="auto"/>
              </w:rPr>
            </w:pPr>
            <w:r>
              <w:rPr>
                <w:rFonts w:ascii="Arial" w:cs="Arial" w:eastAsia="Arial" w:hAnsi="Arial"/>
                <w:sz w:val="14"/>
                <w:szCs w:val="14"/>
                <w:b w:val="1"/>
                <w:bCs w:val="1"/>
                <w:color w:val="auto"/>
                <w:w w:val="95"/>
              </w:rPr>
              <w:t>As of February 1, 2014</w:t>
            </w:r>
          </w:p>
        </w:tc>
        <w:tc>
          <w:tcPr>
            <w:tcW w:w="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320" w:type="dxa"/>
            <w:vAlign w:val="bottom"/>
          </w:tcPr>
          <w:p>
            <w:pPr>
              <w:spacing w:after="0"/>
              <w:rPr>
                <w:sz w:val="11"/>
                <w:szCs w:val="11"/>
                <w:color w:val="auto"/>
              </w:rPr>
            </w:pPr>
          </w:p>
        </w:tc>
        <w:tc>
          <w:tcPr>
            <w:tcW w:w="2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2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8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5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Available-for-sale:</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587,095</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2,789</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(370)</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301,423</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128</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(72)</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76,220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89</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(38)</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20,324</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12</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(44)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16,059</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40" w:type="dxa"/>
            <w:vAlign w:val="bottom"/>
            <w:gridSpan w:val="2"/>
            <w:vMerge w:val="continue"/>
          </w:tcPr>
          <w:p>
            <w:pPr>
              <w:spacing w:after="0"/>
              <w:rPr>
                <w:sz w:val="19"/>
                <w:szCs w:val="19"/>
                <w:color w:val="auto"/>
              </w:rPr>
            </w:pPr>
          </w:p>
        </w:tc>
        <w:tc>
          <w:tcPr>
            <w:tcW w:w="2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1,001,121</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3,062</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(528)</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1,003,655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Available-for-sale:</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19,150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(2,871)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2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320" w:type="dxa"/>
            <w:vAlign w:val="bottom"/>
            <w:vMerge w:val="continue"/>
          </w:tcPr>
          <w:p>
            <w:pPr>
              <w:spacing w:after="0"/>
              <w:rPr>
                <w:sz w:val="19"/>
                <w:szCs w:val="19"/>
                <w:color w:val="auto"/>
              </w:rPr>
            </w:pPr>
          </w:p>
        </w:tc>
        <w:tc>
          <w:tcPr>
            <w:tcW w:w="2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19,150</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(2,871)</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320" w:type="dxa"/>
            <w:vAlign w:val="bottom"/>
          </w:tcPr>
          <w:p>
            <w:pPr>
              <w:spacing w:after="0"/>
              <w:rPr>
                <w:sz w:val="2"/>
                <w:szCs w:val="2"/>
                <w:color w:val="auto"/>
              </w:rPr>
            </w:pPr>
          </w:p>
        </w:tc>
        <w:tc>
          <w:tcPr>
            <w:tcW w:w="2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1,020,271</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3,062</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(3,399)</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1,019,934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2520" w:type="dxa"/>
            <w:vAlign w:val="bottom"/>
            <w:vMerge w:val="restart"/>
          </w:tcPr>
          <w:p>
            <w:pPr>
              <w:jc w:val="right"/>
              <w:ind w:right="972"/>
              <w:spacing w:after="0"/>
              <w:rPr>
                <w:sz w:val="20"/>
                <w:szCs w:val="20"/>
                <w:color w:val="auto"/>
              </w:rPr>
            </w:pPr>
            <w:r>
              <w:rPr>
                <w:rFonts w:ascii="Arial" w:cs="Arial" w:eastAsia="Arial" w:hAnsi="Arial"/>
                <w:sz w:val="18"/>
                <w:szCs w:val="18"/>
                <w:color w:val="auto"/>
              </w:rPr>
              <w:t>68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25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firstLine="456"/>
        <w:spacing w:after="0" w:line="287" w:lineRule="auto"/>
        <w:rPr>
          <w:sz w:val="20"/>
          <w:szCs w:val="20"/>
          <w:color w:val="auto"/>
        </w:rPr>
      </w:pPr>
      <w:r>
        <w:rPr>
          <w:rFonts w:ascii="Arial" w:cs="Arial" w:eastAsia="Arial" w:hAnsi="Arial"/>
          <w:sz w:val="16"/>
          <w:szCs w:val="16"/>
          <w:color w:val="auto"/>
        </w:rPr>
        <w:t>As of January 31, 2015, the Company’s investment portfolio included auction rate securities with an aggregate par value of $12.5 million. Although these securities have continued to pay interest and show an improvement in the underlying collateralization, there is currently limited trading volume.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January 31, 2015 was $2.3 million less than the par value and was recorded in long-term investments. Based on the Company’s balance of approximately $2.5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available-for-sales securities are presented in the following table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gridSpan w:val="3"/>
          </w:tcPr>
          <w:p>
            <w:pPr>
              <w:jc w:val="center"/>
              <w:ind w:right="40"/>
              <w:spacing w:after="0"/>
              <w:rPr>
                <w:sz w:val="20"/>
                <w:szCs w:val="20"/>
                <w:color w:val="auto"/>
              </w:rPr>
            </w:pPr>
            <w:r>
              <w:rPr>
                <w:rFonts w:ascii="Arial" w:cs="Arial" w:eastAsia="Arial" w:hAnsi="Arial"/>
                <w:sz w:val="14"/>
                <w:szCs w:val="14"/>
                <w:b w:val="1"/>
                <w:bCs w:val="1"/>
                <w:color w:val="auto"/>
                <w:w w:val="88"/>
              </w:rPr>
              <w:t>Year Ended</w:t>
            </w: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gridSpan w:val="3"/>
          </w:tcPr>
          <w:p>
            <w:pPr>
              <w:jc w:val="center"/>
              <w:ind w:right="60"/>
              <w:spacing w:after="0" w:line="129" w:lineRule="exact"/>
              <w:rPr>
                <w:sz w:val="20"/>
                <w:szCs w:val="20"/>
                <w:color w:val="auto"/>
              </w:rPr>
            </w:pPr>
            <w:r>
              <w:rPr>
                <w:rFonts w:ascii="Arial" w:cs="Arial" w:eastAsia="Arial" w:hAnsi="Arial"/>
                <w:sz w:val="14"/>
                <w:szCs w:val="14"/>
                <w:b w:val="1"/>
                <w:bCs w:val="1"/>
                <w:color w:val="auto"/>
                <w:w w:val="92"/>
              </w:rPr>
              <w:t>February 1,</w:t>
            </w:r>
          </w:p>
        </w:tc>
        <w:tc>
          <w:tcPr>
            <w:tcW w:w="4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7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rPr>
              <w:t>2015</w:t>
            </w:r>
          </w:p>
        </w:tc>
        <w:tc>
          <w:tcPr>
            <w:tcW w:w="12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center"/>
              <w:ind w:right="59"/>
              <w:spacing w:after="0"/>
              <w:rPr>
                <w:sz w:val="20"/>
                <w:szCs w:val="20"/>
                <w:color w:val="auto"/>
              </w:rPr>
            </w:pPr>
            <w:r>
              <w:rPr>
                <w:rFonts w:ascii="Arial" w:cs="Arial" w:eastAsia="Arial" w:hAnsi="Arial"/>
                <w:sz w:val="14"/>
                <w:szCs w:val="14"/>
                <w:b w:val="1"/>
                <w:bCs w:val="1"/>
                <w:color w:val="auto"/>
                <w:w w:val="83"/>
              </w:rPr>
              <w:t>2014</w:t>
            </w:r>
          </w:p>
        </w:tc>
        <w:tc>
          <w:tcPr>
            <w:tcW w:w="6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7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1,567</w:t>
            </w:r>
          </w:p>
        </w:tc>
        <w:tc>
          <w:tcPr>
            <w:tcW w:w="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720" w:type="dxa"/>
            <w:vAlign w:val="bottom"/>
          </w:tcPr>
          <w:p>
            <w:pPr>
              <w:spacing w:after="0"/>
              <w:rPr>
                <w:sz w:val="20"/>
                <w:szCs w:val="20"/>
                <w:color w:val="auto"/>
              </w:rPr>
            </w:pPr>
            <w:r>
              <w:rPr>
                <w:rFonts w:ascii="Arial" w:cs="Arial" w:eastAsia="Arial" w:hAnsi="Arial"/>
                <w:sz w:val="18"/>
                <w:szCs w:val="18"/>
                <w:color w:val="auto"/>
              </w:rPr>
              <w:t>Gross realized losses</w:t>
            </w: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80"/>
              <w:spacing w:after="0"/>
              <w:rPr>
                <w:sz w:val="20"/>
                <w:szCs w:val="20"/>
                <w:color w:val="auto"/>
              </w:rPr>
            </w:pPr>
            <w:r>
              <w:rPr>
                <w:rFonts w:ascii="Arial" w:cs="Arial" w:eastAsia="Arial" w:hAnsi="Arial"/>
                <w:sz w:val="18"/>
                <w:szCs w:val="18"/>
                <w:color w:val="auto"/>
              </w:rPr>
              <w:t>(169)</w:t>
            </w:r>
          </w:p>
        </w:tc>
        <w:tc>
          <w:tcPr>
            <w:tcW w:w="4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(268)</w:t>
            </w:r>
          </w:p>
        </w:tc>
        <w:tc>
          <w:tcPr>
            <w:tcW w:w="4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(319)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tcBorders>
              <w:top w:val="single" w:sz="8" w:color="auto"/>
              <w:bottom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1,449</w:t>
            </w:r>
          </w:p>
        </w:tc>
        <w:tc>
          <w:tcPr>
            <w:tcW w:w="120" w:type="dxa"/>
            <w:vAlign w:val="bottom"/>
            <w:shd w:val="clear" w:color="auto" w:fill="CCEEFF"/>
          </w:tcPr>
          <w:p>
            <w:pPr>
              <w:spacing w:after="0"/>
              <w:rPr>
                <w:sz w:val="18"/>
                <w:szCs w:val="18"/>
                <w:color w:val="auto"/>
              </w:rPr>
            </w:pPr>
          </w:p>
        </w:tc>
        <w:tc>
          <w:tcPr>
            <w:tcW w:w="500" w:type="dxa"/>
            <w:vAlign w:val="bottom"/>
            <w:gridSpan w:val="2"/>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1,299</w:t>
            </w:r>
          </w:p>
        </w:tc>
        <w:tc>
          <w:tcPr>
            <w:tcW w:w="60" w:type="dxa"/>
            <w:vAlign w:val="bottom"/>
            <w:shd w:val="clear" w:color="auto" w:fill="CCEEFF"/>
          </w:tcPr>
          <w:p>
            <w:pPr>
              <w:spacing w:after="0"/>
              <w:rPr>
                <w:sz w:val="18"/>
                <w:szCs w:val="18"/>
                <w:color w:val="auto"/>
              </w:rPr>
            </w:pPr>
          </w:p>
        </w:tc>
        <w:tc>
          <w:tcPr>
            <w:tcW w:w="580" w:type="dxa"/>
            <w:vAlign w:val="bottom"/>
            <w:gridSpan w:val="2"/>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00" w:type="dxa"/>
            <w:vAlign w:val="bottom"/>
            <w:gridSpan w:val="7"/>
            <w:vMerge w:val="restart"/>
          </w:tcPr>
          <w:p>
            <w:pPr>
              <w:spacing w:after="0"/>
              <w:rPr>
                <w:sz w:val="20"/>
                <w:szCs w:val="20"/>
                <w:color w:val="auto"/>
              </w:rPr>
            </w:pPr>
            <w:r>
              <w:rPr>
                <w:rFonts w:ascii="Arial" w:cs="Arial" w:eastAsia="Arial" w:hAnsi="Arial"/>
                <w:sz w:val="18"/>
                <w:szCs w:val="18"/>
                <w:color w:val="auto"/>
                <w:w w:val="90"/>
              </w:rPr>
              <w:t>The contractual maturities of available-for-sale securities are presented in the following table (in thousands):</w:t>
            </w:r>
          </w:p>
        </w:tc>
        <w:tc>
          <w:tcPr>
            <w:tcW w:w="16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7800" w:type="dxa"/>
            <w:vAlign w:val="bottom"/>
            <w:gridSpan w:val="7"/>
            <w:vMerge w:val="continue"/>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6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960" w:type="dxa"/>
            <w:vAlign w:val="bottom"/>
            <w:gridSpan w:val="8"/>
          </w:tcPr>
          <w:p>
            <w:pPr>
              <w:jc w:val="right"/>
              <w:ind w:right="520"/>
              <w:spacing w:after="0"/>
              <w:rPr>
                <w:sz w:val="20"/>
                <w:szCs w:val="20"/>
                <w:color w:val="auto"/>
              </w:rPr>
            </w:pPr>
            <w:r>
              <w:rPr>
                <w:rFonts w:ascii="Arial" w:cs="Arial" w:eastAsia="Arial" w:hAnsi="Arial"/>
                <w:sz w:val="14"/>
                <w:szCs w:val="14"/>
                <w:b w:val="1"/>
                <w:bCs w:val="1"/>
                <w:color w:val="auto"/>
              </w:rPr>
              <w:t>January 31, 2015</w:t>
            </w:r>
          </w:p>
        </w:tc>
        <w:tc>
          <w:tcPr>
            <w:tcW w:w="4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0" w:type="dxa"/>
            <w:vAlign w:val="bottom"/>
            <w:gridSpan w:val="7"/>
          </w:tcPr>
          <w:p>
            <w:pPr>
              <w:jc w:val="right"/>
              <w:ind w:right="660"/>
              <w:spacing w:after="0"/>
              <w:rPr>
                <w:sz w:val="20"/>
                <w:szCs w:val="20"/>
                <w:color w:val="auto"/>
              </w:rPr>
            </w:pPr>
            <w:r>
              <w:rPr>
                <w:rFonts w:ascii="Arial" w:cs="Arial" w:eastAsia="Arial" w:hAnsi="Arial"/>
                <w:sz w:val="14"/>
                <w:szCs w:val="14"/>
                <w:b w:val="1"/>
                <w:bCs w:val="1"/>
                <w:color w:val="auto"/>
              </w:rPr>
              <w:t>February 1, 2014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gridSpan w:val="3"/>
          </w:tcPr>
          <w:p>
            <w:pPr>
              <w:jc w:val="center"/>
              <w:ind w:right="340"/>
              <w:spacing w:after="0" w:line="129" w:lineRule="exact"/>
              <w:rPr>
                <w:sz w:val="20"/>
                <w:szCs w:val="20"/>
                <w:color w:val="auto"/>
              </w:rPr>
            </w:pPr>
            <w:r>
              <w:rPr>
                <w:rFonts w:ascii="Arial" w:cs="Arial" w:eastAsia="Arial" w:hAnsi="Arial"/>
                <w:sz w:val="14"/>
                <w:szCs w:val="14"/>
                <w:b w:val="1"/>
                <w:bCs w:val="1"/>
                <w:color w:val="auto"/>
                <w:w w:val="87"/>
              </w:rPr>
              <w:t>Amortized</w:t>
            </w:r>
          </w:p>
        </w:tc>
        <w:tc>
          <w:tcPr>
            <w:tcW w:w="16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jc w:val="right"/>
              <w:ind w:right="100"/>
              <w:spacing w:after="0" w:line="129" w:lineRule="exact"/>
              <w:rPr>
                <w:sz w:val="20"/>
                <w:szCs w:val="20"/>
                <w:color w:val="auto"/>
              </w:rPr>
            </w:pPr>
            <w:r>
              <w:rPr>
                <w:rFonts w:ascii="Arial" w:cs="Arial" w:eastAsia="Arial" w:hAnsi="Arial"/>
                <w:sz w:val="14"/>
                <w:szCs w:val="14"/>
                <w:b w:val="1"/>
                <w:bCs w:val="1"/>
                <w:color w:val="auto"/>
                <w:w w:val="86"/>
              </w:rPr>
              <w:t>Estimated</w:t>
            </w:r>
          </w:p>
        </w:tc>
        <w:tc>
          <w:tcPr>
            <w:tcW w:w="440" w:type="dxa"/>
            <w:vAlign w:val="bottom"/>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3"/>
          </w:tcPr>
          <w:p>
            <w:pPr>
              <w:jc w:val="center"/>
              <w:ind w:right="60"/>
              <w:spacing w:after="0" w:line="129" w:lineRule="exact"/>
              <w:rPr>
                <w:sz w:val="20"/>
                <w:szCs w:val="20"/>
                <w:color w:val="auto"/>
              </w:rPr>
            </w:pPr>
            <w:r>
              <w:rPr>
                <w:rFonts w:ascii="Arial" w:cs="Arial" w:eastAsia="Arial" w:hAnsi="Arial"/>
                <w:sz w:val="14"/>
                <w:szCs w:val="14"/>
                <w:b w:val="1"/>
                <w:bCs w:val="1"/>
                <w:color w:val="auto"/>
                <w:w w:val="90"/>
              </w:rPr>
              <w:t>Amortized</w:t>
            </w:r>
          </w:p>
        </w:tc>
        <w:tc>
          <w:tcPr>
            <w:tcW w:w="44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gridSpan w:val="3"/>
          </w:tcPr>
          <w:p>
            <w:pPr>
              <w:jc w:val="right"/>
              <w:ind w:right="55"/>
              <w:spacing w:after="0" w:line="129" w:lineRule="exact"/>
              <w:rPr>
                <w:sz w:val="20"/>
                <w:szCs w:val="20"/>
                <w:color w:val="auto"/>
              </w:rPr>
            </w:pPr>
            <w:r>
              <w:rPr>
                <w:rFonts w:ascii="Arial" w:cs="Arial" w:eastAsia="Arial" w:hAnsi="Arial"/>
                <w:sz w:val="14"/>
                <w:szCs w:val="14"/>
                <w:b w:val="1"/>
                <w:bCs w:val="1"/>
                <w:color w:val="auto"/>
              </w:rPr>
              <w:t>Estimated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8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89"/>
              </w:rPr>
              <w:t>Cost</w:t>
            </w: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w w:val="86"/>
              </w:rPr>
              <w:t>Fair Value</w:t>
            </w:r>
          </w:p>
        </w:tc>
        <w:tc>
          <w:tcPr>
            <w:tcW w:w="4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3"/>
              </w:rPr>
              <w:t>Cost</w:t>
            </w:r>
          </w:p>
        </w:tc>
        <w:tc>
          <w:tcPr>
            <w:tcW w:w="440" w:type="dxa"/>
            <w:vAlign w:val="bottom"/>
          </w:tcPr>
          <w:p>
            <w:pPr>
              <w:spacing w:after="0"/>
              <w:rPr>
                <w:sz w:val="14"/>
                <w:szCs w:val="14"/>
                <w:color w:val="auto"/>
              </w:rPr>
            </w:pPr>
          </w:p>
        </w:tc>
        <w:tc>
          <w:tcPr>
            <w:tcW w:w="94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7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361,108</w:t>
            </w:r>
          </w:p>
        </w:tc>
        <w:tc>
          <w:tcPr>
            <w:tcW w:w="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gridSpan w:val="2"/>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361,396</w:t>
            </w:r>
          </w:p>
        </w:tc>
        <w:tc>
          <w:tcPr>
            <w:tcW w:w="4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gridSpan w:val="2"/>
            <w:shd w:val="clear" w:color="auto" w:fill="CCEEFF"/>
          </w:tcPr>
          <w:p>
            <w:pPr>
              <w:jc w:val="right"/>
              <w:ind w:right="44"/>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2"/>
              </w:rPr>
              <w:t>309,543</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309,861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950,702</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954,151</w:t>
            </w:r>
          </w:p>
        </w:tc>
        <w:tc>
          <w:tcPr>
            <w:tcW w:w="4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w w:val="92"/>
              </w:rPr>
              <w:t>686,062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688,280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15,500</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13,257</w:t>
            </w:r>
          </w:p>
        </w:tc>
        <w:tc>
          <w:tcPr>
            <w:tcW w:w="44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24,666</w:t>
            </w:r>
          </w:p>
        </w:tc>
        <w:tc>
          <w:tcPr>
            <w:tcW w:w="4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21,793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720" w:type="dxa"/>
            <w:vAlign w:val="bottom"/>
          </w:tcPr>
          <w:p>
            <w:pPr>
              <w:spacing w:after="0"/>
              <w:rPr>
                <w:sz w:val="19"/>
                <w:szCs w:val="19"/>
                <w:color w:val="auto"/>
              </w:rPr>
            </w:pPr>
          </w:p>
        </w:tc>
        <w:tc>
          <w:tcPr>
            <w:tcW w:w="80" w:type="dxa"/>
            <w:vAlign w:val="bottom"/>
            <w:gridSpan w:val="2"/>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1,327,310</w:t>
            </w:r>
          </w:p>
        </w:tc>
        <w:tc>
          <w:tcPr>
            <w:tcW w:w="240" w:type="dxa"/>
            <w:vAlign w:val="bottom"/>
          </w:tcPr>
          <w:p>
            <w:pPr>
              <w:spacing w:after="0"/>
              <w:rPr>
                <w:sz w:val="19"/>
                <w:szCs w:val="19"/>
                <w:color w:val="auto"/>
              </w:rPr>
            </w:pPr>
          </w:p>
        </w:tc>
        <w:tc>
          <w:tcPr>
            <w:tcW w:w="280" w:type="dxa"/>
            <w:vAlign w:val="bottom"/>
            <w:gridSpan w:val="3"/>
          </w:tcPr>
          <w:p>
            <w:pPr>
              <w:ind w:left="180"/>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84"/>
              </w:rPr>
              <w:t>1,328,804</w:t>
            </w:r>
          </w:p>
        </w:tc>
        <w:tc>
          <w:tcPr>
            <w:tcW w:w="1260" w:type="dxa"/>
            <w:vAlign w:val="bottom"/>
            <w:gridSpan w:val="5"/>
          </w:tcPr>
          <w:p>
            <w:pPr>
              <w:jc w:val="right"/>
              <w:spacing w:after="0"/>
              <w:rPr>
                <w:sz w:val="20"/>
                <w:szCs w:val="20"/>
                <w:color w:val="auto"/>
              </w:rPr>
            </w:pPr>
            <w:r>
              <w:rPr>
                <w:rFonts w:ascii="Arial" w:cs="Arial" w:eastAsia="Arial" w:hAnsi="Arial"/>
                <w:sz w:val="18"/>
                <w:szCs w:val="18"/>
                <w:color w:val="auto"/>
              </w:rPr>
              <w:t>$ 1,020,271</w:t>
            </w:r>
          </w:p>
        </w:tc>
        <w:tc>
          <w:tcPr>
            <w:tcW w:w="1380" w:type="dxa"/>
            <w:vAlign w:val="bottom"/>
            <w:gridSpan w:val="5"/>
          </w:tcPr>
          <w:p>
            <w:pPr>
              <w:jc w:val="right"/>
              <w:ind w:right="100"/>
              <w:spacing w:after="0"/>
              <w:rPr>
                <w:sz w:val="20"/>
                <w:szCs w:val="20"/>
                <w:color w:val="auto"/>
              </w:rPr>
            </w:pPr>
            <w:r>
              <w:rPr>
                <w:rFonts w:ascii="Arial" w:cs="Arial" w:eastAsia="Arial" w:hAnsi="Arial"/>
                <w:sz w:val="18"/>
                <w:szCs w:val="18"/>
                <w:color w:val="auto"/>
              </w:rPr>
              <w:t>$ 1,019,934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640" w:type="dxa"/>
            <w:vAlign w:val="bottom"/>
            <w:tcBorders>
              <w:bottom w:val="single" w:sz="8" w:color="auto"/>
            </w:tcBorders>
            <w:gridSpan w:val="5"/>
          </w:tcPr>
          <w:p>
            <w:pPr>
              <w:jc w:val="right"/>
              <w:ind w:right="440"/>
              <w:spacing w:after="0"/>
              <w:rPr>
                <w:sz w:val="20"/>
                <w:szCs w:val="20"/>
                <w:color w:val="auto"/>
              </w:rPr>
            </w:pPr>
            <w:r>
              <w:rPr>
                <w:rFonts w:ascii="Arial" w:cs="Arial" w:eastAsia="Arial" w:hAnsi="Arial"/>
                <w:sz w:val="14"/>
                <w:szCs w:val="14"/>
                <w:b w:val="1"/>
                <w:bCs w:val="1"/>
                <w:color w:val="auto"/>
              </w:rPr>
              <w:t>January 31, 2015</w:t>
            </w:r>
          </w:p>
        </w:tc>
        <w:tc>
          <w:tcPr>
            <w:tcW w:w="14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10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800" w:type="dxa"/>
            <w:vAlign w:val="bottom"/>
            <w:gridSpan w:val="5"/>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40" w:type="dxa"/>
            <w:vAlign w:val="bottom"/>
            <w:gridSpan w:val="5"/>
          </w:tcPr>
          <w:p>
            <w:pPr>
              <w:jc w:val="right"/>
              <w:ind w:right="420"/>
              <w:spacing w:after="0" w:line="142" w:lineRule="exact"/>
              <w:rPr>
                <w:sz w:val="20"/>
                <w:szCs w:val="20"/>
                <w:color w:val="auto"/>
              </w:rPr>
            </w:pPr>
            <w:r>
              <w:rPr>
                <w:rFonts w:ascii="Arial" w:cs="Arial" w:eastAsia="Arial" w:hAnsi="Arial"/>
                <w:sz w:val="14"/>
                <w:szCs w:val="14"/>
                <w:b w:val="1"/>
                <w:bCs w:val="1"/>
                <w:color w:val="auto"/>
                <w:w w:val="95"/>
              </w:rPr>
              <w:t>12 months or more</w:t>
            </w:r>
          </w:p>
        </w:tc>
        <w:tc>
          <w:tcPr>
            <w:tcW w:w="140" w:type="dxa"/>
            <w:vAlign w:val="bottom"/>
          </w:tcPr>
          <w:p>
            <w:pPr>
              <w:spacing w:after="0"/>
              <w:rPr>
                <w:sz w:val="12"/>
                <w:szCs w:val="12"/>
                <w:color w:val="auto"/>
              </w:rPr>
            </w:pPr>
          </w:p>
        </w:tc>
        <w:tc>
          <w:tcPr>
            <w:tcW w:w="980" w:type="dxa"/>
            <w:vAlign w:val="bottom"/>
            <w:gridSpan w:val="2"/>
          </w:tcPr>
          <w:p>
            <w:pPr>
              <w:ind w:left="680"/>
              <w:spacing w:after="0" w:line="142" w:lineRule="exact"/>
              <w:rPr>
                <w:sz w:val="20"/>
                <w:szCs w:val="20"/>
                <w:color w:val="auto"/>
              </w:rPr>
            </w:pPr>
            <w:r>
              <w:rPr>
                <w:rFonts w:ascii="Arial" w:cs="Arial" w:eastAsia="Arial" w:hAnsi="Arial"/>
                <w:sz w:val="14"/>
                <w:szCs w:val="14"/>
                <w:b w:val="1"/>
                <w:bCs w:val="1"/>
                <w:color w:val="auto"/>
                <w:w w:val="83"/>
              </w:rPr>
              <w:t>Total</w:t>
            </w: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0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980" w:type="dxa"/>
            <w:vAlign w:val="bottom"/>
            <w:tcBorders>
              <w:top w:val="single" w:sz="8" w:color="auto"/>
            </w:tcBorders>
            <w:gridSpan w:val="2"/>
          </w:tcPr>
          <w:p>
            <w:pPr>
              <w:ind w:left="2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00"/>
              <w:spacing w:after="0" w:line="129" w:lineRule="exact"/>
              <w:rPr>
                <w:sz w:val="20"/>
                <w:szCs w:val="20"/>
                <w:color w:val="auto"/>
              </w:rPr>
            </w:pPr>
            <w:r>
              <w:rPr>
                <w:rFonts w:ascii="Arial" w:cs="Arial" w:eastAsia="Arial" w:hAnsi="Arial"/>
                <w:sz w:val="14"/>
                <w:szCs w:val="14"/>
                <w:b w:val="1"/>
                <w:bCs w:val="1"/>
                <w:color w:val="auto"/>
              </w:rPr>
              <w:t>Fair</w:t>
            </w:r>
          </w:p>
        </w:tc>
        <w:tc>
          <w:tcPr>
            <w:tcW w:w="3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7"/>
              </w:rPr>
              <w:t>Unrealized</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00" w:type="dxa"/>
            <w:vAlign w:val="bottom"/>
            <w:tcBorders>
              <w:bottom w:val="single" w:sz="8" w:color="CCEEFF"/>
            </w:tcBorders>
          </w:tcPr>
          <w:p>
            <w:pPr>
              <w:spacing w:after="0"/>
              <w:rPr>
                <w:sz w:val="14"/>
                <w:szCs w:val="14"/>
                <w:color w:val="auto"/>
              </w:rPr>
            </w:pPr>
          </w:p>
        </w:tc>
        <w:tc>
          <w:tcPr>
            <w:tcW w:w="17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04"/>
              <w:spacing w:after="0"/>
              <w:rPr>
                <w:sz w:val="20"/>
                <w:szCs w:val="20"/>
                <w:color w:val="auto"/>
              </w:rPr>
            </w:pPr>
            <w:r>
              <w:rPr>
                <w:rFonts w:ascii="Arial" w:cs="Arial" w:eastAsia="Arial" w:hAnsi="Arial"/>
                <w:sz w:val="14"/>
                <w:szCs w:val="14"/>
                <w:b w:val="1"/>
                <w:bCs w:val="1"/>
                <w:color w:val="auto"/>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w w:val="90"/>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91"/>
              </w:rPr>
              <w:t>Loss</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07"/>
              <w:spacing w:after="0"/>
              <w:rPr>
                <w:sz w:val="20"/>
                <w:szCs w:val="20"/>
                <w:color w:val="auto"/>
              </w:rPr>
            </w:pPr>
            <w:r>
              <w:rPr>
                <w:rFonts w:ascii="Arial" w:cs="Arial" w:eastAsia="Arial" w:hAnsi="Arial"/>
                <w:sz w:val="14"/>
                <w:szCs w:val="14"/>
                <w:b w:val="1"/>
                <w:bCs w:val="1"/>
                <w:color w:val="auto"/>
              </w:rPr>
              <w:t>Value</w:t>
            </w:r>
          </w:p>
        </w:tc>
        <w:tc>
          <w:tcPr>
            <w:tcW w:w="3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91"/>
              </w:rPr>
              <w:t>Loss</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7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$243,699</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w:t>
            </w: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$ 245,704</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2680" w:type="dxa"/>
            <w:vAlign w:val="bottom"/>
            <w:gridSpan w:val="3"/>
          </w:tcPr>
          <w:p>
            <w:pPr>
              <w:jc w:val="right"/>
              <w:ind w:right="300"/>
              <w:spacing w:after="0"/>
              <w:rPr>
                <w:sz w:val="20"/>
                <w:szCs w:val="20"/>
                <w:color w:val="auto"/>
              </w:rPr>
            </w:pPr>
            <w:r>
              <w:rPr>
                <w:rFonts w:ascii="Arial" w:cs="Arial" w:eastAsia="Arial" w:hAnsi="Arial"/>
                <w:sz w:val="18"/>
                <w:szCs w:val="18"/>
                <w:color w:val="auto"/>
              </w:rPr>
              <w:t>32,165</w:t>
            </w: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ind w:right="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32,165</w:t>
            </w: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26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25,053</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25,053</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2680" w:type="dxa"/>
            <w:vAlign w:val="bottom"/>
            <w:gridSpan w:val="3"/>
          </w:tcPr>
          <w:p>
            <w:pPr>
              <w:jc w:val="right"/>
              <w:ind w:right="300"/>
              <w:spacing w:after="0"/>
              <w:rPr>
                <w:sz w:val="20"/>
                <w:szCs w:val="20"/>
                <w:color w:val="auto"/>
              </w:rPr>
            </w:pPr>
            <w:r>
              <w:rPr>
                <w:rFonts w:ascii="Arial" w:cs="Arial" w:eastAsia="Arial" w:hAnsi="Arial"/>
                <w:sz w:val="18"/>
                <w:szCs w:val="18"/>
                <w:color w:val="auto"/>
              </w:rPr>
              <w:t>2,999</w:t>
            </w: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ind w:right="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2,999</w:t>
            </w: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26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2,845</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2,845</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700" w:type="dxa"/>
            <w:vAlign w:val="bottom"/>
          </w:tcPr>
          <w:p>
            <w:pPr>
              <w:spacing w:after="0"/>
              <w:rPr>
                <w:sz w:val="18"/>
                <w:szCs w:val="18"/>
                <w:color w:val="auto"/>
              </w:rPr>
            </w:pPr>
          </w:p>
        </w:tc>
        <w:tc>
          <w:tcPr>
            <w:tcW w:w="680" w:type="dxa"/>
            <w:vAlign w:val="bottom"/>
          </w:tcPr>
          <w:p>
            <w:pPr>
              <w:jc w:val="right"/>
              <w:ind w:right="24"/>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10,226</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(2,274)</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10,226</w:t>
            </w: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(2,274)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26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306,761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(580)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12,231</w:t>
            </w: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(2,279)</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$ 318,992</w:t>
            </w:r>
          </w:p>
        </w:tc>
        <w:tc>
          <w:tcPr>
            <w:tcW w:w="300" w:type="dxa"/>
            <w:vAlign w:val="bottom"/>
            <w:shd w:val="clear" w:color="auto" w:fill="CCEEFF"/>
          </w:tcPr>
          <w:p>
            <w:pPr>
              <w:spacing w:after="0"/>
              <w:rPr>
                <w:sz w:val="18"/>
                <w:szCs w:val="18"/>
                <w:color w:val="auto"/>
              </w:rPr>
            </w:pPr>
          </w:p>
        </w:tc>
        <w:tc>
          <w:tcPr>
            <w:tcW w:w="1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(2,859)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1700" w:type="dxa"/>
            <w:vAlign w:val="bottom"/>
            <w:vMerge w:val="restart"/>
          </w:tcPr>
          <w:p>
            <w:pPr>
              <w:jc w:val="right"/>
              <w:spacing w:after="0"/>
              <w:rPr>
                <w:sz w:val="20"/>
                <w:szCs w:val="20"/>
                <w:color w:val="auto"/>
              </w:rPr>
            </w:pPr>
            <w:r>
              <w:rPr>
                <w:rFonts w:ascii="Arial" w:cs="Arial" w:eastAsia="Arial" w:hAnsi="Arial"/>
                <w:sz w:val="18"/>
                <w:szCs w:val="18"/>
                <w:color w:val="auto"/>
              </w:rPr>
              <w:t>69</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170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840" w:type="dxa"/>
            <w:vAlign w:val="bottom"/>
            <w:tcBorders>
              <w:bottom w:val="single" w:sz="8" w:color="auto"/>
            </w:tcBorders>
            <w:gridSpan w:val="9"/>
          </w:tcPr>
          <w:p>
            <w:pPr>
              <w:jc w:val="right"/>
              <w:ind w:right="540"/>
              <w:spacing w:after="0"/>
              <w:rPr>
                <w:sz w:val="20"/>
                <w:szCs w:val="20"/>
                <w:color w:val="auto"/>
              </w:rPr>
            </w:pPr>
            <w:r>
              <w:rPr>
                <w:rFonts w:ascii="Arial" w:cs="Arial" w:eastAsia="Arial" w:hAnsi="Arial"/>
                <w:sz w:val="14"/>
                <w:szCs w:val="14"/>
                <w:b w:val="1"/>
                <w:bCs w:val="1"/>
                <w:color w:val="auto"/>
              </w:rPr>
              <w:t>February 1, 2014</w:t>
            </w:r>
          </w:p>
        </w:tc>
        <w:tc>
          <w:tcPr>
            <w:tcW w:w="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0" w:type="dxa"/>
            <w:vAlign w:val="bottom"/>
            <w:gridSpan w:val="5"/>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40" w:type="dxa"/>
            <w:vAlign w:val="bottom"/>
          </w:tcPr>
          <w:p>
            <w:pPr>
              <w:spacing w:after="0"/>
              <w:rPr>
                <w:sz w:val="12"/>
                <w:szCs w:val="12"/>
                <w:color w:val="auto"/>
              </w:rPr>
            </w:pPr>
          </w:p>
        </w:tc>
        <w:tc>
          <w:tcPr>
            <w:tcW w:w="1840" w:type="dxa"/>
            <w:vAlign w:val="bottom"/>
            <w:gridSpan w:val="9"/>
          </w:tcPr>
          <w:p>
            <w:pPr>
              <w:jc w:val="right"/>
              <w:ind w:right="520"/>
              <w:spacing w:after="0" w:line="142" w:lineRule="exact"/>
              <w:rPr>
                <w:sz w:val="20"/>
                <w:szCs w:val="20"/>
                <w:color w:val="auto"/>
              </w:rPr>
            </w:pPr>
            <w:r>
              <w:rPr>
                <w:rFonts w:ascii="Arial" w:cs="Arial" w:eastAsia="Arial" w:hAnsi="Arial"/>
                <w:sz w:val="14"/>
                <w:szCs w:val="14"/>
                <w:b w:val="1"/>
                <w:bCs w:val="1"/>
                <w:color w:val="auto"/>
              </w:rPr>
              <w:t>12 months or more</w:t>
            </w:r>
          </w:p>
        </w:tc>
        <w:tc>
          <w:tcPr>
            <w:tcW w:w="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00" w:type="dxa"/>
            <w:vAlign w:val="bottom"/>
            <w:gridSpan w:val="3"/>
          </w:tcPr>
          <w:p>
            <w:pPr>
              <w:ind w:left="140"/>
              <w:spacing w:after="0" w:line="142" w:lineRule="exact"/>
              <w:rPr>
                <w:sz w:val="20"/>
                <w:szCs w:val="20"/>
                <w:color w:val="auto"/>
              </w:rPr>
            </w:pPr>
            <w:r>
              <w:rPr>
                <w:rFonts w:ascii="Arial" w:cs="Arial" w:eastAsia="Arial" w:hAnsi="Arial"/>
                <w:sz w:val="14"/>
                <w:szCs w:val="14"/>
                <w:b w:val="1"/>
                <w:bCs w:val="1"/>
                <w:color w:val="auto"/>
              </w:rPr>
              <w:t>Total</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80" w:type="dxa"/>
            <w:vAlign w:val="bottom"/>
            <w:tcBorders>
              <w:top w:val="single" w:sz="8" w:color="auto"/>
            </w:tcBorders>
            <w:gridSpan w:val="2"/>
          </w:tcPr>
          <w:p>
            <w:pPr>
              <w:ind w:left="2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Borders>
              <w:top w:val="single" w:sz="8" w:color="auto"/>
            </w:tcBorders>
          </w:tcPr>
          <w:p>
            <w:pPr>
              <w:jc w:val="right"/>
              <w:ind w:right="101"/>
              <w:spacing w:after="0" w:line="129" w:lineRule="exact"/>
              <w:rPr>
                <w:sz w:val="20"/>
                <w:szCs w:val="20"/>
                <w:color w:val="auto"/>
              </w:rPr>
            </w:pPr>
            <w:r>
              <w:rPr>
                <w:rFonts w:ascii="Arial" w:cs="Arial" w:eastAsia="Arial" w:hAnsi="Arial"/>
                <w:sz w:val="14"/>
                <w:szCs w:val="14"/>
                <w:b w:val="1"/>
                <w:bCs w:val="1"/>
                <w:color w:val="auto"/>
              </w:rPr>
              <w:t>Fair</w:t>
            </w:r>
          </w:p>
        </w:tc>
        <w:tc>
          <w:tcPr>
            <w:tcW w:w="3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4"/>
          </w:tcPr>
          <w:p>
            <w:pPr>
              <w:ind w:left="20"/>
              <w:spacing w:after="0" w:line="129" w:lineRule="exact"/>
              <w:rPr>
                <w:sz w:val="20"/>
                <w:szCs w:val="20"/>
                <w:color w:val="auto"/>
              </w:rPr>
            </w:pPr>
            <w:r>
              <w:rPr>
                <w:rFonts w:ascii="Arial" w:cs="Arial" w:eastAsia="Arial" w:hAnsi="Arial"/>
                <w:sz w:val="14"/>
                <w:szCs w:val="14"/>
                <w:b w:val="1"/>
                <w:bCs w:val="1"/>
                <w:color w:val="auto"/>
                <w:w w:val="87"/>
              </w:rPr>
              <w:t>Unrealized</w:t>
            </w:r>
          </w:p>
        </w:tc>
        <w:tc>
          <w:tcPr>
            <w:tcW w:w="2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tcBorders>
              <w:top w:val="single" w:sz="8" w:color="auto"/>
            </w:tcBorders>
            <w:gridSpan w:val="2"/>
          </w:tcPr>
          <w:p>
            <w:pPr>
              <w:jc w:val="right"/>
              <w:ind w:right="152"/>
              <w:spacing w:after="0" w:line="129" w:lineRule="exact"/>
              <w:rPr>
                <w:sz w:val="20"/>
                <w:szCs w:val="20"/>
                <w:color w:val="auto"/>
              </w:rPr>
            </w:pPr>
            <w:r>
              <w:rPr>
                <w:rFonts w:ascii="Arial" w:cs="Arial" w:eastAsia="Arial" w:hAnsi="Arial"/>
                <w:sz w:val="14"/>
                <w:szCs w:val="14"/>
                <w:b w:val="1"/>
                <w:bCs w:val="1"/>
                <w:color w:val="auto"/>
              </w:rPr>
              <w:t>Fair</w:t>
            </w:r>
          </w:p>
        </w:tc>
        <w:tc>
          <w:tcPr>
            <w:tcW w:w="3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4"/>
          </w:tcPr>
          <w:p>
            <w:pPr>
              <w:ind w:left="20"/>
              <w:spacing w:after="0" w:line="129" w:lineRule="exact"/>
              <w:rPr>
                <w:sz w:val="20"/>
                <w:szCs w:val="20"/>
                <w:color w:val="auto"/>
              </w:rPr>
            </w:pPr>
            <w:r>
              <w:rPr>
                <w:rFonts w:ascii="Arial" w:cs="Arial" w:eastAsia="Arial" w:hAnsi="Arial"/>
                <w:sz w:val="14"/>
                <w:szCs w:val="14"/>
                <w:b w:val="1"/>
                <w:bCs w:val="1"/>
                <w:color w:val="auto"/>
                <w:w w:val="87"/>
              </w:rPr>
              <w:t>Unrealized</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466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04"/>
              <w:spacing w:after="0"/>
              <w:rPr>
                <w:sz w:val="20"/>
                <w:szCs w:val="20"/>
                <w:color w:val="auto"/>
              </w:rPr>
            </w:pPr>
            <w:r>
              <w:rPr>
                <w:rFonts w:ascii="Arial" w:cs="Arial" w:eastAsia="Arial" w:hAnsi="Arial"/>
                <w:sz w:val="14"/>
                <w:szCs w:val="14"/>
                <w:b w:val="1"/>
                <w:bCs w:val="1"/>
                <w:color w:val="auto"/>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00" w:type="dxa"/>
            <w:vAlign w:val="bottom"/>
            <w:tcBorders>
              <w:bottom w:val="single" w:sz="8" w:color="auto"/>
            </w:tcBorders>
          </w:tcPr>
          <w:p>
            <w:pPr>
              <w:jc w:val="right"/>
              <w:ind w:right="61"/>
              <w:spacing w:after="0"/>
              <w:rPr>
                <w:sz w:val="20"/>
                <w:szCs w:val="20"/>
                <w:color w:val="auto"/>
              </w:rPr>
            </w:pPr>
            <w:r>
              <w:rPr>
                <w:rFonts w:ascii="Arial" w:cs="Arial" w:eastAsia="Arial" w:hAnsi="Arial"/>
                <w:sz w:val="14"/>
                <w:szCs w:val="14"/>
                <w:b w:val="1"/>
                <w:bCs w:val="1"/>
                <w:color w:val="auto"/>
              </w:rPr>
              <w:t>Value</w:t>
            </w:r>
          </w:p>
        </w:tc>
        <w:tc>
          <w:tcPr>
            <w:tcW w:w="3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right"/>
              <w:ind w:right="115"/>
              <w:spacing w:after="0"/>
              <w:rPr>
                <w:sz w:val="20"/>
                <w:szCs w:val="20"/>
                <w:color w:val="auto"/>
              </w:rPr>
            </w:pPr>
            <w:r>
              <w:rPr>
                <w:rFonts w:ascii="Arial" w:cs="Arial" w:eastAsia="Arial" w:hAnsi="Arial"/>
                <w:sz w:val="14"/>
                <w:szCs w:val="14"/>
                <w:b w:val="1"/>
                <w:bCs w:val="1"/>
                <w:color w:val="auto"/>
                <w:w w:val="79"/>
              </w:rPr>
              <w:t>Loss</w:t>
            </w:r>
          </w:p>
        </w:tc>
        <w:tc>
          <w:tcPr>
            <w:tcW w:w="280" w:type="dxa"/>
            <w:vAlign w:val="bottom"/>
            <w:tcBorders>
              <w:bottom w:val="single" w:sz="8" w:color="CCEEFF"/>
            </w:tcBorders>
            <w:gridSpan w:val="3"/>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2"/>
          </w:tcPr>
          <w:p>
            <w:pPr>
              <w:jc w:val="right"/>
              <w:ind w:right="112"/>
              <w:spacing w:after="0"/>
              <w:rPr>
                <w:sz w:val="20"/>
                <w:szCs w:val="20"/>
                <w:color w:val="auto"/>
              </w:rPr>
            </w:pPr>
            <w:r>
              <w:rPr>
                <w:rFonts w:ascii="Arial" w:cs="Arial" w:eastAsia="Arial" w:hAnsi="Arial"/>
                <w:sz w:val="14"/>
                <w:szCs w:val="14"/>
                <w:b w:val="1"/>
                <w:bCs w:val="1"/>
                <w:color w:val="auto"/>
              </w:rPr>
              <w:t>Value</w:t>
            </w:r>
          </w:p>
        </w:tc>
        <w:tc>
          <w:tcPr>
            <w:tcW w:w="3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3"/>
          </w:tcPr>
          <w:p>
            <w:pPr>
              <w:jc w:val="right"/>
              <w:ind w:right="200"/>
              <w:spacing w:after="0"/>
              <w:rPr>
                <w:sz w:val="20"/>
                <w:szCs w:val="20"/>
                <w:color w:val="auto"/>
              </w:rPr>
            </w:pPr>
            <w:r>
              <w:rPr>
                <w:rFonts w:ascii="Arial" w:cs="Arial" w:eastAsia="Arial" w:hAnsi="Arial"/>
                <w:sz w:val="14"/>
                <w:szCs w:val="14"/>
                <w:b w:val="1"/>
                <w:bCs w:val="1"/>
                <w:color w:val="auto"/>
                <w:w w:val="91"/>
              </w:rPr>
              <w:t>Loss</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0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$ 110,903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$ 2,105</w:t>
            </w:r>
          </w:p>
        </w:tc>
        <w:tc>
          <w:tcPr>
            <w:tcW w:w="300" w:type="dxa"/>
            <w:vAlign w:val="bottom"/>
            <w:shd w:val="clear" w:color="auto" w:fill="CCEEFF"/>
          </w:tcPr>
          <w:p>
            <w:pPr>
              <w:spacing w:after="0"/>
              <w:rPr>
                <w:sz w:val="18"/>
                <w:szCs w:val="18"/>
                <w:color w:val="auto"/>
              </w:rPr>
            </w:pP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(4)</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2"/>
              </w:rPr>
              <w:t>$ 113,008</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(370)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1680" w:type="dxa"/>
            <w:vAlign w:val="bottom"/>
            <w:gridSpan w:val="3"/>
          </w:tcPr>
          <w:p>
            <w:pPr>
              <w:jc w:val="right"/>
              <w:ind w:right="300"/>
              <w:spacing w:after="0"/>
              <w:rPr>
                <w:sz w:val="20"/>
                <w:szCs w:val="20"/>
                <w:color w:val="auto"/>
              </w:rPr>
            </w:pPr>
            <w:r>
              <w:rPr>
                <w:rFonts w:ascii="Arial" w:cs="Arial" w:eastAsia="Arial" w:hAnsi="Arial"/>
                <w:sz w:val="18"/>
                <w:szCs w:val="18"/>
                <w:color w:val="auto"/>
              </w:rPr>
              <w:t>93,118</w:t>
            </w: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(72)</w:t>
            </w:r>
          </w:p>
        </w:tc>
        <w:tc>
          <w:tcPr>
            <w:tcW w:w="140" w:type="dxa"/>
            <w:vAlign w:val="bottom"/>
          </w:tcPr>
          <w:p>
            <w:pPr>
              <w:spacing w:after="0"/>
              <w:rPr>
                <w:sz w:val="18"/>
                <w:szCs w:val="18"/>
                <w:color w:val="auto"/>
              </w:rPr>
            </w:pPr>
          </w:p>
        </w:tc>
        <w:tc>
          <w:tcPr>
            <w:tcW w:w="600" w:type="dxa"/>
            <w:vAlign w:val="bottom"/>
          </w:tcPr>
          <w:p>
            <w:pPr>
              <w:jc w:val="right"/>
              <w:ind w:right="2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gridSpan w:val="4"/>
          </w:tcPr>
          <w:p>
            <w:pPr>
              <w:jc w:val="center"/>
              <w:ind w:right="220"/>
              <w:spacing w:after="0"/>
              <w:rPr>
                <w:sz w:val="20"/>
                <w:szCs w:val="20"/>
                <w:color w:val="auto"/>
              </w:rPr>
            </w:pPr>
            <w:r>
              <w:rPr>
                <w:rFonts w:ascii="Arial" w:cs="Arial" w:eastAsia="Arial" w:hAnsi="Arial"/>
                <w:sz w:val="18"/>
                <w:szCs w:val="18"/>
                <w:color w:val="auto"/>
                <w:w w:val="99"/>
              </w:rPr>
              <w:t>—</w:t>
            </w: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93,118</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4"/>
          </w:tcPr>
          <w:p>
            <w:pPr>
              <w:jc w:val="right"/>
              <w:ind w:right="6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6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18,865</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1,912</w:t>
            </w: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(19)</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20,777</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1680" w:type="dxa"/>
            <w:vAlign w:val="bottom"/>
            <w:gridSpan w:val="3"/>
          </w:tcPr>
          <w:p>
            <w:pPr>
              <w:jc w:val="right"/>
              <w:ind w:right="300"/>
              <w:spacing w:after="0"/>
              <w:rPr>
                <w:sz w:val="20"/>
                <w:szCs w:val="20"/>
                <w:color w:val="auto"/>
              </w:rPr>
            </w:pPr>
            <w:r>
              <w:rPr>
                <w:rFonts w:ascii="Arial" w:cs="Arial" w:eastAsia="Arial" w:hAnsi="Arial"/>
                <w:sz w:val="18"/>
                <w:szCs w:val="18"/>
                <w:color w:val="auto"/>
              </w:rPr>
              <w:t>14,299</w:t>
            </w: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(44)</w:t>
            </w:r>
          </w:p>
        </w:tc>
        <w:tc>
          <w:tcPr>
            <w:tcW w:w="140" w:type="dxa"/>
            <w:vAlign w:val="bottom"/>
          </w:tcPr>
          <w:p>
            <w:pPr>
              <w:spacing w:after="0"/>
              <w:rPr>
                <w:sz w:val="18"/>
                <w:szCs w:val="18"/>
                <w:color w:val="auto"/>
              </w:rPr>
            </w:pPr>
          </w:p>
        </w:tc>
        <w:tc>
          <w:tcPr>
            <w:tcW w:w="600" w:type="dxa"/>
            <w:vAlign w:val="bottom"/>
          </w:tcPr>
          <w:p>
            <w:pPr>
              <w:jc w:val="right"/>
              <w:ind w:right="2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gridSpan w:val="4"/>
          </w:tcPr>
          <w:p>
            <w:pPr>
              <w:jc w:val="center"/>
              <w:ind w:right="220"/>
              <w:spacing w:after="0"/>
              <w:rPr>
                <w:sz w:val="20"/>
                <w:szCs w:val="20"/>
                <w:color w:val="auto"/>
              </w:rPr>
            </w:pPr>
            <w:r>
              <w:rPr>
                <w:rFonts w:ascii="Arial" w:cs="Arial" w:eastAsia="Arial" w:hAnsi="Arial"/>
                <w:sz w:val="18"/>
                <w:szCs w:val="18"/>
                <w:color w:val="auto"/>
                <w:w w:val="99"/>
              </w:rPr>
              <w:t>—</w:t>
            </w: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14,299</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4"/>
          </w:tcPr>
          <w:p>
            <w:pPr>
              <w:jc w:val="right"/>
              <w:ind w:right="6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6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723</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21"/>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20" w:type="dxa"/>
            <w:vAlign w:val="bottom"/>
            <w:gridSpan w:val="4"/>
            <w:shd w:val="clear" w:color="auto" w:fill="CCEEFF"/>
          </w:tcPr>
          <w:p>
            <w:pPr>
              <w:jc w:val="center"/>
              <w:ind w:right="220"/>
              <w:spacing w:after="0"/>
              <w:rPr>
                <w:sz w:val="20"/>
                <w:szCs w:val="20"/>
                <w:color w:val="auto"/>
              </w:rPr>
            </w:pPr>
            <w:r>
              <w:rPr>
                <w:rFonts w:ascii="Arial" w:cs="Arial" w:eastAsia="Arial" w:hAnsi="Arial"/>
                <w:sz w:val="18"/>
                <w:szCs w:val="18"/>
                <w:color w:val="auto"/>
                <w:w w:val="99"/>
              </w:rPr>
              <w:t>—</w:t>
            </w: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700" w:type="dxa"/>
            <w:vAlign w:val="bottom"/>
          </w:tcPr>
          <w:p>
            <w:pPr>
              <w:spacing w:after="0"/>
              <w:rPr>
                <w:sz w:val="18"/>
                <w:szCs w:val="18"/>
                <w:color w:val="auto"/>
              </w:rPr>
            </w:pPr>
          </w:p>
        </w:tc>
        <w:tc>
          <w:tcPr>
            <w:tcW w:w="680" w:type="dxa"/>
            <w:vAlign w:val="bottom"/>
          </w:tcPr>
          <w:p>
            <w:pPr>
              <w:jc w:val="right"/>
              <w:ind w:right="24"/>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16,279</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ind w:right="160"/>
              <w:spacing w:after="0"/>
              <w:rPr>
                <w:sz w:val="20"/>
                <w:szCs w:val="20"/>
                <w:color w:val="auto"/>
              </w:rPr>
            </w:pPr>
            <w:r>
              <w:rPr>
                <w:rFonts w:ascii="Arial" w:cs="Arial" w:eastAsia="Arial" w:hAnsi="Arial"/>
                <w:sz w:val="18"/>
                <w:szCs w:val="18"/>
                <w:color w:val="auto"/>
                <w:w w:val="91"/>
              </w:rPr>
              <w:t>(2,871)</w:t>
            </w: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16,279</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4"/>
          </w:tcPr>
          <w:p>
            <w:pPr>
              <w:jc w:val="right"/>
              <w:ind w:right="60"/>
              <w:spacing w:after="0"/>
              <w:rPr>
                <w:sz w:val="20"/>
                <w:szCs w:val="20"/>
                <w:color w:val="auto"/>
              </w:rPr>
            </w:pPr>
            <w:r>
              <w:rPr>
                <w:rFonts w:ascii="Arial" w:cs="Arial" w:eastAsia="Arial" w:hAnsi="Arial"/>
                <w:sz w:val="18"/>
                <w:szCs w:val="18"/>
                <w:color w:val="auto"/>
                <w:w w:val="98"/>
              </w:rPr>
              <w:t>(2,871)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0" w:type="dxa"/>
            <w:vAlign w:val="bottom"/>
          </w:tcPr>
          <w:p>
            <w:pPr>
              <w:spacing w:after="0"/>
              <w:rPr>
                <w:sz w:val="2"/>
                <w:szCs w:val="2"/>
                <w:color w:val="auto"/>
              </w:rPr>
            </w:pPr>
          </w:p>
        </w:tc>
        <w:tc>
          <w:tcPr>
            <w:tcW w:w="46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40" w:type="dxa"/>
            <w:vAlign w:val="bottom"/>
          </w:tcPr>
          <w:p>
            <w:pPr>
              <w:spacing w:after="0"/>
              <w:rPr>
                <w:sz w:val="2"/>
                <w:szCs w:val="2"/>
                <w:color w:val="auto"/>
              </w:rPr>
            </w:pPr>
          </w:p>
        </w:tc>
        <w:tc>
          <w:tcPr>
            <w:tcW w:w="540" w:type="dxa"/>
            <w:vAlign w:val="bottom"/>
            <w:tcBorders>
              <w:right w:val="single" w:sz="8" w:color="auto"/>
            </w:tcBorders>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16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237,908</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(505)</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$ 20,296</w:t>
            </w:r>
          </w:p>
        </w:tc>
        <w:tc>
          <w:tcPr>
            <w:tcW w:w="48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w w:val="91"/>
              </w:rPr>
              <w:t>(2,894)</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$ 258,204</w:t>
            </w:r>
          </w:p>
        </w:tc>
        <w:tc>
          <w:tcPr>
            <w:tcW w:w="4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6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w w:val="98"/>
              </w:rPr>
              <w:t>(3,399)</w:t>
            </w:r>
          </w:p>
        </w:tc>
        <w:tc>
          <w:tcPr>
            <w:tcW w:w="0" w:type="dxa"/>
            <w:vAlign w:val="bottom"/>
          </w:tcPr>
          <w:p>
            <w:pPr>
              <w:spacing w:after="0"/>
              <w:rPr>
                <w:sz w:val="1"/>
                <w:szCs w:val="1"/>
                <w:color w:val="auto"/>
              </w:rPr>
            </w:pPr>
          </w:p>
        </w:tc>
      </w:tr>
      <w:tr>
        <w:trPr>
          <w:trHeight w:val="20"/>
        </w:trPr>
        <w:tc>
          <w:tcPr>
            <w:tcW w:w="5120" w:type="dxa"/>
            <w:vAlign w:val="bottom"/>
            <w:gridSpan w:val="3"/>
            <w:vMerge w:val="restart"/>
          </w:tcPr>
          <w:p>
            <w:pPr>
              <w:spacing w:after="0"/>
              <w:rPr>
                <w:sz w:val="20"/>
                <w:szCs w:val="20"/>
                <w:color w:val="auto"/>
              </w:rPr>
            </w:pPr>
            <w:r>
              <w:rPr>
                <w:rFonts w:ascii="Arial" w:cs="Arial" w:eastAsia="Arial" w:hAnsi="Arial"/>
                <w:sz w:val="18"/>
                <w:szCs w:val="18"/>
                <w:b w:val="1"/>
                <w:bCs w:val="1"/>
                <w:color w:val="auto"/>
                <w:w w:val="98"/>
              </w:rPr>
              <w:t>Note 4 — Supplemental Financial Information (in thousands)</w:t>
            </w:r>
          </w:p>
        </w:tc>
        <w:tc>
          <w:tcPr>
            <w:tcW w:w="7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120" w:type="dxa"/>
            <w:vAlign w:val="bottom"/>
            <w:gridSpan w:val="3"/>
            <w:vMerge w:val="continue"/>
          </w:tcPr>
          <w:p>
            <w:pPr>
              <w:spacing w:after="0"/>
              <w:rPr>
                <w:sz w:val="24"/>
                <w:szCs w:val="24"/>
                <w:color w:val="auto"/>
              </w:rPr>
            </w:pP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5100" w:type="dxa"/>
            <w:vAlign w:val="bottom"/>
            <w:gridSpan w:val="2"/>
          </w:tcPr>
          <w:p>
            <w:pPr>
              <w:ind w:left="440"/>
              <w:spacing w:after="0"/>
              <w:rPr>
                <w:sz w:val="20"/>
                <w:szCs w:val="20"/>
                <w:color w:val="auto"/>
              </w:rPr>
            </w:pPr>
            <w:r>
              <w:rPr>
                <w:rFonts w:ascii="Arial" w:cs="Arial" w:eastAsia="Arial" w:hAnsi="Arial"/>
                <w:sz w:val="18"/>
                <w:szCs w:val="18"/>
                <w:b w:val="1"/>
                <w:bCs w:val="1"/>
                <w:i w:val="1"/>
                <w:iCs w:val="1"/>
                <w:color w:val="auto"/>
              </w:rPr>
              <w:t>Consolidated Balance Sheets</w:t>
            </w: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60" w:type="dxa"/>
            <w:vAlign w:val="bottom"/>
            <w:gridSpan w:val="6"/>
          </w:tcPr>
          <w:p>
            <w:pPr>
              <w:jc w:val="right"/>
              <w:ind w:right="120"/>
              <w:spacing w:after="0"/>
              <w:rPr>
                <w:sz w:val="20"/>
                <w:szCs w:val="20"/>
                <w:color w:val="auto"/>
              </w:rPr>
            </w:pPr>
            <w:r>
              <w:rPr>
                <w:rFonts w:ascii="Arial" w:cs="Arial" w:eastAsia="Arial" w:hAnsi="Arial"/>
                <w:sz w:val="14"/>
                <w:szCs w:val="14"/>
                <w:b w:val="1"/>
                <w:bCs w:val="1"/>
                <w:color w:val="auto"/>
                <w:w w:val="93"/>
              </w:rPr>
              <w:t>January 31,</w:t>
            </w: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240" w:type="dxa"/>
            <w:vAlign w:val="bottom"/>
            <w:gridSpan w:val="7"/>
          </w:tcPr>
          <w:p>
            <w:pPr>
              <w:jc w:val="center"/>
              <w:ind w:right="580"/>
              <w:spacing w:after="0"/>
              <w:rPr>
                <w:sz w:val="20"/>
                <w:szCs w:val="20"/>
                <w:color w:val="auto"/>
              </w:rPr>
            </w:pPr>
            <w:r>
              <w:rPr>
                <w:rFonts w:ascii="Arial" w:cs="Arial" w:eastAsia="Arial" w:hAnsi="Arial"/>
                <w:sz w:val="14"/>
                <w:szCs w:val="14"/>
                <w:b w:val="1"/>
                <w:bCs w:val="1"/>
                <w:color w:val="auto"/>
                <w:w w:val="87"/>
              </w:rPr>
              <w:t>February 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6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0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center"/>
              <w:ind w:left="37"/>
              <w:spacing w:after="0"/>
              <w:rPr>
                <w:sz w:val="20"/>
                <w:szCs w:val="20"/>
                <w:color w:val="auto"/>
              </w:rPr>
            </w:pPr>
            <w:r>
              <w:rPr>
                <w:rFonts w:ascii="Arial" w:cs="Arial" w:eastAsia="Arial" w:hAnsi="Arial"/>
                <w:sz w:val="14"/>
                <w:szCs w:val="14"/>
                <w:b w:val="1"/>
                <w:bCs w:val="1"/>
                <w:color w:val="auto"/>
                <w:w w:val="89"/>
              </w:rPr>
              <w:t>2015</w:t>
            </w:r>
          </w:p>
        </w:tc>
        <w:tc>
          <w:tcPr>
            <w:tcW w:w="22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2014</w:t>
            </w: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6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and cash equivalents:</w:t>
            </w:r>
          </w:p>
        </w:tc>
        <w:tc>
          <w:tcPr>
            <w:tcW w:w="7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540" w:type="dxa"/>
            <w:vAlign w:val="bottom"/>
            <w:tcBorders>
              <w:right w:val="single" w:sz="8" w:color="CCEEFF"/>
            </w:tcBorders>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Cash</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4"/>
          </w:tcPr>
          <w:p>
            <w:pPr>
              <w:jc w:val="right"/>
              <w:ind w:right="20"/>
              <w:spacing w:after="0"/>
              <w:rPr>
                <w:sz w:val="20"/>
                <w:szCs w:val="20"/>
                <w:color w:val="auto"/>
              </w:rPr>
            </w:pPr>
            <w:r>
              <w:rPr>
                <w:rFonts w:ascii="Arial" w:cs="Arial" w:eastAsia="Arial" w:hAnsi="Arial"/>
                <w:sz w:val="18"/>
                <w:szCs w:val="18"/>
                <w:color w:val="auto"/>
              </w:rPr>
              <w:t>864,680</w:t>
            </w:r>
          </w:p>
        </w:tc>
        <w:tc>
          <w:tcPr>
            <w:tcW w:w="40" w:type="dxa"/>
            <w:vAlign w:val="bottom"/>
          </w:tcPr>
          <w:p>
            <w:pPr>
              <w:spacing w:after="0"/>
              <w:rPr>
                <w:sz w:val="18"/>
                <w:szCs w:val="18"/>
                <w:color w:val="auto"/>
              </w:rPr>
            </w:pPr>
          </w:p>
        </w:tc>
        <w:tc>
          <w:tcPr>
            <w:tcW w:w="1260" w:type="dxa"/>
            <w:vAlign w:val="bottom"/>
            <w:gridSpan w:val="6"/>
          </w:tcPr>
          <w:p>
            <w:pPr>
              <w:jc w:val="right"/>
              <w:spacing w:after="0"/>
              <w:rPr>
                <w:sz w:val="20"/>
                <w:szCs w:val="20"/>
                <w:color w:val="auto"/>
              </w:rPr>
            </w:pPr>
            <w:r>
              <w:rPr>
                <w:rFonts w:ascii="Arial" w:cs="Arial" w:eastAsia="Arial" w:hAnsi="Arial"/>
                <w:sz w:val="18"/>
                <w:szCs w:val="18"/>
                <w:color w:val="auto"/>
              </w:rPr>
              <w:t>$ 694,789</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4"/>
          </w:tcPr>
          <w:p>
            <w:pPr>
              <w:jc w:val="right"/>
              <w:ind w:right="20"/>
              <w:spacing w:after="0"/>
              <w:rPr>
                <w:sz w:val="20"/>
                <w:szCs w:val="20"/>
                <w:color w:val="auto"/>
              </w:rPr>
            </w:pPr>
            <w:r>
              <w:rPr>
                <w:rFonts w:ascii="Arial" w:cs="Arial" w:eastAsia="Arial" w:hAnsi="Arial"/>
                <w:sz w:val="18"/>
                <w:szCs w:val="18"/>
                <w:color w:val="auto"/>
              </w:rPr>
              <w:t>213,012</w:t>
            </w:r>
          </w:p>
        </w:tc>
        <w:tc>
          <w:tcPr>
            <w:tcW w:w="40" w:type="dxa"/>
            <w:vAlign w:val="bottom"/>
          </w:tcPr>
          <w:p>
            <w:pPr>
              <w:spacing w:after="0"/>
              <w:rPr>
                <w:sz w:val="18"/>
                <w:szCs w:val="18"/>
                <w:color w:val="auto"/>
              </w:rPr>
            </w:pPr>
          </w:p>
        </w:tc>
        <w:tc>
          <w:tcPr>
            <w:tcW w:w="1260" w:type="dxa"/>
            <w:vAlign w:val="bottom"/>
            <w:gridSpan w:val="6"/>
          </w:tcPr>
          <w:p>
            <w:pPr>
              <w:jc w:val="right"/>
              <w:spacing w:after="0"/>
              <w:rPr>
                <w:sz w:val="20"/>
                <w:szCs w:val="20"/>
                <w:color w:val="auto"/>
              </w:rPr>
            </w:pPr>
            <w:r>
              <w:rPr>
                <w:rFonts w:ascii="Arial" w:cs="Arial" w:eastAsia="Arial" w:hAnsi="Arial"/>
                <w:sz w:val="18"/>
                <w:szCs w:val="18"/>
                <w:color w:val="auto"/>
              </w:rPr>
              <w:t>247,958</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20" w:type="dxa"/>
            <w:vAlign w:val="bottom"/>
            <w:gridSpan w:val="4"/>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11,999</w:t>
            </w: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ind w:left="440"/>
              <w:spacing w:after="0"/>
              <w:rPr>
                <w:sz w:val="20"/>
                <w:szCs w:val="20"/>
                <w:color w:val="auto"/>
              </w:rPr>
            </w:pPr>
            <w:r>
              <w:rPr>
                <w:rFonts w:ascii="Arial" w:cs="Arial" w:eastAsia="Arial" w:hAnsi="Arial"/>
                <w:sz w:val="18"/>
                <w:szCs w:val="18"/>
                <w:color w:val="auto"/>
              </w:rPr>
              <w:t>Municipal debt securities</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gridSpan w:val="4"/>
          </w:tcPr>
          <w:p>
            <w:pPr>
              <w:jc w:val="right"/>
              <w:ind w:right="14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4,800</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21,999</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3,400</w:t>
            </w: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4"/>
          </w:tcPr>
          <w:p>
            <w:pPr>
              <w:jc w:val="right"/>
              <w:ind w:right="20"/>
              <w:spacing w:after="0"/>
              <w:rPr>
                <w:sz w:val="20"/>
                <w:szCs w:val="20"/>
                <w:color w:val="auto"/>
              </w:rPr>
            </w:pPr>
            <w:r>
              <w:rPr>
                <w:rFonts w:ascii="Arial" w:cs="Arial" w:eastAsia="Arial" w:hAnsi="Arial"/>
                <w:sz w:val="18"/>
                <w:szCs w:val="18"/>
                <w:color w:val="auto"/>
              </w:rPr>
              <w:t>111,286</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2,804</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40" w:type="dxa"/>
            <w:vAlign w:val="bottom"/>
            <w:vMerge w:val="restart"/>
          </w:tcPr>
          <w:p>
            <w:pPr>
              <w:spacing w:after="0"/>
              <w:rPr>
                <w:sz w:val="2"/>
                <w:szCs w:val="2"/>
                <w:color w:val="auto"/>
              </w:rPr>
            </w:pPr>
          </w:p>
        </w:tc>
        <w:tc>
          <w:tcPr>
            <w:tcW w:w="46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40" w:type="dxa"/>
            <w:vAlign w:val="bottom"/>
          </w:tcPr>
          <w:p>
            <w:pPr>
              <w:spacing w:after="0"/>
              <w:rPr>
                <w:sz w:val="2"/>
                <w:szCs w:val="2"/>
                <w:color w:val="auto"/>
              </w:rPr>
            </w:pPr>
          </w:p>
        </w:tc>
        <w:tc>
          <w:tcPr>
            <w:tcW w:w="540" w:type="dxa"/>
            <w:vAlign w:val="bottom"/>
            <w:tcBorders>
              <w:right w:val="single" w:sz="8" w:color="auto"/>
            </w:tcBorders>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200" w:type="dxa"/>
            <w:vAlign w:val="bottom"/>
            <w:gridSpan w:val="7"/>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1,210,977</w:t>
            </w:r>
          </w:p>
        </w:tc>
        <w:tc>
          <w:tcPr>
            <w:tcW w:w="40" w:type="dxa"/>
            <w:vAlign w:val="bottom"/>
            <w:shd w:val="clear" w:color="auto" w:fill="CCEEFF"/>
          </w:tcPr>
          <w:p>
            <w:pPr>
              <w:spacing w:after="0"/>
              <w:rPr>
                <w:sz w:val="18"/>
                <w:szCs w:val="18"/>
                <w:color w:val="auto"/>
              </w:rPr>
            </w:pPr>
          </w:p>
        </w:tc>
        <w:tc>
          <w:tcPr>
            <w:tcW w:w="12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$ 965,750</w:t>
            </w: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4"/>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2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w w:val="85"/>
              </w:rPr>
              <w:t>January 31,</w:t>
            </w: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240" w:type="dxa"/>
            <w:vAlign w:val="bottom"/>
            <w:gridSpan w:val="7"/>
          </w:tcPr>
          <w:p>
            <w:pPr>
              <w:jc w:val="center"/>
              <w:ind w:right="560"/>
              <w:spacing w:after="0"/>
              <w:rPr>
                <w:sz w:val="20"/>
                <w:szCs w:val="20"/>
                <w:color w:val="auto"/>
              </w:rPr>
            </w:pPr>
            <w:r>
              <w:rPr>
                <w:rFonts w:ascii="Arial" w:cs="Arial" w:eastAsia="Arial" w:hAnsi="Arial"/>
                <w:sz w:val="14"/>
                <w:szCs w:val="14"/>
                <w:b w:val="1"/>
                <w:bCs w:val="1"/>
                <w:color w:val="auto"/>
                <w:w w:val="90"/>
              </w:rPr>
              <w:t>February 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rPr>
              <w:t>2015</w:t>
            </w: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9"/>
              </w:rPr>
              <w:t>2014</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6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70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CCEEFF"/>
              <w:right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Work-in-process</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5"/>
          </w:tcPr>
          <w:p>
            <w:pPr>
              <w:jc w:val="right"/>
              <w:ind w:right="40"/>
              <w:spacing w:after="0"/>
              <w:rPr>
                <w:sz w:val="20"/>
                <w:szCs w:val="20"/>
                <w:color w:val="auto"/>
              </w:rPr>
            </w:pPr>
            <w:r>
              <w:rPr>
                <w:rFonts w:ascii="Arial" w:cs="Arial" w:eastAsia="Arial" w:hAnsi="Arial"/>
                <w:sz w:val="18"/>
                <w:szCs w:val="18"/>
                <w:color w:val="auto"/>
                <w:w w:val="87"/>
              </w:rPr>
              <w:t>$ 183,869</w:t>
            </w:r>
          </w:p>
        </w:tc>
        <w:tc>
          <w:tcPr>
            <w:tcW w:w="1260" w:type="dxa"/>
            <w:vAlign w:val="bottom"/>
            <w:gridSpan w:val="6"/>
          </w:tcPr>
          <w:p>
            <w:pPr>
              <w:jc w:val="right"/>
              <w:spacing w:after="0"/>
              <w:rPr>
                <w:sz w:val="20"/>
                <w:szCs w:val="20"/>
                <w:color w:val="auto"/>
              </w:rPr>
            </w:pPr>
            <w:r>
              <w:rPr>
                <w:rFonts w:ascii="Arial" w:cs="Arial" w:eastAsia="Arial" w:hAnsi="Arial"/>
                <w:sz w:val="18"/>
                <w:szCs w:val="18"/>
                <w:color w:val="auto"/>
              </w:rPr>
              <w:t>$ 195,495</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124,293</w:t>
            </w:r>
          </w:p>
        </w:tc>
        <w:tc>
          <w:tcPr>
            <w:tcW w:w="12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152,366</w:t>
            </w: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00" w:type="dxa"/>
            <w:vAlign w:val="bottom"/>
            <w:gridSpan w:val="2"/>
            <w:vMerge w:val="restart"/>
          </w:tcPr>
          <w:p>
            <w:pPr>
              <w:ind w:left="440"/>
              <w:spacing w:after="0"/>
              <w:rPr>
                <w:sz w:val="20"/>
                <w:szCs w:val="20"/>
                <w:color w:val="auto"/>
              </w:rPr>
            </w:pPr>
            <w:r>
              <w:rPr>
                <w:rFonts w:ascii="Arial" w:cs="Arial" w:eastAsia="Arial" w:hAnsi="Arial"/>
                <w:sz w:val="18"/>
                <w:szCs w:val="18"/>
                <w:color w:val="auto"/>
              </w:rPr>
              <w:t>Inventories</w:t>
            </w:r>
          </w:p>
        </w:tc>
        <w:tc>
          <w:tcPr>
            <w:tcW w:w="7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80" w:type="dxa"/>
            <w:vAlign w:val="bottom"/>
            <w:gridSpan w:val="3"/>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80" w:type="dxa"/>
            <w:vAlign w:val="bottom"/>
            <w:gridSpan w:val="4"/>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5100" w:type="dxa"/>
            <w:vAlign w:val="bottom"/>
            <w:gridSpan w:val="2"/>
            <w:vMerge w:val="continue"/>
          </w:tcPr>
          <w:p>
            <w:pPr>
              <w:spacing w:after="0"/>
              <w:rPr>
                <w:sz w:val="19"/>
                <w:szCs w:val="19"/>
                <w:color w:val="auto"/>
              </w:rPr>
            </w:pPr>
          </w:p>
        </w:tc>
        <w:tc>
          <w:tcPr>
            <w:tcW w:w="7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20" w:type="dxa"/>
            <w:vAlign w:val="bottom"/>
            <w:gridSpan w:val="4"/>
          </w:tcPr>
          <w:p>
            <w:pPr>
              <w:jc w:val="right"/>
              <w:ind w:right="40"/>
              <w:spacing w:after="0"/>
              <w:rPr>
                <w:sz w:val="20"/>
                <w:szCs w:val="20"/>
                <w:color w:val="auto"/>
              </w:rPr>
            </w:pPr>
            <w:r>
              <w:rPr>
                <w:rFonts w:ascii="Arial" w:cs="Arial" w:eastAsia="Arial" w:hAnsi="Arial"/>
                <w:sz w:val="18"/>
                <w:szCs w:val="18"/>
                <w:color w:val="auto"/>
                <w:w w:val="82"/>
              </w:rPr>
              <w:t>$ 308,162</w:t>
            </w:r>
          </w:p>
        </w:tc>
        <w:tc>
          <w:tcPr>
            <w:tcW w:w="1260" w:type="dxa"/>
            <w:vAlign w:val="bottom"/>
            <w:gridSpan w:val="6"/>
          </w:tcPr>
          <w:p>
            <w:pPr>
              <w:jc w:val="right"/>
              <w:spacing w:after="0"/>
              <w:rPr>
                <w:sz w:val="20"/>
                <w:szCs w:val="20"/>
                <w:color w:val="auto"/>
              </w:rPr>
            </w:pPr>
            <w:r>
              <w:rPr>
                <w:rFonts w:ascii="Arial" w:cs="Arial" w:eastAsia="Arial" w:hAnsi="Arial"/>
                <w:sz w:val="18"/>
                <w:szCs w:val="18"/>
                <w:color w:val="auto"/>
              </w:rPr>
              <w:t>$ 347,861</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700" w:type="dxa"/>
            <w:vAlign w:val="bottom"/>
            <w:vMerge w:val="restart"/>
          </w:tcPr>
          <w:p>
            <w:pPr>
              <w:jc w:val="right"/>
              <w:spacing w:after="0"/>
              <w:rPr>
                <w:sz w:val="20"/>
                <w:szCs w:val="20"/>
                <w:color w:val="auto"/>
              </w:rPr>
            </w:pPr>
            <w:r>
              <w:rPr>
                <w:rFonts w:ascii="Arial" w:cs="Arial" w:eastAsia="Arial" w:hAnsi="Arial"/>
                <w:sz w:val="18"/>
                <w:szCs w:val="18"/>
                <w:color w:val="auto"/>
              </w:rPr>
              <w:t>70</w:t>
            </w:r>
          </w:p>
        </w:tc>
        <w:tc>
          <w:tcPr>
            <w:tcW w:w="6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70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112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3"/>
              </w:rPr>
              <w:t>January 31,</w:t>
            </w:r>
          </w:p>
        </w:tc>
        <w:tc>
          <w:tcPr>
            <w:tcW w:w="280" w:type="dxa"/>
            <w:vAlign w:val="bottom"/>
          </w:tcPr>
          <w:p>
            <w:pPr>
              <w:spacing w:after="0"/>
              <w:rPr>
                <w:sz w:val="14"/>
                <w:szCs w:val="14"/>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90"/>
              </w:rPr>
              <w:t>February 1,</w:t>
            </w:r>
          </w:p>
        </w:tc>
      </w:tr>
      <w:tr>
        <w:trPr>
          <w:trHeight w:val="161"/>
        </w:trPr>
        <w:tc>
          <w:tcPr>
            <w:tcW w:w="8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74"/>
              <w:spacing w:after="0"/>
              <w:rPr>
                <w:sz w:val="20"/>
                <w:szCs w:val="20"/>
                <w:color w:val="auto"/>
              </w:rPr>
            </w:pPr>
            <w:r>
              <w:rPr>
                <w:rFonts w:ascii="Arial" w:cs="Arial" w:eastAsia="Arial" w:hAnsi="Arial"/>
                <w:sz w:val="14"/>
                <w:szCs w:val="14"/>
                <w:b w:val="1"/>
                <w:bCs w:val="1"/>
                <w:color w:val="auto"/>
              </w:rPr>
              <w:t>2015</w:t>
            </w:r>
          </w:p>
        </w:tc>
        <w:tc>
          <w:tcPr>
            <w:tcW w:w="320" w:type="dxa"/>
            <w:vAlign w:val="bottom"/>
          </w:tcPr>
          <w:p>
            <w:pPr>
              <w:spacing w:after="0"/>
              <w:rPr>
                <w:sz w:val="14"/>
                <w:szCs w:val="14"/>
                <w:color w:val="auto"/>
              </w:rPr>
            </w:pPr>
          </w:p>
        </w:tc>
        <w:tc>
          <w:tcPr>
            <w:tcW w:w="1020" w:type="dxa"/>
            <w:vAlign w:val="bottom"/>
            <w:gridSpan w:val="2"/>
          </w:tcPr>
          <w:p>
            <w:pPr>
              <w:jc w:val="right"/>
              <w:ind w:right="159"/>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96"/>
        </w:trPr>
        <w:tc>
          <w:tcPr>
            <w:tcW w:w="82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826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601,961</w:t>
            </w:r>
          </w:p>
        </w:tc>
        <w:tc>
          <w:tcPr>
            <w:tcW w:w="320" w:type="dxa"/>
            <w:vAlign w:val="bottom"/>
          </w:tcPr>
          <w:p>
            <w:pPr>
              <w:spacing w:after="0"/>
              <w:rPr>
                <w:sz w:val="18"/>
                <w:szCs w:val="18"/>
                <w:color w:val="auto"/>
              </w:rPr>
            </w:pPr>
          </w:p>
        </w:tc>
        <w:tc>
          <w:tcPr>
            <w:tcW w:w="1120" w:type="dxa"/>
            <w:vAlign w:val="bottom"/>
            <w:gridSpan w:val="3"/>
          </w:tcPr>
          <w:p>
            <w:pPr>
              <w:jc w:val="right"/>
              <w:ind w:right="100"/>
              <w:spacing w:after="0"/>
              <w:rPr>
                <w:sz w:val="20"/>
                <w:szCs w:val="20"/>
                <w:color w:val="auto"/>
              </w:rPr>
            </w:pPr>
            <w:r>
              <w:rPr>
                <w:rFonts w:ascii="Arial" w:cs="Arial" w:eastAsia="Arial" w:hAnsi="Arial"/>
                <w:sz w:val="18"/>
                <w:szCs w:val="18"/>
                <w:color w:val="auto"/>
              </w:rPr>
              <w:t>$ 562,038</w:t>
            </w:r>
          </w:p>
        </w:tc>
      </w:tr>
      <w:tr>
        <w:trPr>
          <w:trHeight w:val="216"/>
        </w:trPr>
        <w:tc>
          <w:tcPr>
            <w:tcW w:w="826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32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144,320</w:t>
            </w:r>
          </w:p>
        </w:tc>
      </w:tr>
      <w:tr>
        <w:trPr>
          <w:trHeight w:val="216"/>
        </w:trPr>
        <w:tc>
          <w:tcPr>
            <w:tcW w:w="8260" w:type="dxa"/>
            <w:vAlign w:val="bottom"/>
          </w:tcPr>
          <w:p>
            <w:pPr>
              <w:spacing w:after="0"/>
              <w:rPr>
                <w:sz w:val="20"/>
                <w:szCs w:val="20"/>
                <w:color w:val="auto"/>
              </w:rPr>
            </w:pPr>
            <w:r>
              <w:rPr>
                <w:rFonts w:ascii="Arial" w:cs="Arial" w:eastAsia="Arial" w:hAnsi="Arial"/>
                <w:sz w:val="18"/>
                <w:szCs w:val="18"/>
                <w:color w:val="auto"/>
              </w:rPr>
              <w:t>Computer software</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99,312</w:t>
            </w:r>
          </w:p>
        </w:tc>
        <w:tc>
          <w:tcPr>
            <w:tcW w:w="320" w:type="dxa"/>
            <w:vAlign w:val="bottom"/>
          </w:tcPr>
          <w:p>
            <w:pPr>
              <w:spacing w:after="0"/>
              <w:rPr>
                <w:sz w:val="18"/>
                <w:szCs w:val="18"/>
                <w:color w:val="auto"/>
              </w:rPr>
            </w:pPr>
          </w:p>
        </w:tc>
        <w:tc>
          <w:tcPr>
            <w:tcW w:w="1120" w:type="dxa"/>
            <w:vAlign w:val="bottom"/>
            <w:gridSpan w:val="3"/>
          </w:tcPr>
          <w:p>
            <w:pPr>
              <w:jc w:val="right"/>
              <w:ind w:right="100"/>
              <w:spacing w:after="0"/>
              <w:rPr>
                <w:sz w:val="20"/>
                <w:szCs w:val="20"/>
                <w:color w:val="auto"/>
              </w:rPr>
            </w:pPr>
            <w:r>
              <w:rPr>
                <w:rFonts w:ascii="Arial" w:cs="Arial" w:eastAsia="Arial" w:hAnsi="Arial"/>
                <w:sz w:val="18"/>
                <w:szCs w:val="18"/>
                <w:color w:val="auto"/>
              </w:rPr>
              <w:t>96,096</w:t>
            </w:r>
          </w:p>
        </w:tc>
      </w:tr>
      <w:tr>
        <w:trPr>
          <w:trHeight w:val="216"/>
        </w:trPr>
        <w:tc>
          <w:tcPr>
            <w:tcW w:w="826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32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53,373</w:t>
            </w:r>
          </w:p>
        </w:tc>
      </w:tr>
      <w:tr>
        <w:trPr>
          <w:trHeight w:val="216"/>
        </w:trPr>
        <w:tc>
          <w:tcPr>
            <w:tcW w:w="8260" w:type="dxa"/>
            <w:vAlign w:val="bottom"/>
          </w:tcPr>
          <w:p>
            <w:pPr>
              <w:spacing w:after="0"/>
              <w:rPr>
                <w:sz w:val="20"/>
                <w:szCs w:val="20"/>
                <w:color w:val="auto"/>
              </w:rPr>
            </w:pPr>
            <w:r>
              <w:rPr>
                <w:rFonts w:ascii="Arial" w:cs="Arial" w:eastAsia="Arial" w:hAnsi="Arial"/>
                <w:sz w:val="18"/>
                <w:szCs w:val="18"/>
                <w:color w:val="auto"/>
              </w:rPr>
              <w:t>Building improvements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49,753</w:t>
            </w:r>
          </w:p>
        </w:tc>
        <w:tc>
          <w:tcPr>
            <w:tcW w:w="320" w:type="dxa"/>
            <w:vAlign w:val="bottom"/>
          </w:tcPr>
          <w:p>
            <w:pPr>
              <w:spacing w:after="0"/>
              <w:rPr>
                <w:sz w:val="18"/>
                <w:szCs w:val="18"/>
                <w:color w:val="auto"/>
              </w:rPr>
            </w:pPr>
          </w:p>
        </w:tc>
        <w:tc>
          <w:tcPr>
            <w:tcW w:w="1120" w:type="dxa"/>
            <w:vAlign w:val="bottom"/>
            <w:gridSpan w:val="3"/>
          </w:tcPr>
          <w:p>
            <w:pPr>
              <w:jc w:val="right"/>
              <w:ind w:right="100"/>
              <w:spacing w:after="0"/>
              <w:rPr>
                <w:sz w:val="20"/>
                <w:szCs w:val="20"/>
                <w:color w:val="auto"/>
              </w:rPr>
            </w:pPr>
            <w:r>
              <w:rPr>
                <w:rFonts w:ascii="Arial" w:cs="Arial" w:eastAsia="Arial" w:hAnsi="Arial"/>
                <w:sz w:val="18"/>
                <w:szCs w:val="18"/>
                <w:color w:val="auto"/>
              </w:rPr>
              <w:t>49,645</w:t>
            </w:r>
          </w:p>
        </w:tc>
      </w:tr>
      <w:tr>
        <w:trPr>
          <w:trHeight w:val="216"/>
        </w:trPr>
        <w:tc>
          <w:tcPr>
            <w:tcW w:w="826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51,434</w:t>
            </w:r>
          </w:p>
        </w:tc>
        <w:tc>
          <w:tcPr>
            <w:tcW w:w="32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49,060</w:t>
            </w:r>
          </w:p>
        </w:tc>
      </w:tr>
      <w:tr>
        <w:trPr>
          <w:trHeight w:val="216"/>
        </w:trPr>
        <w:tc>
          <w:tcPr>
            <w:tcW w:w="8260" w:type="dxa"/>
            <w:vAlign w:val="bottom"/>
          </w:tcPr>
          <w:p>
            <w:pPr>
              <w:spacing w:after="0"/>
              <w:rPr>
                <w:sz w:val="20"/>
                <w:szCs w:val="20"/>
                <w:color w:val="auto"/>
              </w:rPr>
            </w:pPr>
            <w:r>
              <w:rPr>
                <w:rFonts w:ascii="Arial" w:cs="Arial" w:eastAsia="Arial" w:hAnsi="Arial"/>
                <w:sz w:val="18"/>
                <w:szCs w:val="18"/>
                <w:color w:val="auto"/>
              </w:rPr>
              <w:t>Furniture and fixtures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27,883</w:t>
            </w:r>
          </w:p>
        </w:tc>
        <w:tc>
          <w:tcPr>
            <w:tcW w:w="320" w:type="dxa"/>
            <w:vAlign w:val="bottom"/>
          </w:tcPr>
          <w:p>
            <w:pPr>
              <w:spacing w:after="0"/>
              <w:rPr>
                <w:sz w:val="18"/>
                <w:szCs w:val="18"/>
                <w:color w:val="auto"/>
              </w:rPr>
            </w:pPr>
          </w:p>
        </w:tc>
        <w:tc>
          <w:tcPr>
            <w:tcW w:w="1120" w:type="dxa"/>
            <w:vAlign w:val="bottom"/>
            <w:gridSpan w:val="3"/>
          </w:tcPr>
          <w:p>
            <w:pPr>
              <w:jc w:val="right"/>
              <w:ind w:right="100"/>
              <w:spacing w:after="0"/>
              <w:rPr>
                <w:sz w:val="20"/>
                <w:szCs w:val="20"/>
                <w:color w:val="auto"/>
              </w:rPr>
            </w:pPr>
            <w:r>
              <w:rPr>
                <w:rFonts w:ascii="Arial" w:cs="Arial" w:eastAsia="Arial" w:hAnsi="Arial"/>
                <w:sz w:val="18"/>
                <w:szCs w:val="18"/>
                <w:color w:val="auto"/>
              </w:rPr>
              <w:t>27,621</w:t>
            </w:r>
          </w:p>
        </w:tc>
      </w:tr>
      <w:tr>
        <w:trPr>
          <w:trHeight w:val="216"/>
        </w:trPr>
        <w:tc>
          <w:tcPr>
            <w:tcW w:w="826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6,167</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2,911</w:t>
            </w:r>
          </w:p>
        </w:tc>
        <w:tc>
          <w:tcPr>
            <w:tcW w:w="100" w:type="dxa"/>
            <w:vAlign w:val="bottom"/>
            <w:shd w:val="clear" w:color="auto" w:fill="CCEEFF"/>
          </w:tcPr>
          <w:p>
            <w:pPr>
              <w:spacing w:after="0"/>
              <w:rPr>
                <w:sz w:val="18"/>
                <w:szCs w:val="18"/>
                <w:color w:val="auto"/>
              </w:rPr>
            </w:pPr>
          </w:p>
        </w:tc>
      </w:tr>
      <w:tr>
        <w:trPr>
          <w:trHeight w:val="221"/>
        </w:trPr>
        <w:tc>
          <w:tcPr>
            <w:tcW w:w="8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1,034,203</w:t>
            </w:r>
          </w:p>
        </w:tc>
        <w:tc>
          <w:tcPr>
            <w:tcW w:w="320" w:type="dxa"/>
            <w:vAlign w:val="bottom"/>
          </w:tcPr>
          <w:p>
            <w:pPr>
              <w:spacing w:after="0"/>
              <w:rPr>
                <w:sz w:val="19"/>
                <w:szCs w:val="19"/>
                <w:color w:val="auto"/>
              </w:rPr>
            </w:pPr>
          </w:p>
        </w:tc>
        <w:tc>
          <w:tcPr>
            <w:tcW w:w="1120" w:type="dxa"/>
            <w:vAlign w:val="bottom"/>
            <w:gridSpan w:val="3"/>
          </w:tcPr>
          <w:p>
            <w:pPr>
              <w:jc w:val="right"/>
              <w:ind w:right="100"/>
              <w:spacing w:after="0"/>
              <w:rPr>
                <w:sz w:val="20"/>
                <w:szCs w:val="20"/>
                <w:color w:val="auto"/>
              </w:rPr>
            </w:pPr>
            <w:r>
              <w:rPr>
                <w:rFonts w:ascii="Arial" w:cs="Arial" w:eastAsia="Arial" w:hAnsi="Arial"/>
                <w:sz w:val="18"/>
                <w:szCs w:val="18"/>
                <w:color w:val="auto"/>
              </w:rPr>
              <w:t>985,064</w:t>
            </w:r>
          </w:p>
        </w:tc>
      </w:tr>
      <w:tr>
        <w:trPr>
          <w:trHeight w:val="218"/>
        </w:trPr>
        <w:tc>
          <w:tcPr>
            <w:tcW w:w="8260" w:type="dxa"/>
            <w:vAlign w:val="bottom"/>
            <w:shd w:val="clear" w:color="auto" w:fill="CCEEFF"/>
          </w:tcPr>
          <w:p>
            <w:pPr>
              <w:spacing w:after="0"/>
              <w:rPr>
                <w:sz w:val="20"/>
                <w:szCs w:val="20"/>
                <w:color w:val="auto"/>
              </w:rPr>
            </w:pPr>
            <w:r>
              <w:rPr>
                <w:rFonts w:ascii="Arial" w:cs="Arial" w:eastAsia="Arial" w:hAnsi="Arial"/>
                <w:sz w:val="18"/>
                <w:szCs w:val="18"/>
                <w:color w:val="auto"/>
              </w:rPr>
              <w:t>Less: Accumulated depreciation</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(693,564)</w:t>
            </w:r>
          </w:p>
        </w:tc>
        <w:tc>
          <w:tcPr>
            <w:tcW w:w="11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(628,899)</w:t>
            </w:r>
          </w:p>
        </w:tc>
      </w:tr>
      <w:tr>
        <w:trPr>
          <w:trHeight w:val="222"/>
        </w:trPr>
        <w:tc>
          <w:tcPr>
            <w:tcW w:w="82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340,639</w:t>
            </w:r>
          </w:p>
        </w:tc>
        <w:tc>
          <w:tcPr>
            <w:tcW w:w="3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$ 356,165</w:t>
            </w:r>
          </w:p>
        </w:tc>
        <w:tc>
          <w:tcPr>
            <w:tcW w:w="100" w:type="dxa"/>
            <w:vAlign w:val="bottom"/>
          </w:tcPr>
          <w:p>
            <w:pPr>
              <w:spacing w:after="0"/>
              <w:rPr>
                <w:sz w:val="19"/>
                <w:szCs w:val="19"/>
                <w:color w:val="auto"/>
              </w:rPr>
            </w:pPr>
          </w:p>
        </w:tc>
      </w:tr>
      <w:tr>
        <w:trPr>
          <w:trHeight w:val="20"/>
        </w:trPr>
        <w:tc>
          <w:tcPr>
            <w:tcW w:w="8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recorded depreciation expense of $78.3 million, $77.2 million and $70.7 million for fiscal 2015, 2014 and 2013, respectively.</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42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31,</w:t>
            </w:r>
          </w:p>
        </w:tc>
        <w:tc>
          <w:tcPr>
            <w:tcW w:w="62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8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6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84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61,217</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83,521</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22,273</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19,282</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9,267</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14,565</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13,432</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13,744</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Deposits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7,903</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12,433</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14,747</w:t>
            </w:r>
          </w:p>
        </w:tc>
        <w:tc>
          <w:tcPr>
            <w:tcW w:w="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16,821</w:t>
            </w:r>
          </w:p>
        </w:tc>
        <w:tc>
          <w:tcPr>
            <w:tcW w:w="100" w:type="dxa"/>
            <w:vAlign w:val="bottom"/>
            <w:shd w:val="clear" w:color="auto" w:fill="CCEEFF"/>
          </w:tcPr>
          <w:p>
            <w:pPr>
              <w:spacing w:after="0"/>
              <w:rPr>
                <w:sz w:val="18"/>
                <w:szCs w:val="18"/>
                <w:color w:val="auto"/>
              </w:rPr>
            </w:pPr>
          </w:p>
        </w:tc>
      </w:tr>
      <w:tr>
        <w:trPr>
          <w:trHeight w:val="222"/>
        </w:trPr>
        <w:tc>
          <w:tcPr>
            <w:tcW w:w="8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128,839</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160,366</w:t>
            </w:r>
          </w:p>
        </w:tc>
        <w:tc>
          <w:tcPr>
            <w:tcW w:w="100" w:type="dxa"/>
            <w:vAlign w:val="bottom"/>
          </w:tcPr>
          <w:p>
            <w:pPr>
              <w:spacing w:after="0"/>
              <w:rPr>
                <w:sz w:val="19"/>
                <w:szCs w:val="19"/>
                <w:color w:val="auto"/>
              </w:rPr>
            </w:pPr>
          </w:p>
        </w:tc>
      </w:tr>
      <w:tr>
        <w:trPr>
          <w:trHeight w:val="20"/>
        </w:trPr>
        <w:tc>
          <w:tcPr>
            <w:tcW w:w="8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Amortization of technology and other licenses was $27.9 million, $25.6 million and $20.3 million in fiscal 2015, 2014 and 2013, respectively.</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474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January 31,</w:t>
            </w:r>
          </w:p>
        </w:tc>
        <w:tc>
          <w:tcPr>
            <w:tcW w:w="3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February 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660" w:type="dxa"/>
            <w:vAlign w:val="bottom"/>
            <w:tcBorders>
              <w:bottom w:val="single" w:sz="8" w:color="CCEEFF"/>
            </w:tcBorders>
          </w:tcPr>
          <w:p>
            <w:pPr>
              <w:spacing w:after="0"/>
              <w:rPr>
                <w:sz w:val="14"/>
                <w:szCs w:val="14"/>
                <w:color w:val="auto"/>
              </w:rPr>
            </w:pPr>
          </w:p>
        </w:tc>
        <w:tc>
          <w:tcPr>
            <w:tcW w:w="47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6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4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60" w:type="dxa"/>
            <w:vAlign w:val="bottom"/>
          </w:tcPr>
          <w:p>
            <w:pPr>
              <w:spacing w:after="0"/>
              <w:rPr>
                <w:sz w:val="20"/>
                <w:szCs w:val="20"/>
                <w:color w:val="auto"/>
              </w:rPr>
            </w:pPr>
            <w:r>
              <w:rPr>
                <w:rFonts w:ascii="Arial" w:cs="Arial" w:eastAsia="Arial" w:hAnsi="Arial"/>
                <w:sz w:val="18"/>
                <w:szCs w:val="18"/>
                <w:color w:val="auto"/>
              </w:rPr>
              <w:t>Accrued rebates</w:t>
            </w:r>
          </w:p>
        </w:tc>
        <w:tc>
          <w:tcPr>
            <w:tcW w:w="4840" w:type="dxa"/>
            <w:vAlign w:val="bottom"/>
            <w:gridSpan w:val="2"/>
          </w:tcPr>
          <w:p>
            <w:pPr>
              <w:ind w:left="4740"/>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39,105</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61,616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4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24,680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6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4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14,428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18,482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4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10,027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60" w:type="dxa"/>
            <w:vAlign w:val="bottom"/>
          </w:tcPr>
          <w:p>
            <w:pPr>
              <w:spacing w:after="0"/>
              <w:rPr>
                <w:sz w:val="20"/>
                <w:szCs w:val="20"/>
                <w:color w:val="auto"/>
              </w:rPr>
            </w:pPr>
            <w:r>
              <w:rPr>
                <w:rFonts w:ascii="Arial" w:cs="Arial" w:eastAsia="Arial" w:hAnsi="Arial"/>
                <w:sz w:val="18"/>
                <w:szCs w:val="18"/>
                <w:color w:val="auto"/>
              </w:rPr>
              <w:t>Other</w:t>
            </w:r>
          </w:p>
        </w:tc>
        <w:tc>
          <w:tcPr>
            <w:tcW w:w="4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43,148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30,507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660" w:type="dxa"/>
            <w:vAlign w:val="bottom"/>
          </w:tcPr>
          <w:p>
            <w:pPr>
              <w:spacing w:after="0"/>
              <w:rPr>
                <w:sz w:val="2"/>
                <w:szCs w:val="2"/>
                <w:color w:val="auto"/>
              </w:rPr>
            </w:pPr>
          </w:p>
        </w:tc>
        <w:tc>
          <w:tcPr>
            <w:tcW w:w="47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4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131,388</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161,762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60" w:type="dxa"/>
            <w:vAlign w:val="bottom"/>
          </w:tcPr>
          <w:p>
            <w:pPr>
              <w:spacing w:after="0" w:line="20" w:lineRule="exact"/>
              <w:rPr>
                <w:sz w:val="1"/>
                <w:szCs w:val="1"/>
                <w:color w:val="auto"/>
              </w:rPr>
            </w:pPr>
          </w:p>
        </w:tc>
        <w:tc>
          <w:tcPr>
            <w:tcW w:w="4740" w:type="dxa"/>
            <w:vAlign w:val="bottom"/>
            <w:vMerge w:val="restart"/>
          </w:tcPr>
          <w:p>
            <w:pPr>
              <w:jc w:val="right"/>
              <w:ind w:right="2992"/>
              <w:spacing w:after="0"/>
              <w:rPr>
                <w:sz w:val="20"/>
                <w:szCs w:val="20"/>
                <w:color w:val="auto"/>
              </w:rPr>
            </w:pPr>
            <w:r>
              <w:rPr>
                <w:rFonts w:ascii="Arial" w:cs="Arial" w:eastAsia="Arial" w:hAnsi="Arial"/>
                <w:sz w:val="18"/>
                <w:szCs w:val="18"/>
                <w:color w:val="auto"/>
              </w:rPr>
              <w:t>71</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3660" w:type="dxa"/>
            <w:vAlign w:val="bottom"/>
          </w:tcPr>
          <w:p>
            <w:pPr>
              <w:spacing w:after="0"/>
              <w:rPr>
                <w:sz w:val="24"/>
                <w:szCs w:val="24"/>
                <w:color w:val="auto"/>
              </w:rPr>
            </w:pPr>
          </w:p>
        </w:tc>
        <w:tc>
          <w:tcPr>
            <w:tcW w:w="47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00" w:type="dxa"/>
            <w:vAlign w:val="bottom"/>
          </w:tcPr>
          <w:p>
            <w:pPr>
              <w:spacing w:after="0"/>
              <w:rPr>
                <w:sz w:val="14"/>
                <w:szCs w:val="14"/>
                <w:color w:val="auto"/>
              </w:rPr>
            </w:pPr>
          </w:p>
        </w:tc>
        <w:tc>
          <w:tcPr>
            <w:tcW w:w="260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20" w:type="dxa"/>
            <w:vAlign w:val="bottom"/>
          </w:tcPr>
          <w:p>
            <w:pPr>
              <w:spacing w:after="0"/>
              <w:rPr>
                <w:sz w:val="14"/>
                <w:szCs w:val="14"/>
                <w:color w:val="auto"/>
              </w:rPr>
            </w:pPr>
          </w:p>
        </w:tc>
        <w:tc>
          <w:tcPr>
            <w:tcW w:w="5700" w:type="dxa"/>
            <w:vAlign w:val="bottom"/>
            <w:tcBorders>
              <w:bottom w:val="single" w:sz="8" w:color="CCEEFF"/>
            </w:tcBorders>
          </w:tcPr>
          <w:p>
            <w:pPr>
              <w:spacing w:after="0"/>
              <w:rPr>
                <w:sz w:val="14"/>
                <w:szCs w:val="14"/>
                <w:color w:val="auto"/>
              </w:rPr>
            </w:pPr>
          </w:p>
        </w:tc>
        <w:tc>
          <w:tcPr>
            <w:tcW w:w="26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2015</w:t>
            </w:r>
          </w:p>
        </w:tc>
        <w:tc>
          <w:tcPr>
            <w:tcW w:w="7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57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26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760" w:type="dxa"/>
            <w:vAlign w:val="bottom"/>
            <w:gridSpan w:val="2"/>
          </w:tcPr>
          <w:p>
            <w:pPr>
              <w:ind w:left="26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16,468</w:t>
            </w:r>
          </w:p>
        </w:tc>
        <w:tc>
          <w:tcPr>
            <w:tcW w:w="84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28,959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2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4,610</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Other</w:t>
            </w:r>
          </w:p>
        </w:tc>
        <w:tc>
          <w:tcPr>
            <w:tcW w:w="26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11,115</w:t>
            </w:r>
          </w:p>
        </w:tc>
        <w:tc>
          <w:tcPr>
            <w:tcW w:w="7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9,140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760" w:type="dxa"/>
            <w:vAlign w:val="bottom"/>
            <w:gridSpan w:val="2"/>
            <w:shd w:val="clear" w:color="auto" w:fill="CCEEFF"/>
          </w:tcPr>
          <w:p>
            <w:pPr>
              <w:ind w:left="26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32,193</w:t>
            </w:r>
          </w:p>
        </w:tc>
        <w:tc>
          <w:tcPr>
            <w:tcW w:w="84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42,469</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70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accumulated other comprehensive income by components are presented in the following tables (in thousands):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6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4"/>
          </w:tcPr>
          <w:p>
            <w:pPr>
              <w:jc w:val="center"/>
              <w:ind w:right="300"/>
              <w:spacing w:after="0"/>
              <w:rPr>
                <w:sz w:val="20"/>
                <w:szCs w:val="20"/>
                <w:color w:val="auto"/>
              </w:rPr>
            </w:pPr>
            <w:r>
              <w:rPr>
                <w:rFonts w:ascii="Arial" w:cs="Arial" w:eastAsia="Arial" w:hAnsi="Arial"/>
                <w:sz w:val="14"/>
                <w:szCs w:val="14"/>
                <w:b w:val="1"/>
                <w:bCs w:val="1"/>
                <w:color w:val="auto"/>
                <w:w w:val="87"/>
              </w:rPr>
              <w:t>Unrealized</w:t>
            </w: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20" w:type="dxa"/>
            <w:vAlign w:val="bottom"/>
            <w:gridSpan w:val="4"/>
          </w:tcPr>
          <w:p>
            <w:pPr>
              <w:jc w:val="center"/>
              <w:ind w:right="260"/>
              <w:spacing w:after="0"/>
              <w:rPr>
                <w:sz w:val="20"/>
                <w:szCs w:val="20"/>
                <w:color w:val="auto"/>
              </w:rPr>
            </w:pPr>
            <w:r>
              <w:rPr>
                <w:rFonts w:ascii="Arial" w:cs="Arial" w:eastAsia="Arial" w:hAnsi="Arial"/>
                <w:sz w:val="14"/>
                <w:szCs w:val="14"/>
                <w:b w:val="1"/>
                <w:bCs w:val="1"/>
                <w:color w:val="auto"/>
                <w:w w:val="87"/>
              </w:rPr>
              <w:t>Unrealized</w:t>
            </w:r>
          </w:p>
        </w:tc>
        <w:tc>
          <w:tcPr>
            <w:tcW w:w="140" w:type="dxa"/>
            <w:vAlign w:val="bottom"/>
          </w:tcPr>
          <w:p>
            <w:pPr>
              <w:spacing w:after="0"/>
              <w:rPr>
                <w:sz w:val="14"/>
                <w:szCs w:val="14"/>
                <w:color w:val="auto"/>
              </w:rPr>
            </w:pPr>
          </w:p>
        </w:tc>
        <w:tc>
          <w:tcPr>
            <w:tcW w:w="800" w:type="dxa"/>
            <w:vAlign w:val="bottom"/>
            <w:gridSpan w:val="4"/>
          </w:tcPr>
          <w:p>
            <w:pPr>
              <w:jc w:val="center"/>
              <w:ind w:right="160"/>
              <w:spacing w:after="0"/>
              <w:rPr>
                <w:sz w:val="20"/>
                <w:szCs w:val="20"/>
                <w:color w:val="auto"/>
              </w:rPr>
            </w:pPr>
            <w:r>
              <w:rPr>
                <w:rFonts w:ascii="Arial" w:cs="Arial" w:eastAsia="Arial" w:hAnsi="Arial"/>
                <w:sz w:val="14"/>
                <w:szCs w:val="14"/>
                <w:b w:val="1"/>
                <w:bCs w:val="1"/>
                <w:color w:val="auto"/>
                <w:w w:val="90"/>
              </w:rPr>
              <w:t>Unrealized</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6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96"/>
              </w:rPr>
              <w:t>Gain</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81"/>
              </w:rPr>
              <w:t>Loss on</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Gain</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6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60" w:type="dxa"/>
            <w:vAlign w:val="bottom"/>
            <w:gridSpan w:val="4"/>
          </w:tcPr>
          <w:p>
            <w:pPr>
              <w:jc w:val="center"/>
              <w:ind w:right="300"/>
              <w:spacing w:after="0" w:line="149" w:lineRule="exact"/>
              <w:rPr>
                <w:sz w:val="20"/>
                <w:szCs w:val="20"/>
                <w:color w:val="auto"/>
              </w:rPr>
            </w:pPr>
            <w:r>
              <w:rPr>
                <w:rFonts w:ascii="Arial" w:cs="Arial" w:eastAsia="Arial" w:hAnsi="Arial"/>
                <w:sz w:val="14"/>
                <w:szCs w:val="14"/>
                <w:b w:val="1"/>
                <w:bCs w:val="1"/>
                <w:color w:val="auto"/>
                <w:w w:val="85"/>
              </w:rPr>
              <w:t>(Loss) on</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Auction</w:t>
            </w:r>
          </w:p>
        </w:tc>
        <w:tc>
          <w:tcPr>
            <w:tcW w:w="140" w:type="dxa"/>
            <w:vAlign w:val="bottom"/>
          </w:tcPr>
          <w:p>
            <w:pPr>
              <w:spacing w:after="0"/>
              <w:rPr>
                <w:sz w:val="12"/>
                <w:szCs w:val="12"/>
                <w:color w:val="auto"/>
              </w:rPr>
            </w:pPr>
          </w:p>
        </w:tc>
        <w:tc>
          <w:tcPr>
            <w:tcW w:w="800" w:type="dxa"/>
            <w:vAlign w:val="bottom"/>
            <w:gridSpan w:val="4"/>
          </w:tcPr>
          <w:p>
            <w:pPr>
              <w:jc w:val="center"/>
              <w:ind w:right="160"/>
              <w:spacing w:after="0" w:line="149" w:lineRule="exact"/>
              <w:rPr>
                <w:sz w:val="20"/>
                <w:szCs w:val="20"/>
                <w:color w:val="auto"/>
              </w:rPr>
            </w:pPr>
            <w:r>
              <w:rPr>
                <w:rFonts w:ascii="Arial" w:cs="Arial" w:eastAsia="Arial" w:hAnsi="Arial"/>
                <w:sz w:val="14"/>
                <w:szCs w:val="14"/>
                <w:b w:val="1"/>
                <w:bCs w:val="1"/>
                <w:color w:val="auto"/>
                <w:w w:val="82"/>
              </w:rPr>
              <w:t>(Loss) on</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6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60" w:type="dxa"/>
            <w:vAlign w:val="bottom"/>
            <w:gridSpan w:val="4"/>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Marketable</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92"/>
              </w:rPr>
              <w:t>Rate</w:t>
            </w:r>
          </w:p>
        </w:tc>
        <w:tc>
          <w:tcPr>
            <w:tcW w:w="140" w:type="dxa"/>
            <w:vAlign w:val="bottom"/>
          </w:tcPr>
          <w:p>
            <w:pPr>
              <w:spacing w:after="0"/>
              <w:rPr>
                <w:sz w:val="12"/>
                <w:szCs w:val="12"/>
                <w:color w:val="auto"/>
              </w:rPr>
            </w:pPr>
          </w:p>
        </w:tc>
        <w:tc>
          <w:tcPr>
            <w:tcW w:w="800" w:type="dxa"/>
            <w:vAlign w:val="bottom"/>
            <w:gridSpan w:val="4"/>
          </w:tcPr>
          <w:p>
            <w:pPr>
              <w:jc w:val="center"/>
              <w:ind w:right="160"/>
              <w:spacing w:after="0" w:line="149" w:lineRule="exact"/>
              <w:rPr>
                <w:sz w:val="20"/>
                <w:szCs w:val="20"/>
                <w:color w:val="auto"/>
              </w:rPr>
            </w:pPr>
            <w:r>
              <w:rPr>
                <w:rFonts w:ascii="Arial" w:cs="Arial" w:eastAsia="Arial" w:hAnsi="Arial"/>
                <w:sz w:val="14"/>
                <w:szCs w:val="14"/>
                <w:b w:val="1"/>
                <w:bCs w:val="1"/>
                <w:color w:val="auto"/>
                <w:w w:val="85"/>
              </w:rPr>
              <w:t>Cash Flow</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46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4"/>
          </w:tcPr>
          <w:p>
            <w:pPr>
              <w:jc w:val="center"/>
              <w:ind w:right="300"/>
              <w:spacing w:after="0"/>
              <w:rPr>
                <w:sz w:val="20"/>
                <w:szCs w:val="20"/>
                <w:color w:val="auto"/>
              </w:rPr>
            </w:pPr>
            <w:r>
              <w:rPr>
                <w:rFonts w:ascii="Arial" w:cs="Arial" w:eastAsia="Arial" w:hAnsi="Arial"/>
                <w:sz w:val="14"/>
                <w:szCs w:val="14"/>
                <w:b w:val="1"/>
                <w:bCs w:val="1"/>
                <w:color w:val="auto"/>
                <w:w w:val="86"/>
              </w:rPr>
              <w:t>Securities</w:t>
            </w: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2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83"/>
              </w:rPr>
              <w:t>Securities</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2"/>
              </w:rPr>
              <w:t>Hedges</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20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2,534</w:t>
            </w:r>
          </w:p>
        </w:tc>
        <w:tc>
          <w:tcPr>
            <w:tcW w:w="3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1"/>
              </w:rPr>
              <w:t>(2,871)</w:t>
            </w: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934</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$ 597</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ind w:left="420"/>
              <w:spacing w:after="0"/>
              <w:rPr>
                <w:sz w:val="20"/>
                <w:szCs w:val="20"/>
                <w:color w:val="auto"/>
              </w:rPr>
            </w:pPr>
            <w:r>
              <w:rPr>
                <w:rFonts w:ascii="Arial" w:cs="Arial" w:eastAsia="Arial" w:hAnsi="Arial"/>
                <w:sz w:val="18"/>
                <w:szCs w:val="18"/>
                <w:color w:val="auto"/>
              </w:rPr>
              <w:t>Other comprehensive income (loss) before reclassifications</w:t>
            </w:r>
          </w:p>
        </w:tc>
        <w:tc>
          <w:tcPr>
            <w:tcW w:w="2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3"/>
          </w:tcPr>
          <w:p>
            <w:pPr>
              <w:jc w:val="right"/>
              <w:ind w:right="300"/>
              <w:spacing w:after="0"/>
              <w:rPr>
                <w:sz w:val="20"/>
                <w:szCs w:val="20"/>
                <w:color w:val="auto"/>
              </w:rPr>
            </w:pPr>
            <w:r>
              <w:rPr>
                <w:rFonts w:ascii="Arial" w:cs="Arial" w:eastAsia="Arial" w:hAnsi="Arial"/>
                <w:sz w:val="18"/>
                <w:szCs w:val="18"/>
                <w:color w:val="auto"/>
              </w:rPr>
              <w:t>2,479</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3"/>
          </w:tcPr>
          <w:p>
            <w:pPr>
              <w:jc w:val="right"/>
              <w:ind w:right="280"/>
              <w:spacing w:after="0"/>
              <w:rPr>
                <w:sz w:val="20"/>
                <w:szCs w:val="20"/>
                <w:color w:val="auto"/>
              </w:rPr>
            </w:pPr>
            <w:r>
              <w:rPr>
                <w:rFonts w:ascii="Arial" w:cs="Arial" w:eastAsia="Arial" w:hAnsi="Arial"/>
                <w:sz w:val="18"/>
                <w:szCs w:val="18"/>
                <w:color w:val="auto"/>
              </w:rPr>
              <w:t>85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ind w:right="100"/>
              <w:spacing w:after="0"/>
              <w:rPr>
                <w:sz w:val="20"/>
                <w:szCs w:val="20"/>
                <w:color w:val="auto"/>
              </w:rPr>
            </w:pPr>
            <w:r>
              <w:rPr>
                <w:rFonts w:ascii="Arial" w:cs="Arial" w:eastAsia="Arial" w:hAnsi="Arial"/>
                <w:sz w:val="18"/>
                <w:szCs w:val="18"/>
                <w:color w:val="auto"/>
              </w:rPr>
              <w:t>(2,338)</w:t>
            </w:r>
          </w:p>
        </w:tc>
        <w:tc>
          <w:tcPr>
            <w:tcW w:w="780" w:type="dxa"/>
            <w:vAlign w:val="bottom"/>
            <w:gridSpan w:val="4"/>
          </w:tcPr>
          <w:p>
            <w:pPr>
              <w:jc w:val="right"/>
              <w:ind w:right="100"/>
              <w:spacing w:after="0"/>
              <w:rPr>
                <w:sz w:val="20"/>
                <w:szCs w:val="20"/>
                <w:color w:val="auto"/>
              </w:rPr>
            </w:pPr>
            <w:r>
              <w:rPr>
                <w:rFonts w:ascii="Arial" w:cs="Arial" w:eastAsia="Arial" w:hAnsi="Arial"/>
                <w:sz w:val="18"/>
                <w:szCs w:val="18"/>
                <w:color w:val="auto"/>
              </w:rPr>
              <w:t>226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1"/>
              </w:rPr>
              <w:t>Amounts reclassified from accumulated other comprehensive income</w:t>
            </w:r>
          </w:p>
        </w:tc>
        <w:tc>
          <w:tcPr>
            <w:tcW w:w="20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(1,245)</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512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218</w:t>
            </w:r>
          </w:p>
        </w:tc>
        <w:tc>
          <w:tcPr>
            <w:tcW w:w="78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(515)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60" w:type="dxa"/>
            <w:vAlign w:val="bottom"/>
            <w:vMerge w:val="restart"/>
          </w:tcPr>
          <w:p>
            <w:pPr>
              <w:ind w:left="860"/>
              <w:spacing w:after="0"/>
              <w:rPr>
                <w:sz w:val="20"/>
                <w:szCs w:val="20"/>
                <w:color w:val="auto"/>
              </w:rPr>
            </w:pPr>
            <w:r>
              <w:rPr>
                <w:rFonts w:ascii="Arial" w:cs="Arial" w:eastAsia="Arial" w:hAnsi="Arial"/>
                <w:sz w:val="18"/>
                <w:szCs w:val="18"/>
                <w:color w:val="auto"/>
              </w:rPr>
              <w:t>Net current-period other comprehensive income (loss)</w:t>
            </w:r>
          </w:p>
        </w:tc>
        <w:tc>
          <w:tcPr>
            <w:tcW w:w="20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460" w:type="dxa"/>
            <w:vAlign w:val="bottom"/>
            <w:vMerge w:val="continue"/>
          </w:tcPr>
          <w:p>
            <w:pPr>
              <w:spacing w:after="0"/>
              <w:rPr>
                <w:sz w:val="19"/>
                <w:szCs w:val="19"/>
                <w:color w:val="auto"/>
              </w:rPr>
            </w:pPr>
          </w:p>
        </w:tc>
        <w:tc>
          <w:tcPr>
            <w:tcW w:w="2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80" w:type="dxa"/>
            <w:vAlign w:val="bottom"/>
            <w:gridSpan w:val="3"/>
          </w:tcPr>
          <w:p>
            <w:pPr>
              <w:jc w:val="right"/>
              <w:ind w:right="300"/>
              <w:spacing w:after="0"/>
              <w:rPr>
                <w:sz w:val="20"/>
                <w:szCs w:val="20"/>
                <w:color w:val="auto"/>
              </w:rPr>
            </w:pPr>
            <w:r>
              <w:rPr>
                <w:rFonts w:ascii="Arial" w:cs="Arial" w:eastAsia="Arial" w:hAnsi="Arial"/>
                <w:sz w:val="18"/>
                <w:szCs w:val="18"/>
                <w:color w:val="auto"/>
              </w:rPr>
              <w:t>1,234</w:t>
            </w: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3"/>
          </w:tcPr>
          <w:p>
            <w:pPr>
              <w:jc w:val="right"/>
              <w:ind w:right="280"/>
              <w:spacing w:after="0"/>
              <w:rPr>
                <w:sz w:val="20"/>
                <w:szCs w:val="20"/>
                <w:color w:val="auto"/>
              </w:rPr>
            </w:pPr>
            <w:r>
              <w:rPr>
                <w:rFonts w:ascii="Arial" w:cs="Arial" w:eastAsia="Arial" w:hAnsi="Arial"/>
                <w:sz w:val="18"/>
                <w:szCs w:val="18"/>
                <w:color w:val="auto"/>
              </w:rPr>
              <w:t>597</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3"/>
          </w:tcPr>
          <w:p>
            <w:pPr>
              <w:jc w:val="right"/>
              <w:ind w:right="100"/>
              <w:spacing w:after="0"/>
              <w:rPr>
                <w:sz w:val="20"/>
                <w:szCs w:val="20"/>
                <w:color w:val="auto"/>
              </w:rPr>
            </w:pPr>
            <w:r>
              <w:rPr>
                <w:rFonts w:ascii="Arial" w:cs="Arial" w:eastAsia="Arial" w:hAnsi="Arial"/>
                <w:sz w:val="18"/>
                <w:szCs w:val="18"/>
                <w:color w:val="auto"/>
              </w:rPr>
              <w:t>(2,120)</w:t>
            </w:r>
          </w:p>
        </w:tc>
        <w:tc>
          <w:tcPr>
            <w:tcW w:w="780" w:type="dxa"/>
            <w:vAlign w:val="bottom"/>
            <w:gridSpan w:val="4"/>
          </w:tcPr>
          <w:p>
            <w:pPr>
              <w:jc w:val="right"/>
              <w:ind w:right="40"/>
              <w:spacing w:after="0"/>
              <w:rPr>
                <w:sz w:val="20"/>
                <w:szCs w:val="20"/>
                <w:color w:val="auto"/>
              </w:rPr>
            </w:pPr>
            <w:r>
              <w:rPr>
                <w:rFonts w:ascii="Arial" w:cs="Arial" w:eastAsia="Arial" w:hAnsi="Arial"/>
                <w:sz w:val="18"/>
                <w:szCs w:val="18"/>
                <w:color w:val="auto"/>
              </w:rPr>
              <w:t>(289)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460" w:type="dxa"/>
            <w:vAlign w:val="bottom"/>
          </w:tcPr>
          <w:p>
            <w:pPr>
              <w:spacing w:after="0"/>
              <w:rPr>
                <w:sz w:val="2"/>
                <w:szCs w:val="2"/>
                <w:color w:val="auto"/>
              </w:rPr>
            </w:pPr>
          </w:p>
        </w:tc>
        <w:tc>
          <w:tcPr>
            <w:tcW w:w="2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2015</w:t>
            </w:r>
          </w:p>
        </w:tc>
        <w:tc>
          <w:tcPr>
            <w:tcW w:w="23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3,768</w:t>
            </w:r>
          </w:p>
        </w:tc>
        <w:tc>
          <w:tcPr>
            <w:tcW w:w="8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(2,274)</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(1,186)</w:t>
            </w:r>
          </w:p>
        </w:tc>
        <w:tc>
          <w:tcPr>
            <w:tcW w:w="78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$ 308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6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50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546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1100" w:type="dxa"/>
            <w:vAlign w:val="bottom"/>
            <w:gridSpan w:val="5"/>
          </w:tcPr>
          <w:p>
            <w:pPr>
              <w:jc w:val="center"/>
              <w:ind w:right="440"/>
              <w:spacing w:after="0"/>
              <w:rPr>
                <w:sz w:val="20"/>
                <w:szCs w:val="20"/>
                <w:color w:val="auto"/>
              </w:rPr>
            </w:pPr>
            <w:r>
              <w:rPr>
                <w:rFonts w:ascii="Arial" w:cs="Arial" w:eastAsia="Arial" w:hAnsi="Arial"/>
                <w:sz w:val="14"/>
                <w:szCs w:val="14"/>
                <w:b w:val="1"/>
                <w:bCs w:val="1"/>
                <w:color w:val="auto"/>
                <w:w w:val="87"/>
              </w:rPr>
              <w:t>Unrealized</w:t>
            </w:r>
          </w:p>
        </w:tc>
        <w:tc>
          <w:tcPr>
            <w:tcW w:w="1040" w:type="dxa"/>
            <w:vAlign w:val="bottom"/>
            <w:gridSpan w:val="6"/>
          </w:tcPr>
          <w:p>
            <w:pPr>
              <w:jc w:val="center"/>
              <w:ind w:right="420"/>
              <w:spacing w:after="0"/>
              <w:rPr>
                <w:sz w:val="20"/>
                <w:szCs w:val="20"/>
                <w:color w:val="auto"/>
              </w:rPr>
            </w:pPr>
            <w:r>
              <w:rPr>
                <w:rFonts w:ascii="Arial" w:cs="Arial" w:eastAsia="Arial" w:hAnsi="Arial"/>
                <w:sz w:val="14"/>
                <w:szCs w:val="14"/>
                <w:b w:val="1"/>
                <w:bCs w:val="1"/>
                <w:color w:val="auto"/>
                <w:w w:val="87"/>
              </w:rPr>
              <w:t>Unrealized</w:t>
            </w:r>
          </w:p>
        </w:tc>
        <w:tc>
          <w:tcPr>
            <w:tcW w:w="940" w:type="dxa"/>
            <w:vAlign w:val="bottom"/>
            <w:gridSpan w:val="5"/>
          </w:tcPr>
          <w:p>
            <w:pPr>
              <w:jc w:val="center"/>
              <w:ind w:right="300"/>
              <w:spacing w:after="0"/>
              <w:rPr>
                <w:sz w:val="20"/>
                <w:szCs w:val="20"/>
                <w:color w:val="auto"/>
              </w:rPr>
            </w:pPr>
            <w:r>
              <w:rPr>
                <w:rFonts w:ascii="Arial" w:cs="Arial" w:eastAsia="Arial" w:hAnsi="Arial"/>
                <w:sz w:val="14"/>
                <w:szCs w:val="14"/>
                <w:b w:val="1"/>
                <w:bCs w:val="1"/>
                <w:color w:val="auto"/>
                <w:w w:val="90"/>
              </w:rPr>
              <w:t>Unrealized</w:t>
            </w: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6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60" w:type="dxa"/>
            <w:vAlign w:val="bottom"/>
            <w:gridSpan w:val="4"/>
          </w:tcPr>
          <w:p>
            <w:pPr>
              <w:jc w:val="center"/>
              <w:ind w:right="560"/>
              <w:spacing w:after="0" w:line="149" w:lineRule="exact"/>
              <w:rPr>
                <w:sz w:val="20"/>
                <w:szCs w:val="20"/>
                <w:color w:val="auto"/>
              </w:rPr>
            </w:pPr>
            <w:r>
              <w:rPr>
                <w:rFonts w:ascii="Arial" w:cs="Arial" w:eastAsia="Arial" w:hAnsi="Arial"/>
                <w:sz w:val="14"/>
                <w:szCs w:val="14"/>
                <w:b w:val="1"/>
                <w:bCs w:val="1"/>
                <w:color w:val="auto"/>
                <w:w w:val="89"/>
              </w:rPr>
              <w:t>Gain</w:t>
            </w:r>
          </w:p>
        </w:tc>
        <w:tc>
          <w:tcPr>
            <w:tcW w:w="80" w:type="dxa"/>
            <w:vAlign w:val="bottom"/>
          </w:tcPr>
          <w:p>
            <w:pPr>
              <w:spacing w:after="0"/>
              <w:rPr>
                <w:sz w:val="12"/>
                <w:szCs w:val="12"/>
                <w:color w:val="auto"/>
              </w:rPr>
            </w:pPr>
          </w:p>
        </w:tc>
        <w:tc>
          <w:tcPr>
            <w:tcW w:w="960" w:type="dxa"/>
            <w:vAlign w:val="bottom"/>
            <w:gridSpan w:val="5"/>
          </w:tcPr>
          <w:p>
            <w:pPr>
              <w:jc w:val="center"/>
              <w:ind w:right="520"/>
              <w:spacing w:after="0" w:line="149" w:lineRule="exact"/>
              <w:rPr>
                <w:sz w:val="20"/>
                <w:szCs w:val="20"/>
                <w:color w:val="auto"/>
              </w:rPr>
            </w:pPr>
            <w:r>
              <w:rPr>
                <w:rFonts w:ascii="Arial" w:cs="Arial" w:eastAsia="Arial" w:hAnsi="Arial"/>
                <w:sz w:val="14"/>
                <w:szCs w:val="14"/>
                <w:b w:val="1"/>
                <w:bCs w:val="1"/>
                <w:color w:val="auto"/>
                <w:w w:val="81"/>
              </w:rPr>
              <w:t>Loss on</w:t>
            </w:r>
          </w:p>
        </w:tc>
        <w:tc>
          <w:tcPr>
            <w:tcW w:w="140" w:type="dxa"/>
            <w:vAlign w:val="bottom"/>
          </w:tcPr>
          <w:p>
            <w:pPr>
              <w:spacing w:after="0"/>
              <w:rPr>
                <w:sz w:val="12"/>
                <w:szCs w:val="12"/>
                <w:color w:val="auto"/>
              </w:rPr>
            </w:pPr>
          </w:p>
        </w:tc>
        <w:tc>
          <w:tcPr>
            <w:tcW w:w="800" w:type="dxa"/>
            <w:vAlign w:val="bottom"/>
            <w:gridSpan w:val="4"/>
          </w:tcPr>
          <w:p>
            <w:pPr>
              <w:jc w:val="center"/>
              <w:ind w:right="440"/>
              <w:spacing w:after="0" w:line="149" w:lineRule="exact"/>
              <w:rPr>
                <w:sz w:val="20"/>
                <w:szCs w:val="20"/>
                <w:color w:val="auto"/>
              </w:rPr>
            </w:pPr>
            <w:r>
              <w:rPr>
                <w:rFonts w:ascii="Arial" w:cs="Arial" w:eastAsia="Arial" w:hAnsi="Arial"/>
                <w:sz w:val="14"/>
                <w:szCs w:val="14"/>
                <w:b w:val="1"/>
                <w:bCs w:val="1"/>
                <w:color w:val="auto"/>
                <w:w w:val="89"/>
              </w:rPr>
              <w:t>Gain</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6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1100" w:type="dxa"/>
            <w:vAlign w:val="bottom"/>
            <w:gridSpan w:val="5"/>
          </w:tcPr>
          <w:p>
            <w:pPr>
              <w:jc w:val="center"/>
              <w:ind w:right="420"/>
              <w:spacing w:after="0" w:line="149" w:lineRule="exact"/>
              <w:rPr>
                <w:sz w:val="20"/>
                <w:szCs w:val="20"/>
                <w:color w:val="auto"/>
              </w:rPr>
            </w:pPr>
            <w:r>
              <w:rPr>
                <w:rFonts w:ascii="Arial" w:cs="Arial" w:eastAsia="Arial" w:hAnsi="Arial"/>
                <w:sz w:val="14"/>
                <w:szCs w:val="14"/>
                <w:b w:val="1"/>
                <w:bCs w:val="1"/>
                <w:color w:val="auto"/>
                <w:w w:val="82"/>
              </w:rPr>
              <w:t>(Loss) on</w:t>
            </w:r>
          </w:p>
        </w:tc>
        <w:tc>
          <w:tcPr>
            <w:tcW w:w="80" w:type="dxa"/>
            <w:vAlign w:val="bottom"/>
          </w:tcPr>
          <w:p>
            <w:pPr>
              <w:spacing w:after="0"/>
              <w:rPr>
                <w:sz w:val="12"/>
                <w:szCs w:val="12"/>
                <w:color w:val="auto"/>
              </w:rPr>
            </w:pPr>
          </w:p>
        </w:tc>
        <w:tc>
          <w:tcPr>
            <w:tcW w:w="960" w:type="dxa"/>
            <w:vAlign w:val="bottom"/>
            <w:gridSpan w:val="5"/>
          </w:tcPr>
          <w:p>
            <w:pPr>
              <w:jc w:val="center"/>
              <w:ind w:right="500"/>
              <w:spacing w:after="0" w:line="149" w:lineRule="exact"/>
              <w:rPr>
                <w:sz w:val="20"/>
                <w:szCs w:val="20"/>
                <w:color w:val="auto"/>
              </w:rPr>
            </w:pPr>
            <w:r>
              <w:rPr>
                <w:rFonts w:ascii="Arial" w:cs="Arial" w:eastAsia="Arial" w:hAnsi="Arial"/>
                <w:sz w:val="14"/>
                <w:szCs w:val="14"/>
                <w:b w:val="1"/>
                <w:bCs w:val="1"/>
                <w:color w:val="auto"/>
                <w:w w:val="88"/>
              </w:rPr>
              <w:t>Auction</w:t>
            </w:r>
          </w:p>
        </w:tc>
        <w:tc>
          <w:tcPr>
            <w:tcW w:w="940" w:type="dxa"/>
            <w:vAlign w:val="bottom"/>
            <w:gridSpan w:val="5"/>
          </w:tcPr>
          <w:p>
            <w:pPr>
              <w:jc w:val="center"/>
              <w:ind w:right="300"/>
              <w:spacing w:after="0" w:line="149" w:lineRule="exact"/>
              <w:rPr>
                <w:sz w:val="20"/>
                <w:szCs w:val="20"/>
                <w:color w:val="auto"/>
              </w:rPr>
            </w:pPr>
            <w:r>
              <w:rPr>
                <w:rFonts w:ascii="Arial" w:cs="Arial" w:eastAsia="Arial" w:hAnsi="Arial"/>
                <w:sz w:val="14"/>
                <w:szCs w:val="14"/>
                <w:b w:val="1"/>
                <w:bCs w:val="1"/>
                <w:color w:val="auto"/>
                <w:w w:val="82"/>
              </w:rPr>
              <w:t>(Loss) on</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60" w:type="dxa"/>
            <w:vAlign w:val="bottom"/>
          </w:tcPr>
          <w:p>
            <w:pPr>
              <w:spacing w:after="0"/>
              <w:rPr>
                <w:sz w:val="12"/>
                <w:szCs w:val="12"/>
                <w:color w:val="auto"/>
              </w:rPr>
            </w:pPr>
          </w:p>
        </w:tc>
        <w:tc>
          <w:tcPr>
            <w:tcW w:w="3180" w:type="dxa"/>
            <w:vAlign w:val="bottom"/>
            <w:gridSpan w:val="6"/>
          </w:tcPr>
          <w:p>
            <w:pPr>
              <w:jc w:val="center"/>
              <w:ind w:left="1577"/>
              <w:spacing w:after="0" w:line="149" w:lineRule="exact"/>
              <w:rPr>
                <w:sz w:val="20"/>
                <w:szCs w:val="20"/>
                <w:color w:val="auto"/>
              </w:rPr>
            </w:pPr>
            <w:r>
              <w:rPr>
                <w:rFonts w:ascii="Arial" w:cs="Arial" w:eastAsia="Arial" w:hAnsi="Arial"/>
                <w:sz w:val="14"/>
                <w:szCs w:val="14"/>
                <w:b w:val="1"/>
                <w:bCs w:val="1"/>
                <w:color w:val="auto"/>
                <w:w w:val="92"/>
              </w:rPr>
              <w:t>Marketable</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920" w:type="dxa"/>
            <w:vAlign w:val="bottom"/>
            <w:gridSpan w:val="4"/>
          </w:tcPr>
          <w:p>
            <w:pPr>
              <w:jc w:val="center"/>
              <w:ind w:right="540"/>
              <w:spacing w:after="0" w:line="149" w:lineRule="exact"/>
              <w:rPr>
                <w:sz w:val="20"/>
                <w:szCs w:val="20"/>
                <w:color w:val="auto"/>
              </w:rPr>
            </w:pPr>
            <w:r>
              <w:rPr>
                <w:rFonts w:ascii="Arial" w:cs="Arial" w:eastAsia="Arial" w:hAnsi="Arial"/>
                <w:sz w:val="14"/>
                <w:szCs w:val="14"/>
                <w:b w:val="1"/>
                <w:bCs w:val="1"/>
                <w:color w:val="auto"/>
                <w:w w:val="85"/>
              </w:rPr>
              <w:t>Rate</w:t>
            </w:r>
          </w:p>
        </w:tc>
        <w:tc>
          <w:tcPr>
            <w:tcW w:w="940" w:type="dxa"/>
            <w:vAlign w:val="bottom"/>
            <w:gridSpan w:val="5"/>
          </w:tcPr>
          <w:p>
            <w:pPr>
              <w:jc w:val="center"/>
              <w:ind w:right="300"/>
              <w:spacing w:after="0" w:line="149" w:lineRule="exact"/>
              <w:rPr>
                <w:sz w:val="20"/>
                <w:szCs w:val="20"/>
                <w:color w:val="auto"/>
              </w:rPr>
            </w:pPr>
            <w:r>
              <w:rPr>
                <w:rFonts w:ascii="Arial" w:cs="Arial" w:eastAsia="Arial" w:hAnsi="Arial"/>
                <w:sz w:val="14"/>
                <w:szCs w:val="14"/>
                <w:b w:val="1"/>
                <w:bCs w:val="1"/>
                <w:color w:val="auto"/>
                <w:w w:val="85"/>
              </w:rPr>
              <w:t>Cash Flow</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46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1100" w:type="dxa"/>
            <w:vAlign w:val="bottom"/>
            <w:gridSpan w:val="5"/>
          </w:tcPr>
          <w:p>
            <w:pPr>
              <w:jc w:val="center"/>
              <w:ind w:right="420"/>
              <w:spacing w:after="0"/>
              <w:rPr>
                <w:sz w:val="20"/>
                <w:szCs w:val="20"/>
                <w:color w:val="auto"/>
              </w:rPr>
            </w:pPr>
            <w:r>
              <w:rPr>
                <w:rFonts w:ascii="Arial" w:cs="Arial" w:eastAsia="Arial" w:hAnsi="Arial"/>
                <w:sz w:val="14"/>
                <w:szCs w:val="14"/>
                <w:b w:val="1"/>
                <w:bCs w:val="1"/>
                <w:color w:val="auto"/>
                <w:w w:val="83"/>
              </w:rPr>
              <w:t>Securities</w:t>
            </w:r>
          </w:p>
        </w:tc>
        <w:tc>
          <w:tcPr>
            <w:tcW w:w="1040" w:type="dxa"/>
            <w:vAlign w:val="bottom"/>
            <w:gridSpan w:val="6"/>
          </w:tcPr>
          <w:p>
            <w:pPr>
              <w:jc w:val="center"/>
              <w:ind w:right="420"/>
              <w:spacing w:after="0"/>
              <w:rPr>
                <w:sz w:val="20"/>
                <w:szCs w:val="20"/>
                <w:color w:val="auto"/>
              </w:rPr>
            </w:pPr>
            <w:r>
              <w:rPr>
                <w:rFonts w:ascii="Arial" w:cs="Arial" w:eastAsia="Arial" w:hAnsi="Arial"/>
                <w:sz w:val="14"/>
                <w:szCs w:val="14"/>
                <w:b w:val="1"/>
                <w:bCs w:val="1"/>
                <w:color w:val="auto"/>
                <w:w w:val="86"/>
              </w:rPr>
              <w:t>Securities</w:t>
            </w:r>
          </w:p>
        </w:tc>
        <w:tc>
          <w:tcPr>
            <w:tcW w:w="940" w:type="dxa"/>
            <w:vAlign w:val="bottom"/>
            <w:gridSpan w:val="5"/>
          </w:tcPr>
          <w:p>
            <w:pPr>
              <w:jc w:val="center"/>
              <w:ind w:right="280"/>
              <w:spacing w:after="0"/>
              <w:rPr>
                <w:sz w:val="20"/>
                <w:szCs w:val="20"/>
                <w:color w:val="auto"/>
              </w:rPr>
            </w:pPr>
            <w:r>
              <w:rPr>
                <w:rFonts w:ascii="Arial" w:cs="Arial" w:eastAsia="Arial" w:hAnsi="Arial"/>
                <w:sz w:val="14"/>
                <w:szCs w:val="14"/>
                <w:b w:val="1"/>
                <w:bCs w:val="1"/>
                <w:color w:val="auto"/>
                <w:w w:val="82"/>
              </w:rPr>
              <w:t>Hedges</w:t>
            </w:r>
          </w:p>
        </w:tc>
        <w:tc>
          <w:tcPr>
            <w:tcW w:w="120" w:type="dxa"/>
            <w:vAlign w:val="bottom"/>
          </w:tcPr>
          <w:p>
            <w:pPr>
              <w:spacing w:after="0"/>
              <w:rPr>
                <w:sz w:val="14"/>
                <w:szCs w:val="14"/>
                <w:color w:val="auto"/>
              </w:rPr>
            </w:pPr>
          </w:p>
        </w:tc>
        <w:tc>
          <w:tcPr>
            <w:tcW w:w="66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20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2,742</w:t>
            </w:r>
          </w:p>
        </w:tc>
        <w:tc>
          <w:tcPr>
            <w:tcW w:w="1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91"/>
              </w:rPr>
              <w:t>(2,681)</w:t>
            </w:r>
          </w:p>
        </w:tc>
        <w:tc>
          <w:tcPr>
            <w:tcW w:w="1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1,087</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9"/>
              </w:rPr>
              <w:t>$ 1,148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ind w:left="420"/>
              <w:spacing w:after="0"/>
              <w:rPr>
                <w:sz w:val="20"/>
                <w:szCs w:val="20"/>
                <w:color w:val="auto"/>
              </w:rPr>
            </w:pPr>
            <w:r>
              <w:rPr>
                <w:rFonts w:ascii="Arial" w:cs="Arial" w:eastAsia="Arial" w:hAnsi="Arial"/>
                <w:sz w:val="18"/>
                <w:szCs w:val="18"/>
                <w:color w:val="auto"/>
              </w:rPr>
              <w:t>Other comprehensive income (loss) before reclassifications</w:t>
            </w:r>
          </w:p>
        </w:tc>
        <w:tc>
          <w:tcPr>
            <w:tcW w:w="2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120"/>
              <w:spacing w:after="0"/>
              <w:rPr>
                <w:sz w:val="20"/>
                <w:szCs w:val="20"/>
                <w:color w:val="auto"/>
              </w:rPr>
            </w:pPr>
            <w:r>
              <w:rPr>
                <w:rFonts w:ascii="Arial" w:cs="Arial" w:eastAsia="Arial" w:hAnsi="Arial"/>
                <w:sz w:val="18"/>
                <w:szCs w:val="18"/>
                <w:color w:val="auto"/>
              </w:rPr>
              <w:t>931</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2"/>
          </w:tcPr>
          <w:p>
            <w:pPr>
              <w:jc w:val="right"/>
              <w:ind w:right="80"/>
              <w:spacing w:after="0"/>
              <w:rPr>
                <w:sz w:val="20"/>
                <w:szCs w:val="20"/>
                <w:color w:val="auto"/>
              </w:rPr>
            </w:pPr>
            <w:r>
              <w:rPr>
                <w:rFonts w:ascii="Arial" w:cs="Arial" w:eastAsia="Arial" w:hAnsi="Arial"/>
                <w:sz w:val="18"/>
                <w:szCs w:val="18"/>
                <w:color w:val="auto"/>
              </w:rPr>
              <w:t>(190)</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2"/>
          </w:tcPr>
          <w:p>
            <w:pPr>
              <w:jc w:val="right"/>
              <w:ind w:right="140"/>
              <w:spacing w:after="0"/>
              <w:rPr>
                <w:sz w:val="20"/>
                <w:szCs w:val="20"/>
                <w:color w:val="auto"/>
              </w:rPr>
            </w:pPr>
            <w:r>
              <w:rPr>
                <w:rFonts w:ascii="Arial" w:cs="Arial" w:eastAsia="Arial" w:hAnsi="Arial"/>
                <w:sz w:val="18"/>
                <w:szCs w:val="18"/>
                <w:color w:val="auto"/>
                <w:w w:val="84"/>
              </w:rPr>
              <w:t>3,466</w:t>
            </w:r>
          </w:p>
        </w:tc>
        <w:tc>
          <w:tcPr>
            <w:tcW w:w="160" w:type="dxa"/>
            <w:vAlign w:val="bottom"/>
          </w:tcPr>
          <w:p>
            <w:pPr>
              <w:spacing w:after="0"/>
              <w:rPr>
                <w:sz w:val="18"/>
                <w:szCs w:val="18"/>
                <w:color w:val="auto"/>
              </w:rPr>
            </w:pPr>
          </w:p>
        </w:tc>
        <w:tc>
          <w:tcPr>
            <w:tcW w:w="780" w:type="dxa"/>
            <w:vAlign w:val="bottom"/>
            <w:gridSpan w:val="4"/>
          </w:tcPr>
          <w:p>
            <w:pPr>
              <w:jc w:val="right"/>
              <w:ind w:right="100"/>
              <w:spacing w:after="0"/>
              <w:rPr>
                <w:sz w:val="20"/>
                <w:szCs w:val="20"/>
                <w:color w:val="auto"/>
              </w:rPr>
            </w:pPr>
            <w:r>
              <w:rPr>
                <w:rFonts w:ascii="Arial" w:cs="Arial" w:eastAsia="Arial" w:hAnsi="Arial"/>
                <w:sz w:val="18"/>
                <w:szCs w:val="18"/>
                <w:color w:val="auto"/>
              </w:rPr>
              <w:t>4,207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1"/>
              </w:rPr>
              <w:t>Amounts reclassified from accumulated other comprehensive income</w:t>
            </w:r>
          </w:p>
        </w:tc>
        <w:tc>
          <w:tcPr>
            <w:tcW w:w="20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(1,139)</w:t>
            </w: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center"/>
              <w:ind w:right="360"/>
              <w:spacing w:after="0"/>
              <w:rPr>
                <w:sz w:val="20"/>
                <w:szCs w:val="20"/>
                <w:color w:val="auto"/>
              </w:rPr>
            </w:pPr>
            <w:r>
              <w:rPr>
                <w:rFonts w:ascii="Arial" w:cs="Arial" w:eastAsia="Arial" w:hAnsi="Arial"/>
                <w:sz w:val="18"/>
                <w:szCs w:val="18"/>
                <w:color w:val="auto"/>
                <w:w w:val="99"/>
              </w:rPr>
              <w:t>—</w:t>
            </w:r>
          </w:p>
        </w:tc>
        <w:tc>
          <w:tcPr>
            <w:tcW w:w="7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(3,619)</w:t>
            </w:r>
          </w:p>
        </w:tc>
        <w:tc>
          <w:tcPr>
            <w:tcW w:w="160" w:type="dxa"/>
            <w:vAlign w:val="bottom"/>
            <w:shd w:val="clear" w:color="auto" w:fill="CCEEFF"/>
          </w:tcPr>
          <w:p>
            <w:pPr>
              <w:spacing w:after="0"/>
              <w:rPr>
                <w:sz w:val="18"/>
                <w:szCs w:val="18"/>
                <w:color w:val="auto"/>
              </w:rPr>
            </w:pPr>
          </w:p>
        </w:tc>
        <w:tc>
          <w:tcPr>
            <w:tcW w:w="78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(4,758)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60" w:type="dxa"/>
            <w:vAlign w:val="bottom"/>
            <w:vMerge w:val="restart"/>
          </w:tcPr>
          <w:p>
            <w:pPr>
              <w:ind w:left="860"/>
              <w:spacing w:after="0"/>
              <w:rPr>
                <w:sz w:val="20"/>
                <w:szCs w:val="20"/>
                <w:color w:val="auto"/>
              </w:rPr>
            </w:pPr>
            <w:r>
              <w:rPr>
                <w:rFonts w:ascii="Arial" w:cs="Arial" w:eastAsia="Arial" w:hAnsi="Arial"/>
                <w:sz w:val="18"/>
                <w:szCs w:val="18"/>
                <w:color w:val="auto"/>
              </w:rPr>
              <w:t>Net current-period other comprehensive loss</w:t>
            </w:r>
          </w:p>
        </w:tc>
        <w:tc>
          <w:tcPr>
            <w:tcW w:w="20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460" w:type="dxa"/>
            <w:vAlign w:val="bottom"/>
            <w:vMerge w:val="continue"/>
          </w:tcPr>
          <w:p>
            <w:pPr>
              <w:spacing w:after="0"/>
              <w:rPr>
                <w:sz w:val="19"/>
                <w:szCs w:val="19"/>
                <w:color w:val="auto"/>
              </w:rPr>
            </w:pPr>
          </w:p>
        </w:tc>
        <w:tc>
          <w:tcPr>
            <w:tcW w:w="2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(208)</w:t>
            </w:r>
          </w:p>
        </w:tc>
        <w:tc>
          <w:tcPr>
            <w:tcW w:w="3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40" w:type="dxa"/>
            <w:vAlign w:val="bottom"/>
            <w:gridSpan w:val="2"/>
          </w:tcPr>
          <w:p>
            <w:pPr>
              <w:jc w:val="right"/>
              <w:ind w:right="80"/>
              <w:spacing w:after="0"/>
              <w:rPr>
                <w:sz w:val="20"/>
                <w:szCs w:val="20"/>
                <w:color w:val="auto"/>
              </w:rPr>
            </w:pPr>
            <w:r>
              <w:rPr>
                <w:rFonts w:ascii="Arial" w:cs="Arial" w:eastAsia="Arial" w:hAnsi="Arial"/>
                <w:sz w:val="18"/>
                <w:szCs w:val="18"/>
                <w:color w:val="auto"/>
              </w:rPr>
              <w:t>(190)</w:t>
            </w: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40" w:type="dxa"/>
            <w:vAlign w:val="bottom"/>
            <w:gridSpan w:val="2"/>
          </w:tcPr>
          <w:p>
            <w:pPr>
              <w:jc w:val="right"/>
              <w:ind w:right="80"/>
              <w:spacing w:after="0"/>
              <w:rPr>
                <w:sz w:val="20"/>
                <w:szCs w:val="20"/>
                <w:color w:val="auto"/>
              </w:rPr>
            </w:pPr>
            <w:r>
              <w:rPr>
                <w:rFonts w:ascii="Arial" w:cs="Arial" w:eastAsia="Arial" w:hAnsi="Arial"/>
                <w:sz w:val="18"/>
                <w:szCs w:val="18"/>
                <w:color w:val="auto"/>
              </w:rPr>
              <w:t>(153)</w:t>
            </w:r>
          </w:p>
        </w:tc>
        <w:tc>
          <w:tcPr>
            <w:tcW w:w="160" w:type="dxa"/>
            <w:vAlign w:val="bottom"/>
          </w:tcPr>
          <w:p>
            <w:pPr>
              <w:spacing w:after="0"/>
              <w:rPr>
                <w:sz w:val="19"/>
                <w:szCs w:val="19"/>
                <w:color w:val="auto"/>
              </w:rPr>
            </w:pPr>
          </w:p>
        </w:tc>
        <w:tc>
          <w:tcPr>
            <w:tcW w:w="780" w:type="dxa"/>
            <w:vAlign w:val="bottom"/>
            <w:gridSpan w:val="4"/>
          </w:tcPr>
          <w:p>
            <w:pPr>
              <w:jc w:val="right"/>
              <w:ind w:right="40"/>
              <w:spacing w:after="0"/>
              <w:rPr>
                <w:sz w:val="20"/>
                <w:szCs w:val="20"/>
                <w:color w:val="auto"/>
              </w:rPr>
            </w:pPr>
            <w:r>
              <w:rPr>
                <w:rFonts w:ascii="Arial" w:cs="Arial" w:eastAsia="Arial" w:hAnsi="Arial"/>
                <w:sz w:val="18"/>
                <w:szCs w:val="18"/>
                <w:color w:val="auto"/>
              </w:rPr>
              <w:t>(551)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460" w:type="dxa"/>
            <w:vAlign w:val="bottom"/>
          </w:tcPr>
          <w:p>
            <w:pPr>
              <w:spacing w:after="0"/>
              <w:rPr>
                <w:sz w:val="2"/>
                <w:szCs w:val="2"/>
                <w:color w:val="auto"/>
              </w:rPr>
            </w:pPr>
          </w:p>
        </w:tc>
        <w:tc>
          <w:tcPr>
            <w:tcW w:w="20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1, 2014</w:t>
            </w:r>
          </w:p>
        </w:tc>
        <w:tc>
          <w:tcPr>
            <w:tcW w:w="2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7"/>
              </w:rPr>
              <w:t>2,534</w:t>
            </w: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(2,871)</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934</w:t>
            </w:r>
          </w:p>
        </w:tc>
        <w:tc>
          <w:tcPr>
            <w:tcW w:w="160" w:type="dxa"/>
            <w:vAlign w:val="bottom"/>
            <w:shd w:val="clear" w:color="auto" w:fill="CCEEFF"/>
          </w:tcPr>
          <w:p>
            <w:pPr>
              <w:spacing w:after="0"/>
              <w:rPr>
                <w:sz w:val="18"/>
                <w:szCs w:val="18"/>
                <w:color w:val="auto"/>
              </w:rPr>
            </w:pPr>
          </w:p>
        </w:tc>
        <w:tc>
          <w:tcPr>
            <w:tcW w:w="78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  597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60" w:type="dxa"/>
            <w:vAlign w:val="bottom"/>
          </w:tcPr>
          <w:p>
            <w:pPr>
              <w:spacing w:after="0" w:line="20" w:lineRule="exact"/>
              <w:rPr>
                <w:sz w:val="1"/>
                <w:szCs w:val="1"/>
                <w:color w:val="auto"/>
              </w:rPr>
            </w:pPr>
          </w:p>
        </w:tc>
        <w:tc>
          <w:tcPr>
            <w:tcW w:w="2080" w:type="dxa"/>
            <w:vAlign w:val="bottom"/>
            <w:vMerge w:val="restart"/>
          </w:tcPr>
          <w:p>
            <w:pPr>
              <w:jc w:val="right"/>
              <w:ind w:right="1677"/>
              <w:spacing w:after="0"/>
              <w:rPr>
                <w:sz w:val="20"/>
                <w:szCs w:val="20"/>
                <w:color w:val="auto"/>
              </w:rPr>
            </w:pPr>
            <w:r>
              <w:rPr>
                <w:rFonts w:ascii="Arial" w:cs="Arial" w:eastAsia="Arial" w:hAnsi="Arial"/>
                <w:sz w:val="18"/>
                <w:szCs w:val="18"/>
                <w:color w:val="auto"/>
              </w:rPr>
              <w:t>72</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460" w:type="dxa"/>
            <w:vAlign w:val="bottom"/>
          </w:tcPr>
          <w:p>
            <w:pPr>
              <w:spacing w:after="0"/>
              <w:rPr>
                <w:sz w:val="24"/>
                <w:szCs w:val="24"/>
                <w:color w:val="auto"/>
              </w:rPr>
            </w:pPr>
          </w:p>
        </w:tc>
        <w:tc>
          <w:tcPr>
            <w:tcW w:w="208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by components are presented in the following table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6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238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gridSpan w:val="6"/>
          </w:tcPr>
          <w:p>
            <w:pPr>
              <w:ind w:left="200"/>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600" w:type="dxa"/>
            <w:vAlign w:val="bottom"/>
            <w:gridSpan w:val="3"/>
            <w:vMerge w:val="continue"/>
          </w:tcPr>
          <w:p>
            <w:pPr>
              <w:spacing w:after="0"/>
              <w:rPr>
                <w:sz w:val="11"/>
                <w:szCs w:val="11"/>
                <w:color w:val="auto"/>
              </w:rPr>
            </w:pPr>
          </w:p>
        </w:tc>
        <w:tc>
          <w:tcPr>
            <w:tcW w:w="2380" w:type="dxa"/>
            <w:vAlign w:val="bottom"/>
          </w:tcPr>
          <w:p>
            <w:pPr>
              <w:spacing w:after="0"/>
              <w:rPr>
                <w:sz w:val="11"/>
                <w:szCs w:val="11"/>
                <w:color w:val="auto"/>
              </w:rPr>
            </w:pPr>
          </w:p>
        </w:tc>
        <w:tc>
          <w:tcPr>
            <w:tcW w:w="1140" w:type="dxa"/>
            <w:vAlign w:val="bottom"/>
            <w:gridSpan w:val="5"/>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200" w:type="dxa"/>
            <w:vAlign w:val="bottom"/>
          </w:tcPr>
          <w:p>
            <w:pPr>
              <w:spacing w:after="0"/>
              <w:rPr>
                <w:sz w:val="11"/>
                <w:szCs w:val="11"/>
                <w:color w:val="auto"/>
              </w:rPr>
            </w:pPr>
          </w:p>
        </w:tc>
        <w:tc>
          <w:tcPr>
            <w:tcW w:w="130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8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49"/>
        </w:trPr>
        <w:tc>
          <w:tcPr>
            <w:tcW w:w="56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Statement of Operations</w:t>
            </w:r>
          </w:p>
        </w:tc>
        <w:tc>
          <w:tcPr>
            <w:tcW w:w="3080" w:type="dxa"/>
            <w:vAlign w:val="bottom"/>
            <w:gridSpan w:val="4"/>
          </w:tcPr>
          <w:p>
            <w:pPr>
              <w:jc w:val="right"/>
              <w:ind w:right="134"/>
              <w:spacing w:after="0" w:line="129" w:lineRule="exact"/>
              <w:rPr>
                <w:sz w:val="20"/>
                <w:szCs w:val="20"/>
                <w:color w:val="auto"/>
              </w:rPr>
            </w:pPr>
            <w:r>
              <w:rPr>
                <w:rFonts w:ascii="Arial" w:cs="Arial" w:eastAsia="Arial" w:hAnsi="Arial"/>
                <w:sz w:val="14"/>
                <w:szCs w:val="14"/>
                <w:b w:val="1"/>
                <w:bCs w:val="1"/>
                <w:color w:val="auto"/>
              </w:rPr>
              <w:t>2015</w:t>
            </w:r>
          </w:p>
        </w:tc>
        <w:tc>
          <w:tcPr>
            <w:tcW w:w="1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jc w:val="right"/>
              <w:ind w:right="115"/>
              <w:spacing w:after="0" w:line="129" w:lineRule="exact"/>
              <w:rPr>
                <w:sz w:val="20"/>
                <w:szCs w:val="20"/>
                <w:color w:val="auto"/>
              </w:rPr>
            </w:pPr>
            <w:r>
              <w:rPr>
                <w:rFonts w:ascii="Arial" w:cs="Arial" w:eastAsia="Arial" w:hAnsi="Arial"/>
                <w:sz w:val="14"/>
                <w:szCs w:val="14"/>
                <w:b w:val="1"/>
                <w:bCs w:val="1"/>
                <w:color w:val="auto"/>
                <w:w w:val="89"/>
              </w:rPr>
              <w:t>2014</w:t>
            </w:r>
          </w:p>
        </w:tc>
        <w:tc>
          <w:tcPr>
            <w:tcW w:w="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jc w:val="right"/>
              <w:ind w:right="135"/>
              <w:spacing w:after="0" w:line="129" w:lineRule="exact"/>
              <w:rPr>
                <w:sz w:val="20"/>
                <w:szCs w:val="20"/>
                <w:color w:val="auto"/>
              </w:rPr>
            </w:pPr>
            <w:r>
              <w:rPr>
                <w:rFonts w:ascii="Arial" w:cs="Arial" w:eastAsia="Arial" w:hAnsi="Arial"/>
                <w:sz w:val="14"/>
                <w:szCs w:val="14"/>
                <w:b w:val="1"/>
                <w:bCs w:val="1"/>
                <w:color w:val="auto"/>
                <w:w w:val="96"/>
              </w:rPr>
              <w:t>2013</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20" w:type="dxa"/>
            <w:vAlign w:val="bottom"/>
            <w:tcBorders>
              <w:top w:val="single" w:sz="8" w:color="auto"/>
              <w:bottom w:val="single" w:sz="8" w:color="CCEEFF"/>
            </w:tcBorders>
          </w:tcPr>
          <w:p>
            <w:pPr>
              <w:spacing w:after="0" w:line="20" w:lineRule="exact"/>
              <w:rPr>
                <w:sz w:val="1"/>
                <w:szCs w:val="1"/>
                <w:color w:val="auto"/>
              </w:rPr>
            </w:pPr>
          </w:p>
        </w:tc>
        <w:tc>
          <w:tcPr>
            <w:tcW w:w="4060" w:type="dxa"/>
            <w:vAlign w:val="bottom"/>
            <w:tcBorders>
              <w:bottom w:val="single" w:sz="8" w:color="CCEEFF"/>
            </w:tcBorders>
          </w:tcPr>
          <w:p>
            <w:pPr>
              <w:spacing w:after="0" w:line="20" w:lineRule="exact"/>
              <w:rPr>
                <w:sz w:val="1"/>
                <w:szCs w:val="1"/>
                <w:color w:val="auto"/>
              </w:rPr>
            </w:pPr>
          </w:p>
        </w:tc>
        <w:tc>
          <w:tcPr>
            <w:tcW w:w="23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20" w:type="dxa"/>
            <w:vAlign w:val="bottom"/>
          </w:tcPr>
          <w:p>
            <w:pPr>
              <w:spacing w:after="0"/>
              <w:rPr>
                <w:sz w:val="15"/>
                <w:szCs w:val="15"/>
                <w:color w:val="auto"/>
              </w:rPr>
            </w:pPr>
          </w:p>
        </w:tc>
        <w:tc>
          <w:tcPr>
            <w:tcW w:w="5580" w:type="dxa"/>
            <w:vAlign w:val="bottom"/>
            <w:gridSpan w:val="2"/>
            <w:shd w:val="clear" w:color="auto" w:fill="CCEEFF"/>
          </w:tcPr>
          <w:p>
            <w:pPr>
              <w:spacing w:after="0" w:line="183" w:lineRule="exact"/>
              <w:rPr>
                <w:sz w:val="20"/>
                <w:szCs w:val="20"/>
                <w:color w:val="auto"/>
              </w:rPr>
            </w:pPr>
            <w:r>
              <w:rPr>
                <w:rFonts w:ascii="Arial" w:cs="Arial" w:eastAsia="Arial" w:hAnsi="Arial"/>
                <w:sz w:val="18"/>
                <w:szCs w:val="18"/>
                <w:color w:val="auto"/>
              </w:rPr>
              <w:t>Interest and other income, net:</w:t>
            </w:r>
          </w:p>
        </w:tc>
        <w:tc>
          <w:tcPr>
            <w:tcW w:w="23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4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5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54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5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ind w:left="420"/>
              <w:spacing w:after="0"/>
              <w:rPr>
                <w:sz w:val="20"/>
                <w:szCs w:val="20"/>
                <w:color w:val="auto"/>
              </w:rPr>
            </w:pPr>
            <w:r>
              <w:rPr>
                <w:rFonts w:ascii="Arial" w:cs="Arial" w:eastAsia="Arial" w:hAnsi="Arial"/>
                <w:sz w:val="18"/>
                <w:szCs w:val="18"/>
                <w:color w:val="auto"/>
              </w:rPr>
              <w:t>Available-for-sale securities:</w:t>
            </w:r>
          </w:p>
        </w:tc>
        <w:tc>
          <w:tcPr>
            <w:tcW w:w="2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Marketable securities</w:t>
            </w:r>
          </w:p>
        </w:tc>
        <w:tc>
          <w:tcPr>
            <w:tcW w:w="2560" w:type="dxa"/>
            <w:vAlign w:val="bottom"/>
            <w:gridSpan w:val="2"/>
            <w:shd w:val="clear" w:color="auto" w:fill="CCEEFF"/>
          </w:tcPr>
          <w:p>
            <w:pPr>
              <w:ind w:left="23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8"/>
              </w:rPr>
              <w:t>1,245</w:t>
            </w:r>
          </w:p>
        </w:tc>
        <w:tc>
          <w:tcPr>
            <w:tcW w:w="260" w:type="dxa"/>
            <w:vAlign w:val="bottom"/>
            <w:shd w:val="clear" w:color="auto" w:fill="CCEEFF"/>
          </w:tcPr>
          <w:p>
            <w:pPr>
              <w:spacing w:after="0"/>
              <w:rPr>
                <w:sz w:val="18"/>
                <w:szCs w:val="18"/>
                <w:color w:val="auto"/>
              </w:rPr>
            </w:pPr>
          </w:p>
        </w:tc>
        <w:tc>
          <w:tcPr>
            <w:tcW w:w="38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1,139</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ind w:left="860"/>
              <w:spacing w:after="0"/>
              <w:rPr>
                <w:sz w:val="20"/>
                <w:szCs w:val="20"/>
                <w:color w:val="auto"/>
              </w:rPr>
            </w:pPr>
            <w:r>
              <w:rPr>
                <w:rFonts w:ascii="Arial" w:cs="Arial" w:eastAsia="Arial" w:hAnsi="Arial"/>
                <w:sz w:val="18"/>
                <w:szCs w:val="18"/>
                <w:color w:val="auto"/>
              </w:rPr>
              <w:t>Auction rate securities</w:t>
            </w:r>
          </w:p>
        </w:tc>
        <w:tc>
          <w:tcPr>
            <w:tcW w:w="2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120"/>
              <w:spacing w:after="0"/>
              <w:rPr>
                <w:sz w:val="20"/>
                <w:szCs w:val="20"/>
                <w:color w:val="auto"/>
              </w:rPr>
            </w:pPr>
            <w:r>
              <w:rPr>
                <w:rFonts w:ascii="Arial" w:cs="Arial" w:eastAsia="Arial" w:hAnsi="Arial"/>
                <w:sz w:val="18"/>
                <w:szCs w:val="18"/>
                <w:color w:val="auto"/>
              </w:rPr>
              <w:t>(512)</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3"/>
          </w:tcPr>
          <w:p>
            <w:pPr>
              <w:jc w:val="right"/>
              <w:ind w:right="7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6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23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ind w:left="420"/>
              <w:spacing w:after="0"/>
              <w:rPr>
                <w:sz w:val="20"/>
                <w:szCs w:val="20"/>
                <w:color w:val="auto"/>
              </w:rPr>
            </w:pPr>
            <w:r>
              <w:rPr>
                <w:rFonts w:ascii="Arial" w:cs="Arial" w:eastAsia="Arial" w:hAnsi="Arial"/>
                <w:sz w:val="18"/>
                <w:szCs w:val="18"/>
                <w:color w:val="auto"/>
              </w:rPr>
              <w:t>Research and development</w:t>
            </w:r>
          </w:p>
        </w:tc>
        <w:tc>
          <w:tcPr>
            <w:tcW w:w="2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120"/>
              <w:spacing w:after="0"/>
              <w:rPr>
                <w:sz w:val="20"/>
                <w:szCs w:val="20"/>
                <w:color w:val="auto"/>
              </w:rPr>
            </w:pPr>
            <w:r>
              <w:rPr>
                <w:rFonts w:ascii="Arial" w:cs="Arial" w:eastAsia="Arial" w:hAnsi="Arial"/>
                <w:sz w:val="18"/>
                <w:szCs w:val="18"/>
                <w:color w:val="auto"/>
              </w:rPr>
              <w:t>(198)</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80"/>
              <w:spacing w:after="0"/>
              <w:rPr>
                <w:sz w:val="20"/>
                <w:szCs w:val="20"/>
                <w:color w:val="auto"/>
              </w:rPr>
            </w:pPr>
            <w:r>
              <w:rPr>
                <w:rFonts w:ascii="Arial" w:cs="Arial" w:eastAsia="Arial" w:hAnsi="Arial"/>
                <w:sz w:val="18"/>
                <w:szCs w:val="18"/>
                <w:color w:val="auto"/>
              </w:rPr>
              <w:t>3,329</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(2,283)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3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266</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ind w:left="420"/>
              <w:spacing w:after="0"/>
              <w:rPr>
                <w:sz w:val="20"/>
                <w:szCs w:val="20"/>
                <w:color w:val="auto"/>
              </w:rPr>
            </w:pPr>
            <w:r>
              <w:rPr>
                <w:rFonts w:ascii="Arial" w:cs="Arial" w:eastAsia="Arial" w:hAnsi="Arial"/>
                <w:sz w:val="18"/>
                <w:szCs w:val="18"/>
                <w:color w:val="auto"/>
              </w:rPr>
              <w:t>General and administrative</w:t>
            </w:r>
          </w:p>
        </w:tc>
        <w:tc>
          <w:tcPr>
            <w:tcW w:w="2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120"/>
              <w:spacing w:after="0"/>
              <w:rPr>
                <w:sz w:val="20"/>
                <w:szCs w:val="20"/>
                <w:color w:val="auto"/>
              </w:rPr>
            </w:pPr>
            <w:r>
              <w:rPr>
                <w:rFonts w:ascii="Arial" w:cs="Arial" w:eastAsia="Arial" w:hAnsi="Arial"/>
                <w:sz w:val="18"/>
                <w:szCs w:val="18"/>
                <w:color w:val="auto"/>
              </w:rPr>
              <w:t>(12)</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80"/>
              <w:spacing w:after="0"/>
              <w:rPr>
                <w:sz w:val="20"/>
                <w:szCs w:val="20"/>
                <w:color w:val="auto"/>
              </w:rPr>
            </w:pPr>
            <w:r>
              <w:rPr>
                <w:rFonts w:ascii="Arial" w:cs="Arial" w:eastAsia="Arial" w:hAnsi="Arial"/>
                <w:sz w:val="18"/>
                <w:szCs w:val="18"/>
                <w:color w:val="auto"/>
              </w:rPr>
              <w:t>24</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520" w:type="dxa"/>
            <w:vAlign w:val="bottom"/>
          </w:tcPr>
          <w:p>
            <w:pPr>
              <w:spacing w:after="0"/>
              <w:rPr>
                <w:sz w:val="2"/>
                <w:szCs w:val="2"/>
                <w:color w:val="auto"/>
              </w:rPr>
            </w:pPr>
          </w:p>
        </w:tc>
        <w:tc>
          <w:tcPr>
            <w:tcW w:w="4060" w:type="dxa"/>
            <w:vAlign w:val="bottom"/>
          </w:tcPr>
          <w:p>
            <w:pPr>
              <w:spacing w:after="0"/>
              <w:rPr>
                <w:sz w:val="2"/>
                <w:szCs w:val="2"/>
                <w:color w:val="auto"/>
              </w:rPr>
            </w:pPr>
          </w:p>
        </w:tc>
        <w:tc>
          <w:tcPr>
            <w:tcW w:w="238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5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w:t>
            </w:r>
          </w:p>
        </w:tc>
        <w:tc>
          <w:tcPr>
            <w:tcW w:w="23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w:t>
            </w: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38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4,758</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80" w:type="dxa"/>
            <w:vAlign w:val="bottom"/>
            <w:gridSpan w:val="2"/>
            <w:vMerge w:val="restart"/>
          </w:tcPr>
          <w:p>
            <w:pPr>
              <w:ind w:left="440"/>
              <w:spacing w:after="0"/>
              <w:rPr>
                <w:sz w:val="20"/>
                <w:szCs w:val="20"/>
                <w:color w:val="auto"/>
              </w:rPr>
            </w:pPr>
            <w:r>
              <w:rPr>
                <w:rFonts w:ascii="Arial" w:cs="Arial" w:eastAsia="Arial" w:hAnsi="Arial"/>
                <w:sz w:val="18"/>
                <w:szCs w:val="18"/>
                <w:b w:val="1"/>
                <w:bCs w:val="1"/>
                <w:i w:val="1"/>
                <w:iCs w:val="1"/>
                <w:color w:val="auto"/>
              </w:rPr>
              <w:t>Consolidated Statement of Operations</w:t>
            </w:r>
          </w:p>
        </w:tc>
        <w:tc>
          <w:tcPr>
            <w:tcW w:w="23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20" w:type="dxa"/>
            <w:vAlign w:val="bottom"/>
          </w:tcPr>
          <w:p>
            <w:pPr>
              <w:spacing w:after="0"/>
              <w:rPr>
                <w:sz w:val="24"/>
                <w:szCs w:val="24"/>
                <w:color w:val="auto"/>
              </w:rPr>
            </w:pPr>
          </w:p>
        </w:tc>
        <w:tc>
          <w:tcPr>
            <w:tcW w:w="5580" w:type="dxa"/>
            <w:vAlign w:val="bottom"/>
            <w:gridSpan w:val="2"/>
            <w:vMerge w:val="continue"/>
          </w:tcPr>
          <w:p>
            <w:pPr>
              <w:spacing w:after="0"/>
              <w:rPr>
                <w:sz w:val="24"/>
                <w:szCs w:val="24"/>
                <w:color w:val="auto"/>
              </w:rPr>
            </w:pPr>
          </w:p>
        </w:tc>
        <w:tc>
          <w:tcPr>
            <w:tcW w:w="2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4060" w:type="dxa"/>
            <w:vAlign w:val="bottom"/>
          </w:tcPr>
          <w:p>
            <w:pPr>
              <w:spacing w:after="0"/>
              <w:rPr>
                <w:sz w:val="24"/>
                <w:szCs w:val="24"/>
                <w:color w:val="auto"/>
              </w:rPr>
            </w:pPr>
          </w:p>
        </w:tc>
        <w:tc>
          <w:tcPr>
            <w:tcW w:w="2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gridSpan w:val="4"/>
          </w:tcPr>
          <w:p>
            <w:pPr>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4060" w:type="dxa"/>
            <w:vAlign w:val="bottom"/>
          </w:tcPr>
          <w:p>
            <w:pPr>
              <w:spacing w:after="0"/>
              <w:rPr>
                <w:sz w:val="11"/>
                <w:szCs w:val="11"/>
                <w:color w:val="auto"/>
              </w:rPr>
            </w:pPr>
          </w:p>
        </w:tc>
        <w:tc>
          <w:tcPr>
            <w:tcW w:w="23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6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2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520" w:type="dxa"/>
            <w:vAlign w:val="bottom"/>
            <w:tcBorders>
              <w:bottom w:val="single" w:sz="8" w:color="CCEEFF"/>
            </w:tcBorders>
          </w:tcPr>
          <w:p>
            <w:pPr>
              <w:spacing w:after="0"/>
              <w:rPr>
                <w:sz w:val="14"/>
                <w:szCs w:val="14"/>
                <w:color w:val="auto"/>
              </w:rPr>
            </w:pPr>
          </w:p>
        </w:tc>
        <w:tc>
          <w:tcPr>
            <w:tcW w:w="4060" w:type="dxa"/>
            <w:vAlign w:val="bottom"/>
            <w:tcBorders>
              <w:bottom w:val="single" w:sz="8" w:color="CCEEFF"/>
            </w:tcBorders>
          </w:tcPr>
          <w:p>
            <w:pPr>
              <w:spacing w:after="0"/>
              <w:rPr>
                <w:sz w:val="14"/>
                <w:szCs w:val="14"/>
                <w:color w:val="auto"/>
              </w:rPr>
            </w:pPr>
          </w:p>
        </w:tc>
        <w:tc>
          <w:tcPr>
            <w:tcW w:w="238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2015</w:t>
            </w:r>
          </w:p>
        </w:tc>
        <w:tc>
          <w:tcPr>
            <w:tcW w:w="180" w:type="dxa"/>
            <w:vAlign w:val="bottom"/>
            <w:tcBorders>
              <w:bottom w:val="single" w:sz="8" w:color="auto"/>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rPr>
              <w:t>2014</w:t>
            </w:r>
          </w:p>
        </w:tc>
        <w:tc>
          <w:tcPr>
            <w:tcW w:w="80" w:type="dxa"/>
            <w:vAlign w:val="bottom"/>
            <w:tcBorders>
              <w:bottom w:val="single" w:sz="8" w:color="auto"/>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5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Interest and other income, net:</w:t>
            </w:r>
          </w:p>
        </w:tc>
        <w:tc>
          <w:tcPr>
            <w:tcW w:w="23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spacing w:after="0"/>
              <w:rPr>
                <w:sz w:val="20"/>
                <w:szCs w:val="20"/>
                <w:color w:val="auto"/>
              </w:rPr>
            </w:pPr>
            <w:r>
              <w:rPr>
                <w:rFonts w:ascii="Arial" w:cs="Arial" w:eastAsia="Arial" w:hAnsi="Arial"/>
                <w:sz w:val="18"/>
                <w:szCs w:val="18"/>
                <w:color w:val="auto"/>
              </w:rPr>
              <w:t>Interest income</w:t>
            </w:r>
          </w:p>
        </w:tc>
        <w:tc>
          <w:tcPr>
            <w:tcW w:w="2660" w:type="dxa"/>
            <w:vAlign w:val="bottom"/>
            <w:gridSpan w:val="3"/>
          </w:tcPr>
          <w:p>
            <w:pPr>
              <w:ind w:left="2560"/>
              <w:spacing w:after="0"/>
              <w:rPr>
                <w:sz w:val="20"/>
                <w:szCs w:val="20"/>
                <w:color w:val="auto"/>
              </w:rPr>
            </w:pPr>
            <w:r>
              <w:rPr>
                <w:rFonts w:ascii="Arial" w:cs="Arial" w:eastAsia="Arial" w:hAnsi="Arial"/>
                <w:sz w:val="18"/>
                <w:szCs w:val="18"/>
                <w:color w:val="auto"/>
                <w:w w:val="79"/>
              </w:rPr>
              <w:t>$</w:t>
            </w:r>
          </w:p>
        </w:tc>
        <w:tc>
          <w:tcPr>
            <w:tcW w:w="860" w:type="dxa"/>
            <w:vAlign w:val="bottom"/>
            <w:gridSpan w:val="3"/>
          </w:tcPr>
          <w:p>
            <w:pPr>
              <w:jc w:val="right"/>
              <w:ind w:right="260"/>
              <w:spacing w:after="0"/>
              <w:rPr>
                <w:sz w:val="20"/>
                <w:szCs w:val="20"/>
                <w:color w:val="auto"/>
              </w:rPr>
            </w:pPr>
            <w:r>
              <w:rPr>
                <w:rFonts w:ascii="Arial" w:cs="Arial" w:eastAsia="Arial" w:hAnsi="Arial"/>
                <w:sz w:val="18"/>
                <w:szCs w:val="18"/>
                <w:color w:val="auto"/>
              </w:rPr>
              <w:t>11,370</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3"/>
          </w:tcPr>
          <w:p>
            <w:pPr>
              <w:jc w:val="right"/>
              <w:ind w:right="540"/>
              <w:spacing w:after="0"/>
              <w:rPr>
                <w:sz w:val="20"/>
                <w:szCs w:val="20"/>
                <w:color w:val="auto"/>
              </w:rPr>
            </w:pPr>
            <w:r>
              <w:rPr>
                <w:rFonts w:ascii="Arial" w:cs="Arial" w:eastAsia="Arial" w:hAnsi="Arial"/>
                <w:sz w:val="18"/>
                <w:szCs w:val="18"/>
                <w:color w:val="auto"/>
              </w:rPr>
              <w:t>9,379</w:t>
            </w:r>
          </w:p>
        </w:tc>
        <w:tc>
          <w:tcPr>
            <w:tcW w:w="16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12,357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Realized gain on investments</w:t>
            </w:r>
          </w:p>
        </w:tc>
        <w:tc>
          <w:tcPr>
            <w:tcW w:w="23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1,449</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1,299</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spacing w:after="0"/>
              <w:rPr>
                <w:sz w:val="20"/>
                <w:szCs w:val="20"/>
                <w:color w:val="auto"/>
              </w:rPr>
            </w:pPr>
            <w:r>
              <w:rPr>
                <w:rFonts w:ascii="Arial" w:cs="Arial" w:eastAsia="Arial" w:hAnsi="Arial"/>
                <w:sz w:val="18"/>
                <w:szCs w:val="18"/>
                <w:color w:val="auto"/>
              </w:rPr>
              <w:t>Currency translation gain (loss)</w:t>
            </w:r>
          </w:p>
        </w:tc>
        <w:tc>
          <w:tcPr>
            <w:tcW w:w="2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3"/>
          </w:tcPr>
          <w:p>
            <w:pPr>
              <w:jc w:val="right"/>
              <w:ind w:right="260"/>
              <w:spacing w:after="0"/>
              <w:rPr>
                <w:sz w:val="20"/>
                <w:szCs w:val="20"/>
                <w:color w:val="auto"/>
              </w:rPr>
            </w:pPr>
            <w:r>
              <w:rPr>
                <w:rFonts w:ascii="Arial" w:cs="Arial" w:eastAsia="Arial" w:hAnsi="Arial"/>
                <w:sz w:val="18"/>
                <w:szCs w:val="18"/>
                <w:color w:val="auto"/>
              </w:rPr>
              <w:t>1,871</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3"/>
          </w:tcPr>
          <w:p>
            <w:pPr>
              <w:jc w:val="right"/>
              <w:ind w:right="540"/>
              <w:spacing w:after="0"/>
              <w:rPr>
                <w:sz w:val="20"/>
                <w:szCs w:val="20"/>
                <w:color w:val="auto"/>
              </w:rPr>
            </w:pPr>
            <w:r>
              <w:rPr>
                <w:rFonts w:ascii="Arial" w:cs="Arial" w:eastAsia="Arial" w:hAnsi="Arial"/>
                <w:sz w:val="18"/>
                <w:szCs w:val="18"/>
                <w:color w:val="auto"/>
              </w:rPr>
              <w:t>8,739</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(1,908)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income</w:t>
            </w:r>
          </w:p>
        </w:tc>
        <w:tc>
          <w:tcPr>
            <w:tcW w:w="23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9,811</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8,025</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spacing w:after="0"/>
              <w:rPr>
                <w:sz w:val="20"/>
                <w:szCs w:val="20"/>
                <w:color w:val="auto"/>
              </w:rPr>
            </w:pPr>
            <w:r>
              <w:rPr>
                <w:rFonts w:ascii="Arial" w:cs="Arial" w:eastAsia="Arial" w:hAnsi="Arial"/>
                <w:sz w:val="18"/>
                <w:szCs w:val="18"/>
                <w:color w:val="auto"/>
              </w:rPr>
              <w:t>Interest expense</w:t>
            </w:r>
          </w:p>
        </w:tc>
        <w:tc>
          <w:tcPr>
            <w:tcW w:w="2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8"/>
                <w:szCs w:val="18"/>
                <w:color w:val="auto"/>
              </w:rPr>
              <w:t>(1,167)</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3"/>
          </w:tcPr>
          <w:p>
            <w:pPr>
              <w:jc w:val="right"/>
              <w:ind w:right="480"/>
              <w:spacing w:after="0"/>
              <w:rPr>
                <w:sz w:val="20"/>
                <w:szCs w:val="20"/>
                <w:color w:val="auto"/>
              </w:rPr>
            </w:pPr>
            <w:r>
              <w:rPr>
                <w:rFonts w:ascii="Arial" w:cs="Arial" w:eastAsia="Arial" w:hAnsi="Arial"/>
                <w:sz w:val="18"/>
                <w:szCs w:val="18"/>
                <w:color w:val="auto"/>
              </w:rPr>
              <w:t>(1,876)</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(563)</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4060" w:type="dxa"/>
            <w:vAlign w:val="bottom"/>
          </w:tcPr>
          <w:p>
            <w:pPr>
              <w:spacing w:after="0"/>
              <w:rPr>
                <w:sz w:val="2"/>
                <w:szCs w:val="2"/>
                <w:color w:val="auto"/>
              </w:rPr>
            </w:pPr>
          </w:p>
        </w:tc>
        <w:tc>
          <w:tcPr>
            <w:tcW w:w="23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4060" w:type="dxa"/>
            <w:vAlign w:val="bottom"/>
            <w:shd w:val="clear" w:color="auto" w:fill="CCEEFF"/>
          </w:tcPr>
          <w:p>
            <w:pPr>
              <w:spacing w:after="0"/>
              <w:rPr>
                <w:sz w:val="18"/>
                <w:szCs w:val="18"/>
                <w:color w:val="auto"/>
              </w:rPr>
            </w:pPr>
          </w:p>
        </w:tc>
        <w:tc>
          <w:tcPr>
            <w:tcW w:w="2560" w:type="dxa"/>
            <w:vAlign w:val="bottom"/>
            <w:gridSpan w:val="2"/>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23,334</w:t>
            </w:r>
          </w:p>
        </w:tc>
        <w:tc>
          <w:tcPr>
            <w:tcW w:w="260" w:type="dxa"/>
            <w:vAlign w:val="bottom"/>
            <w:shd w:val="clear" w:color="auto" w:fill="CCEEFF"/>
          </w:tcPr>
          <w:p>
            <w:pPr>
              <w:spacing w:after="0"/>
              <w:rPr>
                <w:sz w:val="18"/>
                <w:szCs w:val="18"/>
                <w:color w:val="auto"/>
              </w:rPr>
            </w:pPr>
          </w:p>
        </w:tc>
        <w:tc>
          <w:tcPr>
            <w:tcW w:w="380" w:type="dxa"/>
            <w:vAlign w:val="bottom"/>
            <w:gridSpan w:val="3"/>
            <w:shd w:val="clear" w:color="auto" w:fill="CCEEFF"/>
          </w:tcPr>
          <w:p>
            <w:pPr>
              <w:ind w:left="280"/>
              <w:spacing w:after="0"/>
              <w:rPr>
                <w:sz w:val="20"/>
                <w:szCs w:val="20"/>
                <w:color w:val="auto"/>
              </w:rPr>
            </w:pPr>
            <w:r>
              <w:rPr>
                <w:rFonts w:ascii="Arial" w:cs="Arial" w:eastAsia="Arial" w:hAnsi="Arial"/>
                <w:sz w:val="18"/>
                <w:szCs w:val="18"/>
                <w:color w:val="auto"/>
                <w:w w:val="79"/>
              </w:rPr>
              <w:t>$</w:t>
            </w:r>
          </w:p>
        </w:tc>
        <w:tc>
          <w:tcPr>
            <w:tcW w:w="11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25,566</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15,533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406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Company reports both basic net income per share, which is based on the weighted average number of shares outstanding, and diluted net income per share, which is based on the weighted average number of shares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20"/>
          </w:cols>
          <w:pgMar w:left="240" w:top="459" w:right="2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outstanding and potentially dilutive shares. The computations of basic and diluted net income per share are presented in the following table (in thousands, except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4"/>
          </w:tcPr>
          <w:p>
            <w:pPr>
              <w:ind w:left="20"/>
              <w:spacing w:after="0"/>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8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20" w:type="dxa"/>
            <w:vAlign w:val="bottom"/>
            <w:gridSpan w:val="4"/>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80" w:type="dxa"/>
            <w:vAlign w:val="bottom"/>
            <w:gridSpan w:val="4"/>
          </w:tcPr>
          <w:p>
            <w:pPr>
              <w:ind w:left="20"/>
              <w:spacing w:after="0" w:line="129" w:lineRule="exact"/>
              <w:rPr>
                <w:sz w:val="20"/>
                <w:szCs w:val="20"/>
                <w:color w:val="auto"/>
              </w:rPr>
            </w:pPr>
            <w:r>
              <w:rPr>
                <w:rFonts w:ascii="Arial" w:cs="Arial" w:eastAsia="Arial" w:hAnsi="Arial"/>
                <w:sz w:val="14"/>
                <w:szCs w:val="14"/>
                <w:b w:val="1"/>
                <w:bCs w:val="1"/>
                <w:color w:val="auto"/>
              </w:rPr>
              <w:t>February 1,</w:t>
            </w: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2,</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8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2"/>
          </w:tcPr>
          <w:p>
            <w:pPr>
              <w:jc w:val="right"/>
              <w:ind w:right="200"/>
              <w:spacing w:after="0"/>
              <w:rPr>
                <w:sz w:val="20"/>
                <w:szCs w:val="20"/>
                <w:color w:val="auto"/>
              </w:rPr>
            </w:pPr>
            <w:r>
              <w:rPr>
                <w:rFonts w:ascii="Arial" w:cs="Arial" w:eastAsia="Arial" w:hAnsi="Arial"/>
                <w:sz w:val="14"/>
                <w:szCs w:val="14"/>
                <w:b w:val="1"/>
                <w:bCs w:val="1"/>
                <w:color w:val="auto"/>
              </w:rPr>
              <w:t>2015</w:t>
            </w: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rPr>
              <w:t>2014</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2013</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8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8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20" w:type="dxa"/>
            <w:vAlign w:val="bottom"/>
          </w:tcPr>
          <w:p>
            <w:pPr>
              <w:spacing w:after="0"/>
              <w:rPr>
                <w:sz w:val="20"/>
                <w:szCs w:val="20"/>
                <w:color w:val="auto"/>
              </w:rPr>
            </w:pPr>
            <w:r>
              <w:rPr>
                <w:rFonts w:ascii="Arial" w:cs="Arial" w:eastAsia="Arial" w:hAnsi="Arial"/>
                <w:sz w:val="18"/>
                <w:szCs w:val="18"/>
                <w:color w:val="auto"/>
              </w:rPr>
              <w:t>Net income</w:t>
            </w:r>
          </w:p>
        </w:tc>
        <w:tc>
          <w:tcPr>
            <w:tcW w:w="180" w:type="dxa"/>
            <w:vAlign w:val="bottom"/>
          </w:tcPr>
          <w:p>
            <w:pPr>
              <w:spacing w:after="0"/>
              <w:rPr>
                <w:sz w:val="18"/>
                <w:szCs w:val="18"/>
                <w:color w:val="auto"/>
              </w:rPr>
            </w:pP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800" w:type="dxa"/>
            <w:vAlign w:val="bottom"/>
            <w:gridSpan w:val="3"/>
          </w:tcPr>
          <w:p>
            <w:pPr>
              <w:jc w:val="right"/>
              <w:ind w:right="220"/>
              <w:spacing w:after="0"/>
              <w:rPr>
                <w:sz w:val="20"/>
                <w:szCs w:val="20"/>
                <w:color w:val="auto"/>
              </w:rPr>
            </w:pPr>
            <w:r>
              <w:rPr>
                <w:rFonts w:ascii="Arial" w:cs="Arial" w:eastAsia="Arial" w:hAnsi="Arial"/>
                <w:sz w:val="18"/>
                <w:szCs w:val="18"/>
                <w:color w:val="auto"/>
                <w:w w:val="86"/>
              </w:rPr>
              <w:t>435,346</w:t>
            </w:r>
          </w:p>
        </w:tc>
        <w:tc>
          <w:tcPr>
            <w:tcW w:w="14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1060" w:type="dxa"/>
            <w:vAlign w:val="bottom"/>
            <w:gridSpan w:val="3"/>
          </w:tcPr>
          <w:p>
            <w:pPr>
              <w:jc w:val="right"/>
              <w:ind w:right="480"/>
              <w:spacing w:after="0"/>
              <w:rPr>
                <w:sz w:val="20"/>
                <w:szCs w:val="20"/>
                <w:color w:val="auto"/>
              </w:rPr>
            </w:pPr>
            <w:r>
              <w:rPr>
                <w:rFonts w:ascii="Arial" w:cs="Arial" w:eastAsia="Arial" w:hAnsi="Arial"/>
                <w:sz w:val="18"/>
                <w:szCs w:val="18"/>
                <w:color w:val="auto"/>
                <w:w w:val="86"/>
              </w:rPr>
              <w:t>315,320</w:t>
            </w:r>
          </w:p>
        </w:tc>
        <w:tc>
          <w:tcPr>
            <w:tcW w:w="700" w:type="dxa"/>
            <w:vAlign w:val="bottom"/>
            <w:gridSpan w:val="3"/>
          </w:tcPr>
          <w:p>
            <w:pPr>
              <w:jc w:val="right"/>
              <w:ind w:right="20"/>
              <w:spacing w:after="0"/>
              <w:rPr>
                <w:sz w:val="20"/>
                <w:szCs w:val="20"/>
                <w:color w:val="auto"/>
              </w:rPr>
            </w:pPr>
            <w:r>
              <w:rPr>
                <w:rFonts w:ascii="Arial" w:cs="Arial" w:eastAsia="Arial" w:hAnsi="Arial"/>
                <w:sz w:val="18"/>
                <w:szCs w:val="18"/>
                <w:color w:val="auto"/>
                <w:w w:val="82"/>
              </w:rPr>
              <w:t>$ 306,585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20" w:type="dxa"/>
            <w:vAlign w:val="bottom"/>
          </w:tcPr>
          <w:p>
            <w:pPr>
              <w:spacing w:after="0"/>
              <w:rPr>
                <w:sz w:val="20"/>
                <w:szCs w:val="20"/>
                <w:color w:val="auto"/>
              </w:rPr>
            </w:pPr>
            <w:r>
              <w:rPr>
                <w:rFonts w:ascii="Arial" w:cs="Arial" w:eastAsia="Arial" w:hAnsi="Arial"/>
                <w:sz w:val="18"/>
                <w:szCs w:val="18"/>
                <w:color w:val="auto"/>
              </w:rPr>
              <w:t>Weighted average shares — basic</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3"/>
          </w:tcPr>
          <w:p>
            <w:pPr>
              <w:jc w:val="right"/>
              <w:ind w:right="220"/>
              <w:spacing w:after="0"/>
              <w:rPr>
                <w:sz w:val="20"/>
                <w:szCs w:val="20"/>
                <w:color w:val="auto"/>
              </w:rPr>
            </w:pPr>
            <w:r>
              <w:rPr>
                <w:rFonts w:ascii="Arial" w:cs="Arial" w:eastAsia="Arial" w:hAnsi="Arial"/>
                <w:sz w:val="18"/>
                <w:szCs w:val="18"/>
                <w:color w:val="auto"/>
                <w:w w:val="86"/>
              </w:rPr>
              <w:t>511,089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3"/>
          </w:tcPr>
          <w:p>
            <w:pPr>
              <w:jc w:val="right"/>
              <w:ind w:right="480"/>
              <w:spacing w:after="0"/>
              <w:rPr>
                <w:sz w:val="20"/>
                <w:szCs w:val="20"/>
                <w:color w:val="auto"/>
              </w:rPr>
            </w:pPr>
            <w:r>
              <w:rPr>
                <w:rFonts w:ascii="Arial" w:cs="Arial" w:eastAsia="Arial" w:hAnsi="Arial"/>
                <w:sz w:val="18"/>
                <w:szCs w:val="18"/>
                <w:color w:val="auto"/>
                <w:w w:val="86"/>
              </w:rPr>
              <w:t>496,518</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555,310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20" w:type="dxa"/>
            <w:vAlign w:val="bottom"/>
          </w:tcPr>
          <w:p>
            <w:pPr>
              <w:spacing w:after="0"/>
              <w:rPr>
                <w:sz w:val="20"/>
                <w:szCs w:val="20"/>
                <w:color w:val="auto"/>
              </w:rPr>
            </w:pPr>
            <w:r>
              <w:rPr>
                <w:rFonts w:ascii="Arial" w:cs="Arial" w:eastAsia="Arial" w:hAnsi="Arial"/>
                <w:sz w:val="18"/>
                <w:szCs w:val="18"/>
                <w:color w:val="auto"/>
              </w:rPr>
              <w:t>Share-based awards</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3"/>
          </w:tcPr>
          <w:p>
            <w:pPr>
              <w:jc w:val="right"/>
              <w:ind w:right="220"/>
              <w:spacing w:after="0"/>
              <w:rPr>
                <w:sz w:val="20"/>
                <w:szCs w:val="20"/>
                <w:color w:val="auto"/>
              </w:rPr>
            </w:pPr>
            <w:r>
              <w:rPr>
                <w:rFonts w:ascii="Arial" w:cs="Arial" w:eastAsia="Arial" w:hAnsi="Arial"/>
                <w:sz w:val="18"/>
                <w:szCs w:val="18"/>
                <w:color w:val="auto"/>
              </w:rPr>
              <w:t>9,671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3"/>
          </w:tcPr>
          <w:p>
            <w:pPr>
              <w:jc w:val="right"/>
              <w:ind w:right="480"/>
              <w:spacing w:after="0"/>
              <w:rPr>
                <w:sz w:val="20"/>
                <w:szCs w:val="20"/>
                <w:color w:val="auto"/>
              </w:rPr>
            </w:pPr>
            <w:r>
              <w:rPr>
                <w:rFonts w:ascii="Arial" w:cs="Arial" w:eastAsia="Arial" w:hAnsi="Arial"/>
                <w:sz w:val="18"/>
                <w:szCs w:val="18"/>
                <w:color w:val="auto"/>
              </w:rPr>
              <w:t>7,895</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7,813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8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48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w w:val="86"/>
              </w:rPr>
              <w:t>520,760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60" w:type="dxa"/>
            <w:vAlign w:val="bottom"/>
            <w:tcBorders>
              <w:right w:val="single" w:sz="8" w:color="CCEEFF"/>
            </w:tcBorders>
            <w:gridSpan w:val="3"/>
            <w:shd w:val="clear" w:color="auto" w:fill="CCEEFF"/>
          </w:tcPr>
          <w:p>
            <w:pPr>
              <w:jc w:val="right"/>
              <w:ind w:right="480"/>
              <w:spacing w:after="0"/>
              <w:rPr>
                <w:sz w:val="20"/>
                <w:szCs w:val="20"/>
                <w:color w:val="auto"/>
              </w:rPr>
            </w:pPr>
            <w:r>
              <w:rPr>
                <w:rFonts w:ascii="Arial" w:cs="Arial" w:eastAsia="Arial" w:hAnsi="Arial"/>
                <w:sz w:val="18"/>
                <w:szCs w:val="18"/>
                <w:color w:val="auto"/>
                <w:w w:val="86"/>
              </w:rPr>
              <w:t>504,413</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563,123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4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840" w:type="dxa"/>
            <w:vAlign w:val="bottom"/>
            <w:gridSpan w:val="2"/>
            <w:vMerge w:val="continue"/>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1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80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0.85</w:t>
            </w:r>
          </w:p>
        </w:tc>
        <w:tc>
          <w:tcPr>
            <w:tcW w:w="14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1060" w:type="dxa"/>
            <w:vAlign w:val="bottom"/>
            <w:tcBorders>
              <w:right w:val="single" w:sz="8" w:color="CCEEFF"/>
            </w:tcBorders>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0.64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0.55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820" w:type="dxa"/>
            <w:vAlign w:val="bottom"/>
          </w:tcPr>
          <w:p>
            <w:pPr>
              <w:spacing w:after="0"/>
              <w:rPr>
                <w:sz w:val="20"/>
                <w:szCs w:val="20"/>
                <w:color w:val="auto"/>
              </w:rPr>
            </w:pPr>
            <w:r>
              <w:rPr>
                <w:rFonts w:ascii="Arial" w:cs="Arial" w:eastAsia="Arial" w:hAnsi="Arial"/>
                <w:sz w:val="18"/>
                <w:szCs w:val="18"/>
                <w:color w:val="auto"/>
              </w:rPr>
              <w:t>Diluted</w:t>
            </w:r>
          </w:p>
        </w:tc>
        <w:tc>
          <w:tcPr>
            <w:tcW w:w="180" w:type="dxa"/>
            <w:vAlign w:val="bottom"/>
          </w:tcPr>
          <w:p>
            <w:pPr>
              <w:spacing w:after="0"/>
              <w:rPr>
                <w:sz w:val="19"/>
                <w:szCs w:val="19"/>
                <w:color w:val="auto"/>
              </w:rPr>
            </w:pP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800" w:type="dxa"/>
            <w:vAlign w:val="bottom"/>
            <w:gridSpan w:val="3"/>
          </w:tcPr>
          <w:p>
            <w:pPr>
              <w:jc w:val="right"/>
              <w:ind w:right="220"/>
              <w:spacing w:after="0"/>
              <w:rPr>
                <w:sz w:val="20"/>
                <w:szCs w:val="20"/>
                <w:color w:val="auto"/>
              </w:rPr>
            </w:pPr>
            <w:r>
              <w:rPr>
                <w:rFonts w:ascii="Arial" w:cs="Arial" w:eastAsia="Arial" w:hAnsi="Arial"/>
                <w:sz w:val="18"/>
                <w:szCs w:val="18"/>
                <w:color w:val="auto"/>
              </w:rPr>
              <w:t>0.84</w:t>
            </w:r>
          </w:p>
        </w:tc>
        <w:tc>
          <w:tcPr>
            <w:tcW w:w="140" w:type="dxa"/>
            <w:vAlign w:val="bottom"/>
          </w:tcPr>
          <w:p>
            <w:pPr>
              <w:spacing w:after="0"/>
              <w:rPr>
                <w:sz w:val="19"/>
                <w:szCs w:val="19"/>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1060" w:type="dxa"/>
            <w:vAlign w:val="bottom"/>
            <w:gridSpan w:val="3"/>
          </w:tcPr>
          <w:p>
            <w:pPr>
              <w:jc w:val="right"/>
              <w:ind w:right="480"/>
              <w:spacing w:after="0"/>
              <w:rPr>
                <w:sz w:val="20"/>
                <w:szCs w:val="20"/>
                <w:color w:val="auto"/>
              </w:rPr>
            </w:pPr>
            <w:r>
              <w:rPr>
                <w:rFonts w:ascii="Arial" w:cs="Arial" w:eastAsia="Arial" w:hAnsi="Arial"/>
                <w:sz w:val="18"/>
                <w:szCs w:val="18"/>
                <w:color w:val="auto"/>
              </w:rPr>
              <w:t>0.63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0.54</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0"/>
        </w:trPr>
        <w:tc>
          <w:tcPr>
            <w:tcW w:w="20" w:type="dxa"/>
            <w:vAlign w:val="bottom"/>
          </w:tcPr>
          <w:p>
            <w:pPr>
              <w:spacing w:after="0"/>
              <w:rPr>
                <w:sz w:val="24"/>
                <w:szCs w:val="24"/>
                <w:color w:val="auto"/>
              </w:rPr>
            </w:pPr>
          </w:p>
        </w:tc>
        <w:tc>
          <w:tcPr>
            <w:tcW w:w="8000" w:type="dxa"/>
            <w:vAlign w:val="bottom"/>
            <w:gridSpan w:val="2"/>
          </w:tcPr>
          <w:p>
            <w:pPr>
              <w:ind w:left="440"/>
              <w:spacing w:after="0"/>
              <w:rPr>
                <w:sz w:val="20"/>
                <w:szCs w:val="20"/>
                <w:color w:val="auto"/>
              </w:rPr>
            </w:pPr>
            <w:r>
              <w:rPr>
                <w:rFonts w:ascii="Arial" w:cs="Arial" w:eastAsia="Arial" w:hAnsi="Arial"/>
                <w:sz w:val="18"/>
                <w:szCs w:val="18"/>
                <w:color w:val="auto"/>
                <w:w w:val="88"/>
              </w:rPr>
              <w:t>Anti-dilutive potential shares are presented in the following table (in thousands, except per share amounts):</w:t>
            </w: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82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400" w:type="dxa"/>
            <w:vAlign w:val="bottom"/>
            <w:tcBorders>
              <w:bottom w:val="single" w:sz="8" w:color="auto"/>
            </w:tcBorders>
            <w:gridSpan w:val="6"/>
          </w:tcPr>
          <w:p>
            <w:pPr>
              <w:spacing w:after="0"/>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820" w:type="dxa"/>
            <w:vAlign w:val="bottom"/>
          </w:tcPr>
          <w:p>
            <w:pPr>
              <w:spacing w:after="0"/>
              <w:rPr>
                <w:sz w:val="11"/>
                <w:szCs w:val="11"/>
                <w:color w:val="auto"/>
              </w:rPr>
            </w:pPr>
          </w:p>
        </w:tc>
        <w:tc>
          <w:tcPr>
            <w:tcW w:w="1400" w:type="dxa"/>
            <w:vAlign w:val="bottom"/>
            <w:gridSpan w:val="6"/>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1400" w:type="dxa"/>
            <w:vAlign w:val="bottom"/>
            <w:gridSpan w:val="6"/>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7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8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3"/>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24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2013</w:t>
            </w: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8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 outstanding from stock options:</w:t>
            </w:r>
          </w:p>
        </w:tc>
        <w:tc>
          <w:tcPr>
            <w:tcW w:w="1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8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20" w:type="dxa"/>
            <w:vAlign w:val="bottom"/>
          </w:tcPr>
          <w:p>
            <w:pPr>
              <w:ind w:left="420"/>
              <w:spacing w:after="0"/>
              <w:rPr>
                <w:sz w:val="20"/>
                <w:szCs w:val="20"/>
                <w:color w:val="auto"/>
              </w:rPr>
            </w:pPr>
            <w:r>
              <w:rPr>
                <w:rFonts w:ascii="Arial" w:cs="Arial" w:eastAsia="Arial" w:hAnsi="Arial"/>
                <w:sz w:val="18"/>
                <w:szCs w:val="18"/>
                <w:color w:val="auto"/>
              </w:rPr>
              <w:t>Time-based options</w:t>
            </w:r>
          </w:p>
        </w:tc>
        <w:tc>
          <w:tcPr>
            <w:tcW w:w="180" w:type="dxa"/>
            <w:vAlign w:val="bottom"/>
          </w:tcPr>
          <w:p>
            <w:pPr>
              <w:spacing w:after="0"/>
              <w:rPr>
                <w:sz w:val="18"/>
                <w:szCs w:val="18"/>
                <w:color w:val="auto"/>
              </w:rPr>
            </w:pPr>
          </w:p>
        </w:tc>
        <w:tc>
          <w:tcPr>
            <w:tcW w:w="500" w:type="dxa"/>
            <w:vAlign w:val="bottom"/>
            <w:gridSpan w:val="3"/>
          </w:tcPr>
          <w:p>
            <w:pPr>
              <w:jc w:val="right"/>
              <w:spacing w:after="0"/>
              <w:rPr>
                <w:sz w:val="20"/>
                <w:szCs w:val="20"/>
                <w:color w:val="auto"/>
              </w:rPr>
            </w:pPr>
            <w:r>
              <w:rPr>
                <w:rFonts w:ascii="Arial" w:cs="Arial" w:eastAsia="Arial" w:hAnsi="Arial"/>
                <w:sz w:val="18"/>
                <w:szCs w:val="18"/>
                <w:color w:val="auto"/>
                <w:w w:val="87"/>
              </w:rPr>
              <w:t>22,485</w:t>
            </w: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gridSpan w:val="3"/>
          </w:tcPr>
          <w:p>
            <w:pPr>
              <w:jc w:val="right"/>
              <w:spacing w:after="0"/>
              <w:rPr>
                <w:sz w:val="20"/>
                <w:szCs w:val="20"/>
                <w:color w:val="auto"/>
              </w:rPr>
            </w:pPr>
            <w:r>
              <w:rPr>
                <w:rFonts w:ascii="Arial" w:cs="Arial" w:eastAsia="Arial" w:hAnsi="Arial"/>
                <w:sz w:val="18"/>
                <w:szCs w:val="18"/>
                <w:color w:val="auto"/>
                <w:w w:val="94"/>
              </w:rPr>
              <w:t>36,882</w:t>
            </w: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25,133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Market-based options</w:t>
            </w:r>
          </w:p>
        </w:tc>
        <w:tc>
          <w:tcPr>
            <w:tcW w:w="180" w:type="dxa"/>
            <w:vAlign w:val="bottom"/>
            <w:shd w:val="clear" w:color="auto" w:fill="CCEEFF"/>
          </w:tcPr>
          <w:p>
            <w:pPr>
              <w:spacing w:after="0"/>
              <w:rPr>
                <w:sz w:val="18"/>
                <w:szCs w:val="18"/>
                <w:color w:val="auto"/>
              </w:rPr>
            </w:pPr>
          </w:p>
        </w:tc>
        <w:tc>
          <w:tcPr>
            <w:tcW w:w="5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2,288</w:t>
            </w: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2,711</w:t>
            </w:r>
          </w:p>
        </w:tc>
        <w:tc>
          <w:tcPr>
            <w:tcW w:w="4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2,991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820" w:type="dxa"/>
            <w:vAlign w:val="bottom"/>
          </w:tcPr>
          <w:p>
            <w:pPr>
              <w:spacing w:after="0"/>
              <w:rPr>
                <w:sz w:val="19"/>
                <w:szCs w:val="19"/>
                <w:color w:val="auto"/>
              </w:rPr>
            </w:pPr>
          </w:p>
        </w:tc>
        <w:tc>
          <w:tcPr>
            <w:tcW w:w="180" w:type="dxa"/>
            <w:vAlign w:val="bottom"/>
            <w:tcBorders>
              <w:top w:val="single" w:sz="8" w:color="auto"/>
              <w:bottom w:val="single" w:sz="8" w:color="auto"/>
            </w:tcBorders>
          </w:tcPr>
          <w:p>
            <w:pPr>
              <w:spacing w:after="0"/>
              <w:rPr>
                <w:sz w:val="19"/>
                <w:szCs w:val="19"/>
                <w:color w:val="auto"/>
              </w:rPr>
            </w:pPr>
          </w:p>
        </w:tc>
        <w:tc>
          <w:tcPr>
            <w:tcW w:w="50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87"/>
              </w:rPr>
              <w:t>24,773</w:t>
            </w:r>
          </w:p>
        </w:tc>
        <w:tc>
          <w:tcPr>
            <w:tcW w:w="5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19"/>
                <w:szCs w:val="19"/>
                <w:color w:val="auto"/>
              </w:rPr>
            </w:pPr>
          </w:p>
        </w:tc>
        <w:tc>
          <w:tcPr>
            <w:tcW w:w="54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94"/>
              </w:rPr>
              <w:t>39,593</w:t>
            </w: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60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28,124</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exercise price:</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20" w:type="dxa"/>
            <w:vAlign w:val="bottom"/>
          </w:tcPr>
          <w:p>
            <w:pPr>
              <w:ind w:left="420"/>
              <w:spacing w:after="0"/>
              <w:rPr>
                <w:sz w:val="20"/>
                <w:szCs w:val="20"/>
                <w:color w:val="auto"/>
              </w:rPr>
            </w:pPr>
            <w:r>
              <w:rPr>
                <w:rFonts w:ascii="Arial" w:cs="Arial" w:eastAsia="Arial" w:hAnsi="Arial"/>
                <w:sz w:val="18"/>
                <w:szCs w:val="18"/>
                <w:color w:val="auto"/>
              </w:rPr>
              <w:t>Time-based options</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500" w:type="dxa"/>
            <w:vAlign w:val="bottom"/>
            <w:gridSpan w:val="3"/>
          </w:tcPr>
          <w:p>
            <w:pPr>
              <w:jc w:val="right"/>
              <w:spacing w:after="0"/>
              <w:rPr>
                <w:sz w:val="20"/>
                <w:szCs w:val="20"/>
                <w:color w:val="auto"/>
              </w:rPr>
            </w:pPr>
            <w:r>
              <w:rPr>
                <w:rFonts w:ascii="Arial" w:cs="Arial" w:eastAsia="Arial" w:hAnsi="Arial"/>
                <w:sz w:val="18"/>
                <w:szCs w:val="18"/>
                <w:color w:val="auto"/>
              </w:rPr>
              <w:t>17.58</w:t>
            </w: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15.12</w:t>
            </w: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17.72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8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Market-based options</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24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15.43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20" w:type="dxa"/>
            <w:vAlign w:val="bottom"/>
            <w:vMerge w:val="restart"/>
          </w:tcPr>
          <w:p>
            <w:pPr>
              <w:ind w:left="420"/>
              <w:spacing w:after="0"/>
              <w:rPr>
                <w:sz w:val="20"/>
                <w:szCs w:val="20"/>
                <w:color w:val="auto"/>
              </w:rPr>
            </w:pPr>
            <w:r>
              <w:rPr>
                <w:rFonts w:ascii="Arial" w:cs="Arial" w:eastAsia="Arial" w:hAnsi="Arial"/>
                <w:sz w:val="18"/>
                <w:szCs w:val="18"/>
                <w:color w:val="auto"/>
              </w:rPr>
              <w:t>Total</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gridSpan w:val="3"/>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gridSpan w:val="3"/>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820" w:type="dxa"/>
            <w:vAlign w:val="bottom"/>
            <w:vMerge w:val="continue"/>
          </w:tcPr>
          <w:p>
            <w:pPr>
              <w:spacing w:after="0"/>
              <w:rPr>
                <w:sz w:val="18"/>
                <w:szCs w:val="18"/>
                <w:color w:val="auto"/>
              </w:rPr>
            </w:pP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500" w:type="dxa"/>
            <w:vAlign w:val="bottom"/>
            <w:gridSpan w:val="3"/>
          </w:tcPr>
          <w:p>
            <w:pPr>
              <w:jc w:val="right"/>
              <w:spacing w:after="0"/>
              <w:rPr>
                <w:sz w:val="20"/>
                <w:szCs w:val="20"/>
                <w:color w:val="auto"/>
              </w:rPr>
            </w:pPr>
            <w:r>
              <w:rPr>
                <w:rFonts w:ascii="Arial" w:cs="Arial" w:eastAsia="Arial" w:hAnsi="Arial"/>
                <w:sz w:val="18"/>
                <w:szCs w:val="18"/>
                <w:color w:val="auto"/>
              </w:rPr>
              <w:t>17.38</w:t>
            </w: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15.14</w:t>
            </w: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17.48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Anti-dilutive potential shares for stock options are excluded from the calculation of diluted earnings per share for the periods reported above because either their exercise price exceeded the average market price during the period or certain stock options with exercise prices less than the average market price were determined to be anti-dilutive based on applying the treasury stock method.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Derivative Financial Instruments</w:t>
      </w:r>
    </w:p>
    <w:p>
      <w:pPr>
        <w:spacing w:after="0" w:line="9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3"/>
          </w:tcPr>
          <w:p>
            <w:pPr>
              <w:jc w:val="right"/>
              <w:ind w:right="83"/>
              <w:spacing w:after="0"/>
              <w:rPr>
                <w:sz w:val="20"/>
                <w:szCs w:val="20"/>
                <w:color w:val="auto"/>
              </w:rPr>
            </w:pPr>
            <w:r>
              <w:rPr>
                <w:rFonts w:ascii="Arial" w:cs="Arial" w:eastAsia="Arial" w:hAnsi="Arial"/>
                <w:sz w:val="14"/>
                <w:szCs w:val="14"/>
                <w:b w:val="1"/>
                <w:bCs w:val="1"/>
                <w:color w:val="auto"/>
                <w:w w:val="85"/>
              </w:rPr>
              <w:t>Buy Contracts</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6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3"/>
              </w:rPr>
              <w:t>January 31,</w:t>
            </w:r>
          </w:p>
        </w:tc>
        <w:tc>
          <w:tcPr>
            <w:tcW w:w="20" w:type="dxa"/>
            <w:vAlign w:val="bottom"/>
          </w:tcPr>
          <w:p>
            <w:pPr>
              <w:spacing w:after="0"/>
              <w:rPr>
                <w:sz w:val="11"/>
                <w:szCs w:val="11"/>
                <w:color w:val="auto"/>
              </w:rPr>
            </w:pPr>
          </w:p>
        </w:tc>
        <w:tc>
          <w:tcPr>
            <w:tcW w:w="152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rPr>
              <w:t>February 1,</w:t>
            </w:r>
          </w:p>
        </w:tc>
        <w:tc>
          <w:tcPr>
            <w:tcW w:w="100" w:type="dxa"/>
            <w:vAlign w:val="bottom"/>
          </w:tcPr>
          <w:p>
            <w:pPr>
              <w:spacing w:after="0"/>
              <w:rPr>
                <w:sz w:val="11"/>
                <w:szCs w:val="11"/>
                <w:color w:val="auto"/>
              </w:rPr>
            </w:pPr>
          </w:p>
        </w:tc>
      </w:tr>
      <w:tr>
        <w:trPr>
          <w:trHeight w:val="161"/>
        </w:trPr>
        <w:tc>
          <w:tcPr>
            <w:tcW w:w="63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auto"/>
            </w:tcBorders>
          </w:tcPr>
          <w:p>
            <w:pPr>
              <w:spacing w:after="0"/>
              <w:rPr>
                <w:sz w:val="14"/>
                <w:szCs w:val="14"/>
                <w:color w:val="auto"/>
              </w:rPr>
            </w:pPr>
          </w:p>
        </w:tc>
        <w:tc>
          <w:tcPr>
            <w:tcW w:w="8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63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40" w:type="dxa"/>
            <w:vAlign w:val="bottom"/>
            <w:shd w:val="clear" w:color="auto" w:fill="CCEEFF"/>
          </w:tcPr>
          <w:p>
            <w:pPr>
              <w:ind w:left="60"/>
              <w:spacing w:after="0"/>
              <w:rPr>
                <w:sz w:val="20"/>
                <w:szCs w:val="20"/>
                <w:color w:val="auto"/>
              </w:rPr>
            </w:pPr>
            <w:r>
              <w:rPr>
                <w:rFonts w:ascii="Arial" w:cs="Arial" w:eastAsia="Arial" w:hAnsi="Arial"/>
                <w:sz w:val="18"/>
                <w:szCs w:val="18"/>
                <w:color w:val="auto"/>
                <w:w w:val="83"/>
              </w:rPr>
              <w:t>51,326</w:t>
            </w:r>
          </w:p>
        </w:tc>
        <w:tc>
          <w:tcPr>
            <w:tcW w:w="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39,670</w:t>
            </w:r>
          </w:p>
        </w:tc>
        <w:tc>
          <w:tcPr>
            <w:tcW w:w="100" w:type="dxa"/>
            <w:vAlign w:val="bottom"/>
            <w:shd w:val="clear" w:color="auto" w:fill="CCEEFF"/>
          </w:tcPr>
          <w:p>
            <w:pPr>
              <w:spacing w:after="0"/>
              <w:rPr>
                <w:sz w:val="18"/>
                <w:szCs w:val="18"/>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Euro</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ind w:lef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5,718</w:t>
            </w:r>
          </w:p>
        </w:tc>
        <w:tc>
          <w:tcPr>
            <w:tcW w:w="100" w:type="dxa"/>
            <w:vAlign w:val="bottom"/>
          </w:tcPr>
          <w:p>
            <w:pPr>
              <w:spacing w:after="0"/>
              <w:rPr>
                <w:sz w:val="18"/>
                <w:szCs w:val="18"/>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Swedish krona</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auto"/>
            </w:tcBorders>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3,709</w:t>
            </w:r>
          </w:p>
        </w:tc>
        <w:tc>
          <w:tcPr>
            <w:tcW w:w="100" w:type="dxa"/>
            <w:vAlign w:val="bottom"/>
            <w:shd w:val="clear" w:color="auto" w:fill="CCEEFF"/>
          </w:tcPr>
          <w:p>
            <w:pPr>
              <w:spacing w:after="0"/>
              <w:rPr>
                <w:sz w:val="18"/>
                <w:szCs w:val="18"/>
                <w:color w:val="auto"/>
              </w:rPr>
            </w:pPr>
          </w:p>
        </w:tc>
      </w:tr>
      <w:tr>
        <w:trPr>
          <w:trHeight w:val="222"/>
        </w:trPr>
        <w:tc>
          <w:tcPr>
            <w:tcW w:w="6360" w:type="dxa"/>
            <w:vAlign w:val="bottom"/>
          </w:tcPr>
          <w:p>
            <w:pPr>
              <w:spacing w:after="0"/>
              <w:rPr>
                <w:sz w:val="19"/>
                <w:szCs w:val="19"/>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40" w:type="dxa"/>
            <w:vAlign w:val="bottom"/>
          </w:tcPr>
          <w:p>
            <w:pPr>
              <w:ind w:left="60"/>
              <w:spacing w:after="0"/>
              <w:rPr>
                <w:sz w:val="20"/>
                <w:szCs w:val="20"/>
                <w:color w:val="auto"/>
              </w:rPr>
            </w:pPr>
            <w:r>
              <w:rPr>
                <w:rFonts w:ascii="Arial" w:cs="Arial" w:eastAsia="Arial" w:hAnsi="Arial"/>
                <w:sz w:val="18"/>
                <w:szCs w:val="18"/>
                <w:color w:val="auto"/>
                <w:w w:val="83"/>
              </w:rPr>
              <w:t>51,326</w:t>
            </w: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49,097</w:t>
            </w:r>
          </w:p>
        </w:tc>
        <w:tc>
          <w:tcPr>
            <w:tcW w:w="100" w:type="dxa"/>
            <w:vAlign w:val="bottom"/>
          </w:tcPr>
          <w:p>
            <w:pPr>
              <w:spacing w:after="0"/>
              <w:rPr>
                <w:sz w:val="19"/>
                <w:szCs w:val="19"/>
                <w:color w:val="auto"/>
              </w:rPr>
            </w:pPr>
          </w:p>
        </w:tc>
      </w:tr>
      <w:tr>
        <w:trPr>
          <w:trHeight w:val="20"/>
        </w:trPr>
        <w:tc>
          <w:tcPr>
            <w:tcW w:w="63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ind w:right="180" w:firstLine="456"/>
        <w:spacing w:after="0" w:line="335" w:lineRule="auto"/>
        <w:rPr>
          <w:sz w:val="20"/>
          <w:szCs w:val="20"/>
          <w:color w:val="auto"/>
        </w:rPr>
      </w:pPr>
      <w:r>
        <w:rPr>
          <w:rFonts w:ascii="Arial" w:cs="Arial" w:eastAsia="Arial" w:hAnsi="Arial"/>
          <w:sz w:val="15"/>
          <w:szCs w:val="15"/>
          <w:i w:val="1"/>
          <w:iCs w:val="1"/>
          <w:color w:val="auto"/>
        </w:rPr>
        <w:t xml:space="preserve">Other Foreign Currency Forward Contracts. </w:t>
      </w:r>
      <w:r>
        <w:rPr>
          <w:rFonts w:ascii="Arial" w:cs="Arial" w:eastAsia="Arial" w:hAnsi="Arial"/>
          <w:sz w:val="15"/>
          <w:szCs w:val="15"/>
          <w:color w:val="auto"/>
        </w:rPr>
        <w:t>The Company may enter into foreign currency forward exchange contracts to hedge certain assets and</w:t>
      </w:r>
      <w:r>
        <w:rPr>
          <w:rFonts w:ascii="Arial" w:cs="Arial" w:eastAsia="Arial" w:hAnsi="Arial"/>
          <w:sz w:val="15"/>
          <w:szCs w:val="15"/>
          <w:i w:val="1"/>
          <w:iCs w:val="1"/>
          <w:color w:val="auto"/>
        </w:rPr>
        <w:t xml:space="preserve"> </w:t>
      </w:r>
      <w:r>
        <w:rPr>
          <w:rFonts w:ascii="Arial" w:cs="Arial" w:eastAsia="Arial" w:hAnsi="Arial"/>
          <w:sz w:val="15"/>
          <w:szCs w:val="15"/>
          <w:color w:val="auto"/>
        </w:rPr>
        <w:t>liabilities 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provides information about gains (losses) associated with our derivative financial instruments (in thousands):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00" w:type="dxa"/>
            <w:vAlign w:val="bottom"/>
          </w:tcPr>
          <w:p>
            <w:pPr>
              <w:spacing w:after="0"/>
              <w:rPr>
                <w:sz w:val="14"/>
                <w:szCs w:val="14"/>
                <w:color w:val="auto"/>
              </w:rPr>
            </w:pPr>
          </w:p>
        </w:tc>
        <w:tc>
          <w:tcPr>
            <w:tcW w:w="40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7"/>
              </w:rPr>
              <w:t>Location of</w:t>
            </w:r>
          </w:p>
        </w:tc>
        <w:tc>
          <w:tcPr>
            <w:tcW w:w="140" w:type="dxa"/>
            <w:vAlign w:val="bottom"/>
          </w:tcPr>
          <w:p>
            <w:pPr>
              <w:spacing w:after="0"/>
              <w:rPr>
                <w:sz w:val="14"/>
                <w:szCs w:val="14"/>
                <w:color w:val="auto"/>
              </w:rPr>
            </w:pPr>
          </w:p>
        </w:tc>
        <w:tc>
          <w:tcPr>
            <w:tcW w:w="3040" w:type="dxa"/>
            <w:vAlign w:val="bottom"/>
            <w:gridSpan w:val="9"/>
          </w:tcPr>
          <w:p>
            <w:pPr>
              <w:jc w:val="center"/>
              <w:ind w:right="260"/>
              <w:spacing w:after="0"/>
              <w:rPr>
                <w:sz w:val="20"/>
                <w:szCs w:val="20"/>
                <w:color w:val="auto"/>
              </w:rPr>
            </w:pPr>
            <w:r>
              <w:rPr>
                <w:rFonts w:ascii="Arial" w:cs="Arial" w:eastAsia="Arial" w:hAnsi="Arial"/>
                <w:sz w:val="14"/>
                <w:szCs w:val="14"/>
                <w:b w:val="1"/>
                <w:bCs w:val="1"/>
                <w:color w:val="auto"/>
                <w:w w:val="86"/>
              </w:rPr>
              <w:t>Amount of Gains (Losses) in Statement</w:t>
            </w:r>
          </w:p>
        </w:tc>
      </w:tr>
      <w:tr>
        <w:trPr>
          <w:trHeight w:val="161"/>
        </w:trPr>
        <w:tc>
          <w:tcPr>
            <w:tcW w:w="4200" w:type="dxa"/>
            <w:vAlign w:val="bottom"/>
          </w:tcPr>
          <w:p>
            <w:pPr>
              <w:spacing w:after="0"/>
              <w:rPr>
                <w:sz w:val="14"/>
                <w:szCs w:val="14"/>
                <w:color w:val="auto"/>
              </w:rPr>
            </w:pPr>
          </w:p>
        </w:tc>
        <w:tc>
          <w:tcPr>
            <w:tcW w:w="40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3"/>
              </w:rPr>
              <w:t>Gains (Losses)</w:t>
            </w:r>
          </w:p>
        </w:tc>
        <w:tc>
          <w:tcPr>
            <w:tcW w:w="140" w:type="dxa"/>
            <w:vAlign w:val="bottom"/>
            <w:tcBorders>
              <w:bottom w:val="single" w:sz="8" w:color="auto"/>
            </w:tcBorders>
          </w:tcPr>
          <w:p>
            <w:pPr>
              <w:spacing w:after="0"/>
              <w:rPr>
                <w:sz w:val="14"/>
                <w:szCs w:val="14"/>
                <w:color w:val="auto"/>
              </w:rPr>
            </w:pPr>
          </w:p>
        </w:tc>
        <w:tc>
          <w:tcPr>
            <w:tcW w:w="2400" w:type="dxa"/>
            <w:vAlign w:val="bottom"/>
            <w:tcBorders>
              <w:bottom w:val="single" w:sz="8" w:color="auto"/>
            </w:tcBorders>
            <w:gridSpan w:val="7"/>
          </w:tcPr>
          <w:p>
            <w:pPr>
              <w:jc w:val="center"/>
              <w:ind w:left="321"/>
              <w:spacing w:after="0"/>
              <w:rPr>
                <w:sz w:val="20"/>
                <w:szCs w:val="20"/>
                <w:color w:val="auto"/>
              </w:rPr>
            </w:pPr>
            <w:r>
              <w:rPr>
                <w:rFonts w:ascii="Arial" w:cs="Arial" w:eastAsia="Arial" w:hAnsi="Arial"/>
                <w:sz w:val="14"/>
                <w:szCs w:val="14"/>
                <w:b w:val="1"/>
                <w:bCs w:val="1"/>
                <w:color w:val="auto"/>
                <w:w w:val="86"/>
              </w:rPr>
              <w:t>of Operations for the year ended</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16"/>
        </w:trPr>
        <w:tc>
          <w:tcPr>
            <w:tcW w:w="4200" w:type="dxa"/>
            <w:vAlign w:val="bottom"/>
          </w:tcPr>
          <w:p>
            <w:pPr>
              <w:spacing w:after="0"/>
              <w:rPr>
                <w:sz w:val="10"/>
                <w:szCs w:val="10"/>
                <w:color w:val="auto"/>
              </w:rPr>
            </w:pPr>
          </w:p>
        </w:tc>
        <w:tc>
          <w:tcPr>
            <w:tcW w:w="4040" w:type="dxa"/>
            <w:vAlign w:val="bottom"/>
            <w:gridSpan w:val="2"/>
          </w:tcPr>
          <w:p>
            <w:pPr>
              <w:jc w:val="center"/>
              <w:ind w:right="400"/>
              <w:spacing w:after="0" w:line="116" w:lineRule="exact"/>
              <w:rPr>
                <w:sz w:val="20"/>
                <w:szCs w:val="20"/>
                <w:color w:val="auto"/>
              </w:rPr>
            </w:pPr>
            <w:r>
              <w:rPr>
                <w:rFonts w:ascii="Arial" w:cs="Arial" w:eastAsia="Arial" w:hAnsi="Arial"/>
                <w:sz w:val="12"/>
                <w:szCs w:val="12"/>
                <w:b w:val="1"/>
                <w:bCs w:val="1"/>
                <w:color w:val="auto"/>
                <w:w w:val="98"/>
              </w:rPr>
              <w:t>Location of Gains (Losses)</w:t>
            </w:r>
          </w:p>
        </w:tc>
        <w:tc>
          <w:tcPr>
            <w:tcW w:w="960" w:type="dxa"/>
            <w:vAlign w:val="bottom"/>
            <w:gridSpan w:val="3"/>
          </w:tcPr>
          <w:p>
            <w:pPr>
              <w:spacing w:after="0" w:line="116" w:lineRule="exact"/>
              <w:rPr>
                <w:sz w:val="20"/>
                <w:szCs w:val="20"/>
                <w:color w:val="auto"/>
              </w:rPr>
            </w:pPr>
            <w:r>
              <w:rPr>
                <w:rFonts w:ascii="Arial" w:cs="Arial" w:eastAsia="Arial" w:hAnsi="Arial"/>
                <w:sz w:val="12"/>
                <w:szCs w:val="12"/>
                <w:b w:val="1"/>
                <w:bCs w:val="1"/>
                <w:color w:val="auto"/>
              </w:rPr>
              <w:t>January 31,</w:t>
            </w:r>
          </w:p>
        </w:tc>
        <w:tc>
          <w:tcPr>
            <w:tcW w:w="240" w:type="dxa"/>
            <w:vAlign w:val="bottom"/>
          </w:tcPr>
          <w:p>
            <w:pPr>
              <w:spacing w:after="0"/>
              <w:rPr>
                <w:sz w:val="10"/>
                <w:szCs w:val="10"/>
                <w:color w:val="auto"/>
              </w:rPr>
            </w:pPr>
          </w:p>
        </w:tc>
        <w:tc>
          <w:tcPr>
            <w:tcW w:w="680" w:type="dxa"/>
            <w:vAlign w:val="bottom"/>
            <w:gridSpan w:val="2"/>
          </w:tcPr>
          <w:p>
            <w:pPr>
              <w:jc w:val="center"/>
              <w:spacing w:after="0" w:line="116" w:lineRule="exact"/>
              <w:rPr>
                <w:sz w:val="20"/>
                <w:szCs w:val="20"/>
                <w:color w:val="auto"/>
              </w:rPr>
            </w:pPr>
            <w:r>
              <w:rPr>
                <w:rFonts w:ascii="Arial" w:cs="Arial" w:eastAsia="Arial" w:hAnsi="Arial"/>
                <w:sz w:val="12"/>
                <w:szCs w:val="12"/>
                <w:b w:val="1"/>
                <w:bCs w:val="1"/>
                <w:color w:val="auto"/>
              </w:rPr>
              <w:t>February 1,</w:t>
            </w:r>
          </w:p>
        </w:tc>
        <w:tc>
          <w:tcPr>
            <w:tcW w:w="500" w:type="dxa"/>
            <w:vAlign w:val="bottom"/>
          </w:tcPr>
          <w:p>
            <w:pPr>
              <w:spacing w:after="0"/>
              <w:rPr>
                <w:sz w:val="10"/>
                <w:szCs w:val="10"/>
                <w:color w:val="auto"/>
              </w:rPr>
            </w:pPr>
          </w:p>
        </w:tc>
        <w:tc>
          <w:tcPr>
            <w:tcW w:w="700" w:type="dxa"/>
            <w:vAlign w:val="bottom"/>
            <w:gridSpan w:val="2"/>
          </w:tcPr>
          <w:p>
            <w:pPr>
              <w:spacing w:after="0" w:line="116" w:lineRule="exact"/>
              <w:rPr>
                <w:sz w:val="20"/>
                <w:szCs w:val="20"/>
                <w:color w:val="auto"/>
              </w:rPr>
            </w:pPr>
            <w:r>
              <w:rPr>
                <w:rFonts w:ascii="Arial" w:cs="Arial" w:eastAsia="Arial" w:hAnsi="Arial"/>
                <w:sz w:val="12"/>
                <w:szCs w:val="12"/>
                <w:b w:val="1"/>
                <w:bCs w:val="1"/>
                <w:color w:val="auto"/>
              </w:rPr>
              <w:t>February 2,</w:t>
            </w:r>
          </w:p>
        </w:tc>
        <w:tc>
          <w:tcPr>
            <w:tcW w:w="100" w:type="dxa"/>
            <w:vAlign w:val="bottom"/>
          </w:tcPr>
          <w:p>
            <w:pPr>
              <w:spacing w:after="0"/>
              <w:rPr>
                <w:sz w:val="10"/>
                <w:szCs w:val="10"/>
                <w:color w:val="auto"/>
              </w:rPr>
            </w:pPr>
          </w:p>
        </w:tc>
      </w:tr>
      <w:tr>
        <w:trPr>
          <w:trHeight w:val="175"/>
        </w:trPr>
        <w:tc>
          <w:tcPr>
            <w:tcW w:w="4200" w:type="dxa"/>
            <w:vAlign w:val="bottom"/>
          </w:tcPr>
          <w:p>
            <w:pPr>
              <w:spacing w:after="0"/>
              <w:rPr>
                <w:sz w:val="15"/>
                <w:szCs w:val="15"/>
                <w:color w:val="auto"/>
              </w:rPr>
            </w:pPr>
          </w:p>
        </w:tc>
        <w:tc>
          <w:tcPr>
            <w:tcW w:w="40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7"/>
              </w:rPr>
              <w:t>in Statement of Operations</w:t>
            </w:r>
          </w:p>
        </w:tc>
        <w:tc>
          <w:tcPr>
            <w:tcW w:w="140" w:type="dxa"/>
            <w:vAlign w:val="bottom"/>
          </w:tcPr>
          <w:p>
            <w:pPr>
              <w:spacing w:after="0"/>
              <w:rPr>
                <w:sz w:val="15"/>
                <w:szCs w:val="15"/>
                <w:color w:val="auto"/>
              </w:rPr>
            </w:pPr>
          </w:p>
        </w:tc>
        <w:tc>
          <w:tcPr>
            <w:tcW w:w="540" w:type="dxa"/>
            <w:vAlign w:val="bottom"/>
          </w:tcPr>
          <w:p>
            <w:pPr>
              <w:jc w:val="right"/>
              <w:ind w:right="121"/>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40" w:type="dxa"/>
            <w:vAlign w:val="bottom"/>
          </w:tcPr>
          <w:p>
            <w:pPr>
              <w:jc w:val="center"/>
              <w:ind w:right="56"/>
              <w:spacing w:after="0"/>
              <w:rPr>
                <w:sz w:val="20"/>
                <w:szCs w:val="20"/>
                <w:color w:val="auto"/>
              </w:rPr>
            </w:pPr>
            <w:r>
              <w:rPr>
                <w:rFonts w:ascii="Arial" w:cs="Arial" w:eastAsia="Arial" w:hAnsi="Arial"/>
                <w:sz w:val="14"/>
                <w:szCs w:val="14"/>
                <w:b w:val="1"/>
                <w:bCs w:val="1"/>
                <w:color w:val="auto"/>
                <w:w w:val="89"/>
              </w:rPr>
              <w:t>2014</w:t>
            </w:r>
          </w:p>
        </w:tc>
        <w:tc>
          <w:tcPr>
            <w:tcW w:w="5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Pr>
          <w:p>
            <w:pPr>
              <w:spacing w:after="0"/>
              <w:rPr>
                <w:sz w:val="15"/>
                <w:szCs w:val="15"/>
                <w:color w:val="auto"/>
              </w:rPr>
            </w:pPr>
          </w:p>
        </w:tc>
      </w:tr>
      <w:tr>
        <w:trPr>
          <w:trHeight w:val="196"/>
        </w:trPr>
        <w:tc>
          <w:tcPr>
            <w:tcW w:w="42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Derivatives designated as cash flow hedges:</w:t>
            </w:r>
          </w:p>
        </w:tc>
        <w:tc>
          <w:tcPr>
            <w:tcW w:w="362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4200" w:type="dxa"/>
            <w:vAlign w:val="bottom"/>
          </w:tcPr>
          <w:p>
            <w:pPr>
              <w:ind w:left="440"/>
              <w:spacing w:after="0"/>
              <w:rPr>
                <w:sz w:val="20"/>
                <w:szCs w:val="20"/>
                <w:color w:val="auto"/>
              </w:rPr>
            </w:pPr>
            <w:r>
              <w:rPr>
                <w:rFonts w:ascii="Arial" w:cs="Arial" w:eastAsia="Arial" w:hAnsi="Arial"/>
                <w:sz w:val="18"/>
                <w:szCs w:val="18"/>
                <w:color w:val="auto"/>
              </w:rPr>
              <w:t>Forward contracts:</w:t>
            </w:r>
          </w:p>
        </w:tc>
        <w:tc>
          <w:tcPr>
            <w:tcW w:w="4040" w:type="dxa"/>
            <w:vAlign w:val="bottom"/>
            <w:gridSpan w:val="2"/>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(1,930)</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3,099</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(1,909)</w:t>
            </w:r>
          </w:p>
        </w:tc>
      </w:tr>
      <w:tr>
        <w:trPr>
          <w:trHeight w:val="216"/>
        </w:trPr>
        <w:tc>
          <w:tcPr>
            <w:tcW w:w="4200" w:type="dxa"/>
            <w:vAlign w:val="bottom"/>
            <w:shd w:val="clear" w:color="auto" w:fill="CCEEFF"/>
          </w:tcPr>
          <w:p>
            <w:pPr>
              <w:spacing w:after="0"/>
              <w:rPr>
                <w:sz w:val="18"/>
                <w:szCs w:val="18"/>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(24)</w:t>
            </w:r>
          </w:p>
        </w:tc>
        <w:tc>
          <w:tcPr>
            <w:tcW w:w="2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w:t>
            </w:r>
          </w:p>
        </w:tc>
      </w:tr>
      <w:tr>
        <w:trPr>
          <w:trHeight w:val="216"/>
        </w:trPr>
        <w:tc>
          <w:tcPr>
            <w:tcW w:w="4200" w:type="dxa"/>
            <w:vAlign w:val="bottom"/>
          </w:tcPr>
          <w:p>
            <w:pPr>
              <w:spacing w:after="0"/>
              <w:rPr>
                <w:sz w:val="18"/>
                <w:szCs w:val="18"/>
                <w:color w:val="auto"/>
              </w:rPr>
            </w:pPr>
          </w:p>
        </w:tc>
        <w:tc>
          <w:tcPr>
            <w:tcW w:w="4040" w:type="dxa"/>
            <w:vAlign w:val="bottom"/>
            <w:gridSpan w:val="2"/>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Pr>
          <w:p>
            <w:pPr>
              <w:spacing w:after="0"/>
              <w:rPr>
                <w:sz w:val="18"/>
                <w:szCs w:val="18"/>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(157)</w:t>
            </w: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246</w:t>
            </w: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(155)</w:t>
            </w:r>
          </w:p>
        </w:tc>
      </w:tr>
      <w:tr>
        <w:trPr>
          <w:trHeight w:val="27"/>
        </w:trPr>
        <w:tc>
          <w:tcPr>
            <w:tcW w:w="4200" w:type="dxa"/>
            <w:vAlign w:val="bottom"/>
          </w:tcPr>
          <w:p>
            <w:pPr>
              <w:spacing w:after="0"/>
              <w:rPr>
                <w:sz w:val="2"/>
                <w:szCs w:val="2"/>
                <w:color w:val="auto"/>
              </w:rPr>
            </w:pPr>
          </w:p>
        </w:tc>
        <w:tc>
          <w:tcPr>
            <w:tcW w:w="3620" w:type="dxa"/>
            <w:vAlign w:val="bottom"/>
          </w:tcPr>
          <w:p>
            <w:pPr>
              <w:spacing w:after="0"/>
              <w:rPr>
                <w:sz w:val="2"/>
                <w:szCs w:val="2"/>
                <w:color w:val="auto"/>
              </w:rPr>
            </w:pPr>
          </w:p>
        </w:tc>
        <w:tc>
          <w:tcPr>
            <w:tcW w:w="4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200" w:type="dxa"/>
            <w:vAlign w:val="bottom"/>
            <w:shd w:val="clear" w:color="auto" w:fill="CCEEFF"/>
          </w:tcPr>
          <w:p>
            <w:pPr>
              <w:spacing w:after="0"/>
              <w:rPr>
                <w:sz w:val="18"/>
                <w:szCs w:val="18"/>
                <w:color w:val="auto"/>
              </w:rPr>
            </w:pPr>
          </w:p>
        </w:tc>
        <w:tc>
          <w:tcPr>
            <w:tcW w:w="36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(2,111)</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3,368</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(2,077)</w:t>
            </w:r>
          </w:p>
        </w:tc>
      </w:tr>
      <w:tr>
        <w:trPr>
          <w:trHeight w:val="20"/>
        </w:trPr>
        <w:tc>
          <w:tcPr>
            <w:tcW w:w="420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60" w:firstLine="456"/>
        <w:spacing w:after="0" w:line="294" w:lineRule="auto"/>
        <w:rPr>
          <w:sz w:val="20"/>
          <w:szCs w:val="20"/>
          <w:color w:val="auto"/>
        </w:rPr>
      </w:pPr>
      <w:r>
        <w:rPr>
          <w:rFonts w:ascii="Arial" w:cs="Arial" w:eastAsia="Arial" w:hAnsi="Arial"/>
          <w:sz w:val="16"/>
          <w:szCs w:val="16"/>
          <w:color w:val="auto"/>
        </w:rPr>
        <w:t>The portion of gains excluded from the assessment of hedge effectiveness are included in interest and other income, net, and these amounts were $0.2 million, $0.5 million and $0.4 million in fiscal 2015, 2014 and 2013, respectively. In addition, realized losses from forward contracts that are not designated as hedging instruments that are included in interest and other income, net, were not material in fiscal 2015, 2014 and 2013. The Company also reports hedge ineffectiveness from derivative financial instruments in current earnings, which were not material in fiscal 2015, 2014 and 2013. No cash flow hedges were terminated as a result of forecasted transactions that did not occur.</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309" w:lineRule="auto"/>
        <w:rPr>
          <w:sz w:val="20"/>
          <w:szCs w:val="20"/>
          <w:color w:val="auto"/>
        </w:rPr>
      </w:pPr>
      <w:r>
        <w:rPr>
          <w:rFonts w:ascii="Arial" w:cs="Arial" w:eastAsia="Arial" w:hAnsi="Arial"/>
          <w:sz w:val="15"/>
          <w:szCs w:val="15"/>
          <w:color w:val="auto"/>
        </w:rPr>
        <w:t>The Company’s Level 1 assets include institutional money-market funds that are classified as cash equivalents and marketable investments in U.S. government and agency debt, which are valued primarily using quoted market prices. The Company’s Level 2 assets and liabilities include its marketable investments in time deposits, corporate debt securities, foreign government and agency debt, municipal debt securities and asset back securities as the market inputs to value these instruments consist of market yields, reported trades and broker/dealer quotes, which are corroborated with observable market data. In addition, foreign currency forward contracts and the severance pay fund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0.2% of total assets as of January 31, 2015.</w:t>
      </w:r>
    </w:p>
    <w:p>
      <w:pPr>
        <w:spacing w:after="0" w:line="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January 31, 2015 and February 1, 2014. The tables do not include assets and liabilities that are measured at historical cost or any basis other than fair value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720" w:type="dxa"/>
            <w:vAlign w:val="bottom"/>
            <w:tcBorders>
              <w:bottom w:val="single" w:sz="8" w:color="auto"/>
            </w:tcBorders>
            <w:gridSpan w:val="8"/>
          </w:tcPr>
          <w:p>
            <w:pPr>
              <w:jc w:val="right"/>
              <w:ind w:right="40"/>
              <w:spacing w:after="0"/>
              <w:rPr>
                <w:sz w:val="20"/>
                <w:szCs w:val="20"/>
                <w:color w:val="auto"/>
              </w:rPr>
            </w:pPr>
            <w:r>
              <w:rPr>
                <w:rFonts w:ascii="Arial" w:cs="Arial" w:eastAsia="Arial" w:hAnsi="Arial"/>
                <w:sz w:val="14"/>
                <w:szCs w:val="14"/>
                <w:b w:val="1"/>
                <w:bCs w:val="1"/>
                <w:color w:val="auto"/>
                <w:w w:val="88"/>
              </w:rPr>
              <w:t>Fair Value Measurements at January 31, 2015</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20" w:type="dxa"/>
            <w:vAlign w:val="bottom"/>
          </w:tcPr>
          <w:p>
            <w:pPr>
              <w:spacing w:after="0"/>
              <w:rPr>
                <w:sz w:val="19"/>
                <w:szCs w:val="19"/>
                <w:color w:val="auto"/>
              </w:rPr>
            </w:pPr>
          </w:p>
        </w:tc>
        <w:tc>
          <w:tcPr>
            <w:tcW w:w="2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gridSpan w:val="2"/>
          </w:tcPr>
          <w:p>
            <w:pPr>
              <w:ind w:left="20"/>
              <w:spacing w:after="0"/>
              <w:rPr>
                <w:sz w:val="20"/>
                <w:szCs w:val="20"/>
                <w:color w:val="auto"/>
              </w:rPr>
            </w:pPr>
            <w:r>
              <w:rPr>
                <w:rFonts w:ascii="Arial" w:cs="Arial" w:eastAsia="Arial" w:hAnsi="Arial"/>
                <w:sz w:val="14"/>
                <w:szCs w:val="14"/>
                <w:b w:val="1"/>
                <w:bCs w:val="1"/>
                <w:color w:val="auto"/>
              </w:rPr>
              <w:t>Level 1</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4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ind w:left="1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26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Assets</w:t>
            </w: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27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w w:val="86"/>
              </w:rPr>
              <w:t>111,286</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111,286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213,012</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213,012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21,999</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21,999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w w:val="86"/>
              </w:rPr>
              <w:t>179,156</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986,317</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Asset backed securities</w:t>
            </w: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91,531</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28,110</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33,464</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Foreign currency forward contracts</w:t>
            </w: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124</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10,226</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1,758</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20" w:type="dxa"/>
            <w:vAlign w:val="bottom"/>
          </w:tcPr>
          <w:p>
            <w:pPr>
              <w:spacing w:after="0"/>
              <w:rPr>
                <w:sz w:val="2"/>
                <w:szCs w:val="2"/>
                <w:color w:val="auto"/>
              </w:rPr>
            </w:pPr>
          </w:p>
        </w:tc>
        <w:tc>
          <w:tcPr>
            <w:tcW w:w="26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2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6"/>
              </w:rPr>
              <w:t>290,442</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4"/>
              </w:rPr>
              <w:t>1,376,315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10,226</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1,676,983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540" w:type="dxa"/>
            <w:vAlign w:val="bottom"/>
            <w:gridSpan w:val="2"/>
            <w:vMerge w:val="continue"/>
          </w:tcPr>
          <w:p>
            <w:pPr>
              <w:spacing w:after="0"/>
              <w:rPr>
                <w:sz w:val="18"/>
                <w:szCs w:val="18"/>
                <w:color w:val="auto"/>
              </w:rPr>
            </w:pP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Foreign currency forward contracts</w:t>
            </w:r>
          </w:p>
        </w:tc>
        <w:tc>
          <w:tcPr>
            <w:tcW w:w="27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1,379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2640" w:type="dxa"/>
            <w:vAlign w:val="bottom"/>
            <w:vMerge w:val="restart"/>
          </w:tcPr>
          <w:p>
            <w:pPr>
              <w:jc w:val="right"/>
              <w:ind w:right="1292"/>
              <w:spacing w:after="0"/>
              <w:rPr>
                <w:sz w:val="20"/>
                <w:szCs w:val="20"/>
                <w:color w:val="auto"/>
              </w:rPr>
            </w:pPr>
            <w:r>
              <w:rPr>
                <w:rFonts w:ascii="Arial" w:cs="Arial" w:eastAsia="Arial" w:hAnsi="Arial"/>
                <w:sz w:val="18"/>
                <w:szCs w:val="18"/>
                <w:color w:val="auto"/>
              </w:rPr>
              <w:t>77</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520" w:type="dxa"/>
            <w:vAlign w:val="bottom"/>
          </w:tcPr>
          <w:p>
            <w:pPr>
              <w:spacing w:after="0"/>
              <w:rPr>
                <w:sz w:val="24"/>
                <w:szCs w:val="24"/>
                <w:color w:val="auto"/>
              </w:rPr>
            </w:pPr>
          </w:p>
        </w:tc>
        <w:tc>
          <w:tcPr>
            <w:tcW w:w="26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340" w:type="dxa"/>
            <w:vAlign w:val="bottom"/>
            <w:tcBorders>
              <w:bottom w:val="single" w:sz="8" w:color="auto"/>
            </w:tcBorders>
            <w:gridSpan w:val="9"/>
          </w:tcPr>
          <w:p>
            <w:pPr>
              <w:jc w:val="right"/>
              <w:ind w:right="593"/>
              <w:spacing w:after="0"/>
              <w:rPr>
                <w:sz w:val="20"/>
                <w:szCs w:val="20"/>
                <w:color w:val="auto"/>
              </w:rPr>
            </w:pPr>
            <w:r>
              <w:rPr>
                <w:rFonts w:ascii="Arial" w:cs="Arial" w:eastAsia="Arial" w:hAnsi="Arial"/>
                <w:sz w:val="14"/>
                <w:szCs w:val="14"/>
                <w:b w:val="1"/>
                <w:bCs w:val="1"/>
                <w:color w:val="auto"/>
                <w:w w:val="88"/>
              </w:rPr>
              <w:t>Fair Value Measurements at February 1, 2014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ind w:right="53"/>
              <w:spacing w:after="0"/>
              <w:rPr>
                <w:sz w:val="20"/>
                <w:szCs w:val="20"/>
                <w:color w:val="auto"/>
              </w:rPr>
            </w:pPr>
            <w:r>
              <w:rPr>
                <w:rFonts w:ascii="Arial" w:cs="Arial" w:eastAsia="Arial" w:hAnsi="Arial"/>
                <w:sz w:val="14"/>
                <w:szCs w:val="14"/>
                <w:b w:val="1"/>
                <w:bCs w:val="1"/>
                <w:color w:val="auto"/>
                <w:w w:val="88"/>
              </w:rPr>
              <w:t>Level 1</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2"/>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ind w:left="1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2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2,804</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2,804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247,958</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247,958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4,800</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4,800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debt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11,999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3,400</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301,479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589,514</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Asset backed securities</w:t>
            </w: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76,271</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20,292</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16,099</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Foreign currency forward contracts</w:t>
            </w: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1,012</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16,279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2,193</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2,193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316,282</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961,539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16,279</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1,294,100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30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30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Foreign currency forward contracts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The following table summarizes the change in fair values for Level 3 assets for the year ended January 31, 2015 and February 1, 2014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80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r>
      <w:tr>
        <w:trPr>
          <w:trHeight w:val="196"/>
        </w:trPr>
        <w:tc>
          <w:tcPr>
            <w:tcW w:w="20" w:type="dxa"/>
            <w:vAlign w:val="bottom"/>
          </w:tcPr>
          <w:p>
            <w:pPr>
              <w:spacing w:after="0"/>
              <w:rPr>
                <w:sz w:val="17"/>
                <w:szCs w:val="17"/>
                <w:color w:val="auto"/>
              </w:rPr>
            </w:pPr>
          </w:p>
        </w:tc>
        <w:tc>
          <w:tcPr>
            <w:tcW w:w="78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Changes in fair value during the year (pre-tax):</w:t>
            </w:r>
          </w:p>
        </w:tc>
        <w:tc>
          <w:tcPr>
            <w:tcW w:w="290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800" w:type="dxa"/>
            <w:vAlign w:val="bottom"/>
          </w:tcPr>
          <w:p>
            <w:pPr>
              <w:spacing w:after="0"/>
              <w:rPr>
                <w:sz w:val="20"/>
                <w:szCs w:val="20"/>
                <w:color w:val="auto"/>
              </w:rPr>
            </w:pPr>
            <w:r>
              <w:rPr>
                <w:rFonts w:ascii="Arial" w:cs="Arial" w:eastAsia="Arial" w:hAnsi="Arial"/>
                <w:sz w:val="18"/>
                <w:szCs w:val="18"/>
                <w:color w:val="auto"/>
              </w:rPr>
              <w:t>Ending balance at February 2, 2013</w:t>
            </w:r>
          </w:p>
        </w:tc>
        <w:tc>
          <w:tcPr>
            <w:tcW w:w="3480" w:type="dxa"/>
            <w:vAlign w:val="bottom"/>
            <w:gridSpan w:val="2"/>
          </w:tcPr>
          <w:p>
            <w:pPr>
              <w:jc w:val="right"/>
              <w:spacing w:after="0"/>
              <w:rPr>
                <w:sz w:val="20"/>
                <w:szCs w:val="20"/>
                <w:color w:val="auto"/>
              </w:rPr>
            </w:pPr>
            <w:r>
              <w:rPr>
                <w:rFonts w:ascii="Arial" w:cs="Arial" w:eastAsia="Arial" w:hAnsi="Arial"/>
                <w:sz w:val="18"/>
                <w:szCs w:val="18"/>
                <w:color w:val="auto"/>
              </w:rPr>
              <w:t>$16,769</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spacing w:after="0"/>
              <w:rPr>
                <w:sz w:val="20"/>
                <w:szCs w:val="20"/>
                <w:color w:val="auto"/>
              </w:rPr>
            </w:pPr>
            <w:r>
              <w:rPr>
                <w:rFonts w:ascii="Arial" w:cs="Arial" w:eastAsia="Arial" w:hAnsi="Arial"/>
                <w:sz w:val="18"/>
                <w:szCs w:val="18"/>
                <w:color w:val="auto"/>
              </w:rPr>
              <w:t>Sales, redemption and settlement</w:t>
            </w:r>
          </w:p>
        </w:tc>
        <w:tc>
          <w:tcPr>
            <w:tcW w:w="36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(300)</w:t>
            </w:r>
          </w:p>
        </w:tc>
      </w:tr>
      <w:tr>
        <w:trPr>
          <w:trHeight w:val="223"/>
        </w:trPr>
        <w:tc>
          <w:tcPr>
            <w:tcW w:w="20" w:type="dxa"/>
            <w:vAlign w:val="bottom"/>
          </w:tcPr>
          <w:p>
            <w:pPr>
              <w:spacing w:after="0"/>
              <w:rPr>
                <w:sz w:val="19"/>
                <w:szCs w:val="19"/>
                <w:color w:val="auto"/>
              </w:rPr>
            </w:pPr>
          </w:p>
        </w:tc>
        <w:tc>
          <w:tcPr>
            <w:tcW w:w="7800" w:type="dxa"/>
            <w:vAlign w:val="bottom"/>
          </w:tcPr>
          <w:p>
            <w:pPr>
              <w:spacing w:after="0"/>
              <w:rPr>
                <w:sz w:val="20"/>
                <w:szCs w:val="20"/>
                <w:color w:val="auto"/>
              </w:rPr>
            </w:pPr>
            <w:r>
              <w:rPr>
                <w:rFonts w:ascii="Arial" w:cs="Arial" w:eastAsia="Arial" w:hAnsi="Arial"/>
                <w:sz w:val="18"/>
                <w:szCs w:val="18"/>
                <w:color w:val="auto"/>
              </w:rPr>
              <w:t>Unrealized loss included in accumulated other comprehensive income</w:t>
            </w:r>
          </w:p>
        </w:tc>
        <w:tc>
          <w:tcPr>
            <w:tcW w:w="2900" w:type="dxa"/>
            <w:vAlign w:val="bottom"/>
          </w:tcPr>
          <w:p>
            <w:pPr>
              <w:spacing w:after="0"/>
              <w:rPr>
                <w:sz w:val="19"/>
                <w:szCs w:val="19"/>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(190)</w:t>
            </w: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spacing w:after="0"/>
              <w:rPr>
                <w:sz w:val="20"/>
                <w:szCs w:val="20"/>
                <w:color w:val="auto"/>
              </w:rPr>
            </w:pPr>
            <w:r>
              <w:rPr>
                <w:rFonts w:ascii="Arial" w:cs="Arial" w:eastAsia="Arial" w:hAnsi="Arial"/>
                <w:sz w:val="18"/>
                <w:szCs w:val="18"/>
                <w:color w:val="auto"/>
              </w:rPr>
              <w:t>Ending balance at February 1, 2014</w:t>
            </w:r>
          </w:p>
        </w:tc>
        <w:tc>
          <w:tcPr>
            <w:tcW w:w="2900" w:type="dxa"/>
            <w:vAlign w:val="bottom"/>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12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800" w:type="dxa"/>
            <w:vAlign w:val="bottom"/>
          </w:tcPr>
          <w:p>
            <w:pPr>
              <w:spacing w:after="0"/>
              <w:rPr>
                <w:sz w:val="20"/>
                <w:szCs w:val="20"/>
                <w:color w:val="auto"/>
              </w:rPr>
            </w:pPr>
            <w:r>
              <w:rPr>
                <w:rFonts w:ascii="Arial" w:cs="Arial" w:eastAsia="Arial" w:hAnsi="Arial"/>
                <w:sz w:val="18"/>
                <w:szCs w:val="18"/>
                <w:color w:val="auto"/>
              </w:rPr>
              <w:t>Sales, redemption and settlement</w:t>
            </w:r>
          </w:p>
        </w:tc>
        <w:tc>
          <w:tcPr>
            <w:tcW w:w="3600" w:type="dxa"/>
            <w:vAlign w:val="bottom"/>
            <w:gridSpan w:val="3"/>
          </w:tcPr>
          <w:p>
            <w:pPr>
              <w:jc w:val="right"/>
              <w:ind w:right="60"/>
              <w:spacing w:after="0"/>
              <w:rPr>
                <w:sz w:val="20"/>
                <w:szCs w:val="20"/>
                <w:color w:val="auto"/>
              </w:rPr>
            </w:pPr>
            <w:r>
              <w:rPr>
                <w:rFonts w:ascii="Arial" w:cs="Arial" w:eastAsia="Arial" w:hAnsi="Arial"/>
                <w:sz w:val="18"/>
                <w:szCs w:val="18"/>
                <w:color w:val="auto"/>
              </w:rPr>
              <w:t>(3,650)</w:t>
            </w: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spacing w:after="0"/>
              <w:rPr>
                <w:sz w:val="20"/>
                <w:szCs w:val="20"/>
                <w:color w:val="auto"/>
              </w:rPr>
            </w:pPr>
            <w:r>
              <w:rPr>
                <w:rFonts w:ascii="Arial" w:cs="Arial" w:eastAsia="Arial" w:hAnsi="Arial"/>
                <w:sz w:val="18"/>
                <w:szCs w:val="18"/>
                <w:color w:val="auto"/>
              </w:rPr>
              <w:t>Transfer Out</w:t>
            </w:r>
          </w:p>
        </w:tc>
        <w:tc>
          <w:tcPr>
            <w:tcW w:w="36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(3,000)</w:t>
            </w:r>
          </w:p>
        </w:tc>
      </w:tr>
      <w:tr>
        <w:trPr>
          <w:trHeight w:val="223"/>
        </w:trPr>
        <w:tc>
          <w:tcPr>
            <w:tcW w:w="20" w:type="dxa"/>
            <w:vAlign w:val="bottom"/>
          </w:tcPr>
          <w:p>
            <w:pPr>
              <w:spacing w:after="0"/>
              <w:rPr>
                <w:sz w:val="19"/>
                <w:szCs w:val="19"/>
                <w:color w:val="auto"/>
              </w:rPr>
            </w:pPr>
          </w:p>
        </w:tc>
        <w:tc>
          <w:tcPr>
            <w:tcW w:w="7800" w:type="dxa"/>
            <w:vAlign w:val="bottom"/>
          </w:tcPr>
          <w:p>
            <w:pPr>
              <w:spacing w:after="0"/>
              <w:rPr>
                <w:sz w:val="20"/>
                <w:szCs w:val="20"/>
                <w:color w:val="auto"/>
              </w:rPr>
            </w:pPr>
            <w:r>
              <w:rPr>
                <w:rFonts w:ascii="Arial" w:cs="Arial" w:eastAsia="Arial" w:hAnsi="Arial"/>
                <w:sz w:val="18"/>
                <w:szCs w:val="18"/>
                <w:color w:val="auto"/>
              </w:rPr>
              <w:t>Unrealized loss included in accumulated other comprehensive income</w:t>
            </w:r>
          </w:p>
        </w:tc>
        <w:tc>
          <w:tcPr>
            <w:tcW w:w="290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597</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spacing w:after="0"/>
              <w:rPr>
                <w:sz w:val="20"/>
                <w:szCs w:val="20"/>
                <w:color w:val="auto"/>
              </w:rPr>
            </w:pPr>
            <w:r>
              <w:rPr>
                <w:rFonts w:ascii="Arial" w:cs="Arial" w:eastAsia="Arial" w:hAnsi="Arial"/>
                <w:sz w:val="18"/>
                <w:szCs w:val="18"/>
                <w:color w:val="auto"/>
              </w:rPr>
              <w:t>Ending balance at January 31, 2015</w:t>
            </w:r>
          </w:p>
        </w:tc>
        <w:tc>
          <w:tcPr>
            <w:tcW w:w="3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10,226</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780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40" w:firstLine="456"/>
        <w:spacing w:after="0" w:line="370" w:lineRule="auto"/>
        <w:rPr>
          <w:sz w:val="20"/>
          <w:szCs w:val="20"/>
          <w:color w:val="auto"/>
        </w:rPr>
      </w:pPr>
      <w:r>
        <w:rPr>
          <w:rFonts w:ascii="Arial" w:cs="Arial" w:eastAsia="Arial" w:hAnsi="Arial"/>
          <w:sz w:val="15"/>
          <w:szCs w:val="15"/>
          <w:color w:val="auto"/>
        </w:rPr>
        <w:t>The Company received notification by the issuer of a mandatory full call on November 6, 2014 of an auction rate security and as a result, the security was classified within Level 2 based on the issuer’s quoted price. By the end of fiscal 2015, the auction rate security was subsequently fully redeemed at par value.</w:t>
      </w:r>
    </w:p>
    <w:p>
      <w:pPr>
        <w:spacing w:after="0" w:line="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Goodwill and Acquired Intangible Assets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jc w:val="both"/>
        <w:ind w:right="160" w:firstLine="456"/>
        <w:spacing w:after="0" w:line="332" w:lineRule="auto"/>
        <w:rPr>
          <w:sz w:val="20"/>
          <w:szCs w:val="20"/>
          <w:color w:val="auto"/>
        </w:rPr>
      </w:pPr>
      <w:r>
        <w:rPr>
          <w:rFonts w:ascii="Arial" w:cs="Arial" w:eastAsia="Arial" w:hAnsi="Arial"/>
          <w:sz w:val="16"/>
          <w:szCs w:val="16"/>
          <w:color w:val="auto"/>
        </w:rPr>
        <w:t>The Company had no additions to goodwill in fiscal 2015 due to business combinations. In addition, the Company concluded there was no impairment of goodwill in fiscal 2015 based on its qualitative assessment that it was more likely than not the fair value of the reporting unit was greater than its carrying value.</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 (in thousands):</w:t>
      </w:r>
    </w:p>
    <w:p>
      <w:pPr>
        <w:spacing w:after="0" w:line="2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380" w:type="dxa"/>
            <w:vAlign w:val="bottom"/>
          </w:tcPr>
          <w:p>
            <w:pPr>
              <w:spacing w:after="0"/>
              <w:rPr>
                <w:sz w:val="18"/>
                <w:szCs w:val="18"/>
                <w:color w:val="auto"/>
              </w:rPr>
            </w:pPr>
          </w:p>
        </w:tc>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$ 2,032,138</w:t>
            </w:r>
          </w:p>
        </w:tc>
        <w:tc>
          <w:tcPr>
            <w:tcW w:w="120" w:type="dxa"/>
            <w:vAlign w:val="bottom"/>
            <w:shd w:val="clear" w:color="auto" w:fill="CCEEFF"/>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440" w:type="dxa"/>
            <w:vAlign w:val="bottom"/>
          </w:tcPr>
          <w:p>
            <w:pPr>
              <w:spacing w:after="0"/>
              <w:rPr>
                <w:sz w:val="20"/>
                <w:szCs w:val="20"/>
                <w:color w:val="auto"/>
              </w:rPr>
            </w:pPr>
            <w:r>
              <w:rPr>
                <w:rFonts w:ascii="Arial" w:cs="Arial" w:eastAsia="Arial" w:hAnsi="Arial"/>
                <w:sz w:val="18"/>
                <w:szCs w:val="18"/>
                <w:color w:val="auto"/>
              </w:rPr>
              <w:t>Additions due to business combinations</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rPr>
              <w:t>400</w:t>
            </w: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Sale of a business</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(2,593)</w:t>
            </w: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ind w:left="1380"/>
              <w:spacing w:after="0"/>
              <w:rPr>
                <w:sz w:val="20"/>
                <w:szCs w:val="20"/>
                <w:color w:val="auto"/>
              </w:rPr>
            </w:pPr>
            <w:r>
              <w:rPr>
                <w:rFonts w:ascii="Arial" w:cs="Arial" w:eastAsia="Arial" w:hAnsi="Arial"/>
                <w:sz w:val="18"/>
                <w:szCs w:val="18"/>
                <w:color w:val="auto"/>
              </w:rPr>
              <w:t>Balance at February 1, 2014</w:t>
            </w: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28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820" w:type="dxa"/>
            <w:vAlign w:val="bottom"/>
            <w:gridSpan w:val="2"/>
            <w:vMerge w:val="continue"/>
          </w:tcPr>
          <w:p>
            <w:pPr>
              <w:spacing w:after="0"/>
              <w:rPr>
                <w:sz w:val="19"/>
                <w:szCs w:val="19"/>
                <w:color w:val="auto"/>
              </w:rPr>
            </w:pPr>
          </w:p>
        </w:tc>
        <w:tc>
          <w:tcPr>
            <w:tcW w:w="8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460" w:type="dxa"/>
            <w:vAlign w:val="bottom"/>
            <w:gridSpan w:val="6"/>
          </w:tcPr>
          <w:p>
            <w:pPr>
              <w:jc w:val="right"/>
              <w:spacing w:after="0"/>
              <w:rPr>
                <w:sz w:val="20"/>
                <w:szCs w:val="20"/>
                <w:color w:val="auto"/>
              </w:rPr>
            </w:pPr>
            <w:r>
              <w:rPr>
                <w:rFonts w:ascii="Arial" w:cs="Arial" w:eastAsia="Arial" w:hAnsi="Arial"/>
                <w:sz w:val="18"/>
                <w:szCs w:val="18"/>
                <w:color w:val="auto"/>
              </w:rPr>
              <w:t>$ 2,029,945</w:t>
            </w:r>
          </w:p>
        </w:tc>
        <w:tc>
          <w:tcPr>
            <w:tcW w:w="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34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1380" w:type="dxa"/>
            <w:vAlign w:val="bottom"/>
          </w:tcPr>
          <w:p>
            <w:pPr>
              <w:spacing w:after="0"/>
              <w:rPr>
                <w:sz w:val="18"/>
                <w:szCs w:val="18"/>
                <w:color w:val="auto"/>
              </w:rPr>
            </w:pPr>
          </w:p>
        </w:tc>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2015</w:t>
            </w: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$ 2,029,945</w:t>
            </w:r>
          </w:p>
        </w:tc>
        <w:tc>
          <w:tcPr>
            <w:tcW w:w="120" w:type="dxa"/>
            <w:vAlign w:val="bottom"/>
            <w:shd w:val="clear" w:color="auto" w:fill="CCEEFF"/>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ind w:left="460"/>
              <w:spacing w:after="0"/>
              <w:rPr>
                <w:sz w:val="20"/>
                <w:szCs w:val="20"/>
                <w:color w:val="auto"/>
              </w:rPr>
            </w:pPr>
            <w:r>
              <w:rPr>
                <w:rFonts w:ascii="Arial" w:cs="Arial" w:eastAsia="Arial" w:hAnsi="Arial"/>
                <w:sz w:val="18"/>
                <w:szCs w:val="18"/>
                <w:b w:val="1"/>
                <w:bCs w:val="1"/>
                <w:i w:val="1"/>
                <w:iCs w:val="1"/>
                <w:color w:val="auto"/>
              </w:rPr>
              <w:t>Acquired Intangible Assets</w:t>
            </w: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820" w:type="dxa"/>
            <w:vAlign w:val="bottom"/>
            <w:gridSpan w:val="2"/>
            <w:vMerge w:val="continue"/>
          </w:tcPr>
          <w:p>
            <w:pPr>
              <w:spacing w:after="0"/>
              <w:rPr>
                <w:sz w:val="24"/>
                <w:szCs w:val="24"/>
                <w:color w:val="auto"/>
              </w:rPr>
            </w:pPr>
          </w:p>
        </w:tc>
        <w:tc>
          <w:tcPr>
            <w:tcW w:w="8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500" w:type="dxa"/>
            <w:vAlign w:val="bottom"/>
            <w:gridSpan w:val="5"/>
          </w:tcPr>
          <w:p>
            <w:pPr>
              <w:ind w:left="460"/>
              <w:spacing w:after="0"/>
              <w:rPr>
                <w:sz w:val="20"/>
                <w:szCs w:val="20"/>
                <w:color w:val="auto"/>
              </w:rPr>
            </w:pPr>
            <w:r>
              <w:rPr>
                <w:rFonts w:ascii="Arial" w:cs="Arial" w:eastAsia="Arial" w:hAnsi="Arial"/>
                <w:sz w:val="18"/>
                <w:szCs w:val="18"/>
                <w:color w:val="auto"/>
                <w:w w:val="93"/>
              </w:rPr>
              <w:t>The carrying amounts of acquired intangible assets are as follows (in thousands):</w:t>
            </w: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380" w:type="dxa"/>
            <w:vAlign w:val="bottom"/>
          </w:tcPr>
          <w:p>
            <w:pPr>
              <w:spacing w:after="0"/>
              <w:rPr>
                <w:sz w:val="24"/>
                <w:szCs w:val="24"/>
                <w:color w:val="auto"/>
              </w:rPr>
            </w:pPr>
          </w:p>
        </w:tc>
        <w:tc>
          <w:tcPr>
            <w:tcW w:w="3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300" w:type="dxa"/>
            <w:vAlign w:val="bottom"/>
            <w:tcBorders>
              <w:bottom w:val="single" w:sz="8" w:color="auto"/>
            </w:tcBorders>
            <w:gridSpan w:val="4"/>
          </w:tcPr>
          <w:p>
            <w:pPr>
              <w:jc w:val="center"/>
              <w:ind w:left="22"/>
              <w:spacing w:after="0"/>
              <w:rPr>
                <w:sz w:val="20"/>
                <w:szCs w:val="20"/>
                <w:color w:val="auto"/>
              </w:rPr>
            </w:pPr>
            <w:r>
              <w:rPr>
                <w:rFonts w:ascii="Arial" w:cs="Arial" w:eastAsia="Arial" w:hAnsi="Arial"/>
                <w:sz w:val="14"/>
                <w:szCs w:val="14"/>
                <w:b w:val="1"/>
                <w:bCs w:val="1"/>
                <w:color w:val="auto"/>
                <w:w w:val="89"/>
              </w:rPr>
              <w:t>January 31, 2015</w:t>
            </w: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80" w:type="dxa"/>
            <w:vAlign w:val="bottom"/>
            <w:tcBorders>
              <w:bottom w:val="single" w:sz="8" w:color="auto"/>
            </w:tcBorders>
            <w:gridSpan w:val="6"/>
          </w:tcPr>
          <w:p>
            <w:pPr>
              <w:jc w:val="center"/>
              <w:ind w:left="17"/>
              <w:spacing w:after="0"/>
              <w:rPr>
                <w:sz w:val="20"/>
                <w:szCs w:val="20"/>
                <w:color w:val="auto"/>
              </w:rPr>
            </w:pPr>
            <w:r>
              <w:rPr>
                <w:rFonts w:ascii="Arial" w:cs="Arial" w:eastAsia="Arial" w:hAnsi="Arial"/>
                <w:sz w:val="14"/>
                <w:szCs w:val="14"/>
                <w:b w:val="1"/>
                <w:bCs w:val="1"/>
                <w:color w:val="auto"/>
                <w:w w:val="88"/>
              </w:rPr>
              <w:t>February 1, 2014</w:t>
            </w: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380" w:type="dxa"/>
            <w:vAlign w:val="bottom"/>
          </w:tcPr>
          <w:p>
            <w:pPr>
              <w:spacing w:after="0"/>
              <w:rPr>
                <w:sz w:val="11"/>
                <w:szCs w:val="11"/>
                <w:color w:val="auto"/>
              </w:rPr>
            </w:pPr>
          </w:p>
        </w:tc>
        <w:tc>
          <w:tcPr>
            <w:tcW w:w="3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00" w:type="dxa"/>
            <w:vAlign w:val="bottom"/>
            <w:gridSpan w:val="3"/>
            <w:vMerge w:val="restart"/>
          </w:tcPr>
          <w:p>
            <w:pPr>
              <w:jc w:val="center"/>
              <w:ind w:right="200"/>
              <w:spacing w:after="0"/>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80" w:type="dxa"/>
            <w:vAlign w:val="bottom"/>
            <w:gridSpan w:val="5"/>
          </w:tcPr>
          <w:p>
            <w:pPr>
              <w:jc w:val="center"/>
              <w:ind w:right="2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1380" w:type="dxa"/>
            <w:vAlign w:val="bottom"/>
          </w:tcPr>
          <w:p>
            <w:pPr>
              <w:spacing w:after="0"/>
              <w:rPr>
                <w:sz w:val="8"/>
                <w:szCs w:val="8"/>
                <w:color w:val="auto"/>
              </w:rPr>
            </w:pPr>
          </w:p>
        </w:tc>
        <w:tc>
          <w:tcPr>
            <w:tcW w:w="3440" w:type="dxa"/>
            <w:vAlign w:val="bottom"/>
          </w:tcPr>
          <w:p>
            <w:pPr>
              <w:spacing w:after="0"/>
              <w:rPr>
                <w:sz w:val="8"/>
                <w:szCs w:val="8"/>
                <w:color w:val="auto"/>
              </w:rPr>
            </w:pPr>
          </w:p>
        </w:tc>
        <w:tc>
          <w:tcPr>
            <w:tcW w:w="8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0" w:type="dxa"/>
            <w:vAlign w:val="bottom"/>
            <w:gridSpan w:val="3"/>
            <w:vMerge w:val="continue"/>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980" w:type="dxa"/>
            <w:vAlign w:val="bottom"/>
            <w:gridSpan w:val="5"/>
            <w:vMerge w:val="restart"/>
          </w:tcPr>
          <w:p>
            <w:pPr>
              <w:jc w:val="center"/>
              <w:ind w:right="220"/>
              <w:spacing w:after="0"/>
              <w:rPr>
                <w:sz w:val="20"/>
                <w:szCs w:val="20"/>
                <w:color w:val="auto"/>
              </w:rPr>
            </w:pPr>
            <w:r>
              <w:rPr>
                <w:rFonts w:ascii="Arial" w:cs="Arial" w:eastAsia="Arial" w:hAnsi="Arial"/>
                <w:sz w:val="14"/>
                <w:szCs w:val="14"/>
                <w:b w:val="1"/>
                <w:bCs w:val="1"/>
                <w:color w:val="auto"/>
                <w:w w:val="88"/>
              </w:rPr>
              <w:t>Amortization</w:t>
            </w: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0"/>
        </w:trPr>
        <w:tc>
          <w:tcPr>
            <w:tcW w:w="1380" w:type="dxa"/>
            <w:vAlign w:val="bottom"/>
          </w:tcPr>
          <w:p>
            <w:pPr>
              <w:spacing w:after="0"/>
              <w:rPr>
                <w:sz w:val="6"/>
                <w:szCs w:val="6"/>
                <w:color w:val="auto"/>
              </w:rPr>
            </w:pPr>
          </w:p>
        </w:tc>
        <w:tc>
          <w:tcPr>
            <w:tcW w:w="3440" w:type="dxa"/>
            <w:vAlign w:val="bottom"/>
          </w:tcPr>
          <w:p>
            <w:pPr>
              <w:spacing w:after="0"/>
              <w:rPr>
                <w:sz w:val="6"/>
                <w:szCs w:val="6"/>
                <w:color w:val="auto"/>
              </w:rPr>
            </w:pPr>
          </w:p>
        </w:tc>
        <w:tc>
          <w:tcPr>
            <w:tcW w:w="800" w:type="dxa"/>
            <w:vAlign w:val="bottom"/>
          </w:tcPr>
          <w:p>
            <w:pPr>
              <w:spacing w:after="0"/>
              <w:rPr>
                <w:sz w:val="6"/>
                <w:szCs w:val="6"/>
                <w:color w:val="auto"/>
              </w:rPr>
            </w:pPr>
          </w:p>
        </w:tc>
        <w:tc>
          <w:tcPr>
            <w:tcW w:w="300" w:type="dxa"/>
            <w:vAlign w:val="bottom"/>
          </w:tcPr>
          <w:p>
            <w:pPr>
              <w:spacing w:after="0"/>
              <w:rPr>
                <w:sz w:val="6"/>
                <w:szCs w:val="6"/>
                <w:color w:val="auto"/>
              </w:rPr>
            </w:pPr>
          </w:p>
        </w:tc>
        <w:tc>
          <w:tcPr>
            <w:tcW w:w="580" w:type="dxa"/>
            <w:vAlign w:val="bottom"/>
            <w:vMerge w:val="restart"/>
          </w:tcPr>
          <w:p>
            <w:pPr>
              <w:jc w:val="right"/>
              <w:ind w:right="39"/>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6"/>
                <w:szCs w:val="6"/>
                <w:color w:val="auto"/>
              </w:rPr>
            </w:pPr>
          </w:p>
        </w:tc>
        <w:tc>
          <w:tcPr>
            <w:tcW w:w="1000" w:type="dxa"/>
            <w:vAlign w:val="bottom"/>
            <w:gridSpan w:val="3"/>
            <w:vMerge w:val="restart"/>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6"/>
                <w:szCs w:val="6"/>
                <w:color w:val="auto"/>
              </w:rPr>
            </w:pPr>
          </w:p>
        </w:tc>
        <w:tc>
          <w:tcPr>
            <w:tcW w:w="580" w:type="dxa"/>
            <w:vAlign w:val="bottom"/>
            <w:vMerge w:val="restart"/>
          </w:tcPr>
          <w:p>
            <w:pPr>
              <w:jc w:val="right"/>
              <w:ind w:right="124"/>
              <w:spacing w:after="0" w:line="149" w:lineRule="exact"/>
              <w:rPr>
                <w:sz w:val="20"/>
                <w:szCs w:val="20"/>
                <w:color w:val="auto"/>
              </w:rPr>
            </w:pPr>
            <w:r>
              <w:rPr>
                <w:rFonts w:ascii="Arial" w:cs="Arial" w:eastAsia="Arial" w:hAnsi="Arial"/>
                <w:sz w:val="14"/>
                <w:szCs w:val="14"/>
                <w:b w:val="1"/>
                <w:bCs w:val="1"/>
                <w:color w:val="auto"/>
              </w:rPr>
              <w:t>Net</w:t>
            </w:r>
          </w:p>
        </w:tc>
        <w:tc>
          <w:tcPr>
            <w:tcW w:w="300" w:type="dxa"/>
            <w:vAlign w:val="bottom"/>
          </w:tcPr>
          <w:p>
            <w:pPr>
              <w:spacing w:after="0"/>
              <w:rPr>
                <w:sz w:val="6"/>
                <w:szCs w:val="6"/>
                <w:color w:val="auto"/>
              </w:rPr>
            </w:pPr>
          </w:p>
        </w:tc>
        <w:tc>
          <w:tcPr>
            <w:tcW w:w="580" w:type="dxa"/>
            <w:vAlign w:val="bottom"/>
            <w:gridSpan w:val="2"/>
            <w:vMerge w:val="restart"/>
          </w:tcPr>
          <w:p>
            <w:pPr>
              <w:jc w:val="right"/>
              <w:ind w:right="120"/>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6"/>
                <w:szCs w:val="6"/>
                <w:color w:val="auto"/>
              </w:rPr>
            </w:pPr>
          </w:p>
        </w:tc>
        <w:tc>
          <w:tcPr>
            <w:tcW w:w="980" w:type="dxa"/>
            <w:vAlign w:val="bottom"/>
            <w:gridSpan w:val="5"/>
            <w:vMerge w:val="continue"/>
          </w:tcPr>
          <w:p>
            <w:pPr>
              <w:spacing w:after="0"/>
              <w:rPr>
                <w:sz w:val="6"/>
                <w:szCs w:val="6"/>
                <w:color w:val="auto"/>
              </w:rPr>
            </w:pPr>
          </w:p>
        </w:tc>
        <w:tc>
          <w:tcPr>
            <w:tcW w:w="100" w:type="dxa"/>
            <w:vAlign w:val="bottom"/>
          </w:tcPr>
          <w:p>
            <w:pPr>
              <w:spacing w:after="0"/>
              <w:rPr>
                <w:sz w:val="6"/>
                <w:szCs w:val="6"/>
                <w:color w:val="auto"/>
              </w:rPr>
            </w:pPr>
          </w:p>
        </w:tc>
        <w:tc>
          <w:tcPr>
            <w:tcW w:w="680" w:type="dxa"/>
            <w:vAlign w:val="bottom"/>
            <w:gridSpan w:val="2"/>
            <w:vMerge w:val="restart"/>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69"/>
        </w:trPr>
        <w:tc>
          <w:tcPr>
            <w:tcW w:w="1380" w:type="dxa"/>
            <w:vAlign w:val="bottom"/>
          </w:tcPr>
          <w:p>
            <w:pPr>
              <w:spacing w:after="0"/>
              <w:rPr>
                <w:sz w:val="5"/>
                <w:szCs w:val="5"/>
                <w:color w:val="auto"/>
              </w:rPr>
            </w:pPr>
          </w:p>
        </w:tc>
        <w:tc>
          <w:tcPr>
            <w:tcW w:w="3440" w:type="dxa"/>
            <w:vAlign w:val="bottom"/>
          </w:tcPr>
          <w:p>
            <w:pPr>
              <w:spacing w:after="0"/>
              <w:rPr>
                <w:sz w:val="5"/>
                <w:szCs w:val="5"/>
                <w:color w:val="auto"/>
              </w:rPr>
            </w:pPr>
          </w:p>
        </w:tc>
        <w:tc>
          <w:tcPr>
            <w:tcW w:w="80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300" w:type="dxa"/>
            <w:vAlign w:val="bottom"/>
          </w:tcPr>
          <w:p>
            <w:pPr>
              <w:spacing w:after="0"/>
              <w:rPr>
                <w:sz w:val="5"/>
                <w:szCs w:val="5"/>
                <w:color w:val="auto"/>
              </w:rPr>
            </w:pPr>
          </w:p>
        </w:tc>
        <w:tc>
          <w:tcPr>
            <w:tcW w:w="1000" w:type="dxa"/>
            <w:vAlign w:val="bottom"/>
            <w:gridSpan w:val="3"/>
            <w:vMerge w:val="continue"/>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160" w:type="dxa"/>
            <w:vAlign w:val="bottom"/>
          </w:tcPr>
          <w:p>
            <w:pPr>
              <w:spacing w:after="0"/>
              <w:rPr>
                <w:sz w:val="5"/>
                <w:szCs w:val="5"/>
                <w:color w:val="auto"/>
              </w:rPr>
            </w:pPr>
          </w:p>
        </w:tc>
        <w:tc>
          <w:tcPr>
            <w:tcW w:w="820" w:type="dxa"/>
            <w:vAlign w:val="bottom"/>
            <w:gridSpan w:val="4"/>
            <w:vMerge w:val="restart"/>
          </w:tcPr>
          <w:p>
            <w:pPr>
              <w:jc w:val="right"/>
              <w:ind w:right="520"/>
              <w:spacing w:after="0"/>
              <w:rPr>
                <w:sz w:val="20"/>
                <w:szCs w:val="20"/>
                <w:color w:val="auto"/>
              </w:rPr>
            </w:pPr>
            <w:r>
              <w:rPr>
                <w:rFonts w:ascii="Arial" w:cs="Arial" w:eastAsia="Arial" w:hAnsi="Arial"/>
                <w:sz w:val="14"/>
                <w:szCs w:val="14"/>
                <w:b w:val="1"/>
                <w:bCs w:val="1"/>
                <w:color w:val="auto"/>
              </w:rPr>
              <w:t>and</w:t>
            </w:r>
          </w:p>
        </w:tc>
        <w:tc>
          <w:tcPr>
            <w:tcW w:w="100" w:type="dxa"/>
            <w:vAlign w:val="bottom"/>
          </w:tcPr>
          <w:p>
            <w:pPr>
              <w:spacing w:after="0"/>
              <w:rPr>
                <w:sz w:val="5"/>
                <w:szCs w:val="5"/>
                <w:color w:val="auto"/>
              </w:rPr>
            </w:pPr>
          </w:p>
        </w:tc>
        <w:tc>
          <w:tcPr>
            <w:tcW w:w="68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49"/>
        </w:trPr>
        <w:tc>
          <w:tcPr>
            <w:tcW w:w="138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110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rPr>
              <w:t>Range of</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580" w:type="dxa"/>
            <w:vAlign w:val="bottom"/>
            <w:gridSpan w:val="2"/>
          </w:tcPr>
          <w:p>
            <w:pPr>
              <w:jc w:val="right"/>
              <w:ind w:right="40"/>
              <w:spacing w:after="0" w:line="149" w:lineRule="exact"/>
              <w:rPr>
                <w:sz w:val="20"/>
                <w:szCs w:val="20"/>
                <w:color w:val="auto"/>
              </w:rPr>
            </w:pPr>
            <w:r>
              <w:rPr>
                <w:rFonts w:ascii="Arial" w:cs="Arial" w:eastAsia="Arial" w:hAnsi="Arial"/>
                <w:sz w:val="14"/>
                <w:szCs w:val="14"/>
                <w:b w:val="1"/>
                <w:bCs w:val="1"/>
                <w:color w:val="auto"/>
                <w:w w:val="90"/>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4"/>
            <w:vMerge w:val="continue"/>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11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9"/>
              </w:rPr>
              <w:t>Useful Lives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8"/>
              </w:rPr>
              <w:t>Amounts</w:t>
            </w:r>
          </w:p>
        </w:tc>
        <w:tc>
          <w:tcPr>
            <w:tcW w:w="300" w:type="dxa"/>
            <w:vAlign w:val="bottom"/>
          </w:tcPr>
          <w:p>
            <w:pPr>
              <w:spacing w:after="0"/>
              <w:rPr>
                <w:sz w:val="14"/>
                <w:szCs w:val="14"/>
                <w:color w:val="auto"/>
              </w:rPr>
            </w:pPr>
          </w:p>
        </w:tc>
        <w:tc>
          <w:tcPr>
            <w:tcW w:w="100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580" w:type="dxa"/>
            <w:vAlign w:val="bottom"/>
            <w:gridSpan w:val="2"/>
          </w:tcPr>
          <w:p>
            <w:pPr>
              <w:jc w:val="right"/>
              <w:ind w:right="40"/>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980" w:type="dxa"/>
            <w:vAlign w:val="bottom"/>
            <w:gridSpan w:val="5"/>
          </w:tcPr>
          <w:p>
            <w:pPr>
              <w:jc w:val="center"/>
              <w:ind w:right="220"/>
              <w:spacing w:after="0"/>
              <w:rPr>
                <w:sz w:val="20"/>
                <w:szCs w:val="20"/>
                <w:color w:val="auto"/>
              </w:rPr>
            </w:pPr>
            <w:r>
              <w:rPr>
                <w:rFonts w:ascii="Arial" w:cs="Arial" w:eastAsia="Arial" w:hAnsi="Arial"/>
                <w:sz w:val="14"/>
                <w:szCs w:val="14"/>
                <w:b w:val="1"/>
                <w:bCs w:val="1"/>
                <w:color w:val="auto"/>
                <w:w w:val="94"/>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0" w:type="dxa"/>
            <w:vAlign w:val="bottom"/>
          </w:tcPr>
          <w:p>
            <w:pPr>
              <w:spacing w:after="0"/>
              <w:rPr>
                <w:sz w:val="1"/>
                <w:szCs w:val="1"/>
                <w:color w:val="auto"/>
              </w:rPr>
            </w:pPr>
          </w:p>
        </w:tc>
      </w:tr>
      <w:tr>
        <w:trPr>
          <w:trHeight w:val="210"/>
        </w:trPr>
        <w:tc>
          <w:tcPr>
            <w:tcW w:w="48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4 - 7 years</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$35,498</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(15,684)</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$19,814</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$49,240</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9"/>
              </w:rPr>
              <w:t>(20,634)</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$28,606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w w:val="91"/>
              </w:rPr>
              <w:t>5 - 8 years</w:t>
            </w:r>
          </w:p>
        </w:tc>
        <w:tc>
          <w:tcPr>
            <w:tcW w:w="580" w:type="dxa"/>
            <w:vAlign w:val="bottom"/>
          </w:tcPr>
          <w:p>
            <w:pPr>
              <w:jc w:val="right"/>
              <w:spacing w:after="0"/>
              <w:rPr>
                <w:sz w:val="20"/>
                <w:szCs w:val="20"/>
                <w:color w:val="auto"/>
              </w:rPr>
            </w:pPr>
            <w:r>
              <w:rPr>
                <w:rFonts w:ascii="Arial" w:cs="Arial" w:eastAsia="Arial" w:hAnsi="Arial"/>
                <w:sz w:val="18"/>
                <w:szCs w:val="18"/>
                <w:color w:val="auto"/>
              </w:rPr>
              <w:t>850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(423)</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427</w:t>
            </w: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2,350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4"/>
          </w:tcPr>
          <w:p>
            <w:pPr>
              <w:jc w:val="right"/>
              <w:ind w:right="140"/>
              <w:spacing w:after="0"/>
              <w:rPr>
                <w:sz w:val="20"/>
                <w:szCs w:val="20"/>
                <w:color w:val="auto"/>
              </w:rPr>
            </w:pPr>
            <w:r>
              <w:rPr>
                <w:rFonts w:ascii="Arial" w:cs="Arial" w:eastAsia="Arial" w:hAnsi="Arial"/>
                <w:sz w:val="18"/>
                <w:szCs w:val="18"/>
                <w:color w:val="auto"/>
              </w:rPr>
              <w:t>(1,583)</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767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names</w:t>
            </w: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 years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(828)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472</w:t>
            </w: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4"/>
            <w:shd w:val="clear" w:color="auto" w:fill="CCEEFF"/>
          </w:tcPr>
          <w:p>
            <w:pPr>
              <w:jc w:val="right"/>
              <w:ind w:right="140"/>
              <w:spacing w:after="0"/>
              <w:rPr>
                <w:sz w:val="20"/>
                <w:szCs w:val="20"/>
                <w:color w:val="auto"/>
              </w:rPr>
            </w:pPr>
            <w:r>
              <w:rPr>
                <w:rFonts w:ascii="Arial" w:cs="Arial" w:eastAsia="Arial" w:hAnsi="Arial"/>
                <w:sz w:val="18"/>
                <w:szCs w:val="18"/>
                <w:color w:val="auto"/>
              </w:rPr>
              <w:t>(568)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gridSpan w:val="2"/>
          </w:tcPr>
          <w:p>
            <w:pPr>
              <w:spacing w:after="0"/>
              <w:rPr>
                <w:sz w:val="20"/>
                <w:szCs w:val="20"/>
                <w:color w:val="auto"/>
              </w:rPr>
            </w:pPr>
            <w:r>
              <w:rPr>
                <w:rFonts w:ascii="Arial" w:cs="Arial" w:eastAsia="Arial" w:hAnsi="Arial"/>
                <w:sz w:val="18"/>
                <w:szCs w:val="18"/>
                <w:color w:val="auto"/>
              </w:rPr>
              <w:t>Customer intangibles</w:t>
            </w: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w w:val="91"/>
              </w:rPr>
              <w:t>5 - 7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(18,615)</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9,985</w:t>
            </w: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4"/>
          </w:tcPr>
          <w:p>
            <w:pPr>
              <w:jc w:val="right"/>
              <w:ind w:right="140"/>
              <w:spacing w:after="0"/>
              <w:rPr>
                <w:sz w:val="20"/>
                <w:szCs w:val="20"/>
                <w:color w:val="auto"/>
              </w:rPr>
            </w:pPr>
            <w:r>
              <w:rPr>
                <w:rFonts w:ascii="Arial" w:cs="Arial" w:eastAsia="Arial" w:hAnsi="Arial"/>
                <w:sz w:val="18"/>
                <w:szCs w:val="18"/>
                <w:color w:val="auto"/>
                <w:w w:val="98"/>
              </w:rPr>
              <w:t>(13,056)</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15,544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IPR&amp;D</w:t>
            </w:r>
          </w:p>
        </w:tc>
        <w:tc>
          <w:tcPr>
            <w:tcW w:w="800" w:type="dxa"/>
            <w:vAlign w:val="bottom"/>
            <w:shd w:val="clear" w:color="auto" w:fill="CCEEFF"/>
          </w:tcPr>
          <w:p>
            <w:pPr>
              <w:jc w:val="right"/>
              <w:ind w:right="238"/>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24"/>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3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3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820" w:type="dxa"/>
            <w:vAlign w:val="bottom"/>
            <w:gridSpan w:val="2"/>
          </w:tcPr>
          <w:p>
            <w:pPr>
              <w:ind w:left="440"/>
              <w:spacing w:after="0"/>
              <w:rPr>
                <w:sz w:val="20"/>
                <w:szCs w:val="20"/>
                <w:color w:val="auto"/>
              </w:rPr>
            </w:pPr>
            <w:r>
              <w:rPr>
                <w:rFonts w:ascii="Arial" w:cs="Arial" w:eastAsia="Arial" w:hAnsi="Arial"/>
                <w:sz w:val="18"/>
                <w:szCs w:val="18"/>
                <w:color w:val="auto"/>
              </w:rPr>
              <w:t>Total acquired intangible assets, net</w:t>
            </w:r>
          </w:p>
        </w:tc>
        <w:tc>
          <w:tcPr>
            <w:tcW w:w="8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66,248</w:t>
            </w:r>
          </w:p>
        </w:tc>
        <w:tc>
          <w:tcPr>
            <w:tcW w:w="46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(35,550)</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30,698</w:t>
            </w:r>
          </w:p>
        </w:tc>
        <w:tc>
          <w:tcPr>
            <w:tcW w:w="88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84,876</w:t>
            </w:r>
          </w:p>
        </w:tc>
        <w:tc>
          <w:tcPr>
            <w:tcW w:w="46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820" w:type="dxa"/>
            <w:vAlign w:val="bottom"/>
            <w:gridSpan w:val="4"/>
          </w:tcPr>
          <w:p>
            <w:pPr>
              <w:jc w:val="right"/>
              <w:ind w:right="140"/>
              <w:spacing w:after="0"/>
              <w:rPr>
                <w:sz w:val="20"/>
                <w:szCs w:val="20"/>
                <w:color w:val="auto"/>
              </w:rPr>
            </w:pPr>
            <w:r>
              <w:rPr>
                <w:rFonts w:ascii="Arial" w:cs="Arial" w:eastAsia="Arial" w:hAnsi="Arial"/>
                <w:sz w:val="18"/>
                <w:szCs w:val="18"/>
                <w:color w:val="auto"/>
                <w:w w:val="98"/>
              </w:rPr>
              <w:t>(35,841)</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49,035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34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Intangible assets, along with the related accumulated amortization, are removed from the table above at the end of the fiscal year they become fully amortized. The Company recorded a charge to write-off $3.4 million of IPR&amp;D in fiscal 2015, upon the Company’s decision to discontinue the related project. The Company also recorded charges of $8.1 million in fiscal 2014 for the impairment of an acquired intangible asset and $0.8 million in fiscal 2013 to write-off IPR&amp;D related to an abandoned project. These impairment charges are included in amortization and write-off of acquired intangible assets in the consolidated statement of operations.</w:t>
      </w:r>
    </w:p>
    <w:p>
      <w:pPr>
        <w:spacing w:after="0" w:line="14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Based on the identified intangible assets recorded at January 31, 2015, the future amortization expense of identified intangibles excluding IPR&amp;D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1"/>
              </w:rPr>
              <w:t>Fiscal Year</w:t>
            </w:r>
          </w:p>
        </w:tc>
        <w:tc>
          <w:tcPr>
            <w:tcW w:w="82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2016</w:t>
            </w:r>
          </w:p>
        </w:tc>
        <w:tc>
          <w:tcPr>
            <w:tcW w:w="8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2017</w:t>
            </w:r>
          </w:p>
        </w:tc>
        <w:tc>
          <w:tcPr>
            <w:tcW w:w="8780" w:type="dxa"/>
            <w:vAlign w:val="bottom"/>
            <w:gridSpan w:val="2"/>
          </w:tcPr>
          <w:p>
            <w:pPr>
              <w:jc w:val="right"/>
              <w:spacing w:after="0"/>
              <w:rPr>
                <w:sz w:val="20"/>
                <w:szCs w:val="20"/>
                <w:color w:val="auto"/>
              </w:rPr>
            </w:pPr>
            <w:r>
              <w:rPr>
                <w:rFonts w:ascii="Arial" w:cs="Arial" w:eastAsia="Arial" w:hAnsi="Arial"/>
                <w:sz w:val="18"/>
                <w:szCs w:val="18"/>
                <w:color w:val="auto"/>
              </w:rPr>
              <w:t>11,027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8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5,599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2019</w:t>
            </w:r>
          </w:p>
        </w:tc>
        <w:tc>
          <w:tcPr>
            <w:tcW w:w="8780" w:type="dxa"/>
            <w:vAlign w:val="bottom"/>
            <w:gridSpan w:val="2"/>
          </w:tcPr>
          <w:p>
            <w:pPr>
              <w:jc w:val="right"/>
              <w:spacing w:after="0"/>
              <w:rPr>
                <w:sz w:val="20"/>
                <w:szCs w:val="20"/>
                <w:color w:val="auto"/>
              </w:rPr>
            </w:pPr>
            <w:r>
              <w:rPr>
                <w:rFonts w:ascii="Arial" w:cs="Arial" w:eastAsia="Arial" w:hAnsi="Arial"/>
                <w:sz w:val="18"/>
                <w:szCs w:val="18"/>
                <w:color w:val="auto"/>
              </w:rPr>
              <w:t>1,860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2020</w:t>
            </w:r>
          </w:p>
        </w:tc>
        <w:tc>
          <w:tcPr>
            <w:tcW w:w="820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00" w:type="dxa"/>
            <w:vAlign w:val="bottom"/>
          </w:tcPr>
          <w:p>
            <w:pPr>
              <w:spacing w:after="0"/>
              <w:rPr>
                <w:sz w:val="19"/>
                <w:szCs w:val="19"/>
                <w:color w:val="auto"/>
              </w:rPr>
            </w:pPr>
          </w:p>
        </w:tc>
        <w:tc>
          <w:tcPr>
            <w:tcW w:w="87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30,698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00" w:type="dxa"/>
            <w:vAlign w:val="bottom"/>
          </w:tcPr>
          <w:p>
            <w:pPr>
              <w:spacing w:after="0" w:line="20" w:lineRule="exact"/>
              <w:rPr>
                <w:sz w:val="1"/>
                <w:szCs w:val="1"/>
                <w:color w:val="auto"/>
              </w:rPr>
            </w:pPr>
          </w:p>
        </w:tc>
        <w:tc>
          <w:tcPr>
            <w:tcW w:w="8200" w:type="dxa"/>
            <w:vAlign w:val="bottom"/>
            <w:vMerge w:val="restart"/>
          </w:tcPr>
          <w:p>
            <w:pPr>
              <w:jc w:val="right"/>
              <w:ind w:right="3932"/>
              <w:spacing w:after="0"/>
              <w:rPr>
                <w:sz w:val="20"/>
                <w:szCs w:val="20"/>
                <w:color w:val="auto"/>
              </w:rPr>
            </w:pPr>
            <w:r>
              <w:rPr>
                <w:rFonts w:ascii="Arial" w:cs="Arial" w:eastAsia="Arial" w:hAnsi="Arial"/>
                <w:sz w:val="18"/>
                <w:szCs w:val="18"/>
                <w:color w:val="auto"/>
              </w:rPr>
              <w:t>79</w:t>
            </w: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00" w:type="dxa"/>
            <w:vAlign w:val="bottom"/>
          </w:tcPr>
          <w:p>
            <w:pPr>
              <w:spacing w:after="0"/>
              <w:rPr>
                <w:sz w:val="24"/>
                <w:szCs w:val="24"/>
                <w:color w:val="auto"/>
              </w:rPr>
            </w:pPr>
          </w:p>
        </w:tc>
        <w:tc>
          <w:tcPr>
            <w:tcW w:w="8200" w:type="dxa"/>
            <w:vAlign w:val="bottom"/>
            <w:vMerge w:val="continue"/>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Note 8 </w:t>
      </w:r>
      <w:r>
        <w:rPr>
          <w:rFonts w:ascii="Arial" w:cs="Arial" w:eastAsia="Arial" w:hAnsi="Arial"/>
          <w:sz w:val="18"/>
          <w:szCs w:val="18"/>
          <w:color w:val="auto"/>
        </w:rPr>
        <w:t>—</w:t>
      </w:r>
      <w:r>
        <w:rPr>
          <w:rFonts w:ascii="Arial" w:cs="Arial" w:eastAsia="Arial" w:hAnsi="Arial"/>
          <w:sz w:val="18"/>
          <w:szCs w:val="18"/>
          <w:b w:val="1"/>
          <w:bCs w:val="1"/>
          <w:color w:val="auto"/>
        </w:rPr>
        <w:t xml:space="preserve"> Restructuring</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Fiscal 2015. </w:t>
      </w:r>
      <w:r>
        <w:rPr>
          <w:rFonts w:ascii="Arial" w:cs="Arial" w:eastAsia="Arial" w:hAnsi="Arial"/>
          <w:sz w:val="18"/>
          <w:szCs w:val="18"/>
          <w:color w:val="auto"/>
        </w:rPr>
        <w:t>In connection with ongoing evaluations of its business, the Company decided to streamline its operations, primarily in Israel to align with its</w:t>
      </w:r>
      <w:r>
        <w:rPr>
          <w:rFonts w:ascii="Arial" w:cs="Arial" w:eastAsia="Arial" w:hAnsi="Arial"/>
          <w:sz w:val="18"/>
          <w:szCs w:val="18"/>
          <w:i w:val="1"/>
          <w:iCs w:val="1"/>
          <w:color w:val="auto"/>
        </w:rPr>
        <w:t xml:space="preserve"> </w:t>
      </w:r>
      <w:r>
        <w:rPr>
          <w:rFonts w:ascii="Arial" w:cs="Arial" w:eastAsia="Arial" w:hAnsi="Arial"/>
          <w:sz w:val="18"/>
          <w:szCs w:val="18"/>
          <w:color w:val="auto"/>
        </w:rPr>
        <w:t>overall strategic plan, and to discontinue the development of a product it originally acquired from a business that it previously purchased. These actions were substantially completed by the end of fiscal 2015. In addition, the Company decided to exercise an early buy out option to acquire an asset under an existing operating lease agreement, which will result in a loss from the termination of the agreement.</w:t>
      </w:r>
    </w:p>
    <w:p>
      <w:pPr>
        <w:spacing w:after="0" w:line="143"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i w:val="1"/>
          <w:iCs w:val="1"/>
          <w:color w:val="auto"/>
        </w:rPr>
        <w:t xml:space="preserve">Fiscal 2014. </w:t>
      </w:r>
      <w:r>
        <w:rPr>
          <w:rFonts w:ascii="Arial" w:cs="Arial" w:eastAsia="Arial" w:hAnsi="Arial"/>
          <w:sz w:val="18"/>
          <w:szCs w:val="18"/>
          <w:color w:val="auto"/>
        </w:rPr>
        <w:t>The Company closed two sites for which it incurred severance and exit-related costs in connection with vacating the facilities, in addition to</w:t>
      </w:r>
      <w:r>
        <w:rPr>
          <w:rFonts w:ascii="Arial" w:cs="Arial" w:eastAsia="Arial" w:hAnsi="Arial"/>
          <w:sz w:val="18"/>
          <w:szCs w:val="18"/>
          <w:i w:val="1"/>
          <w:iCs w:val="1"/>
          <w:color w:val="auto"/>
        </w:rPr>
        <w:t xml:space="preserve"> </w:t>
      </w:r>
      <w:r>
        <w:rPr>
          <w:rFonts w:ascii="Arial" w:cs="Arial" w:eastAsia="Arial" w:hAnsi="Arial"/>
          <w:sz w:val="18"/>
          <w:szCs w:val="18"/>
          <w:color w:val="auto"/>
        </w:rPr>
        <w:t>the write-off of equipment. All activities were substantially completed by the end of fiscal 2014.</w:t>
      </w:r>
    </w:p>
    <w:p>
      <w:pPr>
        <w:spacing w:after="0" w:line="132" w:lineRule="exact"/>
        <w:rPr>
          <w:sz w:val="20"/>
          <w:szCs w:val="20"/>
          <w:color w:val="auto"/>
        </w:rPr>
      </w:pPr>
    </w:p>
    <w:p>
      <w:pPr>
        <w:ind w:left="460"/>
        <w:spacing w:after="0"/>
        <w:tabs>
          <w:tab w:leader="none" w:pos="1500" w:val="left"/>
        </w:tabs>
        <w:rPr>
          <w:sz w:val="20"/>
          <w:szCs w:val="20"/>
          <w:color w:val="auto"/>
        </w:rPr>
      </w:pPr>
      <w:r>
        <w:rPr>
          <w:rFonts w:ascii="Arial" w:cs="Arial" w:eastAsia="Arial" w:hAnsi="Arial"/>
          <w:sz w:val="18"/>
          <w:szCs w:val="18"/>
          <w:i w:val="1"/>
          <w:iCs w:val="1"/>
          <w:color w:val="auto"/>
        </w:rPr>
        <w:t>Fiscal 2013</w:t>
      </w:r>
      <w:r>
        <w:rPr>
          <w:rFonts w:ascii="Arial" w:cs="Arial" w:eastAsia="Arial" w:hAnsi="Arial"/>
          <w:sz w:val="18"/>
          <w:szCs w:val="18"/>
          <w:color w:val="auto"/>
        </w:rPr>
        <w:t>.</w:t>
      </w:r>
      <w:r>
        <w:rPr>
          <w:sz w:val="20"/>
          <w:szCs w:val="20"/>
          <w:color w:val="auto"/>
        </w:rPr>
        <w:tab/>
      </w:r>
      <w:r>
        <w:rPr>
          <w:rFonts w:ascii="Arial" w:cs="Arial" w:eastAsia="Arial" w:hAnsi="Arial"/>
          <w:sz w:val="15"/>
          <w:szCs w:val="15"/>
          <w:color w:val="auto"/>
        </w:rPr>
        <w:t>The Company incurred restructuring costs when the sublease of one of its previously vacated facilities was terminated in fiscal 2013.</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 of the related restructuring charges recorded by the Company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5"/>
              </w:rPr>
              <w:t>Year Ended</w:t>
            </w:r>
          </w:p>
        </w:tc>
        <w:tc>
          <w:tcPr>
            <w:tcW w:w="7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7820" w:type="dxa"/>
            <w:vAlign w:val="bottom"/>
          </w:tcPr>
          <w:p>
            <w:pPr>
              <w:spacing w:after="0"/>
              <w:rPr>
                <w:sz w:val="11"/>
                <w:szCs w:val="11"/>
                <w:color w:val="auto"/>
              </w:rPr>
            </w:pPr>
          </w:p>
        </w:tc>
        <w:tc>
          <w:tcPr>
            <w:tcW w:w="14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720" w:type="dxa"/>
            <w:vAlign w:val="bottom"/>
          </w:tcPr>
          <w:p>
            <w:pPr>
              <w:spacing w:after="0"/>
              <w:rPr>
                <w:sz w:val="11"/>
                <w:szCs w:val="11"/>
                <w:color w:val="auto"/>
              </w:rPr>
            </w:pPr>
          </w:p>
        </w:tc>
        <w:tc>
          <w:tcPr>
            <w:tcW w:w="68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7"/>
              </w:rPr>
              <w:t>February 2,</w:t>
            </w:r>
          </w:p>
        </w:tc>
        <w:tc>
          <w:tcPr>
            <w:tcW w:w="100" w:type="dxa"/>
            <w:vAlign w:val="bottom"/>
          </w:tcPr>
          <w:p>
            <w:pPr>
              <w:spacing w:after="0"/>
              <w:rPr>
                <w:sz w:val="11"/>
                <w:szCs w:val="11"/>
                <w:color w:val="auto"/>
              </w:rPr>
            </w:pPr>
          </w:p>
        </w:tc>
      </w:tr>
      <w:tr>
        <w:trPr>
          <w:trHeight w:val="161"/>
        </w:trPr>
        <w:tc>
          <w:tcPr>
            <w:tcW w:w="78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w w:val="96"/>
              </w:rPr>
              <w:t>2015</w:t>
            </w:r>
          </w:p>
        </w:tc>
        <w:tc>
          <w:tcPr>
            <w:tcW w:w="7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2014</w:t>
            </w:r>
          </w:p>
        </w:tc>
        <w:tc>
          <w:tcPr>
            <w:tcW w:w="7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210"/>
        </w:trPr>
        <w:tc>
          <w:tcPr>
            <w:tcW w:w="78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Severance and related costs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5,181</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2,786</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r>
      <w:tr>
        <w:trPr>
          <w:trHeight w:val="216"/>
        </w:trPr>
        <w:tc>
          <w:tcPr>
            <w:tcW w:w="7820" w:type="dxa"/>
            <w:vAlign w:val="bottom"/>
          </w:tcPr>
          <w:p>
            <w:pPr>
              <w:spacing w:after="0"/>
              <w:rPr>
                <w:sz w:val="20"/>
                <w:szCs w:val="20"/>
                <w:color w:val="auto"/>
              </w:rPr>
            </w:pPr>
            <w:r>
              <w:rPr>
                <w:rFonts w:ascii="Arial" w:cs="Arial" w:eastAsia="Arial" w:hAnsi="Arial"/>
                <w:sz w:val="18"/>
                <w:szCs w:val="18"/>
                <w:color w:val="auto"/>
              </w:rPr>
              <w:t>Facilities and related costs</w:t>
            </w:r>
          </w:p>
        </w:tc>
        <w:tc>
          <w:tcPr>
            <w:tcW w:w="160" w:type="dxa"/>
            <w:vAlign w:val="bottom"/>
          </w:tcPr>
          <w:p>
            <w:pPr>
              <w:spacing w:after="0"/>
              <w:rPr>
                <w:sz w:val="18"/>
                <w:szCs w:val="18"/>
                <w:color w:val="auto"/>
              </w:rPr>
            </w:pPr>
          </w:p>
        </w:tc>
        <w:tc>
          <w:tcPr>
            <w:tcW w:w="1260" w:type="dxa"/>
            <w:vAlign w:val="bottom"/>
            <w:gridSpan w:val="2"/>
          </w:tcPr>
          <w:p>
            <w:pPr>
              <w:jc w:val="right"/>
              <w:ind w:right="720"/>
              <w:spacing w:after="0"/>
              <w:rPr>
                <w:sz w:val="20"/>
                <w:szCs w:val="20"/>
                <w:color w:val="auto"/>
              </w:rPr>
            </w:pPr>
            <w:r>
              <w:rPr>
                <w:rFonts w:ascii="Arial" w:cs="Arial" w:eastAsia="Arial" w:hAnsi="Arial"/>
                <w:sz w:val="18"/>
                <w:szCs w:val="18"/>
                <w:color w:val="auto"/>
              </w:rPr>
              <w:t>1,924</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1,672</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1,257</w:t>
            </w:r>
          </w:p>
        </w:tc>
        <w:tc>
          <w:tcPr>
            <w:tcW w:w="100" w:type="dxa"/>
            <w:vAlign w:val="bottom"/>
          </w:tcPr>
          <w:p>
            <w:pPr>
              <w:spacing w:after="0"/>
              <w:rPr>
                <w:sz w:val="18"/>
                <w:szCs w:val="18"/>
                <w:color w:val="auto"/>
              </w:rPr>
            </w:pPr>
          </w:p>
        </w:tc>
      </w:tr>
      <w:tr>
        <w:trPr>
          <w:trHeight w:val="216"/>
        </w:trPr>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Loss on early contract termination</w:t>
            </w: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3,230</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r>
      <w:tr>
        <w:trPr>
          <w:trHeight w:val="223"/>
        </w:trPr>
        <w:tc>
          <w:tcPr>
            <w:tcW w:w="7820" w:type="dxa"/>
            <w:vAlign w:val="bottom"/>
          </w:tcPr>
          <w:p>
            <w:pPr>
              <w:spacing w:after="0"/>
              <w:rPr>
                <w:sz w:val="20"/>
                <w:szCs w:val="20"/>
                <w:color w:val="auto"/>
              </w:rPr>
            </w:pPr>
            <w:r>
              <w:rPr>
                <w:rFonts w:ascii="Arial" w:cs="Arial" w:eastAsia="Arial" w:hAnsi="Arial"/>
                <w:sz w:val="18"/>
                <w:szCs w:val="18"/>
                <w:color w:val="auto"/>
              </w:rPr>
              <w:t>Other exit-related costs</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w:t>
            </w:r>
          </w:p>
        </w:tc>
        <w:tc>
          <w:tcPr>
            <w:tcW w:w="7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213</w:t>
            </w:r>
          </w:p>
        </w:tc>
        <w:tc>
          <w:tcPr>
            <w:tcW w:w="7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ind w:lef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78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94"/>
              </w:rPr>
              <w:t>10,421</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4,671</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1,257</w:t>
            </w:r>
          </w:p>
        </w:tc>
        <w:tc>
          <w:tcPr>
            <w:tcW w:w="100" w:type="dxa"/>
            <w:vAlign w:val="bottom"/>
            <w:shd w:val="clear" w:color="auto" w:fill="CCEEFF"/>
          </w:tcPr>
          <w:p>
            <w:pPr>
              <w:spacing w:after="0"/>
              <w:rPr>
                <w:sz w:val="18"/>
                <w:szCs w:val="18"/>
                <w:color w:val="auto"/>
              </w:rPr>
            </w:pPr>
          </w:p>
        </w:tc>
      </w:tr>
      <w:tr>
        <w:trPr>
          <w:trHeight w:val="216"/>
        </w:trPr>
        <w:tc>
          <w:tcPr>
            <w:tcW w:w="7820" w:type="dxa"/>
            <w:vAlign w:val="bottom"/>
          </w:tcPr>
          <w:p>
            <w:pPr>
              <w:spacing w:after="0"/>
              <w:rPr>
                <w:sz w:val="20"/>
                <w:szCs w:val="20"/>
                <w:color w:val="auto"/>
              </w:rPr>
            </w:pPr>
            <w:r>
              <w:rPr>
                <w:rFonts w:ascii="Arial" w:cs="Arial" w:eastAsia="Arial" w:hAnsi="Arial"/>
                <w:sz w:val="18"/>
                <w:szCs w:val="18"/>
                <w:color w:val="auto"/>
              </w:rPr>
              <w:t>Write-off of assets:</w:t>
            </w: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Equipment</w:t>
            </w: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17</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r>
      <w:tr>
        <w:trPr>
          <w:trHeight w:val="223"/>
        </w:trPr>
        <w:tc>
          <w:tcPr>
            <w:tcW w:w="7820" w:type="dxa"/>
            <w:vAlign w:val="bottom"/>
          </w:tcPr>
          <w:p>
            <w:pPr>
              <w:ind w:left="440"/>
              <w:spacing w:after="0"/>
              <w:rPr>
                <w:sz w:val="20"/>
                <w:szCs w:val="20"/>
                <w:color w:val="auto"/>
              </w:rPr>
            </w:pPr>
            <w:r>
              <w:rPr>
                <w:rFonts w:ascii="Arial" w:cs="Arial" w:eastAsia="Arial" w:hAnsi="Arial"/>
                <w:sz w:val="18"/>
                <w:szCs w:val="18"/>
                <w:color w:val="auto"/>
              </w:rPr>
              <w:t>Acquired intangible asset</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7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ind w:lef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78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94"/>
              </w:rPr>
              <w:t>13,824</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4,732</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1,257</w:t>
            </w:r>
          </w:p>
        </w:tc>
        <w:tc>
          <w:tcPr>
            <w:tcW w:w="100" w:type="dxa"/>
            <w:vAlign w:val="bottom"/>
            <w:shd w:val="clear" w:color="auto" w:fill="CCEEFF"/>
          </w:tcPr>
          <w:p>
            <w:pPr>
              <w:spacing w:after="0"/>
              <w:rPr>
                <w:sz w:val="18"/>
                <w:szCs w:val="18"/>
                <w:color w:val="auto"/>
              </w:rPr>
            </w:pPr>
          </w:p>
        </w:tc>
      </w:tr>
      <w:tr>
        <w:trPr>
          <w:trHeight w:val="20"/>
        </w:trPr>
        <w:tc>
          <w:tcPr>
            <w:tcW w:w="78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Facilities and related costs include a charge for a portion of the lease obligation related to vacating the floors the Company no longer planned to occupy in one of its Israel facilities. The write-off of an acquired intangible asset in fiscal 2015 was due to the Company’s decision to discontinue the related project. Other exit-related costs are primarily associated with ongoing operating expenses related to vacated facilities under restructure actions in previous fiscal years.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6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60" w:type="dxa"/>
            <w:vAlign w:val="bottom"/>
          </w:tcPr>
          <w:p>
            <w:pPr>
              <w:spacing w:after="0"/>
              <w:rPr>
                <w:sz w:val="11"/>
                <w:szCs w:val="11"/>
                <w:color w:val="auto"/>
              </w:rPr>
            </w:pPr>
          </w:p>
        </w:tc>
        <w:tc>
          <w:tcPr>
            <w:tcW w:w="3840" w:type="dxa"/>
            <w:vAlign w:val="bottom"/>
          </w:tcPr>
          <w:p>
            <w:pPr>
              <w:spacing w:after="0"/>
              <w:rPr>
                <w:sz w:val="11"/>
                <w:szCs w:val="11"/>
                <w:color w:val="auto"/>
              </w:rPr>
            </w:pPr>
          </w:p>
        </w:tc>
        <w:tc>
          <w:tcPr>
            <w:tcW w:w="13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13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60" w:type="dxa"/>
            <w:vAlign w:val="bottom"/>
            <w:tcBorders>
              <w:bottom w:val="single" w:sz="8" w:color="CCEEFF"/>
            </w:tcBorders>
          </w:tcPr>
          <w:p>
            <w:pPr>
              <w:spacing w:after="0"/>
              <w:rPr>
                <w:sz w:val="14"/>
                <w:szCs w:val="14"/>
                <w:color w:val="auto"/>
              </w:rPr>
            </w:pPr>
          </w:p>
        </w:tc>
        <w:tc>
          <w:tcPr>
            <w:tcW w:w="38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2015</w:t>
            </w:r>
          </w:p>
        </w:tc>
        <w:tc>
          <w:tcPr>
            <w:tcW w:w="6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6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1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3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5,249</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Selling and marketing</w:t>
            </w:r>
          </w:p>
        </w:tc>
        <w:tc>
          <w:tcPr>
            <w:tcW w:w="3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6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160" w:type="dxa"/>
            <w:vAlign w:val="bottom"/>
            <w:gridSpan w:val="2"/>
          </w:tcPr>
          <w:p>
            <w:pPr>
              <w:jc w:val="right"/>
              <w:ind w:right="620"/>
              <w:spacing w:after="0"/>
              <w:rPr>
                <w:sz w:val="20"/>
                <w:szCs w:val="20"/>
                <w:color w:val="auto"/>
              </w:rPr>
            </w:pPr>
            <w:r>
              <w:rPr>
                <w:rFonts w:ascii="Arial" w:cs="Arial" w:eastAsia="Arial" w:hAnsi="Arial"/>
                <w:sz w:val="18"/>
                <w:szCs w:val="18"/>
                <w:color w:val="auto"/>
              </w:rPr>
              <w:t>795</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3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5,189</w:t>
            </w: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1,051</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1,213</w:t>
            </w:r>
          </w:p>
        </w:tc>
        <w:tc>
          <w:tcPr>
            <w:tcW w:w="0" w:type="dxa"/>
            <w:vAlign w:val="bottom"/>
          </w:tcPr>
          <w:p>
            <w:pPr>
              <w:spacing w:after="0"/>
              <w:rPr>
                <w:sz w:val="1"/>
                <w:szCs w:val="1"/>
                <w:color w:val="auto"/>
              </w:rPr>
            </w:pPr>
          </w:p>
        </w:tc>
      </w:tr>
      <w:tr>
        <w:trPr>
          <w:trHeight w:val="223"/>
        </w:trPr>
        <w:tc>
          <w:tcPr>
            <w:tcW w:w="416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384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6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ind w:right="16"/>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18"/>
                <w:szCs w:val="18"/>
                <w:color w:val="auto"/>
              </w:rPr>
            </w:pPr>
          </w:p>
        </w:tc>
        <w:tc>
          <w:tcPr>
            <w:tcW w:w="4000" w:type="dxa"/>
            <w:vAlign w:val="bottom"/>
            <w:gridSpan w:val="2"/>
            <w:shd w:val="clear" w:color="auto" w:fill="CCEEFF"/>
          </w:tcPr>
          <w:p>
            <w:pPr>
              <w:ind w:left="384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94"/>
              </w:rPr>
              <w:t>13,824</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4,732</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1,257</w:t>
            </w:r>
          </w:p>
        </w:tc>
        <w:tc>
          <w:tcPr>
            <w:tcW w:w="0" w:type="dxa"/>
            <w:vAlign w:val="bottom"/>
          </w:tcPr>
          <w:p>
            <w:pPr>
              <w:spacing w:after="0"/>
              <w:rPr>
                <w:sz w:val="1"/>
                <w:szCs w:val="1"/>
                <w:color w:val="auto"/>
              </w:rPr>
            </w:pPr>
          </w:p>
        </w:tc>
      </w:tr>
      <w:tr>
        <w:trPr>
          <w:trHeight w:val="20"/>
        </w:trPr>
        <w:tc>
          <w:tcPr>
            <w:tcW w:w="4160" w:type="dxa"/>
            <w:vAlign w:val="bottom"/>
          </w:tcPr>
          <w:p>
            <w:pPr>
              <w:spacing w:after="0" w:line="20" w:lineRule="exact"/>
              <w:rPr>
                <w:sz w:val="1"/>
                <w:szCs w:val="1"/>
                <w:color w:val="auto"/>
              </w:rPr>
            </w:pPr>
          </w:p>
        </w:tc>
        <w:tc>
          <w:tcPr>
            <w:tcW w:w="3840" w:type="dxa"/>
            <w:vAlign w:val="bottom"/>
            <w:vMerge w:val="restart"/>
          </w:tcPr>
          <w:p>
            <w:pPr>
              <w:jc w:val="right"/>
              <w:ind w:right="2112"/>
              <w:spacing w:after="0"/>
              <w:rPr>
                <w:sz w:val="20"/>
                <w:szCs w:val="20"/>
                <w:color w:val="auto"/>
              </w:rPr>
            </w:pPr>
            <w:r>
              <w:rPr>
                <w:rFonts w:ascii="Arial" w:cs="Arial" w:eastAsia="Arial" w:hAnsi="Arial"/>
                <w:sz w:val="18"/>
                <w:szCs w:val="18"/>
                <w:color w:val="auto"/>
              </w:rPr>
              <w:t>80</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160" w:type="dxa"/>
            <w:vAlign w:val="bottom"/>
          </w:tcPr>
          <w:p>
            <w:pPr>
              <w:spacing w:after="0"/>
              <w:rPr>
                <w:sz w:val="24"/>
                <w:szCs w:val="24"/>
                <w:color w:val="auto"/>
              </w:rPr>
            </w:pPr>
          </w:p>
        </w:tc>
        <w:tc>
          <w:tcPr>
            <w:tcW w:w="384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760" w:type="dxa"/>
            <w:vAlign w:val="bottom"/>
          </w:tcPr>
          <w:p>
            <w:pPr>
              <w:spacing w:after="0"/>
              <w:rPr>
                <w:sz w:val="14"/>
                <w:szCs w:val="14"/>
                <w:color w:val="auto"/>
              </w:rPr>
            </w:pPr>
          </w:p>
        </w:tc>
        <w:tc>
          <w:tcPr>
            <w:tcW w:w="1300" w:type="dxa"/>
            <w:vAlign w:val="bottom"/>
            <w:gridSpan w:val="3"/>
          </w:tcPr>
          <w:p>
            <w:pPr>
              <w:ind w:left="60"/>
              <w:spacing w:after="0"/>
              <w:rPr>
                <w:sz w:val="20"/>
                <w:szCs w:val="20"/>
                <w:color w:val="auto"/>
              </w:rPr>
            </w:pPr>
            <w:r>
              <w:rPr>
                <w:rFonts w:ascii="Arial" w:cs="Arial" w:eastAsia="Arial" w:hAnsi="Arial"/>
                <w:sz w:val="14"/>
                <w:szCs w:val="14"/>
                <w:b w:val="1"/>
                <w:bCs w:val="1"/>
                <w:color w:val="auto"/>
              </w:rPr>
              <w:t>Severance</w:t>
            </w:r>
          </w:p>
        </w:tc>
        <w:tc>
          <w:tcPr>
            <w:tcW w:w="100" w:type="dxa"/>
            <w:vAlign w:val="bottom"/>
          </w:tcPr>
          <w:p>
            <w:pPr>
              <w:spacing w:after="0"/>
              <w:rPr>
                <w:sz w:val="14"/>
                <w:szCs w:val="14"/>
                <w:color w:val="auto"/>
              </w:rPr>
            </w:pPr>
          </w:p>
        </w:tc>
        <w:tc>
          <w:tcPr>
            <w:tcW w:w="122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w w:val="83"/>
              </w:rPr>
              <w:t>Facilities</w:t>
            </w:r>
          </w:p>
        </w:tc>
        <w:tc>
          <w:tcPr>
            <w:tcW w:w="140" w:type="dxa"/>
            <w:vAlign w:val="bottom"/>
          </w:tcPr>
          <w:p>
            <w:pPr>
              <w:spacing w:after="0"/>
              <w:rPr>
                <w:sz w:val="14"/>
                <w:szCs w:val="14"/>
                <w:color w:val="auto"/>
              </w:rPr>
            </w:pPr>
          </w:p>
        </w:tc>
        <w:tc>
          <w:tcPr>
            <w:tcW w:w="1200" w:type="dxa"/>
            <w:vAlign w:val="bottom"/>
            <w:gridSpan w:val="2"/>
          </w:tcPr>
          <w:p>
            <w:pPr>
              <w:jc w:val="right"/>
              <w:ind w:right="800"/>
              <w:spacing w:after="0"/>
              <w:rPr>
                <w:sz w:val="20"/>
                <w:szCs w:val="20"/>
                <w:color w:val="auto"/>
              </w:rPr>
            </w:pPr>
            <w:r>
              <w:rPr>
                <w:rFonts w:ascii="Arial" w:cs="Arial" w:eastAsia="Arial" w:hAnsi="Arial"/>
                <w:sz w:val="14"/>
                <w:szCs w:val="14"/>
                <w:b w:val="1"/>
                <w:bCs w:val="1"/>
                <w:color w:val="auto"/>
              </w:rPr>
              <w:t>Other</w:t>
            </w: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6760" w:type="dxa"/>
            <w:vAlign w:val="bottom"/>
          </w:tcPr>
          <w:p>
            <w:pPr>
              <w:spacing w:after="0"/>
              <w:rPr>
                <w:sz w:val="12"/>
                <w:szCs w:val="12"/>
                <w:color w:val="auto"/>
              </w:rPr>
            </w:pPr>
          </w:p>
        </w:tc>
        <w:tc>
          <w:tcPr>
            <w:tcW w:w="13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3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3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6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60" w:type="dxa"/>
            <w:vAlign w:val="bottom"/>
            <w:gridSpan w:val="2"/>
          </w:tcPr>
          <w:p>
            <w:pPr>
              <w:jc w:val="right"/>
              <w:ind w:right="800"/>
              <w:spacing w:after="0"/>
              <w:rPr>
                <w:sz w:val="20"/>
                <w:szCs w:val="20"/>
                <w:color w:val="auto"/>
              </w:rPr>
            </w:pPr>
            <w:r>
              <w:rPr>
                <w:rFonts w:ascii="Arial" w:cs="Arial" w:eastAsia="Arial" w:hAnsi="Arial"/>
                <w:sz w:val="14"/>
                <w:szCs w:val="14"/>
                <w:b w:val="1"/>
                <w:bCs w:val="1"/>
                <w:color w:val="auto"/>
                <w:w w:val="87"/>
              </w:rPr>
              <w:t>Costs</w:t>
            </w:r>
          </w:p>
        </w:tc>
        <w:tc>
          <w:tcPr>
            <w:tcW w:w="100" w:type="dxa"/>
            <w:vAlign w:val="bottom"/>
          </w:tcPr>
          <w:p>
            <w:pPr>
              <w:spacing w:after="0"/>
              <w:rPr>
                <w:sz w:val="14"/>
                <w:szCs w:val="14"/>
                <w:color w:val="auto"/>
              </w:rPr>
            </w:pPr>
          </w:p>
        </w:tc>
        <w:tc>
          <w:tcPr>
            <w:tcW w:w="1220" w:type="dxa"/>
            <w:vAlign w:val="bottom"/>
            <w:gridSpan w:val="2"/>
          </w:tcPr>
          <w:p>
            <w:pPr>
              <w:jc w:val="right"/>
              <w:ind w:right="800"/>
              <w:spacing w:after="0"/>
              <w:rPr>
                <w:sz w:val="20"/>
                <w:szCs w:val="20"/>
                <w:color w:val="auto"/>
              </w:rPr>
            </w:pPr>
            <w:r>
              <w:rPr>
                <w:rFonts w:ascii="Arial" w:cs="Arial" w:eastAsia="Arial" w:hAnsi="Arial"/>
                <w:sz w:val="14"/>
                <w:szCs w:val="14"/>
                <w:b w:val="1"/>
                <w:bCs w:val="1"/>
                <w:color w:val="auto"/>
              </w:rPr>
              <w:t>Costs</w:t>
            </w:r>
          </w:p>
        </w:tc>
        <w:tc>
          <w:tcPr>
            <w:tcW w:w="140" w:type="dxa"/>
            <w:vAlign w:val="bottom"/>
          </w:tcPr>
          <w:p>
            <w:pPr>
              <w:spacing w:after="0"/>
              <w:rPr>
                <w:sz w:val="14"/>
                <w:szCs w:val="14"/>
                <w:color w:val="auto"/>
              </w:rPr>
            </w:pPr>
          </w:p>
        </w:tc>
        <w:tc>
          <w:tcPr>
            <w:tcW w:w="1200" w:type="dxa"/>
            <w:vAlign w:val="bottom"/>
            <w:gridSpan w:val="2"/>
          </w:tcPr>
          <w:p>
            <w:pPr>
              <w:jc w:val="right"/>
              <w:ind w:right="820"/>
              <w:spacing w:after="0"/>
              <w:rPr>
                <w:sz w:val="20"/>
                <w:szCs w:val="20"/>
                <w:color w:val="auto"/>
              </w:rPr>
            </w:pPr>
            <w:r>
              <w:rPr>
                <w:rFonts w:ascii="Arial" w:cs="Arial" w:eastAsia="Arial" w:hAnsi="Arial"/>
                <w:sz w:val="14"/>
                <w:szCs w:val="14"/>
                <w:b w:val="1"/>
                <w:bCs w:val="1"/>
                <w:color w:val="auto"/>
                <w:w w:val="92"/>
              </w:rPr>
              <w:t>Costs</w:t>
            </w:r>
          </w:p>
        </w:tc>
        <w:tc>
          <w:tcPr>
            <w:tcW w:w="80" w:type="dxa"/>
            <w:vAlign w:val="bottom"/>
          </w:tcPr>
          <w:p>
            <w:pPr>
              <w:spacing w:after="0"/>
              <w:rPr>
                <w:sz w:val="14"/>
                <w:szCs w:val="14"/>
                <w:color w:val="auto"/>
              </w:rPr>
            </w:pPr>
          </w:p>
        </w:tc>
        <w:tc>
          <w:tcPr>
            <w:tcW w:w="60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5"/>
              </w:rPr>
              <w:t>Total</w:t>
            </w:r>
          </w:p>
        </w:tc>
      </w:tr>
      <w:tr>
        <w:trPr>
          <w:trHeight w:val="210"/>
        </w:trPr>
        <w:tc>
          <w:tcPr>
            <w:tcW w:w="20" w:type="dxa"/>
            <w:vAlign w:val="bottom"/>
          </w:tcPr>
          <w:p>
            <w:pPr>
              <w:spacing w:after="0"/>
              <w:rPr>
                <w:sz w:val="18"/>
                <w:szCs w:val="18"/>
                <w:color w:val="auto"/>
              </w:rPr>
            </w:pPr>
          </w:p>
        </w:tc>
        <w:tc>
          <w:tcPr>
            <w:tcW w:w="67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2,855</w:t>
            </w:r>
          </w:p>
        </w:tc>
        <w:tc>
          <w:tcPr>
            <w:tcW w:w="6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2,855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60" w:type="dxa"/>
            <w:vAlign w:val="bottom"/>
          </w:tcPr>
          <w:p>
            <w:pPr>
              <w:ind w:left="420"/>
              <w:spacing w:after="0"/>
              <w:rPr>
                <w:sz w:val="20"/>
                <w:szCs w:val="20"/>
                <w:color w:val="auto"/>
              </w:rPr>
            </w:pPr>
            <w:r>
              <w:rPr>
                <w:rFonts w:ascii="Arial" w:cs="Arial" w:eastAsia="Arial" w:hAnsi="Arial"/>
                <w:sz w:val="18"/>
                <w:szCs w:val="18"/>
                <w:color w:val="auto"/>
              </w:rPr>
              <w:t>Restructuring charges</w:t>
            </w: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2,786</w:t>
            </w: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1,672</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213</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4,671</w:t>
            </w: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cash payments</w:t>
            </w: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(2,735)</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(2,144)</w:t>
            </w:r>
          </w:p>
        </w:tc>
        <w:tc>
          <w:tcPr>
            <w:tcW w:w="1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(194)</w:t>
            </w: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(5,073)</w:t>
            </w:r>
          </w:p>
        </w:tc>
      </w:tr>
      <w:tr>
        <w:trPr>
          <w:trHeight w:val="222"/>
        </w:trPr>
        <w:tc>
          <w:tcPr>
            <w:tcW w:w="6780" w:type="dxa"/>
            <w:vAlign w:val="bottom"/>
            <w:gridSpan w:val="2"/>
          </w:tcPr>
          <w:p>
            <w:pPr>
              <w:spacing w:after="0"/>
              <w:rPr>
                <w:sz w:val="20"/>
                <w:szCs w:val="20"/>
                <w:color w:val="auto"/>
              </w:rPr>
            </w:pPr>
            <w:r>
              <w:rPr>
                <w:rFonts w:ascii="Arial" w:cs="Arial" w:eastAsia="Arial" w:hAnsi="Arial"/>
                <w:sz w:val="18"/>
                <w:szCs w:val="18"/>
                <w:color w:val="auto"/>
              </w:rPr>
              <w:t>Balance at February 1, 2014</w:t>
            </w:r>
          </w:p>
        </w:tc>
        <w:tc>
          <w:tcPr>
            <w:tcW w:w="140" w:type="dxa"/>
            <w:vAlign w:val="bottom"/>
            <w:tcBorders>
              <w:top w:val="single" w:sz="8" w:color="auto"/>
            </w:tcBorders>
          </w:tcPr>
          <w:p>
            <w:pPr>
              <w:spacing w:after="0"/>
              <w:rPr>
                <w:sz w:val="19"/>
                <w:szCs w:val="19"/>
                <w:color w:val="auto"/>
              </w:rPr>
            </w:pPr>
          </w:p>
        </w:tc>
        <w:tc>
          <w:tcPr>
            <w:tcW w:w="5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w:t>
            </w:r>
          </w:p>
        </w:tc>
        <w:tc>
          <w:tcPr>
            <w:tcW w:w="6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2,383</w:t>
            </w:r>
          </w:p>
        </w:tc>
        <w:tc>
          <w:tcPr>
            <w:tcW w:w="6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w:t>
            </w:r>
          </w:p>
        </w:tc>
        <w:tc>
          <w:tcPr>
            <w:tcW w:w="6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2,453</w:t>
            </w:r>
          </w:p>
        </w:tc>
        <w:tc>
          <w:tcPr>
            <w:tcW w:w="100" w:type="dxa"/>
            <w:vAlign w:val="bottom"/>
          </w:tcPr>
          <w:p>
            <w:pPr>
              <w:spacing w:after="0"/>
              <w:rPr>
                <w:sz w:val="19"/>
                <w:szCs w:val="19"/>
                <w:color w:val="auto"/>
              </w:rPr>
            </w:pPr>
          </w:p>
        </w:tc>
      </w:tr>
      <w:tr>
        <w:trPr>
          <w:trHeight w:val="217"/>
        </w:trPr>
        <w:tc>
          <w:tcPr>
            <w:tcW w:w="20" w:type="dxa"/>
            <w:vAlign w:val="bottom"/>
          </w:tcPr>
          <w:p>
            <w:pPr>
              <w:spacing w:after="0"/>
              <w:rPr>
                <w:sz w:val="18"/>
                <w:szCs w:val="18"/>
                <w:color w:val="auto"/>
              </w:rPr>
            </w:pPr>
          </w:p>
        </w:tc>
        <w:tc>
          <w:tcPr>
            <w:tcW w:w="6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 charges</w:t>
            </w: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5,181</w:t>
            </w: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1,924</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3,316</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10,421</w:t>
            </w:r>
          </w:p>
        </w:tc>
      </w:tr>
      <w:tr>
        <w:trPr>
          <w:trHeight w:val="223"/>
        </w:trPr>
        <w:tc>
          <w:tcPr>
            <w:tcW w:w="20" w:type="dxa"/>
            <w:vAlign w:val="bottom"/>
          </w:tcPr>
          <w:p>
            <w:pPr>
              <w:spacing w:after="0"/>
              <w:rPr>
                <w:sz w:val="19"/>
                <w:szCs w:val="19"/>
                <w:color w:val="auto"/>
              </w:rPr>
            </w:pPr>
          </w:p>
        </w:tc>
        <w:tc>
          <w:tcPr>
            <w:tcW w:w="6760" w:type="dxa"/>
            <w:vAlign w:val="bottom"/>
          </w:tcPr>
          <w:p>
            <w:pPr>
              <w:ind w:left="420"/>
              <w:spacing w:after="0"/>
              <w:rPr>
                <w:sz w:val="20"/>
                <w:szCs w:val="20"/>
                <w:color w:val="auto"/>
              </w:rPr>
            </w:pPr>
            <w:r>
              <w:rPr>
                <w:rFonts w:ascii="Arial" w:cs="Arial" w:eastAsia="Arial" w:hAnsi="Arial"/>
                <w:sz w:val="18"/>
                <w:szCs w:val="18"/>
                <w:color w:val="auto"/>
              </w:rPr>
              <w:t>Net cash payments</w:t>
            </w:r>
          </w:p>
        </w:tc>
        <w:tc>
          <w:tcPr>
            <w:tcW w:w="140" w:type="dxa"/>
            <w:vAlign w:val="bottom"/>
          </w:tcPr>
          <w:p>
            <w:pPr>
              <w:spacing w:after="0"/>
              <w:rPr>
                <w:sz w:val="19"/>
                <w:szCs w:val="19"/>
                <w:color w:val="auto"/>
              </w:rPr>
            </w:pPr>
          </w:p>
        </w:tc>
        <w:tc>
          <w:tcPr>
            <w:tcW w:w="1160" w:type="dxa"/>
            <w:vAlign w:val="bottom"/>
            <w:gridSpan w:val="2"/>
          </w:tcPr>
          <w:p>
            <w:pPr>
              <w:jc w:val="right"/>
              <w:ind w:right="540"/>
              <w:spacing w:after="0"/>
              <w:rPr>
                <w:sz w:val="20"/>
                <w:szCs w:val="20"/>
                <w:color w:val="auto"/>
              </w:rPr>
            </w:pPr>
            <w:r>
              <w:rPr>
                <w:rFonts w:ascii="Arial" w:cs="Arial" w:eastAsia="Arial" w:hAnsi="Arial"/>
                <w:sz w:val="18"/>
                <w:szCs w:val="18"/>
                <w:color w:val="auto"/>
              </w:rPr>
              <w:t>(5,232)</w:t>
            </w:r>
          </w:p>
        </w:tc>
        <w:tc>
          <w:tcPr>
            <w:tcW w:w="100" w:type="dxa"/>
            <w:vAlign w:val="bottom"/>
          </w:tcPr>
          <w:p>
            <w:pPr>
              <w:spacing w:after="0"/>
              <w:rPr>
                <w:sz w:val="19"/>
                <w:szCs w:val="19"/>
                <w:color w:val="auto"/>
              </w:rPr>
            </w:pPr>
          </w:p>
        </w:tc>
        <w:tc>
          <w:tcPr>
            <w:tcW w:w="1220" w:type="dxa"/>
            <w:vAlign w:val="bottom"/>
            <w:gridSpan w:val="2"/>
          </w:tcPr>
          <w:p>
            <w:pPr>
              <w:jc w:val="right"/>
              <w:ind w:right="560"/>
              <w:spacing w:after="0"/>
              <w:rPr>
                <w:sz w:val="20"/>
                <w:szCs w:val="20"/>
                <w:color w:val="auto"/>
              </w:rPr>
            </w:pPr>
            <w:r>
              <w:rPr>
                <w:rFonts w:ascii="Arial" w:cs="Arial" w:eastAsia="Arial" w:hAnsi="Arial"/>
                <w:sz w:val="18"/>
                <w:szCs w:val="18"/>
                <w:color w:val="auto"/>
              </w:rPr>
              <w:t>(2,968)</w:t>
            </w:r>
          </w:p>
        </w:tc>
        <w:tc>
          <w:tcPr>
            <w:tcW w:w="140" w:type="dxa"/>
            <w:vAlign w:val="bottom"/>
          </w:tcPr>
          <w:p>
            <w:pPr>
              <w:spacing w:after="0"/>
              <w:rPr>
                <w:sz w:val="19"/>
                <w:szCs w:val="19"/>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(105)</w:t>
            </w:r>
          </w:p>
        </w:tc>
        <w:tc>
          <w:tcPr>
            <w:tcW w:w="80" w:type="dxa"/>
            <w:vAlign w:val="bottom"/>
          </w:tcPr>
          <w:p>
            <w:pPr>
              <w:spacing w:after="0"/>
              <w:rPr>
                <w:sz w:val="19"/>
                <w:szCs w:val="19"/>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(8,305)</w:t>
            </w: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2015</w:t>
            </w:r>
          </w:p>
        </w:tc>
        <w:tc>
          <w:tcPr>
            <w:tcW w:w="14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1,339</w:t>
            </w:r>
          </w:p>
        </w:tc>
        <w:tc>
          <w:tcPr>
            <w:tcW w:w="620" w:type="dxa"/>
            <w:vAlign w:val="bottom"/>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3,230</w:t>
            </w:r>
          </w:p>
        </w:tc>
        <w:tc>
          <w:tcPr>
            <w:tcW w:w="6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4,569</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7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balance at January 31, 2015 for facility and related costs includes remaining payments under lease obligations related to vacated space that are expected to be paid through fiscal 2018. Other exit-related costs include payment related to the exercise of the early buy out option for an asset under an existing operating lease agreement, which is expected to be paid in the first quarter of fiscal 2016.</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Income Taxes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U.S. and non-U.S. components of income before income taxes consist of the following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0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4900" w:type="dxa"/>
            <w:vAlign w:val="bottom"/>
          </w:tcPr>
          <w:p>
            <w:pPr>
              <w:spacing w:after="0"/>
              <w:rPr>
                <w:sz w:val="11"/>
                <w:szCs w:val="11"/>
                <w:color w:val="auto"/>
              </w:rPr>
            </w:pPr>
          </w:p>
        </w:tc>
        <w:tc>
          <w:tcPr>
            <w:tcW w:w="342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220" w:type="dxa"/>
            <w:vAlign w:val="bottom"/>
          </w:tcPr>
          <w:p>
            <w:pPr>
              <w:spacing w:after="0"/>
              <w:rPr>
                <w:sz w:val="11"/>
                <w:szCs w:val="11"/>
                <w:color w:val="auto"/>
              </w:rPr>
            </w:pPr>
          </w:p>
        </w:tc>
        <w:tc>
          <w:tcPr>
            <w:tcW w:w="11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1,</w:t>
            </w: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r>
      <w:tr>
        <w:trPr>
          <w:trHeight w:val="161"/>
        </w:trPr>
        <w:tc>
          <w:tcPr>
            <w:tcW w:w="4900" w:type="dxa"/>
            <w:vAlign w:val="bottom"/>
            <w:tcBorders>
              <w:bottom w:val="single" w:sz="8" w:color="CCEEFF"/>
            </w:tcBorders>
          </w:tcPr>
          <w:p>
            <w:pPr>
              <w:spacing w:after="0"/>
              <w:rPr>
                <w:sz w:val="14"/>
                <w:szCs w:val="14"/>
                <w:color w:val="auto"/>
              </w:rPr>
            </w:pPr>
          </w:p>
        </w:tc>
        <w:tc>
          <w:tcPr>
            <w:tcW w:w="34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100"/>
              <w:spacing w:after="0"/>
              <w:rPr>
                <w:sz w:val="20"/>
                <w:szCs w:val="20"/>
                <w:color w:val="auto"/>
              </w:rPr>
            </w:pPr>
            <w:r>
              <w:rPr>
                <w:rFonts w:ascii="Arial" w:cs="Arial" w:eastAsia="Arial" w:hAnsi="Arial"/>
                <w:sz w:val="14"/>
                <w:szCs w:val="14"/>
                <w:b w:val="1"/>
                <w:bCs w:val="1"/>
                <w:color w:val="auto"/>
              </w:rPr>
              <w:t>2015</w:t>
            </w:r>
          </w:p>
        </w:tc>
        <w:tc>
          <w:tcPr>
            <w:tcW w:w="2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2014</w:t>
            </w:r>
          </w:p>
        </w:tc>
        <w:tc>
          <w:tcPr>
            <w:tcW w:w="4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210"/>
        </w:trPr>
        <w:tc>
          <w:tcPr>
            <w:tcW w:w="4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U.S. operations</w:t>
            </w:r>
          </w:p>
        </w:tc>
        <w:tc>
          <w:tcPr>
            <w:tcW w:w="3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ind w:left="100"/>
              <w:spacing w:after="0"/>
              <w:rPr>
                <w:sz w:val="20"/>
                <w:szCs w:val="20"/>
                <w:color w:val="auto"/>
              </w:rPr>
            </w:pPr>
            <w:r>
              <w:rPr>
                <w:rFonts w:ascii="Arial" w:cs="Arial" w:eastAsia="Arial" w:hAnsi="Arial"/>
                <w:sz w:val="18"/>
                <w:szCs w:val="18"/>
                <w:color w:val="auto"/>
                <w:w w:val="83"/>
              </w:rPr>
              <w:t>31,942</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31,339</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34,900</w:t>
            </w:r>
          </w:p>
        </w:tc>
        <w:tc>
          <w:tcPr>
            <w:tcW w:w="100" w:type="dxa"/>
            <w:vAlign w:val="bottom"/>
            <w:shd w:val="clear" w:color="auto" w:fill="CCEEFF"/>
          </w:tcPr>
          <w:p>
            <w:pPr>
              <w:spacing w:after="0"/>
              <w:rPr>
                <w:sz w:val="18"/>
                <w:szCs w:val="18"/>
                <w:color w:val="auto"/>
              </w:rPr>
            </w:pPr>
          </w:p>
        </w:tc>
      </w:tr>
      <w:tr>
        <w:trPr>
          <w:trHeight w:val="216"/>
        </w:trPr>
        <w:tc>
          <w:tcPr>
            <w:tcW w:w="4900" w:type="dxa"/>
            <w:vAlign w:val="bottom"/>
          </w:tcPr>
          <w:p>
            <w:pPr>
              <w:spacing w:after="0"/>
              <w:rPr>
                <w:sz w:val="20"/>
                <w:szCs w:val="20"/>
                <w:color w:val="auto"/>
              </w:rPr>
            </w:pPr>
            <w:r>
              <w:rPr>
                <w:rFonts w:ascii="Arial" w:cs="Arial" w:eastAsia="Arial" w:hAnsi="Arial"/>
                <w:sz w:val="18"/>
                <w:szCs w:val="18"/>
                <w:color w:val="auto"/>
              </w:rPr>
              <w:t>Non-U.S. operations</w:t>
            </w:r>
          </w:p>
        </w:tc>
        <w:tc>
          <w:tcPr>
            <w:tcW w:w="3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86"/>
              </w:rPr>
              <w:t>400,211</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274,918</w:t>
            </w:r>
          </w:p>
        </w:tc>
        <w:tc>
          <w:tcPr>
            <w:tcW w:w="1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275,290</w:t>
            </w:r>
          </w:p>
        </w:tc>
      </w:tr>
      <w:tr>
        <w:trPr>
          <w:trHeight w:val="27"/>
        </w:trPr>
        <w:tc>
          <w:tcPr>
            <w:tcW w:w="4900" w:type="dxa"/>
            <w:vAlign w:val="bottom"/>
          </w:tcPr>
          <w:p>
            <w:pPr>
              <w:spacing w:after="0"/>
              <w:rPr>
                <w:sz w:val="2"/>
                <w:szCs w:val="2"/>
                <w:color w:val="auto"/>
              </w:rPr>
            </w:pPr>
          </w:p>
        </w:tc>
        <w:tc>
          <w:tcPr>
            <w:tcW w:w="3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900" w:type="dxa"/>
            <w:vAlign w:val="bottom"/>
            <w:shd w:val="clear" w:color="auto" w:fill="CCEEFF"/>
          </w:tcPr>
          <w:p>
            <w:pPr>
              <w:spacing w:after="0"/>
              <w:rPr>
                <w:sz w:val="18"/>
                <w:szCs w:val="18"/>
                <w:color w:val="auto"/>
              </w:rPr>
            </w:pPr>
          </w:p>
        </w:tc>
        <w:tc>
          <w:tcPr>
            <w:tcW w:w="3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432,153</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306,257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310,190</w:t>
            </w:r>
          </w:p>
        </w:tc>
      </w:tr>
      <w:tr>
        <w:trPr>
          <w:trHeight w:val="20"/>
        </w:trPr>
        <w:tc>
          <w:tcPr>
            <w:tcW w:w="4900" w:type="dxa"/>
            <w:vAlign w:val="bottom"/>
          </w:tcPr>
          <w:p>
            <w:pPr>
              <w:spacing w:after="0" w:line="20" w:lineRule="exact"/>
              <w:rPr>
                <w:sz w:val="1"/>
                <w:szCs w:val="1"/>
                <w:color w:val="auto"/>
              </w:rPr>
            </w:pPr>
          </w:p>
        </w:tc>
        <w:tc>
          <w:tcPr>
            <w:tcW w:w="3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provision (benefit) for income taxes consists of the following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27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40" w:type="dxa"/>
            <w:vAlign w:val="bottom"/>
          </w:tcPr>
          <w:p>
            <w:pPr>
              <w:spacing w:after="0"/>
              <w:rPr>
                <w:sz w:val="11"/>
                <w:szCs w:val="11"/>
                <w:color w:val="auto"/>
              </w:rPr>
            </w:pPr>
          </w:p>
        </w:tc>
        <w:tc>
          <w:tcPr>
            <w:tcW w:w="2780" w:type="dxa"/>
            <w:vAlign w:val="bottom"/>
          </w:tcPr>
          <w:p>
            <w:pPr>
              <w:spacing w:after="0"/>
              <w:rPr>
                <w:sz w:val="11"/>
                <w:szCs w:val="11"/>
                <w:color w:val="auto"/>
              </w:rPr>
            </w:pPr>
          </w:p>
        </w:tc>
        <w:tc>
          <w:tcPr>
            <w:tcW w:w="108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300" w:type="dxa"/>
            <w:vAlign w:val="bottom"/>
          </w:tcPr>
          <w:p>
            <w:pPr>
              <w:spacing w:after="0"/>
              <w:rPr>
                <w:sz w:val="11"/>
                <w:szCs w:val="11"/>
                <w:color w:val="auto"/>
              </w:rPr>
            </w:pPr>
          </w:p>
        </w:tc>
        <w:tc>
          <w:tcPr>
            <w:tcW w:w="138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40" w:type="dxa"/>
            <w:vAlign w:val="bottom"/>
            <w:tcBorders>
              <w:bottom w:val="single" w:sz="8" w:color="CCEEFF"/>
            </w:tcBorders>
          </w:tcPr>
          <w:p>
            <w:pPr>
              <w:spacing w:after="0"/>
              <w:rPr>
                <w:sz w:val="14"/>
                <w:szCs w:val="14"/>
                <w:color w:val="auto"/>
              </w:rPr>
            </w:pPr>
          </w:p>
        </w:tc>
        <w:tc>
          <w:tcPr>
            <w:tcW w:w="27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2015</w:t>
            </w:r>
          </w:p>
        </w:tc>
        <w:tc>
          <w:tcPr>
            <w:tcW w:w="3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2014</w:t>
            </w:r>
          </w:p>
        </w:tc>
        <w:tc>
          <w:tcPr>
            <w:tcW w:w="6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Current income tax provision (benefit):</w:t>
            </w:r>
          </w:p>
        </w:tc>
        <w:tc>
          <w:tcPr>
            <w:tcW w:w="27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Federal</w:t>
            </w:r>
          </w:p>
        </w:tc>
        <w:tc>
          <w:tcPr>
            <w:tcW w:w="2900" w:type="dxa"/>
            <w:vAlign w:val="bottom"/>
            <w:gridSpan w:val="2"/>
          </w:tcPr>
          <w:p>
            <w:pPr>
              <w:ind w:left="2780"/>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9,096</w:t>
            </w:r>
          </w:p>
        </w:tc>
        <w:tc>
          <w:tcPr>
            <w:tcW w:w="380" w:type="dxa"/>
            <w:vAlign w:val="bottom"/>
          </w:tcPr>
          <w:p>
            <w:pPr>
              <w:spacing w:after="0"/>
              <w:rPr>
                <w:sz w:val="18"/>
                <w:szCs w:val="18"/>
                <w:color w:val="auto"/>
              </w:rPr>
            </w:pP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5,774</w:t>
            </w:r>
          </w:p>
        </w:tc>
        <w:tc>
          <w:tcPr>
            <w:tcW w:w="68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4,461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State</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(161)</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Foreign</w:t>
            </w:r>
          </w:p>
        </w:tc>
        <w:tc>
          <w:tcPr>
            <w:tcW w:w="2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785</w:t>
            </w: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gridSpan w:val="2"/>
          </w:tcPr>
          <w:p>
            <w:pPr>
              <w:jc w:val="right"/>
              <w:ind w:right="620"/>
              <w:spacing w:after="0"/>
              <w:rPr>
                <w:sz w:val="20"/>
                <w:szCs w:val="20"/>
                <w:color w:val="auto"/>
              </w:rPr>
            </w:pPr>
            <w:r>
              <w:rPr>
                <w:rFonts w:ascii="Arial" w:cs="Arial" w:eastAsia="Arial" w:hAnsi="Arial"/>
                <w:sz w:val="18"/>
                <w:szCs w:val="18"/>
                <w:color w:val="auto"/>
                <w:w w:val="92"/>
              </w:rPr>
              <w:t>(18,829)</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(8,289)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40" w:type="dxa"/>
            <w:vAlign w:val="bottom"/>
          </w:tcPr>
          <w:p>
            <w:pPr>
              <w:spacing w:after="0"/>
              <w:rPr>
                <w:sz w:val="2"/>
                <w:szCs w:val="2"/>
                <w:color w:val="auto"/>
              </w:rPr>
            </w:pPr>
          </w:p>
        </w:tc>
        <w:tc>
          <w:tcPr>
            <w:tcW w:w="27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Total current income tax provision (benefit)</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9,720</w:t>
            </w:r>
          </w:p>
        </w:tc>
        <w:tc>
          <w:tcPr>
            <w:tcW w:w="3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92"/>
              </w:rPr>
              <w:t>(12,982)</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(3,421)</w:t>
            </w:r>
          </w:p>
        </w:tc>
        <w:tc>
          <w:tcPr>
            <w:tcW w:w="0" w:type="dxa"/>
            <w:vAlign w:val="bottom"/>
          </w:tcPr>
          <w:p>
            <w:pPr>
              <w:spacing w:after="0"/>
              <w:rPr>
                <w:sz w:val="1"/>
                <w:szCs w:val="1"/>
                <w:color w:val="auto"/>
              </w:rPr>
            </w:pPr>
          </w:p>
        </w:tc>
      </w:tr>
      <w:tr>
        <w:trPr>
          <w:trHeight w:val="222"/>
        </w:trPr>
        <w:tc>
          <w:tcPr>
            <w:tcW w:w="4160" w:type="dxa"/>
            <w:vAlign w:val="bottom"/>
            <w:gridSpan w:val="2"/>
          </w:tcPr>
          <w:p>
            <w:pPr>
              <w:spacing w:after="0"/>
              <w:rPr>
                <w:sz w:val="20"/>
                <w:szCs w:val="20"/>
                <w:color w:val="auto"/>
              </w:rPr>
            </w:pPr>
            <w:r>
              <w:rPr>
                <w:rFonts w:ascii="Arial" w:cs="Arial" w:eastAsia="Arial" w:hAnsi="Arial"/>
                <w:sz w:val="18"/>
                <w:szCs w:val="18"/>
                <w:color w:val="auto"/>
              </w:rPr>
              <w:t>Deferred income tax provision (benefit):</w:t>
            </w:r>
          </w:p>
        </w:tc>
        <w:tc>
          <w:tcPr>
            <w:tcW w:w="27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spacing w:after="0"/>
              <w:rPr>
                <w:sz w:val="19"/>
                <w:szCs w:val="19"/>
                <w:color w:val="auto"/>
              </w:rPr>
            </w:pPr>
          </w:p>
        </w:tc>
        <w:tc>
          <w:tcPr>
            <w:tcW w:w="68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5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Federal</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(1,775)</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State</w:t>
            </w:r>
          </w:p>
        </w:tc>
        <w:tc>
          <w:tcPr>
            <w:tcW w:w="2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w:t>
            </w: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2"/>
              </w:rPr>
              <w:t>(11,154)</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3,570</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630</w:t>
            </w:r>
          </w:p>
        </w:tc>
        <w:tc>
          <w:tcPr>
            <w:tcW w:w="0" w:type="dxa"/>
            <w:vAlign w:val="bottom"/>
          </w:tcPr>
          <w:p>
            <w:pPr>
              <w:spacing w:after="0"/>
              <w:rPr>
                <w:sz w:val="1"/>
                <w:szCs w:val="1"/>
                <w:color w:val="auto"/>
              </w:rPr>
            </w:pPr>
          </w:p>
        </w:tc>
      </w:tr>
      <w:tr>
        <w:trPr>
          <w:trHeight w:val="20"/>
        </w:trPr>
        <w:tc>
          <w:tcPr>
            <w:tcW w:w="4160" w:type="dxa"/>
            <w:vAlign w:val="bottom"/>
            <w:gridSpan w:val="2"/>
            <w:vMerge w:val="restart"/>
          </w:tcPr>
          <w:p>
            <w:pPr>
              <w:spacing w:after="0"/>
              <w:rPr>
                <w:sz w:val="20"/>
                <w:szCs w:val="20"/>
                <w:color w:val="auto"/>
              </w:rPr>
            </w:pPr>
            <w:r>
              <w:rPr>
                <w:rFonts w:ascii="Arial" w:cs="Arial" w:eastAsia="Arial" w:hAnsi="Arial"/>
                <w:sz w:val="18"/>
                <w:szCs w:val="18"/>
                <w:color w:val="auto"/>
              </w:rPr>
              <w:t>Total deferred income tax provision (benefit)</w:t>
            </w:r>
          </w:p>
        </w:tc>
        <w:tc>
          <w:tcPr>
            <w:tcW w:w="27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160" w:type="dxa"/>
            <w:vAlign w:val="bottom"/>
            <w:gridSpan w:val="2"/>
            <w:vMerge w:val="continue"/>
          </w:tcPr>
          <w:p>
            <w:pPr>
              <w:spacing w:after="0"/>
              <w:rPr>
                <w:sz w:val="19"/>
                <w:szCs w:val="19"/>
                <w:color w:val="auto"/>
              </w:rPr>
            </w:pPr>
          </w:p>
        </w:tc>
        <w:tc>
          <w:tcPr>
            <w:tcW w:w="27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2"/>
              </w:rPr>
              <w:t>(12,913)</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3,919</w:t>
            </w:r>
          </w:p>
        </w:tc>
        <w:tc>
          <w:tcPr>
            <w:tcW w:w="6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7,026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40" w:type="dxa"/>
            <w:vAlign w:val="bottom"/>
          </w:tcPr>
          <w:p>
            <w:pPr>
              <w:spacing w:after="0"/>
              <w:rPr>
                <w:sz w:val="2"/>
                <w:szCs w:val="2"/>
                <w:color w:val="auto"/>
              </w:rPr>
            </w:pPr>
          </w:p>
        </w:tc>
        <w:tc>
          <w:tcPr>
            <w:tcW w:w="27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Total provision (benefit) for income taxes</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(3,193)</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12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(9,063)</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2780" w:type="dxa"/>
            <w:vAlign w:val="bottom"/>
            <w:vMerge w:val="restart"/>
          </w:tcPr>
          <w:p>
            <w:pPr>
              <w:jc w:val="right"/>
              <w:ind w:right="1512"/>
              <w:spacing w:after="0"/>
              <w:rPr>
                <w:sz w:val="20"/>
                <w:szCs w:val="20"/>
                <w:color w:val="auto"/>
              </w:rPr>
            </w:pPr>
            <w:r>
              <w:rPr>
                <w:rFonts w:ascii="Arial" w:cs="Arial" w:eastAsia="Arial" w:hAnsi="Arial"/>
                <w:sz w:val="18"/>
                <w:szCs w:val="18"/>
                <w:color w:val="auto"/>
              </w:rPr>
              <w:t>81</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40" w:type="dxa"/>
            <w:vAlign w:val="bottom"/>
          </w:tcPr>
          <w:p>
            <w:pPr>
              <w:spacing w:after="0"/>
              <w:rPr>
                <w:sz w:val="24"/>
                <w:szCs w:val="24"/>
                <w:color w:val="auto"/>
              </w:rPr>
            </w:pPr>
          </w:p>
        </w:tc>
        <w:tc>
          <w:tcPr>
            <w:tcW w:w="278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The income tax benefit for fiscal 2015 includes the current income tax liability of $17.4 million plus a $7.4 million increase in current unrecognized tax benefit. These charges were offset by a reduction in unrecognized tax benefits that arose from the release of $16.4 million due to the expiration of statute of limitations in non-U.S. jurisdictions and a $12.9 million increase in net deferred tax assets. The income tax benefit for fiscal 2014 included the current income tax liability of $13.2 million plus a $9.1 million increase in current unrecognized tax benefit which were offset by a reduction in unrecognized tax benefits that arose from the release of $31.8 million due to the expiration of statute of limitations and the settlement of an audit in non-U.S. jurisdictions. The provision for income taxes for fiscal 2013 consisted of the current income tax liability of $20.1 million plus a $8.0 million increase in current unrecognized tax benefit which were offset by a reduction in unrecognized tax benefits that arose from the release of $26.8 million due to the expiration of statute of limitations in non-U.S. jurisdictions.</w:t>
      </w:r>
    </w:p>
    <w:p>
      <w:pPr>
        <w:spacing w:after="0" w:line="14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Deferred tax assets consist of the following (in thousands):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106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31,</w:t>
            </w:r>
          </w:p>
        </w:tc>
        <w:tc>
          <w:tcPr>
            <w:tcW w:w="280" w:type="dxa"/>
            <w:vAlign w:val="bottom"/>
          </w:tcPr>
          <w:p>
            <w:pPr>
              <w:spacing w:after="0"/>
              <w:rPr>
                <w:sz w:val="14"/>
                <w:szCs w:val="1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0"/>
              </w:rPr>
              <w:t>February 1,</w:t>
            </w:r>
          </w:p>
        </w:tc>
      </w:tr>
      <w:tr>
        <w:trPr>
          <w:trHeight w:val="161"/>
        </w:trPr>
        <w:tc>
          <w:tcPr>
            <w:tcW w:w="8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2015</w:t>
            </w:r>
          </w:p>
        </w:tc>
        <w:tc>
          <w:tcPr>
            <w:tcW w:w="3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83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Deferred tax assets:</w:t>
            </w: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320" w:type="dxa"/>
            <w:vAlign w:val="bottom"/>
          </w:tcPr>
          <w:p>
            <w:pPr>
              <w:ind w:left="440"/>
              <w:spacing w:after="0"/>
              <w:rPr>
                <w:sz w:val="20"/>
                <w:szCs w:val="20"/>
                <w:color w:val="auto"/>
              </w:rPr>
            </w:pPr>
            <w:r>
              <w:rPr>
                <w:rFonts w:ascii="Arial" w:cs="Arial" w:eastAsia="Arial" w:hAnsi="Arial"/>
                <w:sz w:val="18"/>
                <w:szCs w:val="18"/>
                <w:color w:val="auto"/>
              </w:rPr>
              <w:t>Federal and California research and other tax credits</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382,726</w:t>
            </w:r>
          </w:p>
        </w:tc>
        <w:tc>
          <w:tcPr>
            <w:tcW w:w="340" w:type="dxa"/>
            <w:vAlign w:val="bottom"/>
          </w:tcPr>
          <w:p>
            <w:pPr>
              <w:spacing w:after="0"/>
              <w:rPr>
                <w:sz w:val="18"/>
                <w:szCs w:val="18"/>
                <w:color w:val="auto"/>
              </w:rPr>
            </w:pP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335,894</w:t>
            </w:r>
          </w:p>
        </w:tc>
      </w:tr>
      <w:tr>
        <w:trPr>
          <w:trHeight w:val="216"/>
        </w:trPr>
        <w:tc>
          <w:tcPr>
            <w:tcW w:w="8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Reserves and accruals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35,538</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25,833</w:t>
            </w:r>
          </w:p>
        </w:tc>
      </w:tr>
      <w:tr>
        <w:trPr>
          <w:trHeight w:val="216"/>
        </w:trPr>
        <w:tc>
          <w:tcPr>
            <w:tcW w:w="8320" w:type="dxa"/>
            <w:vAlign w:val="bottom"/>
          </w:tcPr>
          <w:p>
            <w:pPr>
              <w:ind w:left="440"/>
              <w:spacing w:after="0"/>
              <w:rPr>
                <w:sz w:val="20"/>
                <w:szCs w:val="20"/>
                <w:color w:val="auto"/>
              </w:rPr>
            </w:pPr>
            <w:r>
              <w:rPr>
                <w:rFonts w:ascii="Arial" w:cs="Arial" w:eastAsia="Arial" w:hAnsi="Arial"/>
                <w:sz w:val="18"/>
                <w:szCs w:val="18"/>
                <w:color w:val="auto"/>
              </w:rPr>
              <w:t>Share-based compensation</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4,502</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4,067</w:t>
            </w:r>
          </w:p>
        </w:tc>
      </w:tr>
      <w:tr>
        <w:trPr>
          <w:trHeight w:val="216"/>
        </w:trPr>
        <w:tc>
          <w:tcPr>
            <w:tcW w:w="8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operating losses</w:t>
            </w: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14,940</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18,470</w:t>
            </w:r>
          </w:p>
        </w:tc>
        <w:tc>
          <w:tcPr>
            <w:tcW w:w="100" w:type="dxa"/>
            <w:vAlign w:val="bottom"/>
            <w:shd w:val="clear" w:color="auto" w:fill="CCEEFF"/>
          </w:tcPr>
          <w:p>
            <w:pPr>
              <w:spacing w:after="0"/>
              <w:rPr>
                <w:sz w:val="18"/>
                <w:szCs w:val="18"/>
                <w:color w:val="auto"/>
              </w:rPr>
            </w:pPr>
          </w:p>
        </w:tc>
      </w:tr>
      <w:tr>
        <w:trPr>
          <w:trHeight w:val="221"/>
        </w:trPr>
        <w:tc>
          <w:tcPr>
            <w:tcW w:w="8320" w:type="dxa"/>
            <w:vAlign w:val="bottom"/>
          </w:tcPr>
          <w:p>
            <w:pPr>
              <w:spacing w:after="0"/>
              <w:rPr>
                <w:sz w:val="20"/>
                <w:szCs w:val="20"/>
                <w:color w:val="auto"/>
              </w:rPr>
            </w:pPr>
            <w:r>
              <w:rPr>
                <w:rFonts w:ascii="Arial" w:cs="Arial" w:eastAsia="Arial" w:hAnsi="Arial"/>
                <w:sz w:val="18"/>
                <w:szCs w:val="18"/>
                <w:color w:val="auto"/>
              </w:rPr>
              <w:t>Gross deferred tax assets</w:t>
            </w:r>
          </w:p>
        </w:tc>
        <w:tc>
          <w:tcPr>
            <w:tcW w:w="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437,706</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384,264</w:t>
            </w:r>
          </w:p>
        </w:tc>
      </w:tr>
      <w:tr>
        <w:trPr>
          <w:trHeight w:val="218"/>
        </w:trPr>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8"/>
              </w:rPr>
              <w:t>(382,796)</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(335,890)</w:t>
            </w:r>
          </w:p>
        </w:tc>
      </w:tr>
      <w:tr>
        <w:trPr>
          <w:trHeight w:val="221"/>
        </w:trPr>
        <w:tc>
          <w:tcPr>
            <w:tcW w:w="8320" w:type="dxa"/>
            <w:vAlign w:val="bottom"/>
          </w:tcPr>
          <w:p>
            <w:pPr>
              <w:spacing w:after="0"/>
              <w:rPr>
                <w:sz w:val="20"/>
                <w:szCs w:val="20"/>
                <w:color w:val="auto"/>
              </w:rPr>
            </w:pPr>
            <w:r>
              <w:rPr>
                <w:rFonts w:ascii="Arial" w:cs="Arial" w:eastAsia="Arial" w:hAnsi="Arial"/>
                <w:sz w:val="18"/>
                <w:szCs w:val="18"/>
                <w:color w:val="auto"/>
              </w:rPr>
              <w:t>Total deferred tax assets</w:t>
            </w: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54,910</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48,374</w:t>
            </w:r>
          </w:p>
        </w:tc>
        <w:tc>
          <w:tcPr>
            <w:tcW w:w="100" w:type="dxa"/>
            <w:vAlign w:val="bottom"/>
          </w:tcPr>
          <w:p>
            <w:pPr>
              <w:spacing w:after="0"/>
              <w:rPr>
                <w:sz w:val="19"/>
                <w:szCs w:val="19"/>
                <w:color w:val="auto"/>
              </w:rPr>
            </w:pPr>
          </w:p>
        </w:tc>
      </w:tr>
      <w:tr>
        <w:trPr>
          <w:trHeight w:val="218"/>
        </w:trPr>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(11,209)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(17,586)</w:t>
            </w:r>
          </w:p>
        </w:tc>
      </w:tr>
      <w:tr>
        <w:trPr>
          <w:trHeight w:val="222"/>
        </w:trPr>
        <w:tc>
          <w:tcPr>
            <w:tcW w:w="8320" w:type="dxa"/>
            <w:vAlign w:val="bottom"/>
          </w:tcPr>
          <w:p>
            <w:pPr>
              <w:spacing w:after="0"/>
              <w:rPr>
                <w:sz w:val="20"/>
                <w:szCs w:val="20"/>
                <w:color w:val="auto"/>
              </w:rPr>
            </w:pPr>
            <w:r>
              <w:rPr>
                <w:rFonts w:ascii="Arial" w:cs="Arial" w:eastAsia="Arial" w:hAnsi="Arial"/>
                <w:sz w:val="18"/>
                <w:szCs w:val="18"/>
                <w:color w:val="auto"/>
              </w:rPr>
              <w:t>Net deferred tax assets</w:t>
            </w: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43,701</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30,788</w:t>
            </w:r>
          </w:p>
        </w:tc>
        <w:tc>
          <w:tcPr>
            <w:tcW w:w="100" w:type="dxa"/>
            <w:vAlign w:val="bottom"/>
          </w:tcPr>
          <w:p>
            <w:pPr>
              <w:spacing w:after="0"/>
              <w:rPr>
                <w:sz w:val="19"/>
                <w:szCs w:val="19"/>
                <w:color w:val="auto"/>
              </w:rPr>
            </w:pPr>
          </w:p>
        </w:tc>
      </w:tr>
      <w:tr>
        <w:trPr>
          <w:trHeight w:val="20"/>
        </w:trPr>
        <w:tc>
          <w:tcPr>
            <w:tcW w:w="8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460" w:firstLine="456"/>
        <w:spacing w:after="0" w:line="268" w:lineRule="auto"/>
        <w:rPr>
          <w:sz w:val="20"/>
          <w:szCs w:val="20"/>
          <w:color w:val="auto"/>
        </w:rPr>
      </w:pPr>
      <w:r>
        <w:rPr>
          <w:rFonts w:ascii="Arial" w:cs="Arial" w:eastAsia="Arial" w:hAnsi="Arial"/>
          <w:sz w:val="18"/>
          <w:szCs w:val="18"/>
          <w:color w:val="auto"/>
        </w:rPr>
        <w:t>As presented in the consolidated balance sheet as of January 31, 2015, deferred tax assets for certain net operating losses that are available to be used included in the table above have been offset by unrecognized tax benefits.</w:t>
      </w:r>
    </w:p>
    <w:p>
      <w:pPr>
        <w:spacing w:after="0" w:line="132"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The non-current portion of the deferred tax assets as of January 31, 2015 and February 1, 2014 was $22.3 million and $19.3 million, respectively, and is included in other non-current assets. During fiscal 2015, deferred tax assets, net of a corresponding valuation allowance increased $12.9 million from the end of fiscal 2014, mostly due to an increase in the Singapore deferred tax asset since the Company re-negotiated with the Singapore government and in fiscal 2015, they extended the Development and Expansion Incentive (“DEI”) until June 2019.</w:t>
      </w:r>
    </w:p>
    <w:p>
      <w:pPr>
        <w:spacing w:after="0" w:line="11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of January 31, 2015, the Company had net operating loss carryforwards available to offset future taxable income of approximately $58.2 million, $1.8 million and $7.4 million for foreign, U.S. federal and state of California purposes, respectively. The federal carryforwards will expire in various fiscal years between 2020 and 2024, and the California carryforwards will expire at various fiscal years between 2018 and 2033, if not utilized before these years. The losses in non-U.S. companies vary; some countries allows the loss be carried forward indefinitely while another allows only 15 years. For U.S. federal income tax return purposes, the Company had research tax credit carryforwards of approximately $233.2 million that expire through fiscal 2035. As of January 31, 2015, the Company had unused California research and tax credit carryforwards of approximately $239.1 million, which can be carryforward indefinitely. Included in the U.S. federal and California carryforward amounts are $56.8 million and $55.0 million, respectively, that are attributable to excess tax benefits from stock</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400"/>
          </w:cols>
          <w:pgMar w:left="240" w:top="459" w:right="25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340"/>
        <w:spacing w:after="0" w:line="332" w:lineRule="auto"/>
        <w:rPr>
          <w:sz w:val="20"/>
          <w:szCs w:val="20"/>
          <w:color w:val="auto"/>
        </w:rPr>
      </w:pPr>
      <w:r>
        <w:rPr>
          <w:rFonts w:ascii="Arial" w:cs="Arial" w:eastAsia="Arial" w:hAnsi="Arial"/>
          <w:sz w:val="16"/>
          <w:szCs w:val="16"/>
          <w:color w:val="auto"/>
        </w:rPr>
        <w:t>options. Upon realization, the benefit associated with these credits will increase additional paid-in capital. The Company also has research and investment tax credit carryforwards of approximately $20.8 million in other U.S. states that expire through fiscal 2030 due to the statute of limitation.</w:t>
      </w:r>
    </w:p>
    <w:p>
      <w:pPr>
        <w:spacing w:after="0" w:line="85"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At the end of fiscal 2015, the Company has provided a full valuation allowance against its federal and various state research credits which it earns in excess of its current year tax liabilities, as well as a portion against its net operating loss carryforwards. Based on the available objective positive and negative evidence, the Company has determined that it is more likely than not that these research credits and acquired net operating losses will not be realized. Therefore, the Company has recorded a valuation allowance of $382.8 million, an increase of $46.9 million from fiscal 2014.</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5"/>
          </w:tcPr>
          <w:p>
            <w:pPr>
              <w:jc w:val="center"/>
              <w:ind w:right="920"/>
              <w:spacing w:after="0"/>
              <w:rPr>
                <w:sz w:val="20"/>
                <w:szCs w:val="20"/>
                <w:color w:val="auto"/>
              </w:rPr>
            </w:pPr>
            <w:r>
              <w:rPr>
                <w:rFonts w:ascii="Arial" w:cs="Arial" w:eastAsia="Arial" w:hAnsi="Arial"/>
                <w:sz w:val="14"/>
                <w:szCs w:val="14"/>
                <w:b w:val="1"/>
                <w:bCs w:val="1"/>
                <w:color w:val="auto"/>
                <w:w w:val="88"/>
              </w:rPr>
              <w:t>Year Ended</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00" w:type="dxa"/>
            <w:vAlign w:val="bottom"/>
          </w:tcPr>
          <w:p>
            <w:pPr>
              <w:spacing w:after="0"/>
              <w:rPr>
                <w:sz w:val="11"/>
                <w:szCs w:val="11"/>
                <w:color w:val="auto"/>
              </w:rPr>
            </w:pPr>
          </w:p>
        </w:tc>
        <w:tc>
          <w:tcPr>
            <w:tcW w:w="960" w:type="dxa"/>
            <w:vAlign w:val="bottom"/>
            <w:gridSpan w:val="3"/>
          </w:tcPr>
          <w:p>
            <w:pPr>
              <w:jc w:val="center"/>
              <w:ind w:right="199"/>
              <w:spacing w:after="0" w:line="129" w:lineRule="exact"/>
              <w:rPr>
                <w:sz w:val="20"/>
                <w:szCs w:val="20"/>
                <w:color w:val="auto"/>
              </w:rPr>
            </w:pPr>
            <w:r>
              <w:rPr>
                <w:rFonts w:ascii="Arial" w:cs="Arial" w:eastAsia="Arial" w:hAnsi="Arial"/>
                <w:sz w:val="14"/>
                <w:szCs w:val="14"/>
                <w:b w:val="1"/>
                <w:bCs w:val="1"/>
                <w:color w:val="auto"/>
                <w:w w:val="88"/>
              </w:rPr>
              <w:t>January 31,</w:t>
            </w: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0" w:type="dxa"/>
            <w:vAlign w:val="bottom"/>
            <w:gridSpan w:val="5"/>
          </w:tcPr>
          <w:p>
            <w:pPr>
              <w:jc w:val="center"/>
              <w:ind w:right="920"/>
              <w:spacing w:after="0" w:line="129" w:lineRule="exact"/>
              <w:rPr>
                <w:sz w:val="20"/>
                <w:szCs w:val="20"/>
                <w:color w:val="auto"/>
              </w:rPr>
            </w:pPr>
            <w:r>
              <w:rPr>
                <w:rFonts w:ascii="Arial" w:cs="Arial" w:eastAsia="Arial" w:hAnsi="Arial"/>
                <w:sz w:val="14"/>
                <w:szCs w:val="14"/>
                <w:b w:val="1"/>
                <w:bCs w:val="1"/>
                <w:color w:val="auto"/>
                <w:w w:val="90"/>
              </w:rPr>
              <w:t>February 1,</w:t>
            </w:r>
          </w:p>
        </w:tc>
        <w:tc>
          <w:tcPr>
            <w:tcW w:w="70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2015</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600" w:type="dxa"/>
            <w:vAlign w:val="bottom"/>
            <w:tcBorders>
              <w:bottom w:val="single" w:sz="8" w:color="auto"/>
            </w:tcBorders>
            <w:gridSpan w:val="2"/>
          </w:tcPr>
          <w:p>
            <w:pPr>
              <w:jc w:val="center"/>
              <w:ind w:left="18"/>
              <w:spacing w:after="0"/>
              <w:rPr>
                <w:sz w:val="20"/>
                <w:szCs w:val="20"/>
                <w:color w:val="auto"/>
              </w:rPr>
            </w:pPr>
            <w:r>
              <w:rPr>
                <w:rFonts w:ascii="Arial" w:cs="Arial" w:eastAsia="Arial" w:hAnsi="Arial"/>
                <w:sz w:val="14"/>
                <w:szCs w:val="14"/>
                <w:b w:val="1"/>
                <w:bCs w:val="1"/>
                <w:color w:val="auto"/>
                <w:w w:val="83"/>
              </w:rPr>
              <w:t>2014</w:t>
            </w: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83"/>
              </w:rPr>
              <w:t>2013</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Provision at U.S. notional statutory rate</w:t>
            </w: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35.0%</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160" w:type="dxa"/>
            <w:vAlign w:val="bottom"/>
            <w:gridSpan w:val="4"/>
            <w:shd w:val="clear" w:color="auto" w:fill="CCEEFF"/>
          </w:tcPr>
          <w:p>
            <w:pPr>
              <w:jc w:val="right"/>
              <w:ind w:right="320"/>
              <w:spacing w:after="0"/>
              <w:rPr>
                <w:sz w:val="20"/>
                <w:szCs w:val="20"/>
                <w:color w:val="auto"/>
              </w:rPr>
            </w:pPr>
            <w:r>
              <w:rPr>
                <w:rFonts w:ascii="Arial" w:cs="Arial" w:eastAsia="Arial" w:hAnsi="Arial"/>
                <w:sz w:val="18"/>
                <w:szCs w:val="18"/>
                <w:color w:val="auto"/>
              </w:rPr>
              <w:t>35.0%</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Non-deductible share-based compensation</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11.2</w:t>
            </w: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19.4</w:t>
            </w: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15.4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Difference in U.S. and non-U.S. tax rates</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(46.0)</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160" w:type="dxa"/>
            <w:vAlign w:val="bottom"/>
            <w:gridSpan w:val="4"/>
            <w:shd w:val="clear" w:color="auto" w:fill="CCEEFF"/>
          </w:tcPr>
          <w:p>
            <w:pPr>
              <w:jc w:val="right"/>
              <w:ind w:right="420"/>
              <w:spacing w:after="0"/>
              <w:rPr>
                <w:sz w:val="20"/>
                <w:szCs w:val="20"/>
                <w:color w:val="auto"/>
              </w:rPr>
            </w:pPr>
            <w:r>
              <w:rPr>
                <w:rFonts w:ascii="Arial" w:cs="Arial" w:eastAsia="Arial" w:hAnsi="Arial"/>
                <w:sz w:val="18"/>
                <w:szCs w:val="18"/>
                <w:color w:val="auto"/>
              </w:rPr>
              <w:t>(55.8)</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Benefits from utilization of general business credits</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(12.0)</w:t>
            </w: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160" w:type="dxa"/>
            <w:vAlign w:val="bottom"/>
            <w:gridSpan w:val="4"/>
          </w:tcPr>
          <w:p>
            <w:pPr>
              <w:jc w:val="right"/>
              <w:ind w:right="420"/>
              <w:spacing w:after="0"/>
              <w:rPr>
                <w:sz w:val="20"/>
                <w:szCs w:val="20"/>
                <w:color w:val="auto"/>
              </w:rPr>
            </w:pPr>
            <w:r>
              <w:rPr>
                <w:rFonts w:ascii="Arial" w:cs="Arial" w:eastAsia="Arial" w:hAnsi="Arial"/>
                <w:sz w:val="18"/>
                <w:szCs w:val="18"/>
                <w:color w:val="auto"/>
              </w:rPr>
              <w:t>(14.1)</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Change in valuation allowance</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10.5</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11.9</w:t>
            </w:r>
          </w:p>
        </w:tc>
        <w:tc>
          <w:tcPr>
            <w:tcW w:w="4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Other</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0.6</w:t>
            </w: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0.6</w:t>
            </w: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3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58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Effective tax rate</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160" w:type="dxa"/>
            <w:vAlign w:val="bottom"/>
            <w:gridSpan w:val="4"/>
            <w:shd w:val="clear" w:color="auto" w:fill="CCEEFF"/>
          </w:tcPr>
          <w:p>
            <w:pPr>
              <w:jc w:val="right"/>
              <w:ind w:right="260"/>
              <w:spacing w:after="0"/>
              <w:rPr>
                <w:sz w:val="20"/>
                <w:szCs w:val="20"/>
                <w:color w:val="auto"/>
              </w:rPr>
            </w:pPr>
            <w:r>
              <w:rPr>
                <w:rFonts w:ascii="Arial" w:cs="Arial" w:eastAsia="Arial" w:hAnsi="Arial"/>
                <w:sz w:val="18"/>
                <w:szCs w:val="18"/>
                <w:color w:val="auto"/>
              </w:rPr>
              <w:t>(3.0)%</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00" w:type="dxa"/>
            <w:vAlign w:val="bottom"/>
            <w:vMerge w:val="restart"/>
          </w:tcPr>
          <w:p>
            <w:pPr>
              <w:ind w:left="440"/>
              <w:spacing w:after="0"/>
              <w:rPr>
                <w:sz w:val="20"/>
                <w:szCs w:val="20"/>
                <w:color w:val="auto"/>
              </w:rPr>
            </w:pPr>
            <w:r>
              <w:rPr>
                <w:rFonts w:ascii="Arial" w:cs="Arial" w:eastAsia="Arial" w:hAnsi="Arial"/>
                <w:sz w:val="18"/>
                <w:szCs w:val="18"/>
                <w:color w:val="auto"/>
              </w:rPr>
              <w:t>The following table reflects changes in the unrecognized tax benefits (in thousands):</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730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3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gridSpan w:val="4"/>
          </w:tcPr>
          <w:p>
            <w:pPr>
              <w:spacing w:after="0"/>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w w:val="95"/>
              </w:rPr>
              <w:t>January 31,</w:t>
            </w:r>
          </w:p>
        </w:tc>
        <w:tc>
          <w:tcPr>
            <w:tcW w:w="480" w:type="dxa"/>
            <w:vAlign w:val="bottom"/>
          </w:tcPr>
          <w:p>
            <w:pPr>
              <w:spacing w:after="0"/>
              <w:rPr>
                <w:sz w:val="11"/>
                <w:szCs w:val="11"/>
                <w:color w:val="auto"/>
              </w:rPr>
            </w:pPr>
          </w:p>
        </w:tc>
        <w:tc>
          <w:tcPr>
            <w:tcW w:w="112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100" w:type="dxa"/>
            <w:vAlign w:val="bottom"/>
          </w:tcPr>
          <w:p>
            <w:pPr>
              <w:spacing w:after="0"/>
              <w:rPr>
                <w:sz w:val="11"/>
                <w:szCs w:val="11"/>
                <w:color w:val="auto"/>
              </w:rPr>
            </w:pPr>
          </w:p>
        </w:tc>
        <w:tc>
          <w:tcPr>
            <w:tcW w:w="7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0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gridSpan w:val="2"/>
          </w:tcPr>
          <w:p>
            <w:pPr>
              <w:jc w:val="right"/>
              <w:ind w:right="200"/>
              <w:spacing w:after="0"/>
              <w:rPr>
                <w:sz w:val="20"/>
                <w:szCs w:val="20"/>
                <w:color w:val="auto"/>
              </w:rPr>
            </w:pPr>
            <w:r>
              <w:rPr>
                <w:rFonts w:ascii="Arial" w:cs="Arial" w:eastAsia="Arial" w:hAnsi="Arial"/>
                <w:sz w:val="14"/>
                <w:szCs w:val="14"/>
                <w:b w:val="1"/>
                <w:bCs w:val="1"/>
                <w:color w:val="auto"/>
              </w:rPr>
              <w:t>2014</w:t>
            </w:r>
          </w:p>
        </w:tc>
        <w:tc>
          <w:tcPr>
            <w:tcW w:w="4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Unrecognized tax benefits as the beginning of the period</w:t>
            </w:r>
          </w:p>
        </w:tc>
        <w:tc>
          <w:tcPr>
            <w:tcW w:w="840" w:type="dxa"/>
            <w:vAlign w:val="bottom"/>
            <w:gridSpan w:val="2"/>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51,682</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79,031</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96,294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Increases related to prior year tax positions</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976</w:t>
            </w:r>
          </w:p>
        </w:tc>
        <w:tc>
          <w:tcPr>
            <w:tcW w:w="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3"/>
          </w:tcPr>
          <w:p>
            <w:pPr>
              <w:jc w:val="right"/>
              <w:ind w:right="440"/>
              <w:spacing w:after="0"/>
              <w:rPr>
                <w:sz w:val="20"/>
                <w:szCs w:val="20"/>
                <w:color w:val="auto"/>
              </w:rPr>
            </w:pPr>
            <w:r>
              <w:rPr>
                <w:rFonts w:ascii="Arial" w:cs="Arial" w:eastAsia="Arial" w:hAnsi="Arial"/>
                <w:sz w:val="18"/>
                <w:szCs w:val="18"/>
                <w:color w:val="auto"/>
              </w:rPr>
              <w:t>499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ind w:right="100"/>
              <w:spacing w:after="0"/>
              <w:rPr>
                <w:sz w:val="20"/>
                <w:szCs w:val="20"/>
                <w:color w:val="auto"/>
              </w:rPr>
            </w:pPr>
            <w:r>
              <w:rPr>
                <w:rFonts w:ascii="Arial" w:cs="Arial" w:eastAsia="Arial" w:hAnsi="Arial"/>
                <w:sz w:val="18"/>
                <w:szCs w:val="18"/>
                <w:color w:val="auto"/>
              </w:rPr>
              <w:t>1,106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Decreases related to prior year tax positions</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(386)</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(111)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Increases related to current year tax positions</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5,356</w:t>
            </w:r>
          </w:p>
        </w:tc>
        <w:tc>
          <w:tcPr>
            <w:tcW w:w="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3"/>
          </w:tcPr>
          <w:p>
            <w:pPr>
              <w:jc w:val="right"/>
              <w:ind w:right="440"/>
              <w:spacing w:after="0"/>
              <w:rPr>
                <w:sz w:val="20"/>
                <w:szCs w:val="20"/>
                <w:color w:val="auto"/>
              </w:rPr>
            </w:pPr>
            <w:r>
              <w:rPr>
                <w:rFonts w:ascii="Arial" w:cs="Arial" w:eastAsia="Arial" w:hAnsi="Arial"/>
                <w:sz w:val="18"/>
                <w:szCs w:val="18"/>
                <w:color w:val="auto"/>
              </w:rPr>
              <w:t>2,666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ind w:right="100"/>
              <w:spacing w:after="0"/>
              <w:rPr>
                <w:sz w:val="20"/>
                <w:szCs w:val="20"/>
                <w:color w:val="auto"/>
              </w:rPr>
            </w:pPr>
            <w:r>
              <w:rPr>
                <w:rFonts w:ascii="Arial" w:cs="Arial" w:eastAsia="Arial" w:hAnsi="Arial"/>
                <w:sz w:val="18"/>
                <w:szCs w:val="18"/>
                <w:color w:val="auto"/>
              </w:rPr>
              <w:t>1,139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Settlements</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(7,423)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(3,956)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Lapse in the statute of limitations</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Arial" w:cs="Arial" w:eastAsia="Arial" w:hAnsi="Arial"/>
                <w:sz w:val="18"/>
                <w:szCs w:val="18"/>
                <w:color w:val="auto"/>
                <w:w w:val="92"/>
              </w:rPr>
              <w:t>(10,691)</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3"/>
          </w:tcPr>
          <w:p>
            <w:pPr>
              <w:jc w:val="right"/>
              <w:ind w:right="380"/>
              <w:spacing w:after="0"/>
              <w:rPr>
                <w:sz w:val="20"/>
                <w:szCs w:val="20"/>
                <w:color w:val="auto"/>
              </w:rPr>
            </w:pPr>
            <w:r>
              <w:rPr>
                <w:rFonts w:ascii="Arial" w:cs="Arial" w:eastAsia="Arial" w:hAnsi="Arial"/>
                <w:sz w:val="18"/>
                <w:szCs w:val="18"/>
                <w:color w:val="auto"/>
                <w:w w:val="89"/>
              </w:rPr>
              <w:t>(13,969)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ind w:right="40"/>
              <w:spacing w:after="0"/>
              <w:rPr>
                <w:sz w:val="20"/>
                <w:szCs w:val="20"/>
                <w:color w:val="auto"/>
              </w:rPr>
            </w:pPr>
            <w:r>
              <w:rPr>
                <w:rFonts w:ascii="Arial" w:cs="Arial" w:eastAsia="Arial" w:hAnsi="Arial"/>
                <w:sz w:val="18"/>
                <w:szCs w:val="18"/>
                <w:color w:val="auto"/>
                <w:w w:val="95"/>
              </w:rPr>
              <w:t>(15,543)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Foreign exchange gain</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(1,740)</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(9,011)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0"/>
        </w:trPr>
        <w:tc>
          <w:tcPr>
            <w:tcW w:w="7320" w:type="dxa"/>
            <w:vAlign w:val="bottom"/>
            <w:gridSpan w:val="2"/>
            <w:vMerge w:val="restart"/>
          </w:tcPr>
          <w:p>
            <w:pPr>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840" w:type="dxa"/>
            <w:vAlign w:val="bottom"/>
            <w:gridSpan w:val="2"/>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60" w:type="dxa"/>
            <w:vAlign w:val="bottom"/>
            <w:gridSpan w:val="2"/>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320" w:type="dxa"/>
            <w:vAlign w:val="bottom"/>
            <w:gridSpan w:val="2"/>
            <w:vMerge w:val="continue"/>
          </w:tcPr>
          <w:p>
            <w:pPr>
              <w:spacing w:after="0"/>
              <w:rPr>
                <w:sz w:val="19"/>
                <w:szCs w:val="19"/>
                <w:color w:val="auto"/>
              </w:rPr>
            </w:pPr>
          </w:p>
        </w:tc>
        <w:tc>
          <w:tcPr>
            <w:tcW w:w="840" w:type="dxa"/>
            <w:vAlign w:val="bottom"/>
            <w:gridSpan w:val="2"/>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45,197</w:t>
            </w: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1000" w:type="dxa"/>
            <w:vAlign w:val="bottom"/>
            <w:gridSpan w:val="3"/>
          </w:tcPr>
          <w:p>
            <w:pPr>
              <w:jc w:val="right"/>
              <w:ind w:right="440"/>
              <w:spacing w:after="0"/>
              <w:rPr>
                <w:sz w:val="20"/>
                <w:szCs w:val="20"/>
                <w:color w:val="auto"/>
              </w:rPr>
            </w:pPr>
            <w:r>
              <w:rPr>
                <w:rFonts w:ascii="Arial" w:cs="Arial" w:eastAsia="Arial" w:hAnsi="Arial"/>
                <w:sz w:val="18"/>
                <w:szCs w:val="18"/>
                <w:color w:val="auto"/>
                <w:w w:val="98"/>
              </w:rPr>
              <w:t>51,682</w:t>
            </w: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700" w:type="dxa"/>
            <w:vAlign w:val="bottom"/>
            <w:gridSpan w:val="3"/>
          </w:tcPr>
          <w:p>
            <w:pPr>
              <w:jc w:val="right"/>
              <w:ind w:right="100"/>
              <w:spacing w:after="0"/>
              <w:rPr>
                <w:sz w:val="20"/>
                <w:szCs w:val="20"/>
                <w:color w:val="auto"/>
              </w:rPr>
            </w:pPr>
            <w:r>
              <w:rPr>
                <w:rFonts w:ascii="Arial" w:cs="Arial" w:eastAsia="Arial" w:hAnsi="Arial"/>
                <w:sz w:val="18"/>
                <w:szCs w:val="18"/>
                <w:color w:val="auto"/>
              </w:rPr>
              <w:t>79,031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Included in the balances as of January 31, 2015 is $38.5 million of unrecognized tax benefit that would affect the effective income tax rate if recognized. Also, a portion of the gross unrecognized tax benefits presented in the table above are offset in the consolidated balance sheet as of January 31, 2015 against deferred tax assets.</w:t>
      </w:r>
    </w:p>
    <w:p>
      <w:pPr>
        <w:spacing w:after="0" w:line="140"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The amounts in the table above do not include the related interest and penalties. The amount of interest and penalties accrued as of January 31, 2015 was approximately $27.7 million, as of February 1, 2014 was approximately $29.6 million and as of February 2, 2013 was approximately $33.8 million. The consolidated statements of operations for fiscal 2015, 2014 and 2013 included $3.8 million, $6.2 million and $5.8 million, respectively, of interest and penalties related to the unrecognized tax benefits.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January 31, 2015, the material jurisdictions that are subject to examination include China, Israel, Singapore, Switzerland and the United States for the Company’s fiscal years 2004 through 2014. As of January 31, 2015, several of the Company’s non-U.S. entities are under examination for fiscal years encompassing 2004 through 2013.</w:t>
      </w:r>
    </w:p>
    <w:p>
      <w:pPr>
        <w:spacing w:after="0" w:line="98"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For fiscal 2015, the Company will continue to review its tax positions and provide for or reverse unrecognized tax benefits as issues arise. During the next 12 months,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$20 million from the lapse of the statutes of limitation in various jurisdictions during the next 12 months.</w:t>
      </w:r>
    </w:p>
    <w:p>
      <w:pPr>
        <w:spacing w:after="0" w:line="113" w:lineRule="exact"/>
        <w:rPr>
          <w:sz w:val="20"/>
          <w:szCs w:val="20"/>
          <w:color w:val="auto"/>
        </w:rPr>
      </w:pPr>
    </w:p>
    <w:p>
      <w:pPr>
        <w:ind w:right="20" w:firstLine="456"/>
        <w:spacing w:after="0" w:line="318" w:lineRule="auto"/>
        <w:rPr>
          <w:sz w:val="20"/>
          <w:szCs w:val="20"/>
          <w:color w:val="auto"/>
        </w:rPr>
      </w:pPr>
      <w:r>
        <w:rPr>
          <w:rFonts w:ascii="Arial" w:cs="Arial" w:eastAsia="Arial" w:hAnsi="Arial"/>
          <w:sz w:val="15"/>
          <w:szCs w:val="15"/>
          <w:color w:val="auto"/>
        </w:rPr>
        <w:t>The Singapore Economic Development Board (“EDB”) initially granted a 10-year Pioneer Status in July 1999 to Company’s Singapore subsidiary. In October 2004, the Company’s subsidiary in Singapore was granted a second incentive known as the DEI, and in June 2006, the EDB agreed to extend the Pioneer status for 15 years to June 2014. The Company re-negotiated with the Singapore government and in fiscal 2015, they extended the DEI until June 2019. In fiscal 2015, 2014 and 2013 tax savings associated with these tax holidays were approximately $0.1 million, $3.7 million and $13.6 million, respectively, which if paid would impact the Company’s earnings per share less than $0.01 per share in fiscal 2015, $0.01 per share in fiscal 2014 and $0.02 per share in fiscal 2013.</w:t>
      </w:r>
    </w:p>
    <w:p>
      <w:pPr>
        <w:spacing w:after="0" w:line="10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Ltd., the GTL branch and the cellular branch (formerly Marvell DSPC), are entitled to approved and benefited tax programs that include reduced tax rates and exemption of certain income. Income from the approved or benefited enterprises is eligible for fiscal years 2008 through fiscal 2027. For fiscal 2014 and 2013, the benefit associated with these approved or benefited enterprise programs was $2.2 million and $13.8 million, respectively, which provided earnings per share of $0.01 per share in fiscal 2014 and $0.02 per share in fiscal 2013. There was no such benefit in fiscal 2015.</w:t>
      </w:r>
    </w:p>
    <w:p>
      <w:pPr>
        <w:spacing w:after="0" w:line="116" w:lineRule="exact"/>
        <w:rPr>
          <w:sz w:val="20"/>
          <w:szCs w:val="20"/>
          <w:color w:val="auto"/>
        </w:rPr>
      </w:pPr>
    </w:p>
    <w:p>
      <w:pPr>
        <w:ind w:right="280" w:firstLine="456"/>
        <w:spacing w:after="0" w:line="298" w:lineRule="auto"/>
        <w:rPr>
          <w:sz w:val="20"/>
          <w:szCs w:val="20"/>
          <w:color w:val="auto"/>
        </w:rPr>
      </w:pPr>
      <w:r>
        <w:rPr>
          <w:rFonts w:ascii="Arial" w:cs="Arial" w:eastAsia="Arial" w:hAnsi="Arial"/>
          <w:sz w:val="16"/>
          <w:szCs w:val="16"/>
          <w:color w:val="auto"/>
        </w:rPr>
        <w:t>During fiscal 2007, each of the Swiss Federal Department of Economy and the Vaud Cantonal Tax Administration granted the Company’s subsidiary in Switzerland a 10 year tax holiday on revenues from research and design wafer supply trading activities commencing with its fiscal 2007 and ending in fiscal 2016. The fiscal 2015, 2014 and 2013 tax savings associated with this tax holiday is approximately $4.5 million, $5.1 million and $4.6 million, respectively, which provided earnings per share of $0.01 per share in 2015, $0.01 per share in 2014 and less than $0.01 per share in fiscal 2013.</w:t>
      </w:r>
    </w:p>
    <w:p>
      <w:pPr>
        <w:spacing w:after="0" w:line="11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principal source of liquidity as of January 31, 2015 consisted of approximately $2.5 billion of cash, cash equivalents and short-term investments, of which approximately $900 million was held by foreign subsidiaries (outside Bermuda). Approximately $400 million of this amount held by foreign subsidiaries is related to undistributed earnings, which have been indefinitely reinvested outside of Bermuda. These funds are primarily held in China, Israel, Singapore,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$100 million.</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400"/>
          </w:cols>
          <w:pgMar w:left="240" w:top="459" w:right="25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Company’s products carry a standard 90 day warranty with certain exceptions in which the warranty period can extend to more than one year based on contractual agreements. The Company’s warranty expense has not been significant in the periods presented.</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90"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The Company leases some of its facilities, equipment and computer aided design software under non-cancelable operating leases. Rent expense, net of sublease income for fiscal 2015, 2014, and 2013 was approximately $26.1 million, $25.8 million and $23.7 million, respectively. The Company also purchases certain intellectual property under technology license obligations. Future minimum lease payments, net of estimated sublease, and payments under technology license obligations as of January 31, 2015, are presented in the following tables (in thousands):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28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1"/>
              </w:rPr>
              <w:t>Minimum</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280" w:type="dxa"/>
            <w:vAlign w:val="bottom"/>
          </w:tcPr>
          <w:p>
            <w:pPr>
              <w:spacing w:after="0"/>
              <w:rPr>
                <w:sz w:val="12"/>
                <w:szCs w:val="12"/>
                <w:color w:val="auto"/>
              </w:rPr>
            </w:pPr>
          </w:p>
        </w:tc>
        <w:tc>
          <w:tcPr>
            <w:tcW w:w="3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8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Operating</w:t>
            </w:r>
          </w:p>
        </w:tc>
        <w:tc>
          <w:tcPr>
            <w:tcW w:w="0" w:type="dxa"/>
            <w:vAlign w:val="bottom"/>
          </w:tcPr>
          <w:p>
            <w:pPr>
              <w:spacing w:after="0"/>
              <w:rPr>
                <w:sz w:val="1"/>
                <w:szCs w:val="1"/>
                <w:color w:val="auto"/>
              </w:rPr>
            </w:pPr>
          </w:p>
        </w:tc>
      </w:tr>
      <w:tr>
        <w:trPr>
          <w:trHeight w:val="149"/>
        </w:trPr>
        <w:tc>
          <w:tcPr>
            <w:tcW w:w="7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Fiscal Year:</w:t>
            </w:r>
          </w:p>
        </w:tc>
        <w:tc>
          <w:tcPr>
            <w:tcW w:w="3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4"/>
              </w:rPr>
              <w:t>Leases</w:t>
            </w:r>
          </w:p>
        </w:tc>
        <w:tc>
          <w:tcPr>
            <w:tcW w:w="0" w:type="dxa"/>
            <w:vAlign w:val="bottom"/>
          </w:tcPr>
          <w:p>
            <w:pPr>
              <w:spacing w:after="0"/>
              <w:rPr>
                <w:sz w:val="1"/>
                <w:szCs w:val="1"/>
                <w:color w:val="auto"/>
              </w:rPr>
            </w:pPr>
          </w:p>
        </w:tc>
      </w:tr>
      <w:tr>
        <w:trPr>
          <w:trHeight w:val="168"/>
        </w:trPr>
        <w:tc>
          <w:tcPr>
            <w:tcW w:w="7040" w:type="dxa"/>
            <w:vAlign w:val="bottom"/>
            <w:gridSpan w:val="3"/>
            <w:vMerge w:val="continue"/>
          </w:tcPr>
          <w:p>
            <w:pPr>
              <w:spacing w:after="0"/>
              <w:rPr>
                <w:sz w:val="14"/>
                <w:szCs w:val="14"/>
                <w:color w:val="auto"/>
              </w:rPr>
            </w:pPr>
          </w:p>
        </w:tc>
        <w:tc>
          <w:tcPr>
            <w:tcW w:w="3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gridSpan w:val="3"/>
          </w:tcPr>
          <w:p>
            <w:pPr>
              <w:jc w:val="center"/>
              <w:ind w:right="140"/>
              <w:spacing w:after="0" w:line="148" w:lineRule="exact"/>
              <w:rPr>
                <w:sz w:val="20"/>
                <w:szCs w:val="20"/>
                <w:color w:val="auto"/>
              </w:rPr>
            </w:pPr>
            <w:r>
              <w:rPr>
                <w:rFonts w:ascii="Arial" w:cs="Arial" w:eastAsia="Arial" w:hAnsi="Arial"/>
                <w:sz w:val="14"/>
                <w:szCs w:val="14"/>
                <w:b w:val="1"/>
                <w:bCs w:val="1"/>
                <w:color w:val="auto"/>
                <w:w w:val="84"/>
              </w:rPr>
              <w:t>Payments</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74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2016</w:t>
            </w:r>
          </w:p>
        </w:tc>
        <w:tc>
          <w:tcPr>
            <w:tcW w:w="6280" w:type="dxa"/>
            <w:vAlign w:val="bottom"/>
            <w:tcBorders>
              <w:top w:val="single" w:sz="8" w:color="CCEEFF"/>
            </w:tcBorders>
            <w:shd w:val="clear" w:color="auto" w:fill="CCEEFF"/>
          </w:tcPr>
          <w:p>
            <w:pPr>
              <w:spacing w:after="0"/>
              <w:rPr>
                <w:sz w:val="17"/>
                <w:szCs w:val="17"/>
                <w:color w:val="auto"/>
              </w:rPr>
            </w:pPr>
          </w:p>
        </w:tc>
        <w:tc>
          <w:tcPr>
            <w:tcW w:w="35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71,489</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2017</w:t>
            </w:r>
          </w:p>
        </w:tc>
        <w:tc>
          <w:tcPr>
            <w:tcW w:w="628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42,320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6280" w:type="dxa"/>
            <w:vAlign w:val="bottom"/>
            <w:shd w:val="clear" w:color="auto" w:fill="CCEEFF"/>
          </w:tcPr>
          <w:p>
            <w:pPr>
              <w:spacing w:after="0"/>
              <w:rPr>
                <w:sz w:val="18"/>
                <w:szCs w:val="18"/>
                <w:color w:val="auto"/>
              </w:rPr>
            </w:pPr>
          </w:p>
        </w:tc>
        <w:tc>
          <w:tcPr>
            <w:tcW w:w="35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12,609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2019</w:t>
            </w:r>
          </w:p>
        </w:tc>
        <w:tc>
          <w:tcPr>
            <w:tcW w:w="628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2,700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2020</w:t>
            </w:r>
          </w:p>
        </w:tc>
        <w:tc>
          <w:tcPr>
            <w:tcW w:w="6280" w:type="dxa"/>
            <w:vAlign w:val="bottom"/>
            <w:shd w:val="clear" w:color="auto" w:fill="CCEEFF"/>
          </w:tcPr>
          <w:p>
            <w:pPr>
              <w:spacing w:after="0"/>
              <w:rPr>
                <w:sz w:val="18"/>
                <w:szCs w:val="18"/>
                <w:color w:val="auto"/>
              </w:rPr>
            </w:pPr>
          </w:p>
        </w:tc>
        <w:tc>
          <w:tcPr>
            <w:tcW w:w="35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2,672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2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3560" w:type="dxa"/>
            <w:vAlign w:val="bottom"/>
          </w:tcPr>
          <w:p>
            <w:pPr>
              <w:spacing w:after="0"/>
              <w:rPr>
                <w:sz w:val="19"/>
                <w:szCs w:val="19"/>
                <w:color w:val="auto"/>
              </w:rPr>
            </w:pPr>
          </w:p>
        </w:tc>
        <w:tc>
          <w:tcPr>
            <w:tcW w:w="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3,722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356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$ 135,512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6280" w:type="dxa"/>
            <w:vAlign w:val="bottom"/>
          </w:tcPr>
          <w:p>
            <w:pPr>
              <w:spacing w:after="0" w:line="20" w:lineRule="exact"/>
              <w:rPr>
                <w:sz w:val="1"/>
                <w:szCs w:val="1"/>
                <w:color w:val="auto"/>
              </w:rPr>
            </w:pPr>
          </w:p>
        </w:tc>
        <w:tc>
          <w:tcPr>
            <w:tcW w:w="356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280" w:type="dxa"/>
            <w:vAlign w:val="bottom"/>
          </w:tcPr>
          <w:p>
            <w:pPr>
              <w:spacing w:after="0"/>
              <w:rPr>
                <w:sz w:val="24"/>
                <w:szCs w:val="24"/>
                <w:color w:val="auto"/>
              </w:rPr>
            </w:pPr>
          </w:p>
        </w:tc>
        <w:tc>
          <w:tcPr>
            <w:tcW w:w="3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8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3"/>
              </w:rPr>
              <w:t>Technology</w:t>
            </w:r>
          </w:p>
        </w:tc>
        <w:tc>
          <w:tcPr>
            <w:tcW w:w="0" w:type="dxa"/>
            <w:vAlign w:val="bottom"/>
          </w:tcPr>
          <w:p>
            <w:pPr>
              <w:spacing w:after="0"/>
              <w:rPr>
                <w:sz w:val="1"/>
                <w:szCs w:val="1"/>
                <w:color w:val="auto"/>
              </w:rPr>
            </w:pPr>
          </w:p>
        </w:tc>
      </w:tr>
      <w:tr>
        <w:trPr>
          <w:trHeight w:val="149"/>
        </w:trPr>
        <w:tc>
          <w:tcPr>
            <w:tcW w:w="7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Fiscal Year:</w:t>
            </w:r>
          </w:p>
        </w:tc>
        <w:tc>
          <w:tcPr>
            <w:tcW w:w="3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4"/>
              </w:rPr>
              <w:t>License</w:t>
            </w:r>
          </w:p>
        </w:tc>
        <w:tc>
          <w:tcPr>
            <w:tcW w:w="0" w:type="dxa"/>
            <w:vAlign w:val="bottom"/>
          </w:tcPr>
          <w:p>
            <w:pPr>
              <w:spacing w:after="0"/>
              <w:rPr>
                <w:sz w:val="1"/>
                <w:szCs w:val="1"/>
                <w:color w:val="auto"/>
              </w:rPr>
            </w:pPr>
          </w:p>
        </w:tc>
      </w:tr>
      <w:tr>
        <w:trPr>
          <w:trHeight w:val="168"/>
        </w:trPr>
        <w:tc>
          <w:tcPr>
            <w:tcW w:w="7040" w:type="dxa"/>
            <w:vAlign w:val="bottom"/>
            <w:gridSpan w:val="3"/>
            <w:vMerge w:val="continue"/>
          </w:tcPr>
          <w:p>
            <w:pPr>
              <w:spacing w:after="0"/>
              <w:rPr>
                <w:sz w:val="14"/>
                <w:szCs w:val="14"/>
                <w:color w:val="auto"/>
              </w:rPr>
            </w:pPr>
          </w:p>
        </w:tc>
        <w:tc>
          <w:tcPr>
            <w:tcW w:w="3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gridSpan w:val="3"/>
          </w:tcPr>
          <w:p>
            <w:pPr>
              <w:jc w:val="center"/>
              <w:ind w:right="120"/>
              <w:spacing w:after="0" w:line="148" w:lineRule="exact"/>
              <w:rPr>
                <w:sz w:val="20"/>
                <w:szCs w:val="20"/>
                <w:color w:val="auto"/>
              </w:rPr>
            </w:pPr>
            <w:r>
              <w:rPr>
                <w:rFonts w:ascii="Arial" w:cs="Arial" w:eastAsia="Arial" w:hAnsi="Arial"/>
                <w:sz w:val="14"/>
                <w:szCs w:val="14"/>
                <w:b w:val="1"/>
                <w:bCs w:val="1"/>
                <w:color w:val="auto"/>
                <w:w w:val="85"/>
              </w:rPr>
              <w:t>Obligations</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74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2016</w:t>
            </w:r>
          </w:p>
        </w:tc>
        <w:tc>
          <w:tcPr>
            <w:tcW w:w="6280" w:type="dxa"/>
            <w:vAlign w:val="bottom"/>
            <w:tcBorders>
              <w:top w:val="single" w:sz="8" w:color="CCEEFF"/>
            </w:tcBorders>
            <w:shd w:val="clear" w:color="auto" w:fill="CCEEFF"/>
          </w:tcPr>
          <w:p>
            <w:pPr>
              <w:spacing w:after="0"/>
              <w:rPr>
                <w:sz w:val="17"/>
                <w:szCs w:val="17"/>
                <w:color w:val="auto"/>
              </w:rPr>
            </w:pPr>
          </w:p>
        </w:tc>
        <w:tc>
          <w:tcPr>
            <w:tcW w:w="3600" w:type="dxa"/>
            <w:vAlign w:val="bottom"/>
            <w:tcBorders>
              <w:top w:val="single" w:sz="8" w:color="CCEEFF"/>
            </w:tcBorders>
            <w:gridSpan w:val="2"/>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13,145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2017</w:t>
            </w:r>
          </w:p>
        </w:tc>
        <w:tc>
          <w:tcPr>
            <w:tcW w:w="628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7,869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6280" w:type="dxa"/>
            <w:vAlign w:val="bottom"/>
            <w:shd w:val="clear" w:color="auto" w:fill="CCEEFF"/>
          </w:tcPr>
          <w:p>
            <w:pPr>
              <w:spacing w:after="0"/>
              <w:rPr>
                <w:sz w:val="18"/>
                <w:szCs w:val="18"/>
                <w:color w:val="auto"/>
              </w:rPr>
            </w:pPr>
          </w:p>
        </w:tc>
        <w:tc>
          <w:tcPr>
            <w:tcW w:w="35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9,180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2019</w:t>
            </w:r>
          </w:p>
        </w:tc>
        <w:tc>
          <w:tcPr>
            <w:tcW w:w="628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2020</w:t>
            </w:r>
          </w:p>
        </w:tc>
        <w:tc>
          <w:tcPr>
            <w:tcW w:w="6280" w:type="dxa"/>
            <w:vAlign w:val="bottom"/>
            <w:shd w:val="clear" w:color="auto" w:fill="CCEEFF"/>
          </w:tcPr>
          <w:p>
            <w:pPr>
              <w:spacing w:after="0"/>
              <w:rPr>
                <w:sz w:val="18"/>
                <w:szCs w:val="18"/>
                <w:color w:val="auto"/>
              </w:rPr>
            </w:pPr>
          </w:p>
        </w:tc>
        <w:tc>
          <w:tcPr>
            <w:tcW w:w="35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2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35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3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30,194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20" w:type="dxa"/>
            <w:vAlign w:val="bottom"/>
            <w:gridSpan w:val="2"/>
          </w:tcPr>
          <w:p>
            <w:pPr>
              <w:ind w:left="420"/>
              <w:spacing w:after="0"/>
              <w:rPr>
                <w:sz w:val="20"/>
                <w:szCs w:val="20"/>
                <w:color w:val="auto"/>
              </w:rPr>
            </w:pPr>
            <w:r>
              <w:rPr>
                <w:rFonts w:ascii="Arial" w:cs="Arial" w:eastAsia="Arial" w:hAnsi="Arial"/>
                <w:sz w:val="18"/>
                <w:szCs w:val="18"/>
                <w:color w:val="auto"/>
              </w:rPr>
              <w:t>Less: amount representing interest</w:t>
            </w:r>
          </w:p>
        </w:tc>
        <w:tc>
          <w:tcPr>
            <w:tcW w:w="35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(1,236)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Present value of future minimum payments</w:t>
            </w:r>
          </w:p>
        </w:tc>
        <w:tc>
          <w:tcPr>
            <w:tcW w:w="35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28,958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20" w:type="dxa"/>
            <w:vAlign w:val="bottom"/>
            <w:gridSpan w:val="2"/>
          </w:tcPr>
          <w:p>
            <w:pPr>
              <w:ind w:left="420"/>
              <w:spacing w:after="0"/>
              <w:rPr>
                <w:sz w:val="20"/>
                <w:szCs w:val="20"/>
                <w:color w:val="auto"/>
              </w:rPr>
            </w:pPr>
            <w:r>
              <w:rPr>
                <w:rFonts w:ascii="Arial" w:cs="Arial" w:eastAsia="Arial" w:hAnsi="Arial"/>
                <w:sz w:val="18"/>
                <w:szCs w:val="18"/>
                <w:color w:val="auto"/>
              </w:rPr>
              <w:t>Less: current portion</w:t>
            </w:r>
          </w:p>
        </w:tc>
        <w:tc>
          <w:tcPr>
            <w:tcW w:w="3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(12,490)</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40" w:type="dxa"/>
            <w:vAlign w:val="bottom"/>
          </w:tcPr>
          <w:p>
            <w:pPr>
              <w:spacing w:after="0"/>
              <w:rPr>
                <w:sz w:val="2"/>
                <w:szCs w:val="2"/>
                <w:color w:val="auto"/>
              </w:rPr>
            </w:pPr>
          </w:p>
        </w:tc>
        <w:tc>
          <w:tcPr>
            <w:tcW w:w="6280" w:type="dxa"/>
            <w:vAlign w:val="bottom"/>
          </w:tcPr>
          <w:p>
            <w:pPr>
              <w:spacing w:after="0"/>
              <w:rPr>
                <w:sz w:val="2"/>
                <w:szCs w:val="2"/>
                <w:color w:val="auto"/>
              </w:rPr>
            </w:pPr>
          </w:p>
        </w:tc>
        <w:tc>
          <w:tcPr>
            <w:tcW w:w="3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0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Non-current portion</w:t>
            </w:r>
          </w:p>
        </w:tc>
        <w:tc>
          <w:tcPr>
            <w:tcW w:w="3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16,468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6280" w:type="dxa"/>
            <w:vAlign w:val="bottom"/>
          </w:tcPr>
          <w:p>
            <w:pPr>
              <w:spacing w:after="0" w:line="20" w:lineRule="exact"/>
              <w:rPr>
                <w:sz w:val="1"/>
                <w:szCs w:val="1"/>
                <w:color w:val="auto"/>
              </w:rPr>
            </w:pPr>
          </w:p>
        </w:tc>
        <w:tc>
          <w:tcPr>
            <w:tcW w:w="35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ind w:left="680" w:right="20"/>
        <w:spacing w:after="0" w:line="440" w:lineRule="auto"/>
        <w:rPr>
          <w:sz w:val="20"/>
          <w:szCs w:val="20"/>
          <w:color w:val="auto"/>
        </w:rPr>
      </w:pPr>
      <w:r>
        <w:rPr>
          <w:rFonts w:ascii="Arial" w:cs="Arial" w:eastAsia="Arial" w:hAnsi="Arial"/>
          <w:sz w:val="18"/>
          <w:szCs w:val="18"/>
          <w:color w:val="auto"/>
        </w:rPr>
        <w:t>Technology license obligations include the liabilities under the subscription agreements for technology licenses between the Company and various vendors. 85</w:t>
      </w:r>
    </w:p>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January 31, 2015, these foundries had incurred approximately $252.1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18"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As of January 31, 2015, the Company has a $3.2 million accrued liability related to certain legal proceedings described below in this section. The amount recorded does not relate to the litigation with Carnegie Mellon University (“CMU”). Other than for the matters that the Company has recognized in the consolidated financial statements, it has not recorded any amounts for contingent losses associated with the matters described below based on its belief that losses, while reasonably possible, are not probable. Unless otherwise stated, the Company is currently unable to predict the final outcome of these lawsuits and therefore cannot determine the likelihood of loss nor estimate a range of possible loss.</w:t>
      </w:r>
    </w:p>
    <w:p>
      <w:pPr>
        <w:spacing w:after="0" w:line="116" w:lineRule="exact"/>
        <w:rPr>
          <w:sz w:val="20"/>
          <w:szCs w:val="20"/>
          <w:color w:val="auto"/>
        </w:rPr>
      </w:pPr>
    </w:p>
    <w:p>
      <w:pPr>
        <w:jc w:val="both"/>
        <w:ind w:right="200" w:firstLine="456"/>
        <w:spacing w:after="0" w:line="255" w:lineRule="auto"/>
        <w:rPr>
          <w:sz w:val="20"/>
          <w:szCs w:val="20"/>
          <w:color w:val="auto"/>
        </w:rPr>
      </w:pPr>
      <w:r>
        <w:rPr>
          <w:rFonts w:ascii="Arial" w:cs="Arial" w:eastAsia="Arial" w:hAnsi="Arial"/>
          <w:sz w:val="18"/>
          <w:szCs w:val="18"/>
          <w:i w:val="1"/>
          <w:iCs w:val="1"/>
          <w:color w:val="auto"/>
        </w:rPr>
        <w:t xml:space="preserve">Carnegie Mellon University Litigation. </w:t>
      </w:r>
      <w:r>
        <w:rPr>
          <w:rFonts w:ascii="Arial" w:cs="Arial" w:eastAsia="Arial" w:hAnsi="Arial"/>
          <w:sz w:val="18"/>
          <w:szCs w:val="18"/>
          <w:color w:val="auto"/>
        </w:rPr>
        <w:t>On March 6, 2009, CMU filed a complaint in the U.S. District Court for the Western District of Pennsylvania</w:t>
      </w:r>
      <w:r>
        <w:rPr>
          <w:rFonts w:ascii="Arial" w:cs="Arial" w:eastAsia="Arial" w:hAnsi="Arial"/>
          <w:sz w:val="18"/>
          <w:szCs w:val="18"/>
          <w:i w:val="1"/>
          <w:iCs w:val="1"/>
          <w:color w:val="auto"/>
        </w:rPr>
        <w:t xml:space="preserve"> </w:t>
      </w:r>
      <w:r>
        <w:rPr>
          <w:rFonts w:ascii="Arial" w:cs="Arial" w:eastAsia="Arial" w:hAnsi="Arial"/>
          <w:sz w:val="18"/>
          <w:szCs w:val="18"/>
          <w:color w:val="auto"/>
        </w:rPr>
        <w:t>naming Marvell Semiconductor, Inc. (“MSI”) and the Company as defendants and alleging patent infringement.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420"/>
          </w:cols>
          <w:pgMar w:left="240" w:top="459" w:right="2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awarded past damages in the amount of $1.17 billion. CMU sought in its post-trial motions enhanced damages up to three times the jury verdict, pre-judgment interest up to $322 million, post-judgment interest, supplemental damages, attorneys’ fees, and an injunction and/or ongoing royalties. Post-trial motions were heard on May 1 and 2, 2013. On June 26, 2013, the District Court denied CMU’s post-trial motion for attorney fees without prejudice. On August 23, 2013, the District Court denied the Company’s motion for mistrial. On September 23, 2013, the District Court denied the Company’s motion for judgment as a matter of law or a new trial on non-infringement, invalidity and other non-damages issue as well as the Company’s motion for reduced damages. On the same day, the District Court granted-in-part CMU’s motion for a finding of willful infringement and enhanced damages, reserving its further rulings on any enhancement of the verdict for a separate opinion. On December 6, 2013, CMU filed a motion to permit registration of judgment and a motion for supplemental relief including a request to enjoin future share repurchases, any leveraged buyout or similar asset leveraging transaction, and dividends, in the absence of a court approved bond or other security. On December 23, 2013, the District Court denied the motions. On January 8, 2014, CMU filed a motion for telephonic status conference, which was denied on January 28, 2014. On January 14, 2014, the District Court denied the Company’s post-trial motion on laches. On March 31, 2014, the District Court rejected CMU’s motion for an injunction. The District Court also denied CMU’s request for pre-judgment interest, and substantially scaled back CMU’s request for enhanced damages. Based on these decisions, the District Court calculated the damages including enhancement to total approximately $1.54 billion, and held that, under its decision, CMU is entitled to post judgment interest and an ongoing royalty. On May 7, 2014, the District Court entered final judgment, from which the Company filed a notice of appeal on May 14, 2014. The Company filed its opening appeal brief on August 4, 2014. CMU filed its opposition brief on October 20, 2014 and the Company filed its reply brief on November 20, 2014. The District Court has required the Company to report ongoing royalties under the current judgment. Based on the royalty rate assessed by the District Court, such additional royalties for the period of time commencing on the date ordered by the District Court, January 15, 2013, through January 31, 2015 could be as much as $400 million. The Company has secured certain surety bonds for the duration of the appeal to stay execution of judgment pending the appeal. See “—Surety Bond.”</w:t>
      </w:r>
    </w:p>
    <w:p>
      <w:pPr>
        <w:spacing w:after="0" w:line="13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are currently pursuing an appeal before the U.S. Court of Appeals for the Federal Circuit in Washington, D.C. which is set for oral argument in April 2015. The Company believes the low end of the possible range of loss is zero, but it cannot reasonably estimate the upper range of the possible loss, as a number of factors could significantly change the assessment of damages.</w:t>
      </w:r>
    </w:p>
    <w:p>
      <w:pPr>
        <w:spacing w:after="0" w:line="143" w:lineRule="exact"/>
        <w:rPr>
          <w:sz w:val="20"/>
          <w:szCs w:val="20"/>
          <w:color w:val="auto"/>
        </w:rPr>
      </w:pPr>
    </w:p>
    <w:p>
      <w:pPr>
        <w:ind w:right="30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in which USEI has accused a number of system manufacturers, including the Company’s customers, of patent infringement (the “USEI litigation”). Specifically, USEI has asserted that these customers infringe U.S. Patent Nos. 5,307,459, 5,434,872, 5,732,094 and 5,299,313, which relate to Ethernet technologies. The complaint seeks unspecified damages and an injunction.</w:t>
      </w:r>
    </w:p>
    <w:p>
      <w:pPr>
        <w:spacing w:after="0" w:line="143"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District Court issued an order granting the defendants’ motion to transfer the action to the U.S. District Court for the Northern District of California; the case was formally transferred on August 23, 2010. On September 14, 2011, USEI withdrew its allegations against MSI for the ‘459 patent. The District Court issued a first claim construction ruling on January 31, 2012 and a supplemental claim construction ruling on August 29, 2012. On August 16, 2013, the District Court granted defendants’ summary judgment motion to preclude the plaintiff from recovering certain pre-suit damages. On November 7, 2014, on summary judgment, the District Court found that all the patents-in-suit were either invalid or not infringed. On December 1, 2014, the District Court entered a judgment in favor of defendants and awarded defendants’ costs. On December 29, 2014,</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420"/>
          </w:cols>
          <w:pgMar w:left="240" w:top="459" w:right="2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color w:val="auto"/>
        </w:rPr>
        <w:t>USEI filed a motion to alter or amend the District Court’s summary judgment order. The District Court has set a hearing date in March 2015.</w:t>
      </w:r>
    </w:p>
    <w:p>
      <w:pPr>
        <w:spacing w:after="0" w:line="171" w:lineRule="exact"/>
        <w:rPr>
          <w:sz w:val="20"/>
          <w:szCs w:val="20"/>
          <w:color w:val="auto"/>
        </w:rPr>
      </w:pPr>
    </w:p>
    <w:p>
      <w:pPr>
        <w:jc w:val="both"/>
        <w:ind w:right="100" w:firstLine="456"/>
        <w:spacing w:after="0" w:line="256" w:lineRule="auto"/>
        <w:rPr>
          <w:sz w:val="20"/>
          <w:szCs w:val="20"/>
          <w:color w:val="auto"/>
        </w:rPr>
      </w:pPr>
      <w:r>
        <w:rPr>
          <w:rFonts w:ascii="Arial" w:cs="Arial" w:eastAsia="Arial" w:hAnsi="Arial"/>
          <w:sz w:val="18"/>
          <w:szCs w:val="18"/>
          <w:i w:val="1"/>
          <w:iCs w:val="1"/>
          <w:color w:val="auto"/>
        </w:rPr>
        <w:t xml:space="preserve">Lake Cherokee Patent Litigation. </w:t>
      </w:r>
      <w:r>
        <w:rPr>
          <w:rFonts w:ascii="Arial" w:cs="Arial" w:eastAsia="Arial" w:hAnsi="Arial"/>
          <w:sz w:val="18"/>
          <w:szCs w:val="18"/>
          <w:color w:val="auto"/>
        </w:rPr>
        <w:t>On June 30, 2010, September 5, 2013 and September 25, 2013, Lake Cherokee Hard Drive Technologies, L.L.C. filed</w:t>
      </w:r>
      <w:r>
        <w:rPr>
          <w:rFonts w:ascii="Arial" w:cs="Arial" w:eastAsia="Arial" w:hAnsi="Arial"/>
          <w:sz w:val="18"/>
          <w:szCs w:val="18"/>
          <w:i w:val="1"/>
          <w:iCs w:val="1"/>
          <w:color w:val="auto"/>
        </w:rPr>
        <w:t xml:space="preserve"> </w:t>
      </w:r>
      <w:r>
        <w:rPr>
          <w:rFonts w:ascii="Arial" w:cs="Arial" w:eastAsia="Arial" w:hAnsi="Arial"/>
          <w:sz w:val="18"/>
          <w:szCs w:val="18"/>
          <w:color w:val="auto"/>
        </w:rPr>
        <w:t>three separate complaints, which were consolidated into one case in the U.S. District Court for the Eastern District of Texas. All the parties involved in the three cases reached settlement in August 2014 and the three cases were dismissed with prejudice. The settlement did not have a significant impact on the Company’s financial statements.</w:t>
      </w:r>
    </w:p>
    <w:p>
      <w:pPr>
        <w:spacing w:after="0" w:line="143"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 xml:space="preserve">Azure Networks Litigation. </w:t>
      </w:r>
      <w:r>
        <w:rPr>
          <w:rFonts w:ascii="Arial" w:cs="Arial" w:eastAsia="Arial" w:hAnsi="Arial"/>
          <w:sz w:val="16"/>
          <w:szCs w:val="16"/>
          <w:color w:val="auto"/>
        </w:rPr>
        <w:t>On March 22, 2011, Azure Networks, LLC (“Azure”) and Tri-County Excelsior Foundation filed suit in the U.S.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Court for the Eastern District of Texas against MSI and eight other companies. The Complaint asserts U.S. Patent No. 7,756,129 against MSI’s Bluetooth products. MSI filed its answer and counterclaims on July 20, 2011. On November 2, 2012, MSI and the other defendants filed a motion for summary judgment of invalidity, which was denied. A claim construction hearing was held on December 20, 2012. On January 15, 2013, the magistrate judge issued a claim construction ruling. On May 20, 2013, the District Court issued an order denying plaintiff’s motion for reconsideration and adopted the magistrate judge’s claim construction ruling. On May 30, 2013, the District Court entered a judgment of non-infringement. On June 24, 2013, Azure appealed, and the appeal has been briefed. Oral argument before a Federal Circuit panel was held on April 11, 2014. On November 6, 2014, the Federal Circuit issued an order vacating the judgment of non-infringement and remanding for further proceedings. On January 7, 2015, the District Court issued a supplemental claim construction order in light of the Federal Circuit remand and issued a scheduling order. The Company filed a petition for writ of certiorari to the United States Supreme Court on February 4, 2015. On February 10, 2015, the District Court stayed all proceedings pending the Supreme Court’s ruling on the Company’s petition.</w:t>
      </w:r>
    </w:p>
    <w:p>
      <w:pPr>
        <w:spacing w:after="0" w:line="123"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On January 13, 2015, Azure filed a second suit in the U.S. District Court for the Eastern District of Texas, alleging infringement of U.S. Patent Nos. 8,582,570; 8,582,571; 8,588,196; 8,588,231; 8,589,599; 8,675,590; 8,683,092; 8,700,815; 8,732,347; and 8,732,361, purportedly related to certain Wi-Fi and NFC technologies. The complaint seeks unspecified damages.</w:t>
      </w:r>
    </w:p>
    <w:p>
      <w:pPr>
        <w:spacing w:after="0" w:line="14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other defendants, in the U.S. District Court for the District of Delaware. On June 14, 2013, the District Court entered a judgment of non-infringement. The Federal Circuit Court of Appeals affirmed the District Court’s rulings on January 14, 2014. The deadline for PMS to appeal to the United States Supreme Court passed in mid-April 2014 without PMS taking any further action.</w:t>
      </w:r>
    </w:p>
    <w:p>
      <w:pPr>
        <w:spacing w:after="0" w:line="113"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filed a complaint against MSI in the U.S. District Court for the Southern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New York. The complaint asserts U.S. Patent No.5,446,747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A claim construction hearing was held on December 13, 2013. On April 14, 2014, the Court denied MSI’s motion for summary judgment of invalidity, and granted MSI’s summary judgment motion concerning certain damages preclusion. A jury trial began on September 17, 2014. On September 30, 2014, a jury delivered a verdict that found the patent in suit was literally, but not willfully, infringed and valid, and awarded damages. The award did not have a significant impact on the Company’s financial statements. A hearing for post-trial motions and non-jury issues took place on January 14, 2015. On March 2, 2015, the District Court issued an order on post-trial briefs finding no direct infringement by Marvell as a matter of law and entered judgment in favor of Marvell.</w:t>
      </w:r>
    </w:p>
    <w:p>
      <w:pPr>
        <w:spacing w:after="0" w:line="10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360"/>
          </w:cols>
          <w:pgMar w:left="240" w:top="459" w:right="29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i w:val="1"/>
          <w:iCs w:val="1"/>
          <w:color w:val="auto"/>
        </w:rPr>
        <w:t xml:space="preserve">Freescale Litigation. </w:t>
      </w:r>
      <w:r>
        <w:rPr>
          <w:rFonts w:ascii="Arial" w:cs="Arial" w:eastAsia="Arial" w:hAnsi="Arial"/>
          <w:sz w:val="16"/>
          <w:szCs w:val="16"/>
          <w:color w:val="auto"/>
        </w:rPr>
        <w:t>On July 6, 2012, Freescale Semiconductor, Inc. (“Freescale”) filed a complaint against MSI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Western District of Texas. On January 4, 2013, three of the Company’s subsidiaries, MSI, Marvell International Ltd. and Marvell World Trade Ltd., filed a complaint against Freescale in the U.S. District Court for the Western District of Texas. On April 11, 2014, the Court dismissed both of the above two cases with prejudice pursuant to a settlement and patent license agreement. The settlement did not have a significant impact on the Company’s financial statements.</w:t>
      </w:r>
    </w:p>
    <w:p>
      <w:pPr>
        <w:spacing w:after="0" w:line="11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 xml:space="preserve">Progressive Semiconductor Solutions Patent Litigation. </w:t>
      </w:r>
      <w:r>
        <w:rPr>
          <w:rFonts w:ascii="Arial" w:cs="Arial" w:eastAsia="Arial" w:hAnsi="Arial"/>
          <w:sz w:val="18"/>
          <w:szCs w:val="18"/>
          <w:color w:val="auto"/>
        </w:rPr>
        <w:t>On September 30, 2013, Progressive Semiconductor Solutions LLC (“PSS”) filed a complaint in</w:t>
      </w:r>
      <w:r>
        <w:rPr>
          <w:rFonts w:ascii="Arial" w:cs="Arial" w:eastAsia="Arial" w:hAnsi="Arial"/>
          <w:sz w:val="18"/>
          <w:szCs w:val="18"/>
          <w:i w:val="1"/>
          <w:iCs w:val="1"/>
          <w:color w:val="auto"/>
        </w:rPr>
        <w:t xml:space="preserve"> </w:t>
      </w:r>
      <w:r>
        <w:rPr>
          <w:rFonts w:ascii="Arial" w:cs="Arial" w:eastAsia="Arial" w:hAnsi="Arial"/>
          <w:sz w:val="18"/>
          <w:szCs w:val="18"/>
          <w:color w:val="auto"/>
        </w:rPr>
        <w:t>the Central District of California against MSI and another defendant. On March 3, 2014, the District Court dismissed MSI without prejudice. On March 4, 2014, PSS filed a new complaint against MSI. The parties reached settlement in August 2014 and the case was dismissed with prejudice on August 21, 2014. The settlement did not have a significant impact on the Company’s financial statements.</w:t>
      </w:r>
    </w:p>
    <w:p>
      <w:pPr>
        <w:spacing w:after="0" w:line="14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i w:val="1"/>
          <w:iCs w:val="1"/>
          <w:color w:val="auto"/>
        </w:rPr>
        <w:t xml:space="preserve">Vantage Point Technology Patent Litigation. </w:t>
      </w:r>
      <w:r>
        <w:rPr>
          <w:rFonts w:ascii="Arial" w:cs="Arial" w:eastAsia="Arial" w:hAnsi="Arial"/>
          <w:sz w:val="16"/>
          <w:szCs w:val="16"/>
          <w:color w:val="auto"/>
        </w:rPr>
        <w:t>On November 21, 2013, Vantage Point Technology, Inc. (“VPT”) filed suit against a third-party defendant in</w:t>
      </w:r>
      <w:r>
        <w:rPr>
          <w:rFonts w:ascii="Arial" w:cs="Arial" w:eastAsia="Arial" w:hAnsi="Arial"/>
          <w:sz w:val="16"/>
          <w:szCs w:val="16"/>
          <w:i w:val="1"/>
          <w:iCs w:val="1"/>
          <w:color w:val="auto"/>
        </w:rPr>
        <w:t xml:space="preserve"> </w:t>
      </w:r>
      <w:r>
        <w:rPr>
          <w:rFonts w:ascii="Arial" w:cs="Arial" w:eastAsia="Arial" w:hAnsi="Arial"/>
          <w:sz w:val="16"/>
          <w:szCs w:val="16"/>
          <w:color w:val="auto"/>
        </w:rPr>
        <w:t>the U.S. District Court for the Eastern District of Texas for patent infringement relating to processor technology. On February 3, 2014, VPT filed an amended complaint against the third party and added MSI as an additional defendant. The complaint seeks unspecified damages. On December 8, 2014, the case was transferred to the U.S. District Court for the Northern District of California. The case was dismissed with prejudice in March 2015.</w:t>
      </w:r>
    </w:p>
    <w:p>
      <w:pPr>
        <w:spacing w:after="0" w:line="113"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 xml:space="preserve">Voss Litigation and Consolidated Cases. </w:t>
      </w:r>
      <w:r>
        <w:rPr>
          <w:rFonts w:ascii="Arial" w:cs="Arial" w:eastAsia="Arial" w:hAnsi="Arial"/>
          <w:sz w:val="16"/>
          <w:szCs w:val="16"/>
          <w:color w:val="auto"/>
        </w:rPr>
        <w:t>On April 7, 2014, Lee Voss (“Voss”) filed an action asserting putative class action claims on behalf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shareholders and derivative claims ostensibly on behalf of the Company in the United States District Court for the Northern District of California, San Jose Division. This action was consolidated with two additional, nearly identical complaints from Sebastiano D’Arrigo and James and Marie DiBiase. The complaint alleged that certain officers and directors of the Company breached their fiduciary duties by causing or allowing the Company to engage in the purported willful infringement of certain patents asserted against it in litigation by CMU and by failing to institute adequate internal controls, resulting in an adverse verdict, and alleged unjust enrichment and a breach of the duty of honest services by three of the Company’s officers. The Company was named as a nominal defendant. The complaint requested damages and restitution in unspecified amounts, equitable and/or injunctive relief, and the costs and fees of bringing the action. The Company and the defendant officers and directors filed a motion to dismiss the amended consolidated complaint on September 4, 2014. On January 26, 2015, the District Court granted the Company’s motion to dismiss with leave to amend and on February 24, 2015, the District Court granted the plaintiffs’ motion to dismiss without prejudice.</w:t>
      </w:r>
    </w:p>
    <w:p>
      <w:pPr>
        <w:spacing w:after="0" w:line="123"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i w:val="1"/>
          <w:iCs w:val="1"/>
          <w:color w:val="auto"/>
        </w:rPr>
        <w:t xml:space="preserve">Bandspeed Litigation. </w:t>
      </w:r>
      <w:r>
        <w:rPr>
          <w:rFonts w:ascii="Arial" w:cs="Arial" w:eastAsia="Arial" w:hAnsi="Arial"/>
          <w:sz w:val="18"/>
          <w:szCs w:val="18"/>
          <w:color w:val="auto"/>
        </w:rPr>
        <w:t>On May 9, 2014, Bandspeed, Inc. filed suit against MSI in the U.S. District Court for the Eastern District of Texas, alleging</w:t>
      </w:r>
      <w:r>
        <w:rPr>
          <w:rFonts w:ascii="Arial" w:cs="Arial" w:eastAsia="Arial" w:hAnsi="Arial"/>
          <w:sz w:val="18"/>
          <w:szCs w:val="18"/>
          <w:i w:val="1"/>
          <w:iCs w:val="1"/>
          <w:color w:val="auto"/>
        </w:rPr>
        <w:t xml:space="preserve"> </w:t>
      </w:r>
      <w:r>
        <w:rPr>
          <w:rFonts w:ascii="Arial" w:cs="Arial" w:eastAsia="Arial" w:hAnsi="Arial"/>
          <w:sz w:val="18"/>
          <w:szCs w:val="18"/>
          <w:color w:val="auto"/>
        </w:rPr>
        <w:t>infringement of U.S. Patent Nos. 7,027,418; 7,570,614; 7,477,624; 7,903,608; and 8,542,643, purportedly related to certain Bluetooth technology. The complaint seeks unspecified damages. On February 13, 2015, Bandspeed amended its complaint and added allegations of infringement of U.S. Patent No. 8,873,500. A claim construction hearing is currently scheduled for October 2, 2015.</w:t>
      </w:r>
    </w:p>
    <w:p>
      <w:pPr>
        <w:spacing w:after="0" w:line="143"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i w:val="1"/>
          <w:iCs w:val="1"/>
          <w:color w:val="auto"/>
        </w:rPr>
        <w:t>SOTA Litigation</w:t>
      </w:r>
      <w:r>
        <w:rPr>
          <w:rFonts w:ascii="Arial" w:cs="Arial" w:eastAsia="Arial" w:hAnsi="Arial"/>
          <w:sz w:val="16"/>
          <w:szCs w:val="16"/>
          <w:color w:val="auto"/>
        </w:rPr>
        <w:t>. On October 24, 2014, SOTA Semiconductor LLC (“SOTA”) filed suit against MSI, alleging infringement of U.S. Patent Nos. 5,991,545</w:t>
      </w:r>
      <w:r>
        <w:rPr>
          <w:rFonts w:ascii="Arial" w:cs="Arial" w:eastAsia="Arial" w:hAnsi="Arial"/>
          <w:sz w:val="16"/>
          <w:szCs w:val="16"/>
          <w:i w:val="1"/>
          <w:iCs w:val="1"/>
          <w:color w:val="auto"/>
        </w:rPr>
        <w:t xml:space="preserve"> </w:t>
      </w:r>
      <w:r>
        <w:rPr>
          <w:rFonts w:ascii="Arial" w:cs="Arial" w:eastAsia="Arial" w:hAnsi="Arial"/>
          <w:sz w:val="16"/>
          <w:szCs w:val="16"/>
          <w:color w:val="auto"/>
        </w:rPr>
        <w:t>and 6,643,713, purportedly related to certain processor technology. The complaint sought unspecified damages. The parties reached settlement and the case was dismissed with prejudice on January 20, 2015. The settlement did not have a significant impact on the Company’s financial statements.</w:t>
      </w:r>
    </w:p>
    <w:p>
      <w:pPr>
        <w:spacing w:after="0" w:line="107"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i w:val="1"/>
          <w:iCs w:val="1"/>
          <w:color w:val="auto"/>
        </w:rPr>
        <w:t>NXP Litigation</w:t>
      </w:r>
      <w:r>
        <w:rPr>
          <w:rFonts w:ascii="Arial" w:cs="Arial" w:eastAsia="Arial" w:hAnsi="Arial"/>
          <w:sz w:val="18"/>
          <w:szCs w:val="18"/>
          <w:color w:val="auto"/>
        </w:rPr>
        <w:t>. On January 22, 2015, NXP Semiconductors N.V. filed suit against MSI in the U.S. District Court for the Northern District of California,</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infringement of U.S. Patent Nos. 5,939,791; 7,039,133; 8,185,050; and 8,203,432, purportedly related to certain NFC technology. The complaint seeks unspecified damages. MSI filed its response and counterclaims on February 26, 2015. Marvell International</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400"/>
          </w:cols>
          <w:pgMar w:left="240" w:top="459" w:right="25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80"/>
        <w:spacing w:after="0" w:line="306" w:lineRule="auto"/>
        <w:rPr>
          <w:sz w:val="20"/>
          <w:szCs w:val="20"/>
          <w:color w:val="auto"/>
        </w:rPr>
      </w:pPr>
      <w:r>
        <w:rPr>
          <w:rFonts w:ascii="Arial" w:cs="Arial" w:eastAsia="Arial" w:hAnsi="Arial"/>
          <w:sz w:val="16"/>
          <w:szCs w:val="16"/>
          <w:color w:val="auto"/>
        </w:rPr>
        <w:t>Limited (“MIL”) also filed counterclaims against NXP Semiconductors U.S.A. (“NXP USA”), alleging infringement of U.S. Patent Nos. 7,047,393; 7,555,065; and 7,302,600. On February 2, 2015, MIL filed suit against NXP USA in the U.S. District Court for the Central District of California, alleging patent infringement of U.S. Patent Nos. 8,171,309; 7,957,777; 7,454,634; and 6,903,448, related to certain NFC and automotive technologies.</w:t>
      </w:r>
    </w:p>
    <w:p>
      <w:pPr>
        <w:spacing w:after="0" w:line="107"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i w:val="1"/>
          <w:iCs w:val="1"/>
          <w:color w:val="auto"/>
        </w:rPr>
        <w:t>Paone Litigation</w:t>
      </w:r>
      <w:r>
        <w:rPr>
          <w:rFonts w:ascii="Arial" w:cs="Arial" w:eastAsia="Arial" w:hAnsi="Arial"/>
          <w:sz w:val="16"/>
          <w:szCs w:val="16"/>
          <w:color w:val="auto"/>
        </w:rPr>
        <w:t>. On February 6, 2015, Luciano F. Paone filed suit against MSI in the U.S. District Court for the Eastern District of New York, alleging</w:t>
      </w:r>
      <w:r>
        <w:rPr>
          <w:rFonts w:ascii="Arial" w:cs="Arial" w:eastAsia="Arial" w:hAnsi="Arial"/>
          <w:sz w:val="16"/>
          <w:szCs w:val="16"/>
          <w:i w:val="1"/>
          <w:iCs w:val="1"/>
          <w:color w:val="auto"/>
        </w:rPr>
        <w:t xml:space="preserve"> </w:t>
      </w:r>
      <w:r>
        <w:rPr>
          <w:rFonts w:ascii="Arial" w:cs="Arial" w:eastAsia="Arial" w:hAnsi="Arial"/>
          <w:sz w:val="16"/>
          <w:szCs w:val="16"/>
          <w:color w:val="auto"/>
        </w:rPr>
        <w:t>infringement of U.S. Patent No. 6,259,789, purportedly related to certain encryption technology. The complaint seeks unspecified damages.</w:t>
      </w:r>
    </w:p>
    <w:p>
      <w:pPr>
        <w:spacing w:after="0" w:line="85"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i w:val="1"/>
          <w:iCs w:val="1"/>
          <w:color w:val="auto"/>
        </w:rPr>
        <w:t xml:space="preserve">Innovatio Litigation. </w:t>
      </w:r>
      <w:r>
        <w:rPr>
          <w:rFonts w:ascii="Arial" w:cs="Arial" w:eastAsia="Arial" w:hAnsi="Arial"/>
          <w:sz w:val="16"/>
          <w:szCs w:val="16"/>
          <w:color w:val="auto"/>
        </w:rPr>
        <w:t>On March 16, 2015, Innovatio IP Ventures, LLC filed suit against MSI in the U.S. District Court for the Northern District of Illinois,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U.S. Patent Nos. 6,697,415; 5,844,893; 5,740,366; 7,916,747; 6,665,536; 7,013,138; 7,107,052; 5,546,397; 7,710,907; 7,710,935; 6,714,559; 7,457,646; and 6,374,311, purportedly related to certain wireless technology. The complaint seeks unspecified damages.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On May 14, 2014, the Company filed a Notice of Appeal to appeal the final judgment issued by the District Court in the CMU litigation. In order to stay the execution of the final judgment pending its appeal, the Company filed a supersedeas bond for $1.54 billion with the District Court. The bond was issued by a consortium of sureties authorized by the U.S. Treasury. If the judgment is affirmed after the completion of all appellate proceedings, and the Company does not thereafter fully satisfy the judgment within thirty days, the sureties are obligated under the bond to make payment to CMU.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18"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The Court has required us to report ongoing royalties under the current judgment. Based on the royalty rate assessed by the District Court, such additional royalties for the period of time commencing on the date ordered by the District Court, January 15, 2013, through January 31, 2015 could be as much as $400 million. On November 14, 2014, the Company filed a second surety bond for $216 million and filed a commitment letter from the sureties to issue up to an additional $95 million in bonding under certain conditions. The second bond and commitment are secured by the Company’s campus located in Santa Clara, California, which has a carrying value of $139 million at January 31, 2015. The Company and CMU have agreed that the second bond and commitment satisfy the security for ongoing royalties while the appeal is pending.</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400"/>
          </w:cols>
          <w:pgMar w:left="240" w:top="459" w:right="25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96"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The Company sponsors a 401(k) savings and investment plan that allows eligible U.S. employees to participate by making pre-tax contributions to the 401(k) plan ranging from 1% to 50% of eligible earnings subject to a required annual limit. The Company matches 100% of the employee contribution up to $500 per eligible employee on a quarterly basis. The participant must be employed by the Company on the last day of the calendar quarter to qualify for the match. At the end of the calendar year, the eligible employees receive a true-up match equal to the accumulated employee contribution for the calendar year up to $2,000. The Company made matching contributions to employees of $5.1 million during each of fiscal 2015, 2014 and 2013. As of January 31, 2015, the 401(k) plan offers a variety of investment alternatives, representing different asset classes. Employees may not invest in the Company’s common shares through the 401(k) plan.</w:t>
      </w:r>
    </w:p>
    <w:p>
      <w:pPr>
        <w:spacing w:after="0" w:line="14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Company also has voluntary defined contribution plans in various non-U.S. locations. The Company made contributions on behalf of employees totaling $18.6 million, $20.6 million and $17.2 million during fiscal 2015, 2014 and 2013, respectively. The Company also maintains a limited number of defined benefit plans for certain non-U.S. locations. Total costs under these plans were not significant.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9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As of January 31, 2015, the Company is authorized to issue 992.0 million shares of $0.002 par value common stock and 8.0 million shares of $0.002 par value preferred stock. As of January 31, 2015 and February 1, 2014, no shares of preferred stock were outstanding.</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from time to time, had 383.4 million common shares reserved for issuance thereunder as of January 31, 2015. Options granted under the Option Plan generally have a term of 10 years and generally must be issued at prices equal to the fair market value of the stock on the date of grant. Incentive stock options granted to shareholders who own greater than 10% of the outstanding stock at the time of the grant may not have a term exceeding five years and these options must be issued at prices of at least 110% of the fair market value of the stock on the date of grant.</w:t>
      </w:r>
    </w:p>
    <w:p>
      <w:pPr>
        <w:spacing w:after="0" w:line="143"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The Company can also grant stock awards, which may be subject to vesting. Further, the Company can grant restricted stock unit awards. Restricted stock unit awards are denominated in shares of stock, but may be settled in cash or shares upon vesting, as determined by the Company at the time of grant.</w:t>
      </w:r>
    </w:p>
    <w:p>
      <w:pPr>
        <w:spacing w:after="0" w:line="85"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Equity awards to new hires under the Option Plan generally vest 20% one year after the vesting commencement date and the remaining shares vest one-sixtieth per month over the remaining 48 months. Other equity awards generally vest annually in four equal installments.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400"/>
          </w:cols>
          <w:pgMar w:left="240" w:top="459" w:right="2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 fiscal 2015, the Company granted performance-based restricted stock units (“PSUs”) to certain members of senior management. Pursuant to the PSUs, each eligible employee is entitled to vest in a certain number of shares based on such employee’s achievement of individual financial and strategic performance goals for fiscal 2015, including, for example, net revenue and operating expense targets, and other individual strategic milestones. The actual number of shares that vest for each eligible employee is based on the achievement of such performance goals determined at the end of fiscal 2015 and vest over two years, with 50% vesting on April 1, 2015 and 50% vesting on April 1, 2016. The Company recognizes expenses associated with the PSUs when it becomes probable that the performance conditions will be met. Once it becomes probable that a PSU will vest, the Company recognizes compensation expense equal to the number of shares multiplied by the fair value of the related shares measured at the grant date.</w:t>
      </w:r>
    </w:p>
    <w:p>
      <w:pPr>
        <w:spacing w:after="0" w:line="118" w:lineRule="exact"/>
        <w:rPr>
          <w:sz w:val="20"/>
          <w:szCs w:val="20"/>
          <w:color w:val="auto"/>
        </w:rPr>
      </w:pPr>
    </w:p>
    <w:p>
      <w:pPr>
        <w:ind w:right="100" w:firstLine="456"/>
        <w:spacing w:after="0" w:line="308" w:lineRule="auto"/>
        <w:rPr>
          <w:sz w:val="20"/>
          <w:szCs w:val="20"/>
          <w:color w:val="auto"/>
        </w:rPr>
      </w:pPr>
      <w:r>
        <w:rPr>
          <w:rFonts w:ascii="Arial" w:cs="Arial" w:eastAsia="Arial" w:hAnsi="Arial"/>
          <w:sz w:val="15"/>
          <w:szCs w:val="15"/>
          <w:color w:val="auto"/>
        </w:rPr>
        <w:t>In fiscal 2015, the Company also granted performance-based equity awards to each of our executive officers which are based on their achievement of certain performance goals in fiscal 2015 and 2016. These equity awards include restricted stock units which vest based on financial performance criteria (“Financial Performance RSU”) and restricted stock units which vest based on both financial performance criteria and individual strategic goals (“Strategic Performance Award”). The Financial Performance RSUs will be earned based on the achievement of revenue and modified non-GAAP operating income that have been established at “threshold,” “target” and “maximum” levels. Each Financial Performance RSU will vest 50% on the first anniversary of the commencement date based on achievement of fiscal 2015 financial performance criteria and 50% on the second anniversary of the vesting commencement date based on the achievement of fiscal 2016 financial performance criteria. The Strategic Performance Awards will vest based on achievement at the threshold level of either the revenue or modified non-GAAP operating income objective established for the Financial Performance RSU, in addition to the achievement of additional individual strategic goals. Each Strategic Performance Award will vest 50% on the first anniversary of the commencement date based on achievement of fiscal 2015 individual strategic goals and 50% on second anniversary date based on the achievement of the fiscal 2016 individual strategic goals.</w:t>
      </w:r>
    </w:p>
    <w:p>
      <w:pPr>
        <w:spacing w:after="0" w:line="109"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In March 2015, the Executive Compensation Committee of the Company’s Board of Directors completed its evaluation of the number of shares to be issued to the Company’s executive officers based on their achievement of the fiscal 2015 performance goals and determined that 478,001 shares would vest on April 1, 2015. As a result, there was no material adjustment to the related share-based compensation expense in fiscal 2015.</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31, 2015, approximately 90.0 million shares remained available for future issuance under the Option Plan.</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and had a term of 10 years. The 1997 Directors’ Plan was terminated in October 2007. There are two outstanding grants remaining under the 1997 Directors’ Plan.</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2007 Directors’ Stock Incentive Plan</w:t>
      </w:r>
    </w:p>
    <w:p>
      <w:pPr>
        <w:spacing w:after="0" w:line="9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In October 2007, the Company adopted the 2007 Directors’ Stock Incentive Plan, for which shareholders approved a total of 750,000 common shares that could be issued under the plan to all eligible outside directors.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380"/>
          </w:cols>
          <w:pgMar w:left="240" w:top="459" w:right="27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40"/>
        <w:spacing w:after="0" w:line="256" w:lineRule="auto"/>
        <w:rPr>
          <w:sz w:val="20"/>
          <w:szCs w:val="20"/>
          <w:color w:val="auto"/>
        </w:rPr>
      </w:pPr>
      <w:r>
        <w:rPr>
          <w:rFonts w:ascii="Arial" w:cs="Arial" w:eastAsia="Arial" w:hAnsi="Arial"/>
          <w:sz w:val="18"/>
          <w:szCs w:val="18"/>
          <w:color w:val="auto"/>
        </w:rPr>
        <w:t>Each outside director was granted an option to purchase 50,000 common shares upon his or her initial appointment to the Company’s Board of Directors. These options, which have a term of 10 years, vested one-third of the total shares on the one-year anniversary of the date of grant and one-third of the total shares on each one-year anniversary thereafter. From time to time, the Board has the authority to approve the amendment and restatement of the plan to revise the size of automatic annual awards granted under the plan.</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fiscal 2012, each outside director who had been serving on the Company’s Board of Directors for the prior six months and was re-elected by the shareholders at the annual general meeting was granted an option to purchase 9,000 common shares. These options, which have a term of 10 years, vested 100% on the earlier of the date of the next annual general meeting of shareholders or the one-year anniversary of the date of grant. In addition, each outside director was also granted a restricted stock unit (“RSU”) award for a number of shares with an aggregate fair market value equal to $70,000 immediately following the annual general meeting of shareholders. These RSU awards vested 100% on the earlier of the date of the next annual general meeting of shareholders or the one-year anniversary of the date of grant.</w:t>
      </w:r>
    </w:p>
    <w:p>
      <w:pPr>
        <w:spacing w:after="0" w:line="12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In fiscal 2013 and 2014, each outside director who was appointed at the annual general meeting of shareholders was granted an option to purchase a number of common shares with an aggregate grant date fair value equal to $110,000 immediately following the annual general meeting of shareholders. In addition, each outside director who was elected or appointed at the annual general meeting of shareholders was granted an RSU award for a number of shares with an aggregate fair market value equal to $110,000 immediately following each annual general meeting. The option awards, which have a term of 10 years, and the RSU awards vest 100% on the earlier of the date of the next annual general meeting of shareholders or the one-year anniversary of the date of grant. An outside director elected or appointed after an annual general meeting of shareholders would receive a pro rata stock option award and RSU award based on the number of quarters completed since the previous annual general meeting of shareholders. In no event would any outside director be awarded in any calendar year an annual option award or annual RSU award under the 2007 Director Plan for more than 25,000 shares and 10,000 shares, respectively.</w:t>
      </w:r>
    </w:p>
    <w:p>
      <w:pPr>
        <w:spacing w:after="0" w:line="118"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Beginning in fiscal 2015, each outside director who is first elected or appointed at the annual general meeting of shareholders will be granted an RSU award for a number of shares with an aggregate fair market value equal to $220,000 immediately following each annual general meeting of shareholders. The RSU award vests as to 100% of the shares on the earlier of the date of the next annual general meeting of shareholders or the one-year anniversary of the date of grant. An outside director who is elected or appointed after an annual general meeting of shareholders will receive a pro rata RSU award based on the number of quarters completed since the prior annual general meeting of shareholders. In no event shall any outside director be awarded in any calendar year an annual RSU award under the 2007 Director Plan for more than 20,000 shares, respectively.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31, 2015, approximately 144,692 shares remained available for future issuance under the 2007 Directors’ Plan.</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9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Under the 2000 Employee Stock Purchase Plan, as amended and restated on October 31, 2011 (the “ESPP”), participants purchase the Company’s stock using payroll deductions, which may not exceed 15% of their total cash compensation. Pursuant to the terms of the current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shares on any purchase date is less than it was on the first day of the offering period. Participants in a 24-month offering period will be granted the right to purchase common shares at a price per</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380"/>
          </w:cols>
          <w:pgMar w:left="240" w:top="459" w:right="27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color w:val="auto"/>
        </w:rPr>
        <w:t>share that is 85% of the lesser of the fair market value of the shares at (i) the participant’s entry date into the two-year offering period or (ii) the end of each six-month purchase period within the offering period.</w:t>
      </w:r>
    </w:p>
    <w:p>
      <w:pPr>
        <w:spacing w:after="0" w:line="132"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During fiscal 2015, a total of 9.7 million shares were issued under the ESPP at a weighted-average price of $7.67. During fiscal 2014, a total of 9.7 million shares were issued under the ESPP at a weighted-average price of $7.39. During fiscal 2013, a total of 7.6 million shares were issued under the ESPP at a weighted-average price of $8.77. As of January 31, 2015, there was $39.7 million of unrecognized compensation cost related to the ESPP.</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31, 2015, approximately 14.8 million shares remained available for future issuance under the ESPP.</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Option Plan and Stock Award Activity</w:t>
      </w:r>
    </w:p>
    <w:p>
      <w:pPr>
        <w:spacing w:after="0" w:line="90"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for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2160" w:type="dxa"/>
            <w:vAlign w:val="bottom"/>
            <w:gridSpan w:val="6"/>
          </w:tcPr>
          <w:p>
            <w:pPr>
              <w:jc w:val="right"/>
              <w:ind w:right="700"/>
              <w:spacing w:after="0"/>
              <w:rPr>
                <w:sz w:val="20"/>
                <w:szCs w:val="20"/>
                <w:color w:val="auto"/>
              </w:rPr>
            </w:pPr>
            <w:r>
              <w:rPr>
                <w:rFonts w:ascii="Arial" w:cs="Arial" w:eastAsia="Arial" w:hAnsi="Arial"/>
                <w:sz w:val="14"/>
                <w:szCs w:val="14"/>
                <w:b w:val="1"/>
                <w:bCs w:val="1"/>
                <w:color w:val="auto"/>
              </w:rPr>
              <w:t>Time-Based Options</w:t>
            </w:r>
          </w:p>
        </w:tc>
        <w:tc>
          <w:tcPr>
            <w:tcW w:w="216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Market-Based Options</w:t>
            </w:r>
          </w:p>
        </w:tc>
        <w:tc>
          <w:tcPr>
            <w:tcW w:w="118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26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44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44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2"/>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8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Average</w:t>
            </w:r>
          </w:p>
        </w:tc>
        <w:tc>
          <w:tcPr>
            <w:tcW w:w="7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Average</w:t>
            </w:r>
          </w:p>
        </w:tc>
        <w:tc>
          <w:tcPr>
            <w:tcW w:w="7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60" w:type="dxa"/>
            <w:vAlign w:val="bottom"/>
          </w:tcPr>
          <w:p>
            <w:pPr>
              <w:spacing w:after="0"/>
              <w:rPr>
                <w:sz w:val="12"/>
                <w:szCs w:val="12"/>
                <w:color w:val="auto"/>
              </w:rPr>
            </w:pPr>
          </w:p>
        </w:tc>
        <w:tc>
          <w:tcPr>
            <w:tcW w:w="98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rPr>
              <w:t>Options</w:t>
            </w:r>
          </w:p>
        </w:tc>
        <w:tc>
          <w:tcPr>
            <w:tcW w:w="200" w:type="dxa"/>
            <w:vAlign w:val="bottom"/>
          </w:tcPr>
          <w:p>
            <w:pPr>
              <w:spacing w:after="0"/>
              <w:rPr>
                <w:sz w:val="12"/>
                <w:szCs w:val="12"/>
                <w:color w:val="auto"/>
              </w:rPr>
            </w:pPr>
          </w:p>
        </w:tc>
        <w:tc>
          <w:tcPr>
            <w:tcW w:w="980" w:type="dxa"/>
            <w:vAlign w:val="bottom"/>
            <w:gridSpan w:val="3"/>
          </w:tcPr>
          <w:p>
            <w:pPr>
              <w:jc w:val="center"/>
              <w:ind w:right="460"/>
              <w:spacing w:after="0" w:line="149" w:lineRule="exact"/>
              <w:rPr>
                <w:sz w:val="20"/>
                <w:szCs w:val="20"/>
                <w:color w:val="auto"/>
              </w:rPr>
            </w:pPr>
            <w:r>
              <w:rPr>
                <w:rFonts w:ascii="Arial" w:cs="Arial" w:eastAsia="Arial" w:hAnsi="Arial"/>
                <w:sz w:val="14"/>
                <w:szCs w:val="14"/>
                <w:b w:val="1"/>
                <w:bCs w:val="1"/>
                <w:color w:val="auto"/>
                <w:w w:val="83"/>
              </w:rPr>
              <w:t>Exercise</w:t>
            </w:r>
          </w:p>
        </w:tc>
        <w:tc>
          <w:tcPr>
            <w:tcW w:w="98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rPr>
              <w:t>Options</w:t>
            </w:r>
          </w:p>
        </w:tc>
        <w:tc>
          <w:tcPr>
            <w:tcW w:w="200" w:type="dxa"/>
            <w:vAlign w:val="bottom"/>
          </w:tcPr>
          <w:p>
            <w:pPr>
              <w:spacing w:after="0"/>
              <w:rPr>
                <w:sz w:val="12"/>
                <w:szCs w:val="12"/>
                <w:color w:val="auto"/>
              </w:rPr>
            </w:pPr>
          </w:p>
        </w:tc>
        <w:tc>
          <w:tcPr>
            <w:tcW w:w="9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Exercise</w:t>
            </w:r>
          </w:p>
        </w:tc>
        <w:tc>
          <w:tcPr>
            <w:tcW w:w="1180" w:type="dxa"/>
            <w:vAlign w:val="bottom"/>
            <w:gridSpan w:val="2"/>
          </w:tcPr>
          <w:p>
            <w:pPr>
              <w:jc w:val="right"/>
              <w:ind w:right="580"/>
              <w:spacing w:after="0" w:line="149" w:lineRule="exact"/>
              <w:rPr>
                <w:sz w:val="20"/>
                <w:szCs w:val="20"/>
                <w:color w:val="auto"/>
              </w:rPr>
            </w:pPr>
            <w:r>
              <w:rPr>
                <w:rFonts w:ascii="Arial" w:cs="Arial" w:eastAsia="Arial" w:hAnsi="Arial"/>
                <w:sz w:val="14"/>
                <w:szCs w:val="14"/>
                <w:b w:val="1"/>
                <w:bCs w:val="1"/>
                <w:color w:val="auto"/>
              </w:rPr>
              <w:t>Options</w:t>
            </w: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7"/>
              </w:rPr>
              <w:t>Outstanding</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7"/>
              </w:rPr>
              <w:t>Price</w:t>
            </w:r>
          </w:p>
        </w:tc>
        <w:tc>
          <w:tcPr>
            <w:tcW w:w="98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84"/>
              </w:rPr>
              <w:t>Outstanding</w:t>
            </w:r>
          </w:p>
        </w:tc>
        <w:tc>
          <w:tcPr>
            <w:tcW w:w="200" w:type="dxa"/>
            <w:vAlign w:val="bottom"/>
          </w:tcPr>
          <w:p>
            <w:pPr>
              <w:spacing w:after="0"/>
              <w:rPr>
                <w:sz w:val="14"/>
                <w:szCs w:val="14"/>
                <w:color w:val="auto"/>
              </w:rPr>
            </w:pPr>
          </w:p>
        </w:tc>
        <w:tc>
          <w:tcPr>
            <w:tcW w:w="9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7"/>
              </w:rPr>
              <w:t>Price</w:t>
            </w:r>
          </w:p>
        </w:tc>
        <w:tc>
          <w:tcPr>
            <w:tcW w:w="118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4"/>
              </w:rPr>
              <w:t>Outstanding</w:t>
            </w:r>
          </w:p>
        </w:tc>
        <w:tc>
          <w:tcPr>
            <w:tcW w:w="100" w:type="dxa"/>
            <w:vAlign w:val="bottom"/>
          </w:tcPr>
          <w:p>
            <w:pPr>
              <w:spacing w:after="0"/>
              <w:rPr>
                <w:sz w:val="14"/>
                <w:szCs w:val="14"/>
                <w:color w:val="auto"/>
              </w:rPr>
            </w:pPr>
          </w:p>
        </w:tc>
        <w:tc>
          <w:tcPr>
            <w:tcW w:w="5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52,467</w:t>
            </w: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12.53</w:t>
            </w:r>
          </w:p>
        </w:tc>
        <w:tc>
          <w:tcPr>
            <w:tcW w:w="44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3,124</w:t>
            </w:r>
          </w:p>
        </w:tc>
        <w:tc>
          <w:tcPr>
            <w:tcW w:w="2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$ 15.43</w:t>
            </w:r>
          </w:p>
        </w:tc>
        <w:tc>
          <w:tcPr>
            <w:tcW w:w="44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55,591</w:t>
            </w:r>
          </w:p>
        </w:tc>
        <w:tc>
          <w:tcPr>
            <w:tcW w:w="4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12.70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420"/>
              <w:spacing w:after="0"/>
              <w:rPr>
                <w:sz w:val="20"/>
                <w:szCs w:val="20"/>
                <w:color w:val="auto"/>
              </w:rPr>
            </w:pPr>
            <w:r>
              <w:rPr>
                <w:rFonts w:ascii="Arial" w:cs="Arial" w:eastAsia="Arial" w:hAnsi="Arial"/>
                <w:sz w:val="18"/>
                <w:szCs w:val="18"/>
                <w:color w:val="auto"/>
              </w:rPr>
              <w:t>Granted</w:t>
            </w:r>
          </w:p>
        </w:tc>
        <w:tc>
          <w:tcPr>
            <w:tcW w:w="740" w:type="dxa"/>
            <w:vAlign w:val="bottom"/>
          </w:tcPr>
          <w:p>
            <w:pPr>
              <w:jc w:val="right"/>
              <w:spacing w:after="0"/>
              <w:rPr>
                <w:sz w:val="20"/>
                <w:szCs w:val="20"/>
                <w:color w:val="auto"/>
              </w:rPr>
            </w:pPr>
            <w:r>
              <w:rPr>
                <w:rFonts w:ascii="Arial" w:cs="Arial" w:eastAsia="Arial" w:hAnsi="Arial"/>
                <w:sz w:val="18"/>
                <w:szCs w:val="18"/>
                <w:color w:val="auto"/>
              </w:rPr>
              <w:t>7,041</w:t>
            </w:r>
          </w:p>
        </w:tc>
        <w:tc>
          <w:tcPr>
            <w:tcW w:w="24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440"/>
              <w:spacing w:after="0"/>
              <w:rPr>
                <w:sz w:val="20"/>
                <w:szCs w:val="20"/>
                <w:color w:val="auto"/>
              </w:rPr>
            </w:pPr>
            <w:r>
              <w:rPr>
                <w:rFonts w:ascii="Arial" w:cs="Arial" w:eastAsia="Arial" w:hAnsi="Arial"/>
                <w:sz w:val="18"/>
                <w:szCs w:val="18"/>
                <w:color w:val="auto"/>
                <w:w w:val="93"/>
              </w:rPr>
              <w:t>14.59</w:t>
            </w: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8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7,041</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14.59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(5,977)</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6.44</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(5,977)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(3,894)</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440"/>
              <w:spacing w:after="0"/>
              <w:rPr>
                <w:sz w:val="20"/>
                <w:szCs w:val="20"/>
                <w:color w:val="auto"/>
              </w:rPr>
            </w:pPr>
            <w:r>
              <w:rPr>
                <w:rFonts w:ascii="Arial" w:cs="Arial" w:eastAsia="Arial" w:hAnsi="Arial"/>
                <w:sz w:val="18"/>
                <w:szCs w:val="18"/>
                <w:color w:val="auto"/>
                <w:w w:val="93"/>
              </w:rPr>
              <w:t>16.10</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(365)</w:t>
            </w:r>
          </w:p>
        </w:tc>
        <w:tc>
          <w:tcPr>
            <w:tcW w:w="1180" w:type="dxa"/>
            <w:vAlign w:val="bottom"/>
            <w:gridSpan w:val="3"/>
          </w:tcPr>
          <w:p>
            <w:pPr>
              <w:jc w:val="right"/>
              <w:ind w:right="440"/>
              <w:spacing w:after="0"/>
              <w:rPr>
                <w:sz w:val="20"/>
                <w:szCs w:val="20"/>
                <w:color w:val="auto"/>
              </w:rPr>
            </w:pPr>
            <w:r>
              <w:rPr>
                <w:rFonts w:ascii="Arial" w:cs="Arial" w:eastAsia="Arial" w:hAnsi="Arial"/>
                <w:sz w:val="18"/>
                <w:szCs w:val="18"/>
                <w:color w:val="auto"/>
              </w:rPr>
              <w:t>$ 15.43</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rPr>
              <w:t>(4,259)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16.04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6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44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40" w:type="dxa"/>
            <w:vAlign w:val="bottom"/>
          </w:tcPr>
          <w:p>
            <w:pPr>
              <w:spacing w:after="0"/>
              <w:rPr>
                <w:sz w:val="2"/>
                <w:szCs w:val="2"/>
                <w:color w:val="auto"/>
              </w:rPr>
            </w:pPr>
          </w:p>
        </w:tc>
        <w:tc>
          <w:tcPr>
            <w:tcW w:w="44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49,637</w:t>
            </w:r>
          </w:p>
        </w:tc>
        <w:tc>
          <w:tcPr>
            <w:tcW w:w="2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3"/>
              </w:rPr>
              <w:t>13.28</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2,759</w:t>
            </w:r>
          </w:p>
        </w:tc>
        <w:tc>
          <w:tcPr>
            <w:tcW w:w="11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$ 15.43</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52,396</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13.39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420"/>
              <w:spacing w:after="0"/>
              <w:rPr>
                <w:sz w:val="20"/>
                <w:szCs w:val="20"/>
                <w:color w:val="auto"/>
              </w:rPr>
            </w:pPr>
            <w:r>
              <w:rPr>
                <w:rFonts w:ascii="Arial" w:cs="Arial" w:eastAsia="Arial" w:hAnsi="Arial"/>
                <w:sz w:val="18"/>
                <w:szCs w:val="18"/>
                <w:color w:val="auto"/>
              </w:rPr>
              <w:t>Granted</w:t>
            </w:r>
          </w:p>
        </w:tc>
        <w:tc>
          <w:tcPr>
            <w:tcW w:w="740" w:type="dxa"/>
            <w:vAlign w:val="bottom"/>
          </w:tcPr>
          <w:p>
            <w:pPr>
              <w:jc w:val="right"/>
              <w:spacing w:after="0"/>
              <w:rPr>
                <w:sz w:val="20"/>
                <w:szCs w:val="20"/>
                <w:color w:val="auto"/>
              </w:rPr>
            </w:pPr>
            <w:r>
              <w:rPr>
                <w:rFonts w:ascii="Arial" w:cs="Arial" w:eastAsia="Arial" w:hAnsi="Arial"/>
                <w:sz w:val="18"/>
                <w:szCs w:val="18"/>
                <w:color w:val="auto"/>
              </w:rPr>
              <w:t>18,922</w:t>
            </w:r>
          </w:p>
        </w:tc>
        <w:tc>
          <w:tcPr>
            <w:tcW w:w="24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440"/>
              <w:spacing w:after="0"/>
              <w:rPr>
                <w:sz w:val="20"/>
                <w:szCs w:val="20"/>
                <w:color w:val="auto"/>
              </w:rPr>
            </w:pPr>
            <w:r>
              <w:rPr>
                <w:rFonts w:ascii="Arial" w:cs="Arial" w:eastAsia="Arial" w:hAnsi="Arial"/>
                <w:sz w:val="18"/>
                <w:szCs w:val="18"/>
                <w:color w:val="auto"/>
                <w:w w:val="93"/>
              </w:rPr>
              <w:t>10.82</w:t>
            </w: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8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18,922</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10.82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(15,482)</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9.40</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(15,482)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(3,921)</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440"/>
              <w:spacing w:after="0"/>
              <w:rPr>
                <w:sz w:val="20"/>
                <w:szCs w:val="20"/>
                <w:color w:val="auto"/>
              </w:rPr>
            </w:pPr>
            <w:r>
              <w:rPr>
                <w:rFonts w:ascii="Arial" w:cs="Arial" w:eastAsia="Arial" w:hAnsi="Arial"/>
                <w:sz w:val="18"/>
                <w:szCs w:val="18"/>
                <w:color w:val="auto"/>
                <w:w w:val="93"/>
              </w:rPr>
              <w:t>15.15</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(136)</w:t>
            </w:r>
          </w:p>
        </w:tc>
        <w:tc>
          <w:tcPr>
            <w:tcW w:w="1180" w:type="dxa"/>
            <w:vAlign w:val="bottom"/>
            <w:gridSpan w:val="3"/>
          </w:tcPr>
          <w:p>
            <w:pPr>
              <w:jc w:val="right"/>
              <w:ind w:right="440"/>
              <w:spacing w:after="0"/>
              <w:rPr>
                <w:sz w:val="20"/>
                <w:szCs w:val="20"/>
                <w:color w:val="auto"/>
              </w:rPr>
            </w:pPr>
            <w:r>
              <w:rPr>
                <w:rFonts w:ascii="Arial" w:cs="Arial" w:eastAsia="Arial" w:hAnsi="Arial"/>
                <w:sz w:val="18"/>
                <w:szCs w:val="18"/>
                <w:color w:val="auto"/>
              </w:rPr>
              <w:t>$ 15.43</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rPr>
              <w:t>(4,057)</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6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44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40" w:type="dxa"/>
            <w:vAlign w:val="bottom"/>
          </w:tcPr>
          <w:p>
            <w:pPr>
              <w:spacing w:after="0"/>
              <w:rPr>
                <w:sz w:val="2"/>
                <w:szCs w:val="2"/>
                <w:color w:val="auto"/>
              </w:rPr>
            </w:pPr>
          </w:p>
        </w:tc>
        <w:tc>
          <w:tcPr>
            <w:tcW w:w="44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1, 2014</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49,156</w:t>
            </w:r>
          </w:p>
        </w:tc>
        <w:tc>
          <w:tcPr>
            <w:tcW w:w="2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3"/>
              </w:rPr>
              <w:t>13.40</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2,623</w:t>
            </w:r>
          </w:p>
        </w:tc>
        <w:tc>
          <w:tcPr>
            <w:tcW w:w="11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$ 15.43</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51,779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13.51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420"/>
              <w:spacing w:after="0"/>
              <w:rPr>
                <w:sz w:val="20"/>
                <w:szCs w:val="20"/>
                <w:color w:val="auto"/>
              </w:rPr>
            </w:pPr>
            <w:r>
              <w:rPr>
                <w:rFonts w:ascii="Arial" w:cs="Arial" w:eastAsia="Arial" w:hAnsi="Arial"/>
                <w:sz w:val="18"/>
                <w:szCs w:val="18"/>
                <w:color w:val="auto"/>
              </w:rPr>
              <w:t>Granted</w:t>
            </w:r>
          </w:p>
        </w:tc>
        <w:tc>
          <w:tcPr>
            <w:tcW w:w="740" w:type="dxa"/>
            <w:vAlign w:val="bottom"/>
          </w:tcPr>
          <w:p>
            <w:pPr>
              <w:jc w:val="right"/>
              <w:spacing w:after="0"/>
              <w:rPr>
                <w:sz w:val="20"/>
                <w:szCs w:val="20"/>
                <w:color w:val="auto"/>
              </w:rPr>
            </w:pPr>
            <w:r>
              <w:rPr>
                <w:rFonts w:ascii="Arial" w:cs="Arial" w:eastAsia="Arial" w:hAnsi="Arial"/>
                <w:sz w:val="18"/>
                <w:szCs w:val="18"/>
                <w:color w:val="auto"/>
              </w:rPr>
              <w:t>6,365</w:t>
            </w:r>
          </w:p>
        </w:tc>
        <w:tc>
          <w:tcPr>
            <w:tcW w:w="240" w:type="dxa"/>
            <w:vAlign w:val="bottom"/>
          </w:tcPr>
          <w:p>
            <w:pPr>
              <w:spacing w:after="0"/>
              <w:rPr>
                <w:sz w:val="18"/>
                <w:szCs w:val="18"/>
                <w:color w:val="auto"/>
              </w:rPr>
            </w:pP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440"/>
              <w:spacing w:after="0"/>
              <w:rPr>
                <w:sz w:val="20"/>
                <w:szCs w:val="20"/>
                <w:color w:val="auto"/>
              </w:rPr>
            </w:pPr>
            <w:r>
              <w:rPr>
                <w:rFonts w:ascii="Arial" w:cs="Arial" w:eastAsia="Arial" w:hAnsi="Arial"/>
                <w:sz w:val="18"/>
                <w:szCs w:val="18"/>
                <w:color w:val="auto"/>
                <w:w w:val="93"/>
              </w:rPr>
              <w:t>15.33</w:t>
            </w: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8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6,365</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15.33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(3,732)</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3"/>
              </w:rPr>
              <w:t>10.19</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(3,732)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(4,649)</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440"/>
              <w:spacing w:after="0"/>
              <w:rPr>
                <w:sz w:val="20"/>
                <w:szCs w:val="20"/>
                <w:color w:val="auto"/>
              </w:rPr>
            </w:pPr>
            <w:r>
              <w:rPr>
                <w:rFonts w:ascii="Arial" w:cs="Arial" w:eastAsia="Arial" w:hAnsi="Arial"/>
                <w:sz w:val="18"/>
                <w:szCs w:val="18"/>
                <w:color w:val="auto"/>
                <w:w w:val="93"/>
              </w:rPr>
              <w:t>14.66</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(391)</w:t>
            </w:r>
          </w:p>
        </w:tc>
        <w:tc>
          <w:tcPr>
            <w:tcW w:w="1180" w:type="dxa"/>
            <w:vAlign w:val="bottom"/>
            <w:gridSpan w:val="3"/>
          </w:tcPr>
          <w:p>
            <w:pPr>
              <w:jc w:val="right"/>
              <w:ind w:right="440"/>
              <w:spacing w:after="0"/>
              <w:rPr>
                <w:sz w:val="20"/>
                <w:szCs w:val="20"/>
                <w:color w:val="auto"/>
              </w:rPr>
            </w:pPr>
            <w:r>
              <w:rPr>
                <w:rFonts w:ascii="Arial" w:cs="Arial" w:eastAsia="Arial" w:hAnsi="Arial"/>
                <w:sz w:val="18"/>
                <w:szCs w:val="18"/>
                <w:color w:val="auto"/>
              </w:rPr>
              <w:t>$ 15.43</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rPr>
              <w:t>(5,040)</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14.72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6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44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40" w:type="dxa"/>
            <w:vAlign w:val="bottom"/>
          </w:tcPr>
          <w:p>
            <w:pPr>
              <w:spacing w:after="0"/>
              <w:rPr>
                <w:sz w:val="2"/>
                <w:szCs w:val="2"/>
                <w:color w:val="auto"/>
              </w:rPr>
            </w:pPr>
          </w:p>
        </w:tc>
        <w:tc>
          <w:tcPr>
            <w:tcW w:w="44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2015</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47,140</w:t>
            </w:r>
          </w:p>
        </w:tc>
        <w:tc>
          <w:tcPr>
            <w:tcW w:w="2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3"/>
              </w:rPr>
              <w:t>13.79</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2,232</w:t>
            </w:r>
          </w:p>
        </w:tc>
        <w:tc>
          <w:tcPr>
            <w:tcW w:w="11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$ 15.43</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49,372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13.88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8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January 31, 2015</w:t>
            </w:r>
          </w:p>
        </w:tc>
        <w:tc>
          <w:tcPr>
            <w:tcW w:w="7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0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vMerge w:val="restart"/>
          </w:tcPr>
          <w:p>
            <w:pPr>
              <w:jc w:val="right"/>
              <w:ind w:right="440"/>
              <w:spacing w:after="0"/>
              <w:rPr>
                <w:sz w:val="20"/>
                <w:szCs w:val="20"/>
                <w:color w:val="auto"/>
              </w:rPr>
            </w:pPr>
            <w:r>
              <w:rPr>
                <w:rFonts w:ascii="Arial" w:cs="Arial" w:eastAsia="Arial" w:hAnsi="Arial"/>
                <w:sz w:val="18"/>
                <w:szCs w:val="18"/>
                <w:color w:val="auto"/>
                <w:w w:val="93"/>
              </w:rPr>
              <w:t>13.84</w:t>
            </w:r>
          </w:p>
        </w:tc>
        <w:tc>
          <w:tcPr>
            <w:tcW w:w="7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280" w:type="dxa"/>
            <w:vAlign w:val="bottom"/>
            <w:gridSpan w:val="2"/>
            <w:vMerge w:val="continue"/>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44,470</w:t>
            </w:r>
          </w:p>
        </w:tc>
        <w:tc>
          <w:tcPr>
            <w:tcW w:w="240" w:type="dxa"/>
            <w:vAlign w:val="bottom"/>
          </w:tcPr>
          <w:p>
            <w:pPr>
              <w:spacing w:after="0"/>
              <w:rPr>
                <w:sz w:val="18"/>
                <w:szCs w:val="18"/>
                <w:color w:val="auto"/>
              </w:rPr>
            </w:pPr>
          </w:p>
        </w:tc>
        <w:tc>
          <w:tcPr>
            <w:tcW w:w="300" w:type="dxa"/>
            <w:vAlign w:val="bottom"/>
            <w:gridSpan w:val="2"/>
            <w:vMerge w:val="continue"/>
          </w:tcPr>
          <w:p>
            <w:pPr>
              <w:spacing w:after="0"/>
              <w:rPr>
                <w:sz w:val="18"/>
                <w:szCs w:val="18"/>
                <w:color w:val="auto"/>
              </w:rPr>
            </w:pPr>
          </w:p>
        </w:tc>
        <w:tc>
          <w:tcPr>
            <w:tcW w:w="880" w:type="dxa"/>
            <w:vAlign w:val="bottom"/>
            <w:gridSpan w:val="2"/>
            <w:vMerge w:val="continue"/>
          </w:tcPr>
          <w:p>
            <w:pPr>
              <w:spacing w:after="0"/>
              <w:rPr>
                <w:sz w:val="18"/>
                <w:szCs w:val="18"/>
                <w:color w:val="auto"/>
              </w:rPr>
            </w:pPr>
          </w:p>
        </w:tc>
        <w:tc>
          <w:tcPr>
            <w:tcW w:w="7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6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January 31, 2015</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22,457</w:t>
            </w:r>
          </w:p>
        </w:tc>
        <w:tc>
          <w:tcPr>
            <w:tcW w:w="2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3"/>
              </w:rPr>
              <w:t>15.31</w:t>
            </w:r>
          </w:p>
        </w:tc>
        <w:tc>
          <w:tcPr>
            <w:tcW w:w="7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6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For time-based stock options vested and expected to vest at January 31, 2015, the aggregate intrinsic value was $122.1 million and the weighted average remaining contractual term was 5.9 years. For time-based stock options exercisable at January 31, 2015, the aggregate intrinsic value was $51.9 million and the weighted average remaining contractual term was 3.5 years. The aggregate intrinsic value of stock options exercised during fiscal 2015, 2014 and 2013 was $19.3 million, $51.1 million and $33.6 million, respectively. There was no aggregate intrinsic value for market-based stock options at January 31, 2015 and the weighted average remaining contractual term of market-based stock options vested and expected to reach the end of the vesting period at January 31, 2015 was 6.2 years. The Company’s closing stock price of $15.49 as reported on the NASDAQ Global Select Market as of January 30, 2015 was used to calculate the aggregate intrinsic value for all in-the-money options.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As of January 31, 2015, the unamortized compensation expense for time-based stock options was $53.3 million and market-based stock options were fully amortized in fiscal 2014. The unamortized compensation expense for time-based options will be amortized on a straight-line basis and is expected to be recognized over a weighted-average period of 2.3 years.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related to the non-vested portion of the restricted stock units is included in the following table (in thousands, except for share prices):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2200" w:type="dxa"/>
            <w:vAlign w:val="bottom"/>
            <w:gridSpan w:val="4"/>
          </w:tcPr>
          <w:p>
            <w:pPr>
              <w:ind w:left="500"/>
              <w:spacing w:after="0"/>
              <w:rPr>
                <w:sz w:val="20"/>
                <w:szCs w:val="20"/>
                <w:color w:val="auto"/>
              </w:rPr>
            </w:pPr>
            <w:r>
              <w:rPr>
                <w:rFonts w:ascii="Arial" w:cs="Arial" w:eastAsia="Arial" w:hAnsi="Arial"/>
                <w:sz w:val="14"/>
                <w:szCs w:val="14"/>
                <w:b w:val="1"/>
                <w:bCs w:val="1"/>
                <w:color w:val="auto"/>
              </w:rPr>
              <w:t>Time-Based</w:t>
            </w:r>
          </w:p>
        </w:tc>
        <w:tc>
          <w:tcPr>
            <w:tcW w:w="2460" w:type="dxa"/>
            <w:vAlign w:val="bottom"/>
            <w:gridSpan w:val="6"/>
          </w:tcPr>
          <w:p>
            <w:pPr>
              <w:ind w:left="360"/>
              <w:spacing w:after="0"/>
              <w:rPr>
                <w:sz w:val="20"/>
                <w:szCs w:val="20"/>
                <w:color w:val="auto"/>
              </w:rPr>
            </w:pPr>
            <w:r>
              <w:rPr>
                <w:rFonts w:ascii="Arial" w:cs="Arial" w:eastAsia="Arial" w:hAnsi="Arial"/>
                <w:sz w:val="14"/>
                <w:szCs w:val="14"/>
                <w:b w:val="1"/>
                <w:bCs w:val="1"/>
                <w:color w:val="auto"/>
              </w:rPr>
              <w:t>Performance-Based</w:t>
            </w:r>
          </w:p>
        </w:tc>
        <w:tc>
          <w:tcPr>
            <w:tcW w:w="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48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Weighted</w:t>
            </w:r>
          </w:p>
        </w:tc>
        <w:tc>
          <w:tcPr>
            <w:tcW w:w="5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4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r>
      <w:tr>
        <w:trPr>
          <w:trHeight w:val="149"/>
        </w:trPr>
        <w:tc>
          <w:tcPr>
            <w:tcW w:w="20" w:type="dxa"/>
            <w:vAlign w:val="bottom"/>
          </w:tcPr>
          <w:p>
            <w:pPr>
              <w:spacing w:after="0"/>
              <w:rPr>
                <w:sz w:val="12"/>
                <w:szCs w:val="12"/>
                <w:color w:val="auto"/>
              </w:rPr>
            </w:pPr>
          </w:p>
        </w:tc>
        <w:tc>
          <w:tcPr>
            <w:tcW w:w="48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48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6"/>
              </w:rPr>
              <w:t>Grant</w:t>
            </w: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40" w:type="dxa"/>
            <w:vAlign w:val="bottom"/>
            <w:gridSpan w:val="3"/>
          </w:tcPr>
          <w:p>
            <w:pPr>
              <w:jc w:val="center"/>
              <w:ind w:right="580"/>
              <w:spacing w:after="0" w:line="149" w:lineRule="exact"/>
              <w:rPr>
                <w:sz w:val="20"/>
                <w:szCs w:val="20"/>
                <w:color w:val="auto"/>
              </w:rPr>
            </w:pPr>
            <w:r>
              <w:rPr>
                <w:rFonts w:ascii="Arial" w:cs="Arial" w:eastAsia="Arial" w:hAnsi="Arial"/>
                <w:sz w:val="14"/>
                <w:szCs w:val="14"/>
                <w:b w:val="1"/>
                <w:bCs w:val="1"/>
                <w:color w:val="auto"/>
                <w:w w:val="85"/>
              </w:rPr>
              <w:t>Weighted</w:t>
            </w: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Weighted</w:t>
            </w:r>
          </w:p>
        </w:tc>
      </w:tr>
      <w:tr>
        <w:trPr>
          <w:trHeight w:val="149"/>
        </w:trPr>
        <w:tc>
          <w:tcPr>
            <w:tcW w:w="20" w:type="dxa"/>
            <w:vAlign w:val="bottom"/>
          </w:tcPr>
          <w:p>
            <w:pPr>
              <w:spacing w:after="0"/>
              <w:rPr>
                <w:sz w:val="12"/>
                <w:szCs w:val="12"/>
                <w:color w:val="auto"/>
              </w:rPr>
            </w:pPr>
          </w:p>
        </w:tc>
        <w:tc>
          <w:tcPr>
            <w:tcW w:w="48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2"/>
              </w:rPr>
              <w:t>Date</w:t>
            </w: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6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Average</w:t>
            </w:r>
          </w:p>
        </w:tc>
      </w:tr>
      <w:tr>
        <w:trPr>
          <w:trHeight w:val="149"/>
        </w:trPr>
        <w:tc>
          <w:tcPr>
            <w:tcW w:w="20" w:type="dxa"/>
            <w:vAlign w:val="bottom"/>
          </w:tcPr>
          <w:p>
            <w:pPr>
              <w:spacing w:after="0"/>
              <w:rPr>
                <w:sz w:val="12"/>
                <w:szCs w:val="12"/>
                <w:color w:val="auto"/>
              </w:rPr>
            </w:pPr>
          </w:p>
        </w:tc>
        <w:tc>
          <w:tcPr>
            <w:tcW w:w="4840" w:type="dxa"/>
            <w:vAlign w:val="bottom"/>
          </w:tcPr>
          <w:p>
            <w:pPr>
              <w:spacing w:after="0"/>
              <w:rPr>
                <w:sz w:val="12"/>
                <w:szCs w:val="12"/>
                <w:color w:val="auto"/>
              </w:rPr>
            </w:pPr>
          </w:p>
        </w:tc>
        <w:tc>
          <w:tcPr>
            <w:tcW w:w="1140" w:type="dxa"/>
            <w:vAlign w:val="bottom"/>
            <w:gridSpan w:val="2"/>
          </w:tcPr>
          <w:p>
            <w:pPr>
              <w:jc w:val="right"/>
              <w:ind w:right="520"/>
              <w:spacing w:after="0" w:line="149" w:lineRule="exact"/>
              <w:rPr>
                <w:sz w:val="20"/>
                <w:szCs w:val="20"/>
                <w:color w:val="auto"/>
              </w:rPr>
            </w:pPr>
            <w:r>
              <w:rPr>
                <w:rFonts w:ascii="Arial" w:cs="Arial" w:eastAsia="Arial" w:hAnsi="Arial"/>
                <w:sz w:val="14"/>
                <w:szCs w:val="14"/>
                <w:b w:val="1"/>
                <w:bCs w:val="1"/>
                <w:color w:val="auto"/>
                <w:w w:val="85"/>
              </w:rPr>
              <w:t>Number of</w:t>
            </w:r>
          </w:p>
        </w:tc>
        <w:tc>
          <w:tcPr>
            <w:tcW w:w="10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3"/>
              </w:rPr>
              <w:t>Fair</w:t>
            </w: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Number of</w:t>
            </w:r>
          </w:p>
        </w:tc>
        <w:tc>
          <w:tcPr>
            <w:tcW w:w="240" w:type="dxa"/>
            <w:vAlign w:val="bottom"/>
          </w:tcPr>
          <w:p>
            <w:pPr>
              <w:spacing w:after="0"/>
              <w:rPr>
                <w:sz w:val="12"/>
                <w:szCs w:val="12"/>
                <w:color w:val="auto"/>
              </w:rPr>
            </w:pPr>
          </w:p>
        </w:tc>
        <w:tc>
          <w:tcPr>
            <w:tcW w:w="12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72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5"/>
              </w:rPr>
              <w:t>Number of</w:t>
            </w:r>
          </w:p>
        </w:tc>
        <w:tc>
          <w:tcPr>
            <w:tcW w:w="420" w:type="dxa"/>
            <w:vAlign w:val="bottom"/>
          </w:tcPr>
          <w:p>
            <w:pPr>
              <w:spacing w:after="0"/>
              <w:rPr>
                <w:sz w:val="12"/>
                <w:szCs w:val="12"/>
                <w:color w:val="auto"/>
              </w:rPr>
            </w:pP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114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Shares</w:t>
            </w:r>
          </w:p>
        </w:tc>
        <w:tc>
          <w:tcPr>
            <w:tcW w:w="106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85"/>
              </w:rPr>
              <w:t>Value</w:t>
            </w:r>
          </w:p>
        </w:tc>
        <w:tc>
          <w:tcPr>
            <w:tcW w:w="9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1"/>
              </w:rPr>
              <w:t>Shares</w:t>
            </w:r>
          </w:p>
        </w:tc>
        <w:tc>
          <w:tcPr>
            <w:tcW w:w="240" w:type="dxa"/>
            <w:vAlign w:val="bottom"/>
          </w:tcPr>
          <w:p>
            <w:pPr>
              <w:spacing w:after="0"/>
              <w:rPr>
                <w:sz w:val="14"/>
                <w:szCs w:val="14"/>
                <w:color w:val="auto"/>
              </w:rPr>
            </w:pPr>
          </w:p>
        </w:tc>
        <w:tc>
          <w:tcPr>
            <w:tcW w:w="1240" w:type="dxa"/>
            <w:vAlign w:val="bottom"/>
            <w:gridSpan w:val="3"/>
          </w:tcPr>
          <w:p>
            <w:pPr>
              <w:jc w:val="center"/>
              <w:ind w:right="600"/>
              <w:spacing w:after="0"/>
              <w:rPr>
                <w:sz w:val="20"/>
                <w:szCs w:val="20"/>
                <w:color w:val="auto"/>
              </w:rPr>
            </w:pPr>
            <w:r>
              <w:rPr>
                <w:rFonts w:ascii="Arial" w:cs="Arial" w:eastAsia="Arial" w:hAnsi="Arial"/>
                <w:sz w:val="14"/>
                <w:szCs w:val="14"/>
                <w:b w:val="1"/>
                <w:bCs w:val="1"/>
                <w:color w:val="auto"/>
                <w:w w:val="89"/>
              </w:rPr>
              <w:t>Fair Value</w:t>
            </w:r>
          </w:p>
        </w:tc>
        <w:tc>
          <w:tcPr>
            <w:tcW w:w="72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Shares</w:t>
            </w:r>
          </w:p>
        </w:tc>
        <w:tc>
          <w:tcPr>
            <w:tcW w:w="420" w:type="dxa"/>
            <w:vAlign w:val="bottom"/>
          </w:tcPr>
          <w:p>
            <w:pPr>
              <w:spacing w:after="0"/>
              <w:rPr>
                <w:sz w:val="14"/>
                <w:szCs w:val="14"/>
                <w:color w:val="auto"/>
              </w:rPr>
            </w:pP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4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9,646</w:t>
            </w:r>
          </w:p>
        </w:tc>
        <w:tc>
          <w:tcPr>
            <w:tcW w:w="50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3"/>
              </w:rPr>
              <w:t>$ 17.38</w:t>
            </w:r>
          </w:p>
        </w:tc>
        <w:tc>
          <w:tcPr>
            <w:tcW w:w="5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40" w:type="dxa"/>
            <w:vAlign w:val="bottom"/>
            <w:gridSpan w:val="2"/>
          </w:tcPr>
          <w:p>
            <w:pPr>
              <w:jc w:val="right"/>
              <w:ind w:right="500"/>
              <w:spacing w:after="0"/>
              <w:rPr>
                <w:sz w:val="20"/>
                <w:szCs w:val="20"/>
                <w:color w:val="auto"/>
              </w:rPr>
            </w:pPr>
            <w:r>
              <w:rPr>
                <w:rFonts w:ascii="Arial" w:cs="Arial" w:eastAsia="Arial" w:hAnsi="Arial"/>
                <w:sz w:val="18"/>
                <w:szCs w:val="18"/>
                <w:color w:val="auto"/>
              </w:rPr>
              <w:t>7,370</w:t>
            </w:r>
          </w:p>
        </w:tc>
        <w:tc>
          <w:tcPr>
            <w:tcW w:w="560" w:type="dxa"/>
            <w:vAlign w:val="bottom"/>
          </w:tcPr>
          <w:p>
            <w:pPr>
              <w:jc w:val="center"/>
              <w:spacing w:after="0"/>
              <w:rPr>
                <w:sz w:val="20"/>
                <w:szCs w:val="20"/>
                <w:color w:val="auto"/>
              </w:rPr>
            </w:pPr>
            <w:r>
              <w:rPr>
                <w:rFonts w:ascii="Arial" w:cs="Arial" w:eastAsia="Arial" w:hAnsi="Arial"/>
                <w:sz w:val="18"/>
                <w:szCs w:val="18"/>
                <w:color w:val="auto"/>
                <w:w w:val="93"/>
              </w:rPr>
              <w:t>$ 14.64</w:t>
            </w: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(2,796)</w:t>
            </w:r>
          </w:p>
        </w:tc>
        <w:tc>
          <w:tcPr>
            <w:tcW w:w="5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$ 17.78</w:t>
            </w:r>
          </w:p>
        </w:tc>
        <w:tc>
          <w:tcPr>
            <w:tcW w:w="5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40" w:type="dxa"/>
            <w:vAlign w:val="bottom"/>
            <w:gridSpan w:val="2"/>
          </w:tcPr>
          <w:p>
            <w:pPr>
              <w:jc w:val="right"/>
              <w:ind w:right="460"/>
              <w:spacing w:after="0"/>
              <w:rPr>
                <w:sz w:val="20"/>
                <w:szCs w:val="20"/>
                <w:color w:val="auto"/>
              </w:rPr>
            </w:pPr>
            <w:r>
              <w:rPr>
                <w:rFonts w:ascii="Arial" w:cs="Arial" w:eastAsia="Arial" w:hAnsi="Arial"/>
                <w:sz w:val="18"/>
                <w:szCs w:val="18"/>
                <w:color w:val="auto"/>
              </w:rPr>
              <w:t>(1,481)</w:t>
            </w:r>
          </w:p>
        </w:tc>
        <w:tc>
          <w:tcPr>
            <w:tcW w:w="560" w:type="dxa"/>
            <w:vAlign w:val="bottom"/>
          </w:tcPr>
          <w:p>
            <w:pPr>
              <w:jc w:val="center"/>
              <w:spacing w:after="0"/>
              <w:rPr>
                <w:sz w:val="20"/>
                <w:szCs w:val="20"/>
                <w:color w:val="auto"/>
              </w:rPr>
            </w:pPr>
            <w:r>
              <w:rPr>
                <w:rFonts w:ascii="Arial" w:cs="Arial" w:eastAsia="Arial" w:hAnsi="Arial"/>
                <w:sz w:val="18"/>
                <w:szCs w:val="18"/>
                <w:color w:val="auto"/>
                <w:w w:val="93"/>
              </w:rPr>
              <w:t>$ 17.16</w:t>
            </w:r>
          </w:p>
        </w:tc>
        <w:tc>
          <w:tcPr>
            <w:tcW w:w="5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12,739</w:t>
            </w:r>
          </w:p>
        </w:tc>
        <w:tc>
          <w:tcPr>
            <w:tcW w:w="500" w:type="dxa"/>
            <w:vAlign w:val="bottom"/>
            <w:shd w:val="clear" w:color="auto" w:fill="CCEEFF"/>
          </w:tcPr>
          <w:p>
            <w:pPr>
              <w:spacing w:after="0"/>
              <w:rPr>
                <w:sz w:val="18"/>
                <w:szCs w:val="18"/>
                <w:color w:val="auto"/>
              </w:rPr>
            </w:pPr>
          </w:p>
        </w:tc>
        <w:tc>
          <w:tcPr>
            <w:tcW w:w="5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$ 15.78</w:t>
            </w:r>
          </w:p>
        </w:tc>
        <w:tc>
          <w:tcPr>
            <w:tcW w:w="5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40" w:type="dxa"/>
            <w:vAlign w:val="bottom"/>
            <w:gridSpan w:val="2"/>
          </w:tcPr>
          <w:p>
            <w:pPr>
              <w:jc w:val="right"/>
              <w:ind w:right="500"/>
              <w:spacing w:after="0"/>
              <w:rPr>
                <w:sz w:val="20"/>
                <w:szCs w:val="20"/>
                <w:color w:val="auto"/>
              </w:rPr>
            </w:pPr>
            <w:r>
              <w:rPr>
                <w:rFonts w:ascii="Arial" w:cs="Arial" w:eastAsia="Arial" w:hAnsi="Arial"/>
                <w:sz w:val="18"/>
                <w:szCs w:val="18"/>
                <w:color w:val="auto"/>
              </w:rPr>
              <w:t>3,728</w:t>
            </w:r>
          </w:p>
        </w:tc>
        <w:tc>
          <w:tcPr>
            <w:tcW w:w="560" w:type="dxa"/>
            <w:vAlign w:val="bottom"/>
          </w:tcPr>
          <w:p>
            <w:pPr>
              <w:jc w:val="center"/>
              <w:spacing w:after="0"/>
              <w:rPr>
                <w:sz w:val="20"/>
                <w:szCs w:val="20"/>
                <w:color w:val="auto"/>
              </w:rPr>
            </w:pPr>
            <w:r>
              <w:rPr>
                <w:rFonts w:ascii="Arial" w:cs="Arial" w:eastAsia="Arial" w:hAnsi="Arial"/>
                <w:sz w:val="18"/>
                <w:szCs w:val="18"/>
                <w:color w:val="auto"/>
                <w:w w:val="93"/>
              </w:rPr>
              <w:t>$ 10.79</w:t>
            </w:r>
          </w:p>
        </w:tc>
        <w:tc>
          <w:tcPr>
            <w:tcW w:w="5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100</w:t>
            </w:r>
          </w:p>
        </w:tc>
        <w:tc>
          <w:tcPr>
            <w:tcW w:w="320" w:type="dxa"/>
            <w:vAlign w:val="bottom"/>
            <w:gridSpan w:val="2"/>
          </w:tcPr>
          <w:p>
            <w:pPr>
              <w:ind w:left="240"/>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ind w:left="180"/>
              <w:spacing w:after="0"/>
              <w:rPr>
                <w:sz w:val="20"/>
                <w:szCs w:val="20"/>
                <w:color w:val="auto"/>
              </w:rPr>
            </w:pPr>
            <w:r>
              <w:rPr>
                <w:rFonts w:ascii="Arial" w:cs="Arial" w:eastAsia="Arial" w:hAnsi="Arial"/>
                <w:sz w:val="18"/>
                <w:szCs w:val="18"/>
                <w:color w:val="auto"/>
              </w:rPr>
              <w:t>10.52</w:t>
            </w:r>
          </w:p>
        </w:tc>
        <w:tc>
          <w:tcPr>
            <w:tcW w:w="640" w:type="dxa"/>
            <w:vAlign w:val="bottom"/>
          </w:tcPr>
          <w:p>
            <w:pPr>
              <w:jc w:val="right"/>
              <w:spacing w:after="0"/>
              <w:rPr>
                <w:sz w:val="20"/>
                <w:szCs w:val="20"/>
                <w:color w:val="auto"/>
              </w:rPr>
            </w:pPr>
            <w:r>
              <w:rPr>
                <w:rFonts w:ascii="Arial" w:cs="Arial" w:eastAsia="Arial" w:hAnsi="Arial"/>
                <w:sz w:val="18"/>
                <w:szCs w:val="18"/>
                <w:color w:val="auto"/>
              </w:rPr>
              <w:t>3,828</w:t>
            </w:r>
          </w:p>
        </w:tc>
        <w:tc>
          <w:tcPr>
            <w:tcW w:w="80" w:type="dxa"/>
            <w:vAlign w:val="bottom"/>
          </w:tcPr>
          <w:p>
            <w:pPr>
              <w:spacing w:after="0"/>
              <w:rPr>
                <w:sz w:val="18"/>
                <w:szCs w:val="18"/>
                <w:color w:val="auto"/>
              </w:rPr>
            </w:pPr>
          </w:p>
        </w:tc>
        <w:tc>
          <w:tcPr>
            <w:tcW w:w="520" w:type="dxa"/>
            <w:vAlign w:val="bottom"/>
            <w:gridSpan w:val="2"/>
          </w:tcPr>
          <w:p>
            <w:pPr>
              <w:ind w:left="4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10.78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(3,925)</w:t>
            </w:r>
          </w:p>
        </w:tc>
        <w:tc>
          <w:tcPr>
            <w:tcW w:w="5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$ 16.19</w:t>
            </w:r>
          </w:p>
        </w:tc>
        <w:tc>
          <w:tcPr>
            <w:tcW w:w="5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ind w:left="240"/>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79"/>
              </w:rPr>
              <w:t>$</w:t>
            </w:r>
          </w:p>
        </w:tc>
        <w:tc>
          <w:tcPr>
            <w:tcW w:w="6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40" w:type="dxa"/>
            <w:vAlign w:val="bottom"/>
            <w:gridSpan w:val="2"/>
          </w:tcPr>
          <w:p>
            <w:pPr>
              <w:jc w:val="right"/>
              <w:ind w:right="460"/>
              <w:spacing w:after="0"/>
              <w:rPr>
                <w:sz w:val="20"/>
                <w:szCs w:val="20"/>
                <w:color w:val="auto"/>
              </w:rPr>
            </w:pPr>
            <w:r>
              <w:rPr>
                <w:rFonts w:ascii="Arial" w:cs="Arial" w:eastAsia="Arial" w:hAnsi="Arial"/>
                <w:sz w:val="18"/>
                <w:szCs w:val="18"/>
                <w:color w:val="auto"/>
              </w:rPr>
              <w:t>(1,288)</w:t>
            </w:r>
          </w:p>
        </w:tc>
        <w:tc>
          <w:tcPr>
            <w:tcW w:w="560" w:type="dxa"/>
            <w:vAlign w:val="bottom"/>
          </w:tcPr>
          <w:p>
            <w:pPr>
              <w:jc w:val="center"/>
              <w:spacing w:after="0"/>
              <w:rPr>
                <w:sz w:val="20"/>
                <w:szCs w:val="20"/>
                <w:color w:val="auto"/>
              </w:rPr>
            </w:pPr>
            <w:r>
              <w:rPr>
                <w:rFonts w:ascii="Arial" w:cs="Arial" w:eastAsia="Arial" w:hAnsi="Arial"/>
                <w:sz w:val="18"/>
                <w:szCs w:val="18"/>
                <w:color w:val="auto"/>
                <w:w w:val="93"/>
              </w:rPr>
              <w:t>$ 14.39</w:t>
            </w:r>
          </w:p>
        </w:tc>
        <w:tc>
          <w:tcPr>
            <w:tcW w:w="500" w:type="dxa"/>
            <w:vAlign w:val="bottom"/>
          </w:tcPr>
          <w:p>
            <w:pPr>
              <w:spacing w:after="0"/>
              <w:rPr>
                <w:sz w:val="19"/>
                <w:szCs w:val="19"/>
                <w:color w:val="auto"/>
              </w:rPr>
            </w:pPr>
          </w:p>
        </w:tc>
        <w:tc>
          <w:tcPr>
            <w:tcW w:w="9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320" w:type="dxa"/>
            <w:vAlign w:val="bottom"/>
            <w:gridSpan w:val="2"/>
          </w:tcPr>
          <w:p>
            <w:pPr>
              <w:ind w:left="240"/>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520" w:type="dxa"/>
            <w:vAlign w:val="bottom"/>
            <w:gridSpan w:val="2"/>
          </w:tcPr>
          <w:p>
            <w:pPr>
              <w:ind w:left="420"/>
              <w:spacing w:after="0"/>
              <w:rPr>
                <w:sz w:val="20"/>
                <w:szCs w:val="20"/>
                <w:color w:val="auto"/>
              </w:rPr>
            </w:pPr>
            <w:r>
              <w:rPr>
                <w:rFonts w:ascii="Arial" w:cs="Arial" w:eastAsia="Arial" w:hAnsi="Arial"/>
                <w:sz w:val="18"/>
                <w:szCs w:val="18"/>
                <w:color w:val="auto"/>
                <w:w w:val="79"/>
              </w:rPr>
              <w:t>$</w:t>
            </w:r>
          </w:p>
        </w:tc>
        <w:tc>
          <w:tcPr>
            <w:tcW w:w="660" w:type="dxa"/>
            <w:vAlign w:val="bottom"/>
            <w:gridSpan w:val="2"/>
          </w:tcPr>
          <w:p>
            <w:pPr>
              <w:ind w:left="3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1, 2014</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11,254</w:t>
            </w:r>
          </w:p>
        </w:tc>
        <w:tc>
          <w:tcPr>
            <w:tcW w:w="500" w:type="dxa"/>
            <w:vAlign w:val="bottom"/>
            <w:shd w:val="clear" w:color="auto" w:fill="CCEEFF"/>
          </w:tcPr>
          <w:p>
            <w:pPr>
              <w:spacing w:after="0"/>
              <w:rPr>
                <w:sz w:val="18"/>
                <w:szCs w:val="18"/>
                <w:color w:val="auto"/>
              </w:rPr>
            </w:pPr>
          </w:p>
        </w:tc>
        <w:tc>
          <w:tcPr>
            <w:tcW w:w="5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$ 14.14</w:t>
            </w:r>
          </w:p>
        </w:tc>
        <w:tc>
          <w:tcPr>
            <w:tcW w:w="500" w:type="dxa"/>
            <w:vAlign w:val="bottom"/>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3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240"/>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10.52</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11,354</w:t>
            </w:r>
          </w:p>
        </w:tc>
        <w:tc>
          <w:tcPr>
            <w:tcW w:w="80" w:type="dxa"/>
            <w:vAlign w:val="bottom"/>
            <w:shd w:val="clear" w:color="auto" w:fill="CCEEFF"/>
          </w:tcPr>
          <w:p>
            <w:pPr>
              <w:spacing w:after="0"/>
              <w:rPr>
                <w:sz w:val="18"/>
                <w:szCs w:val="18"/>
                <w:color w:val="auto"/>
              </w:rPr>
            </w:pPr>
          </w:p>
        </w:tc>
        <w:tc>
          <w:tcPr>
            <w:tcW w:w="5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14.11</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40" w:type="dxa"/>
            <w:vAlign w:val="bottom"/>
            <w:gridSpan w:val="2"/>
          </w:tcPr>
          <w:p>
            <w:pPr>
              <w:jc w:val="right"/>
              <w:ind w:right="500"/>
              <w:spacing w:after="0"/>
              <w:rPr>
                <w:sz w:val="20"/>
                <w:szCs w:val="20"/>
                <w:color w:val="auto"/>
              </w:rPr>
            </w:pPr>
            <w:r>
              <w:rPr>
                <w:rFonts w:ascii="Arial" w:cs="Arial" w:eastAsia="Arial" w:hAnsi="Arial"/>
                <w:sz w:val="18"/>
                <w:szCs w:val="18"/>
                <w:color w:val="auto"/>
              </w:rPr>
              <w:t>5,534</w:t>
            </w:r>
          </w:p>
        </w:tc>
        <w:tc>
          <w:tcPr>
            <w:tcW w:w="560" w:type="dxa"/>
            <w:vAlign w:val="bottom"/>
          </w:tcPr>
          <w:p>
            <w:pPr>
              <w:jc w:val="center"/>
              <w:spacing w:after="0"/>
              <w:rPr>
                <w:sz w:val="20"/>
                <w:szCs w:val="20"/>
                <w:color w:val="auto"/>
              </w:rPr>
            </w:pPr>
            <w:r>
              <w:rPr>
                <w:rFonts w:ascii="Arial" w:cs="Arial" w:eastAsia="Arial" w:hAnsi="Arial"/>
                <w:sz w:val="18"/>
                <w:szCs w:val="18"/>
                <w:color w:val="auto"/>
                <w:w w:val="93"/>
              </w:rPr>
              <w:t>$ 15.20</w:t>
            </w:r>
          </w:p>
        </w:tc>
        <w:tc>
          <w:tcPr>
            <w:tcW w:w="500" w:type="dxa"/>
            <w:vAlign w:val="bottom"/>
          </w:tcPr>
          <w:p>
            <w:pPr>
              <w:spacing w:after="0"/>
              <w:rPr>
                <w:sz w:val="18"/>
                <w:szCs w:val="18"/>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1,277 *</w:t>
            </w:r>
          </w:p>
        </w:tc>
        <w:tc>
          <w:tcPr>
            <w:tcW w:w="320" w:type="dxa"/>
            <w:vAlign w:val="bottom"/>
            <w:gridSpan w:val="2"/>
          </w:tcPr>
          <w:p>
            <w:pPr>
              <w:ind w:left="240"/>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ind w:left="180"/>
              <w:spacing w:after="0"/>
              <w:rPr>
                <w:sz w:val="20"/>
                <w:szCs w:val="20"/>
                <w:color w:val="auto"/>
              </w:rPr>
            </w:pPr>
            <w:r>
              <w:rPr>
                <w:rFonts w:ascii="Arial" w:cs="Arial" w:eastAsia="Arial" w:hAnsi="Arial"/>
                <w:sz w:val="18"/>
                <w:szCs w:val="18"/>
                <w:color w:val="auto"/>
              </w:rPr>
              <w:t>14.98 *</w:t>
            </w:r>
          </w:p>
        </w:tc>
        <w:tc>
          <w:tcPr>
            <w:tcW w:w="640" w:type="dxa"/>
            <w:vAlign w:val="bottom"/>
          </w:tcPr>
          <w:p>
            <w:pPr>
              <w:jc w:val="right"/>
              <w:spacing w:after="0"/>
              <w:rPr>
                <w:sz w:val="20"/>
                <w:szCs w:val="20"/>
                <w:color w:val="auto"/>
              </w:rPr>
            </w:pPr>
            <w:r>
              <w:rPr>
                <w:rFonts w:ascii="Arial" w:cs="Arial" w:eastAsia="Arial" w:hAnsi="Arial"/>
                <w:sz w:val="18"/>
                <w:szCs w:val="18"/>
                <w:color w:val="auto"/>
              </w:rPr>
              <w:t>6,811</w:t>
            </w:r>
          </w:p>
        </w:tc>
        <w:tc>
          <w:tcPr>
            <w:tcW w:w="80" w:type="dxa"/>
            <w:vAlign w:val="bottom"/>
          </w:tcPr>
          <w:p>
            <w:pPr>
              <w:spacing w:after="0"/>
              <w:rPr>
                <w:sz w:val="18"/>
                <w:szCs w:val="18"/>
                <w:color w:val="auto"/>
              </w:rPr>
            </w:pPr>
          </w:p>
        </w:tc>
        <w:tc>
          <w:tcPr>
            <w:tcW w:w="520" w:type="dxa"/>
            <w:vAlign w:val="bottom"/>
            <w:gridSpan w:val="2"/>
          </w:tcPr>
          <w:p>
            <w:pPr>
              <w:ind w:left="4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15.16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(5,938)</w:t>
            </w:r>
          </w:p>
        </w:tc>
        <w:tc>
          <w:tcPr>
            <w:tcW w:w="5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$ 13.96</w:t>
            </w:r>
          </w:p>
        </w:tc>
        <w:tc>
          <w:tcPr>
            <w:tcW w:w="5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w:t>
            </w:r>
          </w:p>
        </w:tc>
        <w:tc>
          <w:tcPr>
            <w:tcW w:w="320" w:type="dxa"/>
            <w:vAlign w:val="bottom"/>
            <w:gridSpan w:val="2"/>
            <w:shd w:val="clear" w:color="auto" w:fill="CCEEFF"/>
          </w:tcPr>
          <w:p>
            <w:pPr>
              <w:ind w:left="240"/>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10.52</w:t>
            </w: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(5,941)</w:t>
            </w:r>
          </w:p>
        </w:tc>
        <w:tc>
          <w:tcPr>
            <w:tcW w:w="5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13.96</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Canceled/Forfeited</w:t>
            </w:r>
          </w:p>
        </w:tc>
        <w:tc>
          <w:tcPr>
            <w:tcW w:w="1140" w:type="dxa"/>
            <w:vAlign w:val="bottom"/>
            <w:gridSpan w:val="2"/>
          </w:tcPr>
          <w:p>
            <w:pPr>
              <w:jc w:val="right"/>
              <w:ind w:right="460"/>
              <w:spacing w:after="0"/>
              <w:rPr>
                <w:sz w:val="20"/>
                <w:szCs w:val="20"/>
                <w:color w:val="auto"/>
              </w:rPr>
            </w:pPr>
            <w:r>
              <w:rPr>
                <w:rFonts w:ascii="Arial" w:cs="Arial" w:eastAsia="Arial" w:hAnsi="Arial"/>
                <w:sz w:val="18"/>
                <w:szCs w:val="18"/>
                <w:color w:val="auto"/>
              </w:rPr>
              <w:t>(1,102)</w:t>
            </w:r>
          </w:p>
        </w:tc>
        <w:tc>
          <w:tcPr>
            <w:tcW w:w="560" w:type="dxa"/>
            <w:vAlign w:val="bottom"/>
          </w:tcPr>
          <w:p>
            <w:pPr>
              <w:jc w:val="center"/>
              <w:spacing w:after="0"/>
              <w:rPr>
                <w:sz w:val="20"/>
                <w:szCs w:val="20"/>
                <w:color w:val="auto"/>
              </w:rPr>
            </w:pPr>
            <w:r>
              <w:rPr>
                <w:rFonts w:ascii="Arial" w:cs="Arial" w:eastAsia="Arial" w:hAnsi="Arial"/>
                <w:sz w:val="18"/>
                <w:szCs w:val="18"/>
                <w:color w:val="auto"/>
                <w:w w:val="93"/>
              </w:rPr>
              <w:t>$ 14.32</w:t>
            </w:r>
          </w:p>
        </w:tc>
        <w:tc>
          <w:tcPr>
            <w:tcW w:w="500" w:type="dxa"/>
            <w:vAlign w:val="bottom"/>
          </w:tcPr>
          <w:p>
            <w:pPr>
              <w:spacing w:after="0"/>
              <w:rPr>
                <w:sz w:val="19"/>
                <w:szCs w:val="19"/>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8"/>
                <w:szCs w:val="18"/>
                <w:color w:val="auto"/>
              </w:rPr>
              <w:t>(120)</w:t>
            </w:r>
          </w:p>
        </w:tc>
        <w:tc>
          <w:tcPr>
            <w:tcW w:w="320" w:type="dxa"/>
            <w:vAlign w:val="bottom"/>
            <w:gridSpan w:val="2"/>
          </w:tcPr>
          <w:p>
            <w:pPr>
              <w:ind w:left="240"/>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ind w:left="180"/>
              <w:spacing w:after="0"/>
              <w:rPr>
                <w:sz w:val="20"/>
                <w:szCs w:val="20"/>
                <w:color w:val="auto"/>
              </w:rPr>
            </w:pPr>
            <w:r>
              <w:rPr>
                <w:rFonts w:ascii="Arial" w:cs="Arial" w:eastAsia="Arial" w:hAnsi="Arial"/>
                <w:sz w:val="18"/>
                <w:szCs w:val="18"/>
                <w:color w:val="auto"/>
              </w:rPr>
              <w:t>11.23</w:t>
            </w: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(1,222)</w:t>
            </w:r>
          </w:p>
        </w:tc>
        <w:tc>
          <w:tcPr>
            <w:tcW w:w="520" w:type="dxa"/>
            <w:vAlign w:val="bottom"/>
            <w:gridSpan w:val="2"/>
          </w:tcPr>
          <w:p>
            <w:pPr>
              <w:ind w:left="4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14.02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2015</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9,748</w:t>
            </w:r>
          </w:p>
        </w:tc>
        <w:tc>
          <w:tcPr>
            <w:tcW w:w="500" w:type="dxa"/>
            <w:vAlign w:val="bottom"/>
            <w:shd w:val="clear" w:color="auto" w:fill="CCEEFF"/>
          </w:tcPr>
          <w:p>
            <w:pPr>
              <w:spacing w:after="0"/>
              <w:rPr>
                <w:sz w:val="18"/>
                <w:szCs w:val="18"/>
                <w:color w:val="auto"/>
              </w:rPr>
            </w:pPr>
          </w:p>
        </w:tc>
        <w:tc>
          <w:tcPr>
            <w:tcW w:w="5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$ 14.84</w:t>
            </w:r>
          </w:p>
        </w:tc>
        <w:tc>
          <w:tcPr>
            <w:tcW w:w="50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1,254</w:t>
            </w:r>
          </w:p>
        </w:tc>
        <w:tc>
          <w:tcPr>
            <w:tcW w:w="3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240"/>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14.99</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11,002</w:t>
            </w:r>
          </w:p>
        </w:tc>
        <w:tc>
          <w:tcPr>
            <w:tcW w:w="80" w:type="dxa"/>
            <w:vAlign w:val="bottom"/>
            <w:shd w:val="clear" w:color="auto" w:fill="CCEEFF"/>
          </w:tcPr>
          <w:p>
            <w:pPr>
              <w:spacing w:after="0"/>
              <w:rPr>
                <w:sz w:val="18"/>
                <w:szCs w:val="18"/>
                <w:color w:val="auto"/>
              </w:rPr>
            </w:pPr>
          </w:p>
        </w:tc>
        <w:tc>
          <w:tcPr>
            <w:tcW w:w="5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14.85</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86" w:lineRule="exact"/>
        <w:rPr>
          <w:sz w:val="20"/>
          <w:szCs w:val="20"/>
          <w:color w:val="auto"/>
        </w:rPr>
      </w:pPr>
    </w:p>
    <w:p>
      <w:pPr>
        <w:ind w:left="460" w:right="80" w:hanging="452"/>
        <w:spacing w:after="0" w:line="268" w:lineRule="auto"/>
        <w:tabs>
          <w:tab w:leader="none" w:pos="4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at grant date. For awards granted to our executive officers, up to 200% of the target restricted stock units may vest if the maximum level for financial and strategic goals is achieved.</w:t>
      </w:r>
    </w:p>
    <w:p>
      <w:pPr>
        <w:spacing w:after="0" w:line="132"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January 31, 2015 was $160.3 million. The number of restricted stock units that are expected to vest is 10.4 million shares.</w:t>
      </w:r>
    </w:p>
    <w:p>
      <w:pPr>
        <w:spacing w:after="0" w:line="132"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As of January 31, 2015, unamortized compensation expense related to restricted stock units was $87.5 million. The unamortized compensation expense for restricted stock units will be amortized on a straight-line basis and is expected to be recognized over a weighted-average period of 1.3 years.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3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600" w:type="dxa"/>
            <w:vAlign w:val="bottom"/>
          </w:tcPr>
          <w:p>
            <w:pPr>
              <w:spacing w:after="0"/>
              <w:rPr>
                <w:sz w:val="11"/>
                <w:szCs w:val="11"/>
                <w:color w:val="auto"/>
              </w:rPr>
            </w:pPr>
          </w:p>
        </w:tc>
        <w:tc>
          <w:tcPr>
            <w:tcW w:w="10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30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40" w:type="dxa"/>
            <w:vAlign w:val="bottom"/>
            <w:tcBorders>
              <w:bottom w:val="single" w:sz="8" w:color="CCEEFF"/>
            </w:tcBorders>
          </w:tcPr>
          <w:p>
            <w:pPr>
              <w:spacing w:after="0"/>
              <w:rPr>
                <w:sz w:val="14"/>
                <w:szCs w:val="14"/>
                <w:color w:val="auto"/>
              </w:rPr>
            </w:pPr>
          </w:p>
        </w:tc>
        <w:tc>
          <w:tcPr>
            <w:tcW w:w="35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2015</w:t>
            </w:r>
          </w:p>
        </w:tc>
        <w:tc>
          <w:tcPr>
            <w:tcW w:w="6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5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3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7,972</w:t>
            </w: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8,863</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94,432</w:t>
            </w: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109,432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87,149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11,469</w:t>
            </w: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13,940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23,373</w:t>
            </w: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23,638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18,711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3540" w:type="dxa"/>
            <w:vAlign w:val="bottom"/>
          </w:tcPr>
          <w:p>
            <w:pPr>
              <w:spacing w:after="0"/>
              <w:rPr>
                <w:sz w:val="2"/>
                <w:szCs w:val="2"/>
                <w:color w:val="auto"/>
              </w:rPr>
            </w:pPr>
          </w:p>
        </w:tc>
        <w:tc>
          <w:tcPr>
            <w:tcW w:w="3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540" w:type="dxa"/>
            <w:vAlign w:val="bottom"/>
            <w:shd w:val="clear" w:color="auto" w:fill="CCEEFF"/>
          </w:tcPr>
          <w:p>
            <w:pPr>
              <w:spacing w:after="0"/>
              <w:rPr>
                <w:sz w:val="18"/>
                <w:szCs w:val="18"/>
                <w:color w:val="auto"/>
              </w:rPr>
            </w:pPr>
          </w:p>
        </w:tc>
        <w:tc>
          <w:tcPr>
            <w:tcW w:w="3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137,246</w:t>
            </w: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155,873</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127,280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3580" w:type="dxa"/>
            <w:vAlign w:val="bottom"/>
            <w:vMerge w:val="restart"/>
          </w:tcPr>
          <w:p>
            <w:pPr>
              <w:jc w:val="right"/>
              <w:ind w:right="1692"/>
              <w:spacing w:after="0"/>
              <w:rPr>
                <w:sz w:val="20"/>
                <w:szCs w:val="20"/>
                <w:color w:val="auto"/>
              </w:rPr>
            </w:pPr>
            <w:r>
              <w:rPr>
                <w:rFonts w:ascii="Arial" w:cs="Arial" w:eastAsia="Arial" w:hAnsi="Arial"/>
                <w:sz w:val="18"/>
                <w:szCs w:val="18"/>
                <w:color w:val="auto"/>
              </w:rPr>
              <w:t>95</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40" w:type="dxa"/>
            <w:vAlign w:val="bottom"/>
          </w:tcPr>
          <w:p>
            <w:pPr>
              <w:spacing w:after="0"/>
              <w:rPr>
                <w:sz w:val="24"/>
                <w:szCs w:val="24"/>
                <w:color w:val="auto"/>
              </w:rPr>
            </w:pPr>
          </w:p>
        </w:tc>
        <w:tc>
          <w:tcPr>
            <w:tcW w:w="35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Share-based compensation capitalized in inventory was $1.5 million at January 31, 2015, $1.7 million at February 1, 2014, and $1.5 million at February 2,</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2013.</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expected volatility for awards granted during fiscal 2015, 2014, and 2013 was based on an equally weighted combination of historical stock price volatility and implied volatility derived from traded options on the Company’s stock in the marketplace. The Company believes that the combination of historical volatility and implied volatility provides a better estimate of future stock price volatility.</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expected dividend yield is calculated by dividing the current annualized dividend by the closing stock price on the date of grant of the option.</w:t>
      </w:r>
    </w:p>
    <w:p>
      <w:pPr>
        <w:spacing w:after="0" w:line="194"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equity award on the date of grant using the Black-Scholes option pricing model and of each market-based equity award using a Monte Carlo simulation model:</w:t>
      </w:r>
    </w:p>
    <w:p>
      <w:pPr>
        <w:spacing w:after="0" w:line="12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54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4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5420" w:type="dxa"/>
            <w:vAlign w:val="bottom"/>
          </w:tcPr>
          <w:p>
            <w:pPr>
              <w:spacing w:after="0"/>
              <w:rPr>
                <w:sz w:val="11"/>
                <w:szCs w:val="11"/>
                <w:color w:val="auto"/>
              </w:rPr>
            </w:pPr>
          </w:p>
        </w:tc>
        <w:tc>
          <w:tcPr>
            <w:tcW w:w="16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12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40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2,</w:t>
            </w:r>
          </w:p>
        </w:tc>
        <w:tc>
          <w:tcPr>
            <w:tcW w:w="200" w:type="dxa"/>
            <w:vAlign w:val="bottom"/>
          </w:tcPr>
          <w:p>
            <w:pPr>
              <w:spacing w:after="0"/>
              <w:rPr>
                <w:sz w:val="11"/>
                <w:szCs w:val="11"/>
                <w:color w:val="auto"/>
              </w:rPr>
            </w:pPr>
          </w:p>
        </w:tc>
      </w:tr>
      <w:tr>
        <w:trPr>
          <w:trHeight w:val="161"/>
        </w:trPr>
        <w:tc>
          <w:tcPr>
            <w:tcW w:w="54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2015</w:t>
            </w:r>
          </w:p>
        </w:tc>
        <w:tc>
          <w:tcPr>
            <w:tcW w:w="9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56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200" w:type="dxa"/>
            <w:vAlign w:val="bottom"/>
            <w:tcBorders>
              <w:bottom w:val="single" w:sz="8" w:color="CCEEFF"/>
            </w:tcBorders>
          </w:tcPr>
          <w:p>
            <w:pPr>
              <w:spacing w:after="0"/>
              <w:rPr>
                <w:sz w:val="14"/>
                <w:szCs w:val="14"/>
                <w:color w:val="auto"/>
              </w:rPr>
            </w:pPr>
          </w:p>
        </w:tc>
      </w:tr>
      <w:tr>
        <w:trPr>
          <w:trHeight w:val="196"/>
        </w:trPr>
        <w:tc>
          <w:tcPr>
            <w:tcW w:w="54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542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480" w:type="dxa"/>
            <w:vAlign w:val="bottom"/>
            <w:gridSpan w:val="2"/>
          </w:tcPr>
          <w:p>
            <w:pPr>
              <w:jc w:val="right"/>
              <w:ind w:right="940"/>
              <w:spacing w:after="0"/>
              <w:rPr>
                <w:sz w:val="20"/>
                <w:szCs w:val="20"/>
                <w:color w:val="auto"/>
              </w:rPr>
            </w:pPr>
            <w:r>
              <w:rPr>
                <w:rFonts w:ascii="Arial" w:cs="Arial" w:eastAsia="Arial" w:hAnsi="Arial"/>
                <w:sz w:val="18"/>
                <w:szCs w:val="18"/>
                <w:color w:val="auto"/>
              </w:rPr>
              <w:t>4.35</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3.43</w:t>
            </w:r>
          </w:p>
        </w:tc>
        <w:tc>
          <w:tcPr>
            <w:tcW w:w="56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5.52</w:t>
            </w:r>
          </w:p>
        </w:tc>
        <w:tc>
          <w:tcPr>
            <w:tcW w:w="200" w:type="dxa"/>
            <w:vAlign w:val="bottom"/>
          </w:tcPr>
          <w:p>
            <w:pPr>
              <w:spacing w:after="0"/>
              <w:rPr>
                <w:sz w:val="18"/>
                <w:szCs w:val="18"/>
                <w:color w:val="auto"/>
              </w:rPr>
            </w:pPr>
          </w:p>
        </w:tc>
      </w:tr>
      <w:tr>
        <w:trPr>
          <w:trHeight w:val="216"/>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35%</w:t>
            </w: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45%</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w:t>
            </w:r>
          </w:p>
        </w:tc>
      </w:tr>
      <w:tr>
        <w:trPr>
          <w:trHeight w:val="216"/>
        </w:trPr>
        <w:tc>
          <w:tcPr>
            <w:tcW w:w="54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tcPr>
          <w:p>
            <w:pPr>
              <w:spacing w:after="0"/>
              <w:rPr>
                <w:sz w:val="18"/>
                <w:szCs w:val="18"/>
                <w:color w:val="auto"/>
              </w:rPr>
            </w:pPr>
          </w:p>
        </w:tc>
        <w:tc>
          <w:tcPr>
            <w:tcW w:w="1480" w:type="dxa"/>
            <w:vAlign w:val="bottom"/>
            <w:gridSpan w:val="2"/>
          </w:tcPr>
          <w:p>
            <w:pPr>
              <w:jc w:val="right"/>
              <w:ind w:right="940"/>
              <w:spacing w:after="0"/>
              <w:rPr>
                <w:sz w:val="20"/>
                <w:szCs w:val="20"/>
                <w:color w:val="auto"/>
              </w:rPr>
            </w:pPr>
            <w:r>
              <w:rPr>
                <w:rFonts w:ascii="Arial" w:cs="Arial" w:eastAsia="Arial" w:hAnsi="Arial"/>
                <w:sz w:val="18"/>
                <w:szCs w:val="18"/>
                <w:color w:val="auto"/>
              </w:rPr>
              <w:t>5.0</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5.0</w:t>
            </w: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r>
      <w:tr>
        <w:trPr>
          <w:trHeight w:val="216"/>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1.6%</w:t>
            </w: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0.8%</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0.9%</w:t>
            </w:r>
          </w:p>
        </w:tc>
      </w:tr>
      <w:tr>
        <w:trPr>
          <w:trHeight w:val="222"/>
        </w:trPr>
        <w:tc>
          <w:tcPr>
            <w:tcW w:w="542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60" w:type="dxa"/>
            <w:vAlign w:val="bottom"/>
          </w:tcPr>
          <w:p>
            <w:pPr>
              <w:spacing w:after="0"/>
              <w:rPr>
                <w:sz w:val="19"/>
                <w:szCs w:val="19"/>
                <w:color w:val="auto"/>
              </w:rPr>
            </w:pPr>
          </w:p>
        </w:tc>
        <w:tc>
          <w:tcPr>
            <w:tcW w:w="1480" w:type="dxa"/>
            <w:vAlign w:val="bottom"/>
            <w:gridSpan w:val="2"/>
          </w:tcPr>
          <w:p>
            <w:pPr>
              <w:jc w:val="right"/>
              <w:ind w:right="800"/>
              <w:spacing w:after="0"/>
              <w:rPr>
                <w:sz w:val="20"/>
                <w:szCs w:val="20"/>
                <w:color w:val="auto"/>
              </w:rPr>
            </w:pPr>
            <w:r>
              <w:rPr>
                <w:rFonts w:ascii="Arial" w:cs="Arial" w:eastAsia="Arial" w:hAnsi="Arial"/>
                <w:sz w:val="18"/>
                <w:szCs w:val="18"/>
                <w:color w:val="auto"/>
              </w:rPr>
              <w:t>1.6%</w:t>
            </w:r>
          </w:p>
        </w:tc>
        <w:tc>
          <w:tcPr>
            <w:tcW w:w="140" w:type="dxa"/>
            <w:vAlign w:val="bottom"/>
          </w:tcPr>
          <w:p>
            <w:pPr>
              <w:spacing w:after="0"/>
              <w:rPr>
                <w:sz w:val="19"/>
                <w:szCs w:val="19"/>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2.4%</w:t>
            </w:r>
          </w:p>
        </w:tc>
        <w:tc>
          <w:tcPr>
            <w:tcW w:w="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0.3</w:t>
            </w: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There were no market-based stock options granted during fiscal 2015, 2014 and 2013. In fiscal 2012, the Company issued 3.1 million stock options with a market-based condition for a group of senior employees. If the market price condition is not met within five years from the date of grant, the options automatically expire. The fair value of each market-based stock option award was estimated on the date of grant using a Monte Carlo simulation model that uses the assumptions noted in the above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was 2.66 years for market-based stock options granted in fiscal 2012 and was derived from the output of the valuation model and represents the period of time that options granted are expected to be outstanding.</w:t>
      </w:r>
    </w:p>
    <w:p>
      <w:pPr>
        <w:spacing w:after="0" w:line="15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4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354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6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12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40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2,</w:t>
            </w:r>
          </w:p>
        </w:tc>
        <w:tc>
          <w:tcPr>
            <w:tcW w:w="200" w:type="dxa"/>
            <w:vAlign w:val="bottom"/>
          </w:tcPr>
          <w:p>
            <w:pPr>
              <w:spacing w:after="0"/>
              <w:rPr>
                <w:sz w:val="11"/>
                <w:szCs w:val="11"/>
                <w:color w:val="auto"/>
              </w:rPr>
            </w:pPr>
          </w:p>
        </w:tc>
      </w:tr>
      <w:tr>
        <w:trPr>
          <w:trHeight w:val="161"/>
        </w:trPr>
        <w:tc>
          <w:tcPr>
            <w:tcW w:w="3540" w:type="dxa"/>
            <w:vAlign w:val="bottom"/>
            <w:tcBorders>
              <w:bottom w:val="single" w:sz="8" w:color="CCEEFF"/>
            </w:tcBorders>
          </w:tcPr>
          <w:p>
            <w:pPr>
              <w:spacing w:after="0"/>
              <w:rPr>
                <w:sz w:val="14"/>
                <w:szCs w:val="14"/>
                <w:color w:val="auto"/>
              </w:rPr>
            </w:pPr>
          </w:p>
        </w:tc>
        <w:tc>
          <w:tcPr>
            <w:tcW w:w="18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2015</w:t>
            </w:r>
          </w:p>
        </w:tc>
        <w:tc>
          <w:tcPr>
            <w:tcW w:w="9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56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200" w:type="dxa"/>
            <w:vAlign w:val="bottom"/>
            <w:tcBorders>
              <w:bottom w:val="single" w:sz="8" w:color="CCEEFF"/>
            </w:tcBorders>
          </w:tcPr>
          <w:p>
            <w:pPr>
              <w:spacing w:after="0"/>
              <w:rPr>
                <w:sz w:val="14"/>
                <w:szCs w:val="14"/>
                <w:color w:val="auto"/>
              </w:rPr>
            </w:pPr>
          </w:p>
        </w:tc>
      </w:tr>
      <w:tr>
        <w:trPr>
          <w:trHeight w:val="196"/>
        </w:trPr>
        <w:tc>
          <w:tcPr>
            <w:tcW w:w="35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18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Estimated fair value</w:t>
            </w:r>
          </w:p>
        </w:tc>
        <w:tc>
          <w:tcPr>
            <w:tcW w:w="2040" w:type="dxa"/>
            <w:vAlign w:val="bottom"/>
            <w:gridSpan w:val="2"/>
          </w:tcPr>
          <w:p>
            <w:pPr>
              <w:ind w:left="1880"/>
              <w:spacing w:after="0"/>
              <w:rPr>
                <w:sz w:val="20"/>
                <w:szCs w:val="20"/>
                <w:color w:val="auto"/>
              </w:rPr>
            </w:pPr>
            <w:r>
              <w:rPr>
                <w:rFonts w:ascii="Arial" w:cs="Arial" w:eastAsia="Arial" w:hAnsi="Arial"/>
                <w:sz w:val="18"/>
                <w:szCs w:val="18"/>
                <w:color w:val="auto"/>
              </w:rPr>
              <w:t>$</w:t>
            </w:r>
          </w:p>
        </w:tc>
        <w:tc>
          <w:tcPr>
            <w:tcW w:w="1480" w:type="dxa"/>
            <w:vAlign w:val="bottom"/>
            <w:gridSpan w:val="2"/>
          </w:tcPr>
          <w:p>
            <w:pPr>
              <w:jc w:val="right"/>
              <w:ind w:right="940"/>
              <w:spacing w:after="0"/>
              <w:rPr>
                <w:sz w:val="20"/>
                <w:szCs w:val="20"/>
                <w:color w:val="auto"/>
              </w:rPr>
            </w:pPr>
            <w:r>
              <w:rPr>
                <w:rFonts w:ascii="Arial" w:cs="Arial" w:eastAsia="Arial" w:hAnsi="Arial"/>
                <w:sz w:val="18"/>
                <w:szCs w:val="18"/>
                <w:color w:val="auto"/>
              </w:rPr>
              <w:t>4.10</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3.65</w:t>
            </w:r>
          </w:p>
        </w:tc>
        <w:tc>
          <w:tcPr>
            <w:tcW w:w="56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3.13</w:t>
            </w:r>
          </w:p>
        </w:tc>
        <w:tc>
          <w:tcPr>
            <w:tcW w:w="200" w:type="dxa"/>
            <w:vAlign w:val="bottom"/>
          </w:tcPr>
          <w:p>
            <w:pPr>
              <w:spacing w:after="0"/>
              <w:rPr>
                <w:sz w:val="18"/>
                <w:szCs w:val="18"/>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30%</w:t>
            </w: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37%</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80" w:type="dxa"/>
            <w:vAlign w:val="bottom"/>
            <w:gridSpan w:val="2"/>
          </w:tcPr>
          <w:p>
            <w:pPr>
              <w:jc w:val="right"/>
              <w:ind w:right="940"/>
              <w:spacing w:after="0"/>
              <w:rPr>
                <w:sz w:val="20"/>
                <w:szCs w:val="20"/>
                <w:color w:val="auto"/>
              </w:rPr>
            </w:pPr>
            <w:r>
              <w:rPr>
                <w:rFonts w:ascii="Arial" w:cs="Arial" w:eastAsia="Arial" w:hAnsi="Arial"/>
                <w:sz w:val="18"/>
                <w:szCs w:val="18"/>
                <w:color w:val="auto"/>
              </w:rPr>
              <w:t>1.3</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1.3</w:t>
            </w: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1.2</w:t>
            </w:r>
          </w:p>
        </w:tc>
        <w:tc>
          <w:tcPr>
            <w:tcW w:w="200" w:type="dxa"/>
            <w:vAlign w:val="bottom"/>
          </w:tcPr>
          <w:p>
            <w:pPr>
              <w:spacing w:after="0"/>
              <w:rPr>
                <w:sz w:val="18"/>
                <w:szCs w:val="18"/>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0.3%</w:t>
            </w: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0.2%</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r>
      <w:tr>
        <w:trPr>
          <w:trHeight w:val="222"/>
        </w:trPr>
        <w:tc>
          <w:tcPr>
            <w:tcW w:w="354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8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80" w:type="dxa"/>
            <w:vAlign w:val="bottom"/>
            <w:gridSpan w:val="2"/>
          </w:tcPr>
          <w:p>
            <w:pPr>
              <w:jc w:val="right"/>
              <w:ind w:right="800"/>
              <w:spacing w:after="0"/>
              <w:rPr>
                <w:sz w:val="20"/>
                <w:szCs w:val="20"/>
                <w:color w:val="auto"/>
              </w:rPr>
            </w:pPr>
            <w:r>
              <w:rPr>
                <w:rFonts w:ascii="Arial" w:cs="Arial" w:eastAsia="Arial" w:hAnsi="Arial"/>
                <w:sz w:val="18"/>
                <w:szCs w:val="18"/>
                <w:color w:val="auto"/>
              </w:rPr>
              <w:t>1.6%</w:t>
            </w:r>
          </w:p>
        </w:tc>
        <w:tc>
          <w:tcPr>
            <w:tcW w:w="140" w:type="dxa"/>
            <w:vAlign w:val="bottom"/>
          </w:tcPr>
          <w:p>
            <w:pPr>
              <w:spacing w:after="0"/>
              <w:rPr>
                <w:sz w:val="19"/>
                <w:szCs w:val="19"/>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2.0%</w:t>
            </w:r>
          </w:p>
        </w:tc>
        <w:tc>
          <w:tcPr>
            <w:tcW w:w="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2.4</w:t>
            </w:r>
          </w:p>
        </w:tc>
        <w:tc>
          <w:tcPr>
            <w:tcW w:w="200" w:type="dxa"/>
            <w:vAlign w:val="bottom"/>
          </w:tcPr>
          <w:p>
            <w:pPr>
              <w:spacing w:after="0"/>
              <w:rPr>
                <w:sz w:val="19"/>
                <w:szCs w:val="19"/>
                <w:color w:val="auto"/>
              </w:rPr>
            </w:pPr>
          </w:p>
        </w:tc>
      </w:tr>
      <w:tr>
        <w:trPr>
          <w:trHeight w:val="356"/>
        </w:trPr>
        <w:tc>
          <w:tcPr>
            <w:tcW w:w="3540" w:type="dxa"/>
            <w:vAlign w:val="bottom"/>
          </w:tcPr>
          <w:p>
            <w:pPr>
              <w:spacing w:after="0"/>
              <w:rPr>
                <w:sz w:val="24"/>
                <w:szCs w:val="24"/>
                <w:color w:val="auto"/>
              </w:rPr>
            </w:pPr>
          </w:p>
        </w:tc>
        <w:tc>
          <w:tcPr>
            <w:tcW w:w="1880" w:type="dxa"/>
            <w:vAlign w:val="bottom"/>
          </w:tcPr>
          <w:p>
            <w:pPr>
              <w:jc w:val="right"/>
              <w:ind w:right="452"/>
              <w:spacing w:after="0"/>
              <w:rPr>
                <w:sz w:val="20"/>
                <w:szCs w:val="20"/>
                <w:color w:val="auto"/>
              </w:rPr>
            </w:pPr>
            <w:r>
              <w:rPr>
                <w:rFonts w:ascii="Arial" w:cs="Arial" w:eastAsia="Arial" w:hAnsi="Arial"/>
                <w:sz w:val="18"/>
                <w:szCs w:val="18"/>
                <w:color w:val="auto"/>
              </w:rPr>
              <w:t>96</w:t>
            </w: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The Company’s board of directors initially authorized its current share repurchase program to repurchase up to $500 million of its outstanding common shares in August 2010. Since then, the Company’s board of directors have authorized an additional $2.8 billion for a total available under the program of $3.3 billion to be used to repurchase its common shares.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2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repurchased 5.1 million of its common shares for $65.0 million in cash during fiscal 2015, 33.1 million of its common shares for $354.1 million in cash during fiscal 2014 and 91.0 million of its common shares for $959.1 million in cash during fiscal 2013. All of the repurchased shares were retired immediately after the repurchases were completed. The Company records all repurchases, as well as investment purchases and sales, based on trade date. As of January 31, 2015, a total of 222.0 million cumulative shares have been repurchased under the Company’s share repurchase program for a total $2.8 billion in cash and there was $443.5 million remaining available for future share repurchases.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86"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8"/>
              </w:rPr>
              <w:t>Year Ended</w:t>
            </w:r>
          </w:p>
        </w:tc>
        <w:tc>
          <w:tcPr>
            <w:tcW w:w="6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1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31,</w:t>
            </w:r>
          </w:p>
        </w:tc>
        <w:tc>
          <w:tcPr>
            <w:tcW w:w="64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1,</w:t>
            </w:r>
          </w:p>
        </w:tc>
        <w:tc>
          <w:tcPr>
            <w:tcW w:w="64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2015</w:t>
            </w:r>
          </w:p>
        </w:tc>
        <w:tc>
          <w:tcPr>
            <w:tcW w:w="6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2014</w:t>
            </w:r>
          </w:p>
        </w:tc>
        <w:tc>
          <w:tcPr>
            <w:tcW w:w="6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1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6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6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20" w:type="dxa"/>
            <w:vAlign w:val="bottom"/>
            <w:vMerge w:val="restart"/>
          </w:tcPr>
          <w:p>
            <w:pPr>
              <w:spacing w:after="0"/>
              <w:rPr>
                <w:sz w:val="20"/>
                <w:szCs w:val="20"/>
                <w:color w:val="auto"/>
              </w:rPr>
            </w:pPr>
            <w:r>
              <w:rPr>
                <w:rFonts w:ascii="Arial" w:cs="Arial" w:eastAsia="Arial" w:hAnsi="Arial"/>
                <w:sz w:val="18"/>
                <w:szCs w:val="18"/>
                <w:color w:val="auto"/>
              </w:rPr>
              <w:t>Total payment to shareholders (in thousands)</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120" w:type="dxa"/>
            <w:vAlign w:val="bottom"/>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122,801</w:t>
            </w:r>
          </w:p>
        </w:tc>
        <w:tc>
          <w:tcPr>
            <w:tcW w:w="740" w:type="dxa"/>
            <w:vAlign w:val="bottom"/>
            <w:gridSpan w:val="2"/>
          </w:tcPr>
          <w:p>
            <w:pPr>
              <w:ind w:left="64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119,449</w:t>
            </w:r>
          </w:p>
        </w:tc>
        <w:tc>
          <w:tcPr>
            <w:tcW w:w="780" w:type="dxa"/>
            <w:vAlign w:val="bottom"/>
            <w:gridSpan w:val="2"/>
          </w:tcPr>
          <w:p>
            <w:pPr>
              <w:ind w:left="6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98,761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Future payment of a regular quarterly cash dividend on the Company’s common shares will be subject to, among other things, the best interests of the Company, the Company’s results of operations, cash balances and future cash requirements, financial condition, statutory requirements under Bermuda law and other factors that the Company’s board of directors may deem relevant. The Company’s dividend payments may change from time to time, and the Company cannot provide assurance that it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144"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On February 19, 2015, the Company announced that its board of directors declared a cash dividend of $0.06 per share to be paid on April 2, 2015 to shareholders of record as of March 12, 2015.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operates in one reportable segment — the design, development and sale of integrated circuits. The chief executive officer has been identified as the chief operating decision maker (“CODM”). The Company’s CODM is ultimately responsible and actively involved in the allocation of resources and the assessment of the Company’s operational and financial performance. The fact that the Company operates in only one reportable segment is based on the following:</w:t>
      </w:r>
    </w:p>
    <w:p>
      <w:pPr>
        <w:spacing w:after="0" w:line="62" w:lineRule="exact"/>
        <w:rPr>
          <w:sz w:val="20"/>
          <w:szCs w:val="20"/>
          <w:color w:val="auto"/>
        </w:rPr>
      </w:pPr>
    </w:p>
    <w:p>
      <w:pPr>
        <w:ind w:left="900" w:right="240" w:hanging="325"/>
        <w:spacing w:after="0" w:line="259" w:lineRule="auto"/>
        <w:tabs>
          <w:tab w:leader="none" w:pos="9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Company uses a highly 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400"/>
          </w:cols>
          <w:pgMar w:left="240" w:top="459" w:right="25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900" w:right="440" w:hanging="325"/>
        <w:spacing w:after="0" w:line="268" w:lineRule="auto"/>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spacing w:after="0" w:line="50" w:lineRule="exact"/>
        <w:rPr>
          <w:rFonts w:ascii="Arial" w:cs="Arial" w:eastAsia="Arial" w:hAnsi="Arial"/>
          <w:sz w:val="18"/>
          <w:szCs w:val="18"/>
          <w:color w:val="auto"/>
        </w:rPr>
      </w:pPr>
    </w:p>
    <w:p>
      <w:pPr>
        <w:ind w:left="900" w:right="360" w:hanging="325"/>
        <w:spacing w:after="0" w:line="268" w:lineRule="auto"/>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spacing w:after="0" w:line="50" w:lineRule="exact"/>
        <w:rPr>
          <w:rFonts w:ascii="Arial" w:cs="Arial" w:eastAsia="Arial" w:hAnsi="Arial"/>
          <w:sz w:val="18"/>
          <w:szCs w:val="18"/>
          <w:color w:val="auto"/>
        </w:rPr>
      </w:pPr>
    </w:p>
    <w:p>
      <w:pPr>
        <w:ind w:left="900" w:right="600" w:hanging="325"/>
        <w:spacing w:after="0" w:line="268" w:lineRule="auto"/>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hands-on involvement with the Company’s operations and product development.</w:t>
      </w:r>
    </w:p>
    <w:p>
      <w:pPr>
        <w:spacing w:after="0" w:line="132"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4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3"/>
          </w:tcPr>
          <w:p>
            <w:pPr>
              <w:jc w:val="center"/>
              <w:ind w:right="20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40" w:type="dxa"/>
            <w:vAlign w:val="bottom"/>
            <w:vMerge w:val="restart"/>
          </w:tcPr>
          <w:p>
            <w:pPr>
              <w:spacing w:after="0"/>
              <w:rPr>
                <w:sz w:val="20"/>
                <w:szCs w:val="20"/>
                <w:color w:val="auto"/>
              </w:rPr>
            </w:pPr>
            <w:r>
              <w:rPr>
                <w:rFonts w:ascii="Arial" w:cs="Arial" w:eastAsia="Arial" w:hAnsi="Arial"/>
                <w:sz w:val="14"/>
                <w:szCs w:val="14"/>
                <w:b w:val="1"/>
                <w:bCs w:val="1"/>
                <w:color w:val="auto"/>
                <w:w w:val="91"/>
              </w:rPr>
              <w:t>Net Revenue:</w:t>
            </w:r>
          </w:p>
        </w:tc>
        <w:tc>
          <w:tcPr>
            <w:tcW w:w="3620" w:type="dxa"/>
            <w:vAlign w:val="bottom"/>
            <w:vMerge w:val="restart"/>
          </w:tcPr>
          <w:p>
            <w:pPr>
              <w:spacing w:after="0"/>
              <w:rPr>
                <w:sz w:val="11"/>
                <w:szCs w:val="11"/>
                <w:color w:val="auto"/>
              </w:rPr>
            </w:pPr>
          </w:p>
        </w:tc>
        <w:tc>
          <w:tcPr>
            <w:tcW w:w="3520" w:type="dxa"/>
            <w:vAlign w:val="bottom"/>
          </w:tcPr>
          <w:p>
            <w:pPr>
              <w:spacing w:after="0"/>
              <w:rPr>
                <w:sz w:val="11"/>
                <w:szCs w:val="11"/>
                <w:color w:val="auto"/>
              </w:rPr>
            </w:pPr>
          </w:p>
        </w:tc>
        <w:tc>
          <w:tcPr>
            <w:tcW w:w="1260" w:type="dxa"/>
            <w:vAlign w:val="bottom"/>
            <w:gridSpan w:val="3"/>
          </w:tcPr>
          <w:p>
            <w:pPr>
              <w:jc w:val="right"/>
              <w:ind w:right="500"/>
              <w:spacing w:after="0" w:line="129" w:lineRule="exact"/>
              <w:rPr>
                <w:sz w:val="20"/>
                <w:szCs w:val="20"/>
                <w:color w:val="auto"/>
              </w:rPr>
            </w:pPr>
            <w:r>
              <w:rPr>
                <w:rFonts w:ascii="Arial" w:cs="Arial" w:eastAsia="Arial" w:hAnsi="Arial"/>
                <w:sz w:val="14"/>
                <w:szCs w:val="14"/>
                <w:b w:val="1"/>
                <w:bCs w:val="1"/>
                <w:color w:val="auto"/>
                <w:w w:val="95"/>
              </w:rPr>
              <w:t>January 31,</w:t>
            </w:r>
          </w:p>
        </w:tc>
        <w:tc>
          <w:tcPr>
            <w:tcW w:w="1040" w:type="dxa"/>
            <w:vAlign w:val="bottom"/>
            <w:gridSpan w:val="3"/>
          </w:tcPr>
          <w:p>
            <w:pPr>
              <w:jc w:val="center"/>
              <w:ind w:right="240"/>
              <w:spacing w:after="0" w:line="129" w:lineRule="exact"/>
              <w:rPr>
                <w:sz w:val="20"/>
                <w:szCs w:val="20"/>
                <w:color w:val="auto"/>
              </w:rPr>
            </w:pPr>
            <w:r>
              <w:rPr>
                <w:rFonts w:ascii="Arial" w:cs="Arial" w:eastAsia="Arial" w:hAnsi="Arial"/>
                <w:sz w:val="14"/>
                <w:szCs w:val="14"/>
                <w:b w:val="1"/>
                <w:bCs w:val="1"/>
                <w:color w:val="auto"/>
                <w:w w:val="90"/>
              </w:rPr>
              <w:t>February 1,</w:t>
            </w:r>
          </w:p>
        </w:tc>
        <w:tc>
          <w:tcPr>
            <w:tcW w:w="200" w:type="dxa"/>
            <w:vAlign w:val="bottom"/>
          </w:tcPr>
          <w:p>
            <w:pPr>
              <w:spacing w:after="0"/>
              <w:rPr>
                <w:sz w:val="11"/>
                <w:szCs w:val="11"/>
                <w:color w:val="auto"/>
              </w:rPr>
            </w:pPr>
          </w:p>
        </w:tc>
        <w:tc>
          <w:tcPr>
            <w:tcW w:w="8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840" w:type="dxa"/>
            <w:vAlign w:val="bottom"/>
            <w:tcBorders>
              <w:bottom w:val="single" w:sz="8" w:color="auto"/>
            </w:tcBorders>
            <w:vMerge w:val="continue"/>
          </w:tcPr>
          <w:p>
            <w:pPr>
              <w:spacing w:after="0"/>
              <w:rPr>
                <w:sz w:val="14"/>
                <w:szCs w:val="14"/>
                <w:color w:val="auto"/>
              </w:rPr>
            </w:pPr>
          </w:p>
        </w:tc>
        <w:tc>
          <w:tcPr>
            <w:tcW w:w="3620" w:type="dxa"/>
            <w:vAlign w:val="bottom"/>
            <w:vMerge w:val="continue"/>
          </w:tcPr>
          <w:p>
            <w:pPr>
              <w:spacing w:after="0"/>
              <w:rPr>
                <w:sz w:val="14"/>
                <w:szCs w:val="14"/>
                <w:color w:val="auto"/>
              </w:rPr>
            </w:pPr>
          </w:p>
        </w:tc>
        <w:tc>
          <w:tcPr>
            <w:tcW w:w="3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right"/>
              <w:ind w:right="195"/>
              <w:spacing w:after="0" w:line="148" w:lineRule="exact"/>
              <w:rPr>
                <w:sz w:val="20"/>
                <w:szCs w:val="20"/>
                <w:color w:val="auto"/>
              </w:rPr>
            </w:pPr>
            <w:r>
              <w:rPr>
                <w:rFonts w:ascii="Arial" w:cs="Arial" w:eastAsia="Arial" w:hAnsi="Arial"/>
                <w:sz w:val="14"/>
                <w:szCs w:val="14"/>
                <w:b w:val="1"/>
                <w:bCs w:val="1"/>
                <w:color w:val="auto"/>
              </w:rPr>
              <w:t>2015</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center"/>
              <w:ind w:right="35"/>
              <w:spacing w:after="0" w:line="148" w:lineRule="exact"/>
              <w:rPr>
                <w:sz w:val="20"/>
                <w:szCs w:val="20"/>
                <w:color w:val="auto"/>
              </w:rPr>
            </w:pPr>
            <w:r>
              <w:rPr>
                <w:rFonts w:ascii="Arial" w:cs="Arial" w:eastAsia="Arial" w:hAnsi="Arial"/>
                <w:sz w:val="14"/>
                <w:szCs w:val="14"/>
                <w:b w:val="1"/>
                <w:bCs w:val="1"/>
                <w:color w:val="auto"/>
                <w:w w:val="89"/>
              </w:rPr>
              <w:t>2014</w:t>
            </w: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jc w:val="right"/>
              <w:ind w:right="195"/>
              <w:spacing w:after="0" w:line="148" w:lineRule="exact"/>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4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United States</w:t>
            </w:r>
          </w:p>
        </w:tc>
        <w:tc>
          <w:tcPr>
            <w:tcW w:w="35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62,333</w:t>
            </w:r>
          </w:p>
        </w:tc>
        <w:tc>
          <w:tcPr>
            <w:tcW w:w="4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68,321</w:t>
            </w: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176,581</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China</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w w:val="87"/>
              </w:rPr>
              <w:t>2,214,876</w:t>
            </w: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1,869,381</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1,599,681</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Thailand</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294,706</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353,363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369,855</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Malaysia</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377,903</w:t>
            </w: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352,756</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351,401</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Philippines</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254,381</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257,899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246,269</w:t>
            </w:r>
          </w:p>
        </w:tc>
        <w:tc>
          <w:tcPr>
            <w:tcW w:w="0" w:type="dxa"/>
            <w:vAlign w:val="bottom"/>
          </w:tcPr>
          <w:p>
            <w:pPr>
              <w:spacing w:after="0"/>
              <w:rPr>
                <w:sz w:val="1"/>
                <w:szCs w:val="1"/>
                <w:color w:val="auto"/>
              </w:rPr>
            </w:pPr>
          </w:p>
        </w:tc>
      </w:tr>
      <w:tr>
        <w:trPr>
          <w:trHeight w:val="223"/>
        </w:trPr>
        <w:tc>
          <w:tcPr>
            <w:tcW w:w="4460" w:type="dxa"/>
            <w:vAlign w:val="bottom"/>
            <w:gridSpan w:val="2"/>
          </w:tcPr>
          <w:p>
            <w:pPr>
              <w:spacing w:after="0"/>
              <w:rPr>
                <w:sz w:val="20"/>
                <w:szCs w:val="20"/>
                <w:color w:val="auto"/>
              </w:rPr>
            </w:pPr>
            <w:r>
              <w:rPr>
                <w:rFonts w:ascii="Arial" w:cs="Arial" w:eastAsia="Arial" w:hAnsi="Arial"/>
                <w:sz w:val="18"/>
                <w:szCs w:val="18"/>
                <w:color w:val="auto"/>
              </w:rPr>
              <w:t>Others</w:t>
            </w:r>
          </w:p>
        </w:tc>
        <w:tc>
          <w:tcPr>
            <w:tcW w:w="35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502,764</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502,680</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424,843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840" w:type="dxa"/>
            <w:vAlign w:val="bottom"/>
            <w:shd w:val="clear" w:color="auto" w:fill="CCEEFF"/>
          </w:tcPr>
          <w:p>
            <w:pPr>
              <w:spacing w:after="0"/>
              <w:rPr>
                <w:sz w:val="18"/>
                <w:szCs w:val="18"/>
                <w:color w:val="auto"/>
              </w:rPr>
            </w:pPr>
          </w:p>
        </w:tc>
        <w:tc>
          <w:tcPr>
            <w:tcW w:w="3620" w:type="dxa"/>
            <w:vAlign w:val="bottom"/>
            <w:shd w:val="clear" w:color="auto" w:fill="CCEEFF"/>
          </w:tcPr>
          <w:p>
            <w:pPr>
              <w:spacing w:after="0"/>
              <w:rPr>
                <w:sz w:val="18"/>
                <w:szCs w:val="18"/>
                <w:color w:val="auto"/>
              </w:rPr>
            </w:pPr>
          </w:p>
        </w:tc>
        <w:tc>
          <w:tcPr>
            <w:tcW w:w="36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7"/>
              </w:rPr>
              <w:t>3,706,963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7"/>
              </w:rPr>
              <w:t>3,404,400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3,168,630</w:t>
            </w:r>
          </w:p>
        </w:tc>
        <w:tc>
          <w:tcPr>
            <w:tcW w:w="0" w:type="dxa"/>
            <w:vAlign w:val="bottom"/>
          </w:tcPr>
          <w:p>
            <w:pPr>
              <w:spacing w:after="0"/>
              <w:rPr>
                <w:sz w:val="1"/>
                <w:szCs w:val="1"/>
                <w:color w:val="auto"/>
              </w:rPr>
            </w:pPr>
          </w:p>
        </w:tc>
      </w:tr>
      <w:tr>
        <w:trPr>
          <w:trHeight w:val="20"/>
        </w:trPr>
        <w:tc>
          <w:tcPr>
            <w:tcW w:w="84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840" w:type="dxa"/>
            <w:vAlign w:val="bottom"/>
            <w:vMerge w:val="restart"/>
          </w:tcPr>
          <w:p>
            <w:pPr>
              <w:spacing w:after="0"/>
              <w:rPr>
                <w:sz w:val="20"/>
                <w:szCs w:val="20"/>
                <w:color w:val="auto"/>
              </w:rPr>
            </w:pPr>
            <w:r>
              <w:rPr>
                <w:rFonts w:ascii="Arial" w:cs="Arial" w:eastAsia="Arial" w:hAnsi="Arial"/>
                <w:sz w:val="14"/>
                <w:szCs w:val="14"/>
                <w:b w:val="1"/>
                <w:bCs w:val="1"/>
                <w:color w:val="auto"/>
                <w:w w:val="93"/>
              </w:rPr>
              <w:t>Property and equipment, net:</w:t>
            </w:r>
          </w:p>
        </w:tc>
        <w:tc>
          <w:tcPr>
            <w:tcW w:w="658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January 31,</w:t>
            </w:r>
          </w:p>
        </w:tc>
        <w:tc>
          <w:tcPr>
            <w:tcW w:w="3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February 1,</w:t>
            </w:r>
          </w:p>
        </w:tc>
        <w:tc>
          <w:tcPr>
            <w:tcW w:w="0" w:type="dxa"/>
            <w:vAlign w:val="bottom"/>
          </w:tcPr>
          <w:p>
            <w:pPr>
              <w:spacing w:after="0"/>
              <w:rPr>
                <w:sz w:val="1"/>
                <w:szCs w:val="1"/>
                <w:color w:val="auto"/>
              </w:rPr>
            </w:pPr>
          </w:p>
        </w:tc>
      </w:tr>
      <w:tr>
        <w:trPr>
          <w:trHeight w:val="168"/>
        </w:trPr>
        <w:tc>
          <w:tcPr>
            <w:tcW w:w="1840" w:type="dxa"/>
            <w:vAlign w:val="bottom"/>
            <w:tcBorders>
              <w:bottom w:val="single" w:sz="8" w:color="auto"/>
            </w:tcBorders>
            <w:vMerge w:val="continue"/>
          </w:tcPr>
          <w:p>
            <w:pPr>
              <w:spacing w:after="0"/>
              <w:rPr>
                <w:sz w:val="14"/>
                <w:szCs w:val="14"/>
                <w:color w:val="auto"/>
              </w:rPr>
            </w:pPr>
          </w:p>
        </w:tc>
        <w:tc>
          <w:tcPr>
            <w:tcW w:w="6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5"/>
              <w:spacing w:after="0" w:line="148" w:lineRule="exact"/>
              <w:rPr>
                <w:sz w:val="20"/>
                <w:szCs w:val="20"/>
                <w:color w:val="auto"/>
              </w:rPr>
            </w:pPr>
            <w:r>
              <w:rPr>
                <w:rFonts w:ascii="Arial" w:cs="Arial" w:eastAsia="Arial" w:hAnsi="Arial"/>
                <w:sz w:val="14"/>
                <w:szCs w:val="14"/>
                <w:b w:val="1"/>
                <w:bCs w:val="1"/>
                <w:color w:val="auto"/>
              </w:rPr>
              <w:t>2015</w:t>
            </w: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5"/>
              <w:spacing w:after="0" w:line="148" w:lineRule="exact"/>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1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Bermuda</w:t>
            </w:r>
          </w:p>
        </w:tc>
        <w:tc>
          <w:tcPr>
            <w:tcW w:w="6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3,358</w:t>
            </w:r>
          </w:p>
        </w:tc>
        <w:tc>
          <w:tcPr>
            <w:tcW w:w="32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4,453</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China</w:t>
            </w:r>
          </w:p>
        </w:tc>
        <w:tc>
          <w:tcPr>
            <w:tcW w:w="6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25,910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29,146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shd w:val="clear" w:color="auto" w:fill="CCEEFF"/>
          </w:tcPr>
          <w:p>
            <w:pPr>
              <w:spacing w:after="0"/>
              <w:rPr>
                <w:sz w:val="20"/>
                <w:szCs w:val="20"/>
                <w:color w:val="auto"/>
              </w:rPr>
            </w:pPr>
            <w:r>
              <w:rPr>
                <w:rFonts w:ascii="Arial" w:cs="Arial" w:eastAsia="Arial" w:hAnsi="Arial"/>
                <w:sz w:val="18"/>
                <w:szCs w:val="18"/>
                <w:color w:val="auto"/>
              </w:rPr>
              <w:t>Israel</w:t>
            </w:r>
          </w:p>
        </w:tc>
        <w:tc>
          <w:tcPr>
            <w:tcW w:w="6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26,728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Singapore</w:t>
            </w:r>
          </w:p>
        </w:tc>
        <w:tc>
          <w:tcPr>
            <w:tcW w:w="6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79,216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76,367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6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186,321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195,253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Others</w:t>
            </w:r>
          </w:p>
        </w:tc>
        <w:tc>
          <w:tcPr>
            <w:tcW w:w="6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19,106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17,188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840" w:type="dxa"/>
            <w:vAlign w:val="bottom"/>
          </w:tcPr>
          <w:p>
            <w:pPr>
              <w:spacing w:after="0"/>
              <w:rPr>
                <w:sz w:val="2"/>
                <w:szCs w:val="2"/>
                <w:color w:val="auto"/>
              </w:rPr>
            </w:pPr>
          </w:p>
        </w:tc>
        <w:tc>
          <w:tcPr>
            <w:tcW w:w="6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840" w:type="dxa"/>
            <w:vAlign w:val="bottom"/>
            <w:shd w:val="clear" w:color="auto" w:fill="CCEEFF"/>
          </w:tcPr>
          <w:p>
            <w:pPr>
              <w:spacing w:after="0"/>
              <w:rPr>
                <w:sz w:val="18"/>
                <w:szCs w:val="18"/>
                <w:color w:val="auto"/>
              </w:rPr>
            </w:pPr>
          </w:p>
        </w:tc>
        <w:tc>
          <w:tcPr>
            <w:tcW w:w="6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340,639</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356,165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6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net revenue by end market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6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760" w:type="dxa"/>
            <w:vAlign w:val="bottom"/>
            <w:vMerge w:val="restart"/>
          </w:tcPr>
          <w:p>
            <w:pPr>
              <w:spacing w:after="0"/>
              <w:rPr>
                <w:sz w:val="20"/>
                <w:szCs w:val="20"/>
                <w:color w:val="auto"/>
              </w:rPr>
            </w:pPr>
            <w:r>
              <w:rPr>
                <w:rFonts w:ascii="Arial" w:cs="Arial" w:eastAsia="Arial" w:hAnsi="Arial"/>
                <w:sz w:val="14"/>
                <w:szCs w:val="14"/>
                <w:b w:val="1"/>
                <w:bCs w:val="1"/>
                <w:color w:val="auto"/>
                <w:w w:val="94"/>
              </w:rPr>
              <w:t>Net Revenue by End Market</w:t>
            </w:r>
          </w:p>
        </w:tc>
        <w:tc>
          <w:tcPr>
            <w:tcW w:w="6220" w:type="dxa"/>
            <w:vAlign w:val="bottom"/>
          </w:tcPr>
          <w:p>
            <w:pPr>
              <w:spacing w:after="0"/>
              <w:rPr>
                <w:sz w:val="11"/>
                <w:szCs w:val="11"/>
                <w:color w:val="auto"/>
              </w:rPr>
            </w:pPr>
          </w:p>
        </w:tc>
        <w:tc>
          <w:tcPr>
            <w:tcW w:w="1260" w:type="dxa"/>
            <w:vAlign w:val="bottom"/>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95"/>
              </w:rPr>
              <w:t>January 31,</w:t>
            </w:r>
          </w:p>
        </w:tc>
        <w:tc>
          <w:tcPr>
            <w:tcW w:w="1040" w:type="dxa"/>
            <w:vAlign w:val="bottom"/>
            <w:gridSpan w:val="2"/>
          </w:tcPr>
          <w:p>
            <w:pPr>
              <w:jc w:val="center"/>
              <w:ind w:right="240"/>
              <w:spacing w:after="0" w:line="129" w:lineRule="exact"/>
              <w:rPr>
                <w:sz w:val="20"/>
                <w:szCs w:val="20"/>
                <w:color w:val="auto"/>
              </w:rPr>
            </w:pPr>
            <w:r>
              <w:rPr>
                <w:rFonts w:ascii="Arial" w:cs="Arial" w:eastAsia="Arial" w:hAnsi="Arial"/>
                <w:sz w:val="14"/>
                <w:szCs w:val="14"/>
                <w:b w:val="1"/>
                <w:bCs w:val="1"/>
                <w:color w:val="auto"/>
                <w:w w:val="90"/>
              </w:rPr>
              <w:t>February 1,</w:t>
            </w:r>
          </w:p>
        </w:tc>
        <w:tc>
          <w:tcPr>
            <w:tcW w:w="200" w:type="dxa"/>
            <w:vAlign w:val="bottom"/>
          </w:tcPr>
          <w:p>
            <w:pPr>
              <w:spacing w:after="0"/>
              <w:rPr>
                <w:sz w:val="11"/>
                <w:szCs w:val="11"/>
                <w:color w:val="auto"/>
              </w:rPr>
            </w:pPr>
          </w:p>
        </w:tc>
        <w:tc>
          <w:tcPr>
            <w:tcW w:w="84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7"/>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1760" w:type="dxa"/>
            <w:vAlign w:val="bottom"/>
            <w:tcBorders>
              <w:bottom w:val="single" w:sz="8" w:color="auto"/>
            </w:tcBorders>
            <w:vMerge w:val="continue"/>
          </w:tcPr>
          <w:p>
            <w:pPr>
              <w:spacing w:after="0"/>
              <w:rPr>
                <w:sz w:val="14"/>
                <w:szCs w:val="14"/>
                <w:color w:val="auto"/>
              </w:rPr>
            </w:pPr>
          </w:p>
        </w:tc>
        <w:tc>
          <w:tcPr>
            <w:tcW w:w="7040" w:type="dxa"/>
            <w:vAlign w:val="bottom"/>
            <w:gridSpan w:val="2"/>
          </w:tcPr>
          <w:p>
            <w:pPr>
              <w:jc w:val="right"/>
              <w:ind w:right="199"/>
              <w:spacing w:after="0" w:line="148" w:lineRule="exact"/>
              <w:rPr>
                <w:sz w:val="20"/>
                <w:szCs w:val="20"/>
                <w:color w:val="auto"/>
              </w:rPr>
            </w:pPr>
            <w:r>
              <w:rPr>
                <w:rFonts w:ascii="Arial" w:cs="Arial" w:eastAsia="Arial" w:hAnsi="Arial"/>
                <w:sz w:val="14"/>
                <w:szCs w:val="14"/>
                <w:b w:val="1"/>
                <w:bCs w:val="1"/>
                <w:color w:val="auto"/>
              </w:rPr>
              <w:t>2015</w:t>
            </w:r>
          </w:p>
        </w:tc>
        <w:tc>
          <w:tcPr>
            <w:tcW w:w="440" w:type="dxa"/>
            <w:vAlign w:val="bottom"/>
          </w:tcPr>
          <w:p>
            <w:pPr>
              <w:spacing w:after="0"/>
              <w:rPr>
                <w:sz w:val="14"/>
                <w:szCs w:val="14"/>
                <w:color w:val="auto"/>
              </w:rPr>
            </w:pPr>
          </w:p>
        </w:tc>
        <w:tc>
          <w:tcPr>
            <w:tcW w:w="8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2014</w:t>
            </w:r>
          </w:p>
        </w:tc>
        <w:tc>
          <w:tcPr>
            <w:tcW w:w="220" w:type="dxa"/>
            <w:vAlign w:val="bottom"/>
          </w:tcPr>
          <w:p>
            <w:pPr>
              <w:spacing w:after="0"/>
              <w:rPr>
                <w:sz w:val="14"/>
                <w:szCs w:val="14"/>
                <w:color w:val="auto"/>
              </w:rPr>
            </w:pPr>
          </w:p>
        </w:tc>
        <w:tc>
          <w:tcPr>
            <w:tcW w:w="1040" w:type="dxa"/>
            <w:vAlign w:val="bottom"/>
            <w:gridSpan w:val="2"/>
          </w:tcPr>
          <w:p>
            <w:pPr>
              <w:jc w:val="right"/>
              <w:ind w:right="199"/>
              <w:spacing w:after="0" w:line="148" w:lineRule="exact"/>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17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Storage</w:t>
            </w:r>
          </w:p>
        </w:tc>
        <w:tc>
          <w:tcPr>
            <w:tcW w:w="622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$ 1,744,656</w:t>
            </w:r>
          </w:p>
        </w:tc>
        <w:tc>
          <w:tcPr>
            <w:tcW w:w="44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$ 1,681,953</w:t>
            </w: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$ 1,494,959</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760" w:type="dxa"/>
            <w:vAlign w:val="bottom"/>
          </w:tcPr>
          <w:p>
            <w:pPr>
              <w:spacing w:after="0"/>
              <w:rPr>
                <w:sz w:val="20"/>
                <w:szCs w:val="20"/>
                <w:color w:val="auto"/>
              </w:rPr>
            </w:pPr>
            <w:r>
              <w:rPr>
                <w:rFonts w:ascii="Arial" w:cs="Arial" w:eastAsia="Arial" w:hAnsi="Arial"/>
                <w:sz w:val="18"/>
                <w:szCs w:val="18"/>
                <w:color w:val="auto"/>
              </w:rPr>
              <w:t>Mobile and Wireless</w:t>
            </w:r>
          </w:p>
        </w:tc>
        <w:tc>
          <w:tcPr>
            <w:tcW w:w="7480" w:type="dxa"/>
            <w:vAlign w:val="bottom"/>
            <w:gridSpan w:val="3"/>
          </w:tcPr>
          <w:p>
            <w:pPr>
              <w:jc w:val="right"/>
              <w:ind w:right="440"/>
              <w:spacing w:after="0"/>
              <w:rPr>
                <w:sz w:val="20"/>
                <w:szCs w:val="20"/>
                <w:color w:val="auto"/>
              </w:rPr>
            </w:pPr>
            <w:r>
              <w:rPr>
                <w:rFonts w:ascii="Arial" w:cs="Arial" w:eastAsia="Arial" w:hAnsi="Arial"/>
                <w:sz w:val="18"/>
                <w:szCs w:val="18"/>
                <w:color w:val="auto"/>
              </w:rPr>
              <w:t>1,071,777</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839,407</w:t>
            </w:r>
          </w:p>
        </w:tc>
        <w:tc>
          <w:tcPr>
            <w:tcW w:w="1140" w:type="dxa"/>
            <w:vAlign w:val="bottom"/>
            <w:gridSpan w:val="3"/>
          </w:tcPr>
          <w:p>
            <w:pPr>
              <w:jc w:val="right"/>
              <w:ind w:right="100"/>
              <w:spacing w:after="0"/>
              <w:rPr>
                <w:sz w:val="20"/>
                <w:szCs w:val="20"/>
                <w:color w:val="auto"/>
              </w:rPr>
            </w:pPr>
            <w:r>
              <w:rPr>
                <w:rFonts w:ascii="Arial" w:cs="Arial" w:eastAsia="Arial" w:hAnsi="Arial"/>
                <w:sz w:val="18"/>
                <w:szCs w:val="18"/>
                <w:color w:val="auto"/>
              </w:rPr>
              <w:t>822,533</w:t>
            </w:r>
          </w:p>
        </w:tc>
        <w:tc>
          <w:tcPr>
            <w:tcW w:w="0" w:type="dxa"/>
            <w:vAlign w:val="bottom"/>
          </w:tcPr>
          <w:p>
            <w:pPr>
              <w:spacing w:after="0"/>
              <w:rPr>
                <w:sz w:val="1"/>
                <w:szCs w:val="1"/>
                <w:color w:val="auto"/>
              </w:rPr>
            </w:pPr>
          </w:p>
        </w:tc>
      </w:tr>
      <w:tr>
        <w:trPr>
          <w:trHeight w:val="216"/>
        </w:trPr>
        <w:tc>
          <w:tcPr>
            <w:tcW w:w="1760" w:type="dxa"/>
            <w:vAlign w:val="bottom"/>
            <w:shd w:val="clear" w:color="auto" w:fill="CCEEFF"/>
          </w:tcPr>
          <w:p>
            <w:pPr>
              <w:spacing w:after="0"/>
              <w:rPr>
                <w:sz w:val="20"/>
                <w:szCs w:val="20"/>
                <w:color w:val="auto"/>
              </w:rPr>
            </w:pPr>
            <w:r>
              <w:rPr>
                <w:rFonts w:ascii="Arial" w:cs="Arial" w:eastAsia="Arial" w:hAnsi="Arial"/>
                <w:sz w:val="18"/>
                <w:szCs w:val="18"/>
                <w:color w:val="auto"/>
              </w:rPr>
              <w:t>Networking</w:t>
            </w:r>
          </w:p>
        </w:tc>
        <w:tc>
          <w:tcPr>
            <w:tcW w:w="74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674,701</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670,249</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708,821</w:t>
            </w:r>
          </w:p>
        </w:tc>
        <w:tc>
          <w:tcPr>
            <w:tcW w:w="0" w:type="dxa"/>
            <w:vAlign w:val="bottom"/>
          </w:tcPr>
          <w:p>
            <w:pPr>
              <w:spacing w:after="0"/>
              <w:rPr>
                <w:sz w:val="1"/>
                <w:szCs w:val="1"/>
                <w:color w:val="auto"/>
              </w:rPr>
            </w:pPr>
          </w:p>
        </w:tc>
      </w:tr>
      <w:tr>
        <w:trPr>
          <w:trHeight w:val="223"/>
        </w:trPr>
        <w:tc>
          <w:tcPr>
            <w:tcW w:w="1760" w:type="dxa"/>
            <w:vAlign w:val="bottom"/>
          </w:tcPr>
          <w:p>
            <w:pPr>
              <w:spacing w:after="0"/>
              <w:rPr>
                <w:sz w:val="20"/>
                <w:szCs w:val="20"/>
                <w:color w:val="auto"/>
              </w:rPr>
            </w:pPr>
            <w:r>
              <w:rPr>
                <w:rFonts w:ascii="Arial" w:cs="Arial" w:eastAsia="Arial" w:hAnsi="Arial"/>
                <w:sz w:val="18"/>
                <w:szCs w:val="18"/>
                <w:color w:val="auto"/>
              </w:rPr>
              <w:t>Other</w:t>
            </w:r>
          </w:p>
        </w:tc>
        <w:tc>
          <w:tcPr>
            <w:tcW w:w="622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215,829</w:t>
            </w:r>
          </w:p>
        </w:tc>
        <w:tc>
          <w:tcPr>
            <w:tcW w:w="44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212,791</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142,317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760" w:type="dxa"/>
            <w:vAlign w:val="bottom"/>
            <w:shd w:val="clear" w:color="auto" w:fill="CCEEFF"/>
          </w:tcPr>
          <w:p>
            <w:pPr>
              <w:spacing w:after="0"/>
              <w:rPr>
                <w:sz w:val="18"/>
                <w:szCs w:val="18"/>
                <w:color w:val="auto"/>
              </w:rPr>
            </w:pPr>
          </w:p>
        </w:tc>
        <w:tc>
          <w:tcPr>
            <w:tcW w:w="74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3,706,963</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4"/>
              </w:rPr>
              <w:t>$ 3,404,400</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$ 3,168,630</w:t>
            </w:r>
          </w:p>
        </w:tc>
        <w:tc>
          <w:tcPr>
            <w:tcW w:w="0" w:type="dxa"/>
            <w:vAlign w:val="bottom"/>
          </w:tcPr>
          <w:p>
            <w:pPr>
              <w:spacing w:after="0"/>
              <w:rPr>
                <w:sz w:val="1"/>
                <w:szCs w:val="1"/>
                <w:color w:val="auto"/>
              </w:rPr>
            </w:pPr>
          </w:p>
        </w:tc>
      </w:tr>
      <w:tr>
        <w:trPr>
          <w:trHeight w:val="20"/>
        </w:trPr>
        <w:tc>
          <w:tcPr>
            <w:tcW w:w="1760" w:type="dxa"/>
            <w:vAlign w:val="bottom"/>
          </w:tcPr>
          <w:p>
            <w:pPr>
              <w:spacing w:after="0" w:line="20" w:lineRule="exact"/>
              <w:rPr>
                <w:sz w:val="1"/>
                <w:szCs w:val="1"/>
                <w:color w:val="auto"/>
              </w:rPr>
            </w:pPr>
          </w:p>
        </w:tc>
        <w:tc>
          <w:tcPr>
            <w:tcW w:w="6220" w:type="dxa"/>
            <w:vAlign w:val="bottom"/>
            <w:vMerge w:val="restart"/>
          </w:tcPr>
          <w:p>
            <w:pPr>
              <w:jc w:val="right"/>
              <w:ind w:right="2096"/>
              <w:spacing w:after="0"/>
              <w:rPr>
                <w:sz w:val="20"/>
                <w:szCs w:val="20"/>
                <w:color w:val="auto"/>
              </w:rPr>
            </w:pPr>
            <w:r>
              <w:rPr>
                <w:rFonts w:ascii="Arial" w:cs="Arial" w:eastAsia="Arial" w:hAnsi="Arial"/>
                <w:sz w:val="18"/>
                <w:szCs w:val="18"/>
                <w:color w:val="auto"/>
              </w:rPr>
              <w:t>98</w:t>
            </w:r>
          </w:p>
        </w:tc>
        <w:tc>
          <w:tcPr>
            <w:tcW w:w="8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760" w:type="dxa"/>
            <w:vAlign w:val="bottom"/>
          </w:tcPr>
          <w:p>
            <w:pPr>
              <w:spacing w:after="0"/>
              <w:rPr>
                <w:sz w:val="24"/>
                <w:szCs w:val="24"/>
                <w:color w:val="auto"/>
              </w:rPr>
            </w:pPr>
          </w:p>
        </w:tc>
        <w:tc>
          <w:tcPr>
            <w:tcW w:w="6220" w:type="dxa"/>
            <w:vAlign w:val="bottom"/>
            <w:vMerge w:val="continue"/>
          </w:tcPr>
          <w:p>
            <w:pPr>
              <w:spacing w:after="0"/>
              <w:rPr>
                <w:sz w:val="24"/>
                <w:szCs w:val="24"/>
                <w:color w:val="auto"/>
              </w:rPr>
            </w:pPr>
          </w:p>
        </w:tc>
        <w:tc>
          <w:tcPr>
            <w:tcW w:w="8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MIL is party to a technology license agreement with VeriSilicon Holdings Co., Ltd. (“VeriSilicon”). MIL assumed the technology license agreement</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between VeriSilicon and UTStarcom, Inc. after the Company’s acquisition of the semiconductor business of UTStarcom in December 2005. MIL has</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subsequently entered into various addenda to the agreement for additional technology beyond the scope of the original agreement. In addition, in September 2010,</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MIL entered into a services agreement with VeriSilicon, pursuant to which VeriSilicon has agreed to provide design support services to MIL. Under the services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agreement, VeriSilicon helped on three projects for MIL during fiscal 2013. In connection with all of its transactions with VeriSilicon, MIL paid $3.7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$2.0 million and $2.8 million to VeriSilicon during fiscal 2015, 2014 and 2013, respectively. As of January 31, 2015, the Company had $0.8 million of liability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VeriSilicon. Weili Dai’s brother (and Dr. Sehat Sutardja’s brother-in-law) is the Chairman, President and Chief Executive Officer of VeriSilicon. Ms. Dai is also a</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shareholder of VeriSilicon. Ms. Dai is President of the Company and Dr. Sehat Sutardja is the Company’s Chief Executive Officer. Dr. Sehat Sutardja and Ms. Dai</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are husband and wife.</w:t>
      </w:r>
    </w:p>
    <w:p>
      <w:pPr>
        <w:spacing w:after="0" w:line="165" w:lineRule="exact"/>
        <w:rPr>
          <w:sz w:val="20"/>
          <w:szCs w:val="20"/>
          <w:color w:val="auto"/>
        </w:rPr>
      </w:pPr>
    </w:p>
    <w:p>
      <w:pPr>
        <w:ind w:right="60" w:firstLine="456"/>
        <w:spacing w:after="0" w:line="302" w:lineRule="auto"/>
        <w:rPr>
          <w:sz w:val="20"/>
          <w:szCs w:val="20"/>
          <w:color w:val="auto"/>
        </w:rPr>
      </w:pPr>
      <w:r>
        <w:rPr>
          <w:rFonts w:ascii="Arial" w:cs="Arial" w:eastAsia="Arial" w:hAnsi="Arial"/>
          <w:sz w:val="15"/>
          <w:szCs w:val="15"/>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services agreement, pursuant to which Vivante agreed to provide support services to MIL. In connection with all of its transactions with Vivante, MIL paid $9.1 million, $6.9 million and $8.6 million to Vivante during fiscal 2015, 2014 and 2013, respectively. As of January 31, 2015, the Company had $3.7 million of liability to Vivante.</w:t>
      </w:r>
    </w:p>
    <w:p>
      <w:pPr>
        <w:spacing w:after="0" w:line="1" w:lineRule="exact"/>
        <w:rPr>
          <w:sz w:val="20"/>
          <w:szCs w:val="20"/>
          <w:color w:val="auto"/>
        </w:rPr>
      </w:pPr>
    </w:p>
    <w:p>
      <w:pPr>
        <w:jc w:val="both"/>
        <w:ind w:right="20"/>
        <w:spacing w:after="0" w:line="255" w:lineRule="auto"/>
        <w:rPr>
          <w:sz w:val="20"/>
          <w:szCs w:val="20"/>
          <w:color w:val="auto"/>
        </w:rPr>
      </w:pPr>
      <w:r>
        <w:rPr>
          <w:rFonts w:ascii="Arial" w:cs="Arial" w:eastAsia="Arial" w:hAnsi="Arial"/>
          <w:sz w:val="18"/>
          <w:szCs w:val="18"/>
          <w:color w:val="auto"/>
        </w:rPr>
        <w:t>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Subsequent Events</w:t>
      </w:r>
    </w:p>
    <w:p>
      <w:pPr>
        <w:spacing w:after="0" w:line="96" w:lineRule="exact"/>
        <w:rPr>
          <w:sz w:val="20"/>
          <w:szCs w:val="20"/>
          <w:color w:val="auto"/>
        </w:rPr>
      </w:pPr>
    </w:p>
    <w:p>
      <w:pPr>
        <w:ind w:right="200" w:firstLine="456"/>
        <w:spacing w:after="0" w:line="283" w:lineRule="auto"/>
        <w:rPr>
          <w:sz w:val="20"/>
          <w:szCs w:val="20"/>
          <w:color w:val="auto"/>
        </w:rPr>
      </w:pPr>
      <w:r>
        <w:rPr>
          <w:rFonts w:ascii="Arial" w:cs="Arial" w:eastAsia="Arial" w:hAnsi="Arial"/>
          <w:sz w:val="16"/>
          <w:szCs w:val="16"/>
          <w:color w:val="auto"/>
        </w:rPr>
        <w:t>On February 25, 2015, the Executive Compensation Committee (“Committee”) of the Company’s Board of Directors approved a cash payment of approximately $15.4 million to Dr. Sehat Sutardja, the Company’s Chief Executive Officer. The U.S. Court of Federal Claims ruled against Dr. Sutardja in his legal challenge with the Internal Revenue Service and the California Franchise Tax Board related to the tax treatment of several stock options granted in fiscal 2004. After discussing and evaluating the alternatives to a continuing legal challenge of the court’s determination, the likelihood of success of further appeal by Dr. Sutardja and the potential negative impact on the Company of a continuation of the case regardless of the outcome, on February 25, 2015, the Committee determined to provide Dr. Sutardja with relief from the financial effects of the penalty taxes. Accordingly, the Committee approved the cash payment to</w:t>
      </w:r>
    </w:p>
    <w:p>
      <w:pPr>
        <w:spacing w:after="0" w:line="1"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Dr. Sutardja equal to the amount of his penalty taxes owed under the Tax Codes, plus accrued interest owed with respect to such liabilities, all grossed-up for income taxes that will be owed by Dr. Sutardja on receipt of such cash payment. The Company will record the payment in general and administrative expense in the first quarter of fiscal 2016.</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420"/>
          </w:cols>
          <w:pgMar w:left="240" w:top="459" w:right="2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4680"/>
        <w:spacing w:after="0"/>
        <w:rPr>
          <w:sz w:val="20"/>
          <w:szCs w:val="20"/>
          <w:color w:val="auto"/>
        </w:rPr>
      </w:pPr>
      <w:r>
        <w:rPr>
          <w:rFonts w:ascii="Arial" w:cs="Arial" w:eastAsia="Arial" w:hAnsi="Arial"/>
          <w:sz w:val="18"/>
          <w:szCs w:val="18"/>
          <w:b w:val="1"/>
          <w:bCs w:val="1"/>
          <w:color w:val="auto"/>
        </w:rPr>
        <w:t>SUPPLEMENTARY DATA</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65"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January 31, 2015. 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Fiscal 2015</w:t>
            </w:r>
          </w:p>
        </w:tc>
        <w:tc>
          <w:tcPr>
            <w:tcW w:w="8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4380" w:type="dxa"/>
            <w:vAlign w:val="bottom"/>
          </w:tcPr>
          <w:p>
            <w:pPr>
              <w:spacing w:after="0"/>
              <w:rPr>
                <w:sz w:val="11"/>
                <w:szCs w:val="11"/>
                <w:color w:val="auto"/>
              </w:rPr>
            </w:pPr>
          </w:p>
        </w:tc>
        <w:tc>
          <w:tcPr>
            <w:tcW w:w="2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80" w:type="dxa"/>
            <w:vAlign w:val="bottom"/>
            <w:gridSpan w:val="3"/>
          </w:tcPr>
          <w:p>
            <w:pPr>
              <w:jc w:val="right"/>
              <w:ind w:right="460"/>
              <w:spacing w:after="0" w:line="129" w:lineRule="exact"/>
              <w:rPr>
                <w:sz w:val="20"/>
                <w:szCs w:val="20"/>
                <w:color w:val="auto"/>
              </w:rPr>
            </w:pPr>
            <w:r>
              <w:rPr>
                <w:rFonts w:ascii="Arial" w:cs="Arial" w:eastAsia="Arial" w:hAnsi="Arial"/>
                <w:sz w:val="14"/>
                <w:szCs w:val="14"/>
                <w:b w:val="1"/>
                <w:bCs w:val="1"/>
                <w:color w:val="auto"/>
              </w:rPr>
              <w:t>First</w:t>
            </w:r>
          </w:p>
        </w:tc>
        <w:tc>
          <w:tcPr>
            <w:tcW w:w="1120" w:type="dxa"/>
            <w:vAlign w:val="bottom"/>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rPr>
              <w:t>Second</w:t>
            </w:r>
          </w:p>
        </w:tc>
        <w:tc>
          <w:tcPr>
            <w:tcW w:w="300" w:type="dxa"/>
            <w:vAlign w:val="bottom"/>
          </w:tcPr>
          <w:p>
            <w:pPr>
              <w:spacing w:after="0"/>
              <w:rPr>
                <w:sz w:val="11"/>
                <w:szCs w:val="11"/>
                <w:color w:val="auto"/>
              </w:rPr>
            </w:pPr>
          </w:p>
        </w:tc>
        <w:tc>
          <w:tcPr>
            <w:tcW w:w="860" w:type="dxa"/>
            <w:vAlign w:val="bottom"/>
          </w:tcPr>
          <w:p>
            <w:pPr>
              <w:jc w:val="right"/>
              <w:ind w:right="459"/>
              <w:spacing w:after="0" w:line="129" w:lineRule="exact"/>
              <w:rPr>
                <w:sz w:val="20"/>
                <w:szCs w:val="20"/>
                <w:color w:val="auto"/>
              </w:rPr>
            </w:pPr>
            <w:r>
              <w:rPr>
                <w:rFonts w:ascii="Arial" w:cs="Arial" w:eastAsia="Arial" w:hAnsi="Arial"/>
                <w:sz w:val="14"/>
                <w:szCs w:val="14"/>
                <w:b w:val="1"/>
                <w:bCs w:val="1"/>
                <w:color w:val="auto"/>
                <w:w w:val="85"/>
              </w:rPr>
              <w:t>Third</w:t>
            </w:r>
          </w:p>
        </w:tc>
        <w:tc>
          <w:tcPr>
            <w:tcW w:w="200" w:type="dxa"/>
            <w:vAlign w:val="bottom"/>
          </w:tcPr>
          <w:p>
            <w:pPr>
              <w:spacing w:after="0"/>
              <w:rPr>
                <w:sz w:val="11"/>
                <w:szCs w:val="11"/>
                <w:color w:val="auto"/>
              </w:rPr>
            </w:pPr>
          </w:p>
        </w:tc>
        <w:tc>
          <w:tcPr>
            <w:tcW w:w="620" w:type="dxa"/>
            <w:vAlign w:val="bottom"/>
          </w:tcPr>
          <w:p>
            <w:pPr>
              <w:jc w:val="center"/>
              <w:ind w:right="57"/>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438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020" w:type="dxa"/>
            <w:vAlign w:val="bottom"/>
            <w:gridSpan w:val="4"/>
          </w:tcPr>
          <w:p>
            <w:pPr>
              <w:spacing w:after="0"/>
              <w:rPr>
                <w:sz w:val="20"/>
                <w:szCs w:val="20"/>
                <w:color w:val="auto"/>
              </w:rPr>
            </w:pPr>
            <w:r>
              <w:rPr>
                <w:rFonts w:ascii="Arial" w:cs="Arial" w:eastAsia="Arial" w:hAnsi="Arial"/>
                <w:sz w:val="14"/>
                <w:szCs w:val="14"/>
                <w:b w:val="1"/>
                <w:bCs w:val="1"/>
                <w:color w:val="auto"/>
              </w:rPr>
              <w:t>Quarter (1)</w:t>
            </w:r>
          </w:p>
        </w:tc>
        <w:tc>
          <w:tcPr>
            <w:tcW w:w="1120" w:type="dxa"/>
            <w:vAlign w:val="bottom"/>
            <w:gridSpan w:val="2"/>
          </w:tcPr>
          <w:p>
            <w:pPr>
              <w:ind w:left="120"/>
              <w:spacing w:after="0"/>
              <w:rPr>
                <w:sz w:val="20"/>
                <w:szCs w:val="20"/>
                <w:color w:val="auto"/>
              </w:rPr>
            </w:pPr>
            <w:r>
              <w:rPr>
                <w:rFonts w:ascii="Arial" w:cs="Arial" w:eastAsia="Arial" w:hAnsi="Arial"/>
                <w:sz w:val="14"/>
                <w:szCs w:val="14"/>
                <w:b w:val="1"/>
                <w:bCs w:val="1"/>
                <w:color w:val="auto"/>
              </w:rPr>
              <w:t>Quarter (2)</w:t>
            </w:r>
          </w:p>
        </w:tc>
        <w:tc>
          <w:tcPr>
            <w:tcW w:w="1160" w:type="dxa"/>
            <w:vAlign w:val="bottom"/>
            <w:gridSpan w:val="2"/>
          </w:tcPr>
          <w:p>
            <w:pPr>
              <w:ind w:left="120"/>
              <w:spacing w:after="0"/>
              <w:rPr>
                <w:sz w:val="20"/>
                <w:szCs w:val="20"/>
                <w:color w:val="auto"/>
              </w:rPr>
            </w:pPr>
            <w:r>
              <w:rPr>
                <w:rFonts w:ascii="Arial" w:cs="Arial" w:eastAsia="Arial" w:hAnsi="Arial"/>
                <w:sz w:val="14"/>
                <w:szCs w:val="14"/>
                <w:b w:val="1"/>
                <w:bCs w:val="1"/>
                <w:color w:val="auto"/>
              </w:rPr>
              <w:t>Quarter (3)</w:t>
            </w:r>
          </w:p>
        </w:tc>
        <w:tc>
          <w:tcPr>
            <w:tcW w:w="92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2"/>
              </w:rPr>
              <w:t>Quarter (4)</w:t>
            </w:r>
          </w:p>
        </w:tc>
      </w:tr>
      <w:tr>
        <w:trPr>
          <w:trHeight w:val="142"/>
        </w:trPr>
        <w:tc>
          <w:tcPr>
            <w:tcW w:w="438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2880" w:type="dxa"/>
            <w:vAlign w:val="bottom"/>
            <w:tcBorders>
              <w:top w:val="single" w:sz="8" w:color="auto"/>
            </w:tcBorders>
            <w:gridSpan w:val="5"/>
          </w:tcPr>
          <w:p>
            <w:pPr>
              <w:jc w:val="right"/>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20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840" w:type="dxa"/>
            <w:vAlign w:val="bottom"/>
            <w:gridSpan w:val="5"/>
            <w:shd w:val="clear" w:color="auto" w:fill="CCEEFF"/>
          </w:tcPr>
          <w:p>
            <w:pPr>
              <w:jc w:val="right"/>
              <w:ind w:right="260"/>
              <w:spacing w:after="0"/>
              <w:rPr>
                <w:sz w:val="20"/>
                <w:szCs w:val="20"/>
                <w:color w:val="auto"/>
              </w:rPr>
            </w:pPr>
            <w:r>
              <w:rPr>
                <w:rFonts w:ascii="Arial" w:cs="Arial" w:eastAsia="Arial" w:hAnsi="Arial"/>
                <w:sz w:val="18"/>
                <w:szCs w:val="18"/>
                <w:color w:val="auto"/>
              </w:rPr>
              <w:t>$ 957,830</w:t>
            </w:r>
          </w:p>
        </w:tc>
        <w:tc>
          <w:tcPr>
            <w:tcW w:w="11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7"/>
              </w:rPr>
              <w:t>$ 961,545</w:t>
            </w:r>
          </w:p>
        </w:tc>
        <w:tc>
          <w:tcPr>
            <w:tcW w:w="1160" w:type="dxa"/>
            <w:vAlign w:val="bottom"/>
            <w:gridSpan w:val="2"/>
            <w:shd w:val="clear" w:color="auto" w:fill="CCEEFF"/>
          </w:tcPr>
          <w:p>
            <w:pPr>
              <w:jc w:val="right"/>
              <w:ind w:right="259"/>
              <w:spacing w:after="0"/>
              <w:rPr>
                <w:sz w:val="20"/>
                <w:szCs w:val="20"/>
                <w:color w:val="auto"/>
              </w:rPr>
            </w:pPr>
            <w:r>
              <w:rPr>
                <w:rFonts w:ascii="Arial" w:cs="Arial" w:eastAsia="Arial" w:hAnsi="Arial"/>
                <w:sz w:val="18"/>
                <w:szCs w:val="18"/>
                <w:color w:val="auto"/>
                <w:w w:val="99"/>
              </w:rPr>
              <w:t>$ 930,136</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9"/>
              </w:rPr>
              <w:t>$ 857,452</w:t>
            </w: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Gross profit</w:t>
            </w:r>
          </w:p>
        </w:tc>
        <w:tc>
          <w:tcPr>
            <w:tcW w:w="3840" w:type="dxa"/>
            <w:vAlign w:val="bottom"/>
            <w:gridSpan w:val="5"/>
          </w:tcPr>
          <w:p>
            <w:pPr>
              <w:jc w:val="right"/>
              <w:ind w:right="260"/>
              <w:spacing w:after="0"/>
              <w:rPr>
                <w:sz w:val="20"/>
                <w:szCs w:val="20"/>
                <w:color w:val="auto"/>
              </w:rPr>
            </w:pPr>
            <w:r>
              <w:rPr>
                <w:rFonts w:ascii="Arial" w:cs="Arial" w:eastAsia="Arial" w:hAnsi="Arial"/>
                <w:sz w:val="18"/>
                <w:szCs w:val="18"/>
                <w:color w:val="auto"/>
              </w:rPr>
              <w:t>$ 463,970</w:t>
            </w:r>
          </w:p>
        </w:tc>
        <w:tc>
          <w:tcPr>
            <w:tcW w:w="1120" w:type="dxa"/>
            <w:vAlign w:val="bottom"/>
            <w:gridSpan w:val="2"/>
          </w:tcPr>
          <w:p>
            <w:pPr>
              <w:jc w:val="right"/>
              <w:ind w:right="240"/>
              <w:spacing w:after="0"/>
              <w:rPr>
                <w:sz w:val="20"/>
                <w:szCs w:val="20"/>
                <w:color w:val="auto"/>
              </w:rPr>
            </w:pPr>
            <w:r>
              <w:rPr>
                <w:rFonts w:ascii="Arial" w:cs="Arial" w:eastAsia="Arial" w:hAnsi="Arial"/>
                <w:sz w:val="18"/>
                <w:szCs w:val="18"/>
                <w:color w:val="auto"/>
                <w:w w:val="97"/>
              </w:rPr>
              <w:t>$ 483,804</w:t>
            </w:r>
          </w:p>
        </w:tc>
        <w:tc>
          <w:tcPr>
            <w:tcW w:w="1160" w:type="dxa"/>
            <w:vAlign w:val="bottom"/>
            <w:gridSpan w:val="2"/>
          </w:tcPr>
          <w:p>
            <w:pPr>
              <w:jc w:val="right"/>
              <w:ind w:right="259"/>
              <w:spacing w:after="0"/>
              <w:rPr>
                <w:sz w:val="20"/>
                <w:szCs w:val="20"/>
                <w:color w:val="auto"/>
              </w:rPr>
            </w:pPr>
            <w:r>
              <w:rPr>
                <w:rFonts w:ascii="Arial" w:cs="Arial" w:eastAsia="Arial" w:hAnsi="Arial"/>
                <w:sz w:val="18"/>
                <w:szCs w:val="18"/>
                <w:color w:val="auto"/>
                <w:w w:val="99"/>
              </w:rPr>
              <w:t>$ 475,162</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color w:val="auto"/>
                <w:w w:val="99"/>
              </w:rPr>
              <w:t>$ 440,321</w:t>
            </w: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2960" w:type="dxa"/>
            <w:vAlign w:val="bottom"/>
            <w:gridSpan w:val="2"/>
            <w:shd w:val="clear" w:color="auto" w:fill="CCEEFF"/>
          </w:tcPr>
          <w:p>
            <w:pPr>
              <w:ind w:left="282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w w:val="94"/>
              </w:rPr>
              <w:t>99,479</w:t>
            </w:r>
          </w:p>
        </w:tc>
        <w:tc>
          <w:tcPr>
            <w:tcW w:w="11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7"/>
              </w:rPr>
              <w:t>$ 138,870</w:t>
            </w:r>
          </w:p>
        </w:tc>
        <w:tc>
          <w:tcPr>
            <w:tcW w:w="1160" w:type="dxa"/>
            <w:vAlign w:val="bottom"/>
            <w:gridSpan w:val="2"/>
            <w:shd w:val="clear" w:color="auto" w:fill="CCEEFF"/>
          </w:tcPr>
          <w:p>
            <w:pPr>
              <w:jc w:val="right"/>
              <w:ind w:right="259"/>
              <w:spacing w:after="0"/>
              <w:rPr>
                <w:sz w:val="20"/>
                <w:szCs w:val="20"/>
                <w:color w:val="auto"/>
              </w:rPr>
            </w:pPr>
            <w:r>
              <w:rPr>
                <w:rFonts w:ascii="Arial" w:cs="Arial" w:eastAsia="Arial" w:hAnsi="Arial"/>
                <w:sz w:val="18"/>
                <w:szCs w:val="18"/>
                <w:color w:val="auto"/>
                <w:w w:val="99"/>
              </w:rPr>
              <w:t>$ 115,304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81,693</w:t>
            </w: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Net income per share:</w:t>
            </w:r>
          </w:p>
        </w:tc>
        <w:tc>
          <w:tcPr>
            <w:tcW w:w="2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3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2960" w:type="dxa"/>
            <w:vAlign w:val="bottom"/>
            <w:gridSpan w:val="2"/>
            <w:shd w:val="clear" w:color="auto" w:fill="CCEEFF"/>
          </w:tcPr>
          <w:p>
            <w:pPr>
              <w:ind w:left="282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0.20</w:t>
            </w:r>
          </w:p>
        </w:tc>
        <w:tc>
          <w:tcPr>
            <w:tcW w:w="4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ind w:right="240"/>
              <w:spacing w:after="0"/>
              <w:rPr>
                <w:sz w:val="20"/>
                <w:szCs w:val="20"/>
                <w:color w:val="auto"/>
              </w:rPr>
            </w:pPr>
            <w:r>
              <w:rPr>
                <w:rFonts w:ascii="Arial" w:cs="Arial" w:eastAsia="Arial" w:hAnsi="Arial"/>
                <w:sz w:val="18"/>
                <w:szCs w:val="18"/>
                <w:color w:val="auto"/>
              </w:rPr>
              <w:t>0.27</w:t>
            </w:r>
          </w:p>
        </w:tc>
        <w:tc>
          <w:tcPr>
            <w:tcW w:w="3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259"/>
              <w:spacing w:after="0"/>
              <w:rPr>
                <w:sz w:val="20"/>
                <w:szCs w:val="20"/>
                <w:color w:val="auto"/>
              </w:rPr>
            </w:pPr>
            <w:r>
              <w:rPr>
                <w:rFonts w:ascii="Arial" w:cs="Arial" w:eastAsia="Arial" w:hAnsi="Arial"/>
                <w:sz w:val="18"/>
                <w:szCs w:val="18"/>
                <w:color w:val="auto"/>
              </w:rPr>
              <w:t>0.22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0.16</w:t>
            </w:r>
          </w:p>
        </w:tc>
      </w:tr>
      <w:tr>
        <w:trPr>
          <w:trHeight w:val="222"/>
        </w:trPr>
        <w:tc>
          <w:tcPr>
            <w:tcW w:w="4380" w:type="dxa"/>
            <w:vAlign w:val="bottom"/>
          </w:tcPr>
          <w:p>
            <w:pPr>
              <w:ind w:left="440"/>
              <w:spacing w:after="0"/>
              <w:rPr>
                <w:sz w:val="20"/>
                <w:szCs w:val="20"/>
                <w:color w:val="auto"/>
              </w:rPr>
            </w:pPr>
            <w:r>
              <w:rPr>
                <w:rFonts w:ascii="Arial" w:cs="Arial" w:eastAsia="Arial" w:hAnsi="Arial"/>
                <w:sz w:val="18"/>
                <w:szCs w:val="18"/>
                <w:color w:val="auto"/>
              </w:rPr>
              <w:t>Diluted</w:t>
            </w:r>
          </w:p>
        </w:tc>
        <w:tc>
          <w:tcPr>
            <w:tcW w:w="2960" w:type="dxa"/>
            <w:vAlign w:val="bottom"/>
            <w:gridSpan w:val="2"/>
          </w:tcPr>
          <w:p>
            <w:pPr>
              <w:ind w:left="282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260"/>
              <w:spacing w:after="0"/>
              <w:rPr>
                <w:sz w:val="20"/>
                <w:szCs w:val="20"/>
                <w:color w:val="auto"/>
              </w:rPr>
            </w:pPr>
            <w:r>
              <w:rPr>
                <w:rFonts w:ascii="Arial" w:cs="Arial" w:eastAsia="Arial" w:hAnsi="Arial"/>
                <w:sz w:val="18"/>
                <w:szCs w:val="18"/>
                <w:color w:val="auto"/>
              </w:rPr>
              <w:t>0.19</w:t>
            </w:r>
          </w:p>
        </w:tc>
        <w:tc>
          <w:tcPr>
            <w:tcW w:w="420" w:type="dxa"/>
            <w:vAlign w:val="bottom"/>
          </w:tcPr>
          <w:p>
            <w:pPr>
              <w:ind w:left="100"/>
              <w:spacing w:after="0"/>
              <w:rPr>
                <w:sz w:val="20"/>
                <w:szCs w:val="20"/>
                <w:color w:val="auto"/>
              </w:rPr>
            </w:pPr>
            <w:r>
              <w:rPr>
                <w:rFonts w:ascii="Arial" w:cs="Arial" w:eastAsia="Arial" w:hAnsi="Arial"/>
                <w:sz w:val="18"/>
                <w:szCs w:val="18"/>
                <w:color w:val="auto"/>
              </w:rPr>
              <w:t>$</w:t>
            </w:r>
          </w:p>
        </w:tc>
        <w:tc>
          <w:tcPr>
            <w:tcW w:w="700" w:type="dxa"/>
            <w:vAlign w:val="bottom"/>
          </w:tcPr>
          <w:p>
            <w:pPr>
              <w:jc w:val="right"/>
              <w:ind w:right="240"/>
              <w:spacing w:after="0"/>
              <w:rPr>
                <w:sz w:val="20"/>
                <w:szCs w:val="20"/>
                <w:color w:val="auto"/>
              </w:rPr>
            </w:pPr>
            <w:r>
              <w:rPr>
                <w:rFonts w:ascii="Arial" w:cs="Arial" w:eastAsia="Arial" w:hAnsi="Arial"/>
                <w:sz w:val="18"/>
                <w:szCs w:val="18"/>
                <w:color w:val="auto"/>
              </w:rPr>
              <w:t>0.27</w:t>
            </w:r>
          </w:p>
        </w:tc>
        <w:tc>
          <w:tcPr>
            <w:tcW w:w="300" w:type="dxa"/>
            <w:vAlign w:val="bottom"/>
          </w:tcPr>
          <w:p>
            <w:pPr>
              <w:ind w:left="100"/>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259"/>
              <w:spacing w:after="0"/>
              <w:rPr>
                <w:sz w:val="20"/>
                <w:szCs w:val="20"/>
                <w:color w:val="auto"/>
              </w:rPr>
            </w:pPr>
            <w:r>
              <w:rPr>
                <w:rFonts w:ascii="Arial" w:cs="Arial" w:eastAsia="Arial" w:hAnsi="Arial"/>
                <w:sz w:val="18"/>
                <w:szCs w:val="18"/>
                <w:color w:val="auto"/>
              </w:rPr>
              <w:t>0.22</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0.16</w:t>
            </w:r>
          </w:p>
        </w:tc>
      </w:tr>
      <w:tr>
        <w:trPr>
          <w:trHeight w:val="345"/>
        </w:trPr>
        <w:tc>
          <w:tcPr>
            <w:tcW w:w="4380" w:type="dxa"/>
            <w:vAlign w:val="bottom"/>
          </w:tcPr>
          <w:p>
            <w:pPr>
              <w:spacing w:after="0"/>
              <w:rPr>
                <w:sz w:val="24"/>
                <w:szCs w:val="24"/>
                <w:color w:val="auto"/>
              </w:rPr>
            </w:pPr>
          </w:p>
        </w:tc>
        <w:tc>
          <w:tcPr>
            <w:tcW w:w="2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860" w:type="dxa"/>
            <w:vAlign w:val="bottom"/>
            <w:tcBorders>
              <w:bottom w:val="single" w:sz="8" w:color="auto"/>
            </w:tcBorders>
            <w:gridSpan w:val="3"/>
          </w:tcPr>
          <w:p>
            <w:pPr>
              <w:jc w:val="right"/>
              <w:ind w:right="679"/>
              <w:spacing w:after="0"/>
              <w:rPr>
                <w:sz w:val="20"/>
                <w:szCs w:val="20"/>
                <w:color w:val="auto"/>
              </w:rPr>
            </w:pPr>
            <w:r>
              <w:rPr>
                <w:rFonts w:ascii="Arial" w:cs="Arial" w:eastAsia="Arial" w:hAnsi="Arial"/>
                <w:sz w:val="14"/>
                <w:szCs w:val="14"/>
                <w:b w:val="1"/>
                <w:bCs w:val="1"/>
                <w:color w:val="auto"/>
              </w:rPr>
              <w:t>Fiscal 2014</w:t>
            </w:r>
          </w:p>
        </w:tc>
        <w:tc>
          <w:tcPr>
            <w:tcW w:w="20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r>
      <w:tr>
        <w:trPr>
          <w:trHeight w:val="129"/>
        </w:trPr>
        <w:tc>
          <w:tcPr>
            <w:tcW w:w="4380" w:type="dxa"/>
            <w:vAlign w:val="bottom"/>
          </w:tcPr>
          <w:p>
            <w:pPr>
              <w:spacing w:after="0"/>
              <w:rPr>
                <w:sz w:val="11"/>
                <w:szCs w:val="11"/>
                <w:color w:val="auto"/>
              </w:rPr>
            </w:pPr>
          </w:p>
        </w:tc>
        <w:tc>
          <w:tcPr>
            <w:tcW w:w="2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jc w:val="right"/>
              <w:ind w:right="140"/>
              <w:spacing w:after="0" w:line="129" w:lineRule="exact"/>
              <w:rPr>
                <w:sz w:val="20"/>
                <w:szCs w:val="20"/>
                <w:color w:val="auto"/>
              </w:rPr>
            </w:pPr>
            <w:r>
              <w:rPr>
                <w:rFonts w:ascii="Arial" w:cs="Arial" w:eastAsia="Arial" w:hAnsi="Arial"/>
                <w:sz w:val="14"/>
                <w:szCs w:val="14"/>
                <w:b w:val="1"/>
                <w:bCs w:val="1"/>
                <w:color w:val="auto"/>
              </w:rPr>
              <w:t>First</w:t>
            </w:r>
          </w:p>
        </w:tc>
        <w:tc>
          <w:tcPr>
            <w:tcW w:w="420" w:type="dxa"/>
            <w:vAlign w:val="bottom"/>
          </w:tcPr>
          <w:p>
            <w:pPr>
              <w:spacing w:after="0"/>
              <w:rPr>
                <w:sz w:val="11"/>
                <w:szCs w:val="11"/>
                <w:color w:val="auto"/>
              </w:rPr>
            </w:pPr>
          </w:p>
        </w:tc>
        <w:tc>
          <w:tcPr>
            <w:tcW w:w="700" w:type="dxa"/>
            <w:vAlign w:val="bottom"/>
          </w:tcPr>
          <w:p>
            <w:pPr>
              <w:jc w:val="right"/>
              <w:ind w:right="180"/>
              <w:spacing w:after="0" w:line="129" w:lineRule="exact"/>
              <w:rPr>
                <w:sz w:val="20"/>
                <w:szCs w:val="20"/>
                <w:color w:val="auto"/>
              </w:rPr>
            </w:pPr>
            <w:r>
              <w:rPr>
                <w:rFonts w:ascii="Arial" w:cs="Arial" w:eastAsia="Arial" w:hAnsi="Arial"/>
                <w:sz w:val="14"/>
                <w:szCs w:val="14"/>
                <w:b w:val="1"/>
                <w:bCs w:val="1"/>
                <w:color w:val="auto"/>
                <w:w w:val="82"/>
              </w:rPr>
              <w:t>Second</w:t>
            </w:r>
          </w:p>
        </w:tc>
        <w:tc>
          <w:tcPr>
            <w:tcW w:w="300" w:type="dxa"/>
            <w:vAlign w:val="bottom"/>
          </w:tcPr>
          <w:p>
            <w:pPr>
              <w:spacing w:after="0"/>
              <w:rPr>
                <w:sz w:val="11"/>
                <w:szCs w:val="11"/>
                <w:color w:val="auto"/>
              </w:rPr>
            </w:pPr>
          </w:p>
        </w:tc>
        <w:tc>
          <w:tcPr>
            <w:tcW w:w="860" w:type="dxa"/>
            <w:vAlign w:val="bottom"/>
          </w:tcPr>
          <w:p>
            <w:pPr>
              <w:jc w:val="right"/>
              <w:ind w:right="359"/>
              <w:spacing w:after="0" w:line="129" w:lineRule="exact"/>
              <w:rPr>
                <w:sz w:val="20"/>
                <w:szCs w:val="20"/>
                <w:color w:val="auto"/>
              </w:rPr>
            </w:pPr>
            <w:r>
              <w:rPr>
                <w:rFonts w:ascii="Arial" w:cs="Arial" w:eastAsia="Arial" w:hAnsi="Arial"/>
                <w:sz w:val="14"/>
                <w:szCs w:val="14"/>
                <w:b w:val="1"/>
                <w:bCs w:val="1"/>
                <w:color w:val="auto"/>
              </w:rPr>
              <w:t>Third</w:t>
            </w:r>
          </w:p>
        </w:tc>
        <w:tc>
          <w:tcPr>
            <w:tcW w:w="200" w:type="dxa"/>
            <w:vAlign w:val="bottom"/>
          </w:tcPr>
          <w:p>
            <w:pPr>
              <w:spacing w:after="0"/>
              <w:rPr>
                <w:sz w:val="11"/>
                <w:szCs w:val="11"/>
                <w:color w:val="auto"/>
              </w:rPr>
            </w:pPr>
          </w:p>
        </w:tc>
        <w:tc>
          <w:tcPr>
            <w:tcW w:w="620" w:type="dxa"/>
            <w:vAlign w:val="bottom"/>
          </w:tcPr>
          <w:p>
            <w:pPr>
              <w:jc w:val="center"/>
              <w:ind w:right="57"/>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438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right"/>
              <w:ind w:right="40"/>
              <w:spacing w:after="0"/>
              <w:rPr>
                <w:sz w:val="20"/>
                <w:szCs w:val="20"/>
                <w:color w:val="auto"/>
              </w:rPr>
            </w:pPr>
            <w:r>
              <w:rPr>
                <w:rFonts w:ascii="Arial" w:cs="Arial" w:eastAsia="Arial" w:hAnsi="Arial"/>
                <w:sz w:val="14"/>
                <w:szCs w:val="14"/>
                <w:b w:val="1"/>
                <w:bCs w:val="1"/>
                <w:color w:val="auto"/>
                <w:w w:val="90"/>
              </w:rPr>
              <w:t>Quarter</w:t>
            </w:r>
          </w:p>
        </w:tc>
        <w:tc>
          <w:tcPr>
            <w:tcW w:w="1120" w:type="dxa"/>
            <w:vAlign w:val="bottom"/>
            <w:gridSpan w:val="2"/>
          </w:tcPr>
          <w:p>
            <w:pPr>
              <w:ind w:left="340"/>
              <w:spacing w:after="0"/>
              <w:rPr>
                <w:sz w:val="20"/>
                <w:szCs w:val="20"/>
                <w:color w:val="auto"/>
              </w:rPr>
            </w:pPr>
            <w:r>
              <w:rPr>
                <w:rFonts w:ascii="Arial" w:cs="Arial" w:eastAsia="Arial" w:hAnsi="Arial"/>
                <w:sz w:val="14"/>
                <w:szCs w:val="14"/>
                <w:b w:val="1"/>
                <w:bCs w:val="1"/>
                <w:color w:val="auto"/>
              </w:rPr>
              <w:t>Quarter (5)</w:t>
            </w:r>
          </w:p>
        </w:tc>
        <w:tc>
          <w:tcPr>
            <w:tcW w:w="1160" w:type="dxa"/>
            <w:vAlign w:val="bottom"/>
            <w:gridSpan w:val="2"/>
          </w:tcPr>
          <w:p>
            <w:pPr>
              <w:jc w:val="right"/>
              <w:ind w:right="179"/>
              <w:spacing w:after="0"/>
              <w:rPr>
                <w:sz w:val="20"/>
                <w:szCs w:val="20"/>
                <w:color w:val="auto"/>
              </w:rPr>
            </w:pPr>
            <w:r>
              <w:rPr>
                <w:rFonts w:ascii="Arial" w:cs="Arial" w:eastAsia="Arial" w:hAnsi="Arial"/>
                <w:sz w:val="14"/>
                <w:szCs w:val="14"/>
                <w:b w:val="1"/>
                <w:bCs w:val="1"/>
                <w:color w:val="auto"/>
              </w:rPr>
              <w:t>Quarter (6)</w:t>
            </w:r>
          </w:p>
        </w:tc>
        <w:tc>
          <w:tcPr>
            <w:tcW w:w="92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94"/>
              </w:rPr>
              <w:t>Quarter (7)</w:t>
            </w:r>
          </w:p>
        </w:tc>
      </w:tr>
      <w:tr>
        <w:trPr>
          <w:trHeight w:val="142"/>
        </w:trPr>
        <w:tc>
          <w:tcPr>
            <w:tcW w:w="438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80" w:type="dxa"/>
            <w:vAlign w:val="bottom"/>
            <w:tcBorders>
              <w:top w:val="single" w:sz="8" w:color="auto"/>
            </w:tcBorders>
            <w:gridSpan w:val="5"/>
          </w:tcPr>
          <w:p>
            <w:pPr>
              <w:spacing w:after="0" w:line="142" w:lineRule="exact"/>
              <w:rPr>
                <w:sz w:val="20"/>
                <w:szCs w:val="20"/>
                <w:color w:val="auto"/>
              </w:rPr>
            </w:pPr>
            <w:r>
              <w:rPr>
                <w:rFonts w:ascii="Arial" w:cs="Arial" w:eastAsia="Arial" w:hAnsi="Arial"/>
                <w:sz w:val="14"/>
                <w:szCs w:val="14"/>
                <w:b w:val="1"/>
                <w:bCs w:val="1"/>
                <w:color w:val="auto"/>
                <w:w w:val="88"/>
              </w:rPr>
              <w:t>(In thousands, except per share amounts)</w:t>
            </w:r>
          </w:p>
        </w:tc>
        <w:tc>
          <w:tcPr>
            <w:tcW w:w="6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734,369</w:t>
            </w:r>
          </w:p>
        </w:tc>
        <w:tc>
          <w:tcPr>
            <w:tcW w:w="1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$ 807,056</w:t>
            </w:r>
          </w:p>
        </w:tc>
        <w:tc>
          <w:tcPr>
            <w:tcW w:w="1160" w:type="dxa"/>
            <w:vAlign w:val="bottom"/>
            <w:gridSpan w:val="2"/>
            <w:shd w:val="clear" w:color="auto" w:fill="CCEEFF"/>
          </w:tcPr>
          <w:p>
            <w:pPr>
              <w:jc w:val="right"/>
              <w:ind w:right="159"/>
              <w:spacing w:after="0"/>
              <w:rPr>
                <w:sz w:val="20"/>
                <w:szCs w:val="20"/>
                <w:color w:val="auto"/>
              </w:rPr>
            </w:pPr>
            <w:r>
              <w:rPr>
                <w:rFonts w:ascii="Arial" w:cs="Arial" w:eastAsia="Arial" w:hAnsi="Arial"/>
                <w:sz w:val="18"/>
                <w:szCs w:val="18"/>
                <w:color w:val="auto"/>
              </w:rPr>
              <w:t>$ 931,226</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9"/>
              </w:rPr>
              <w:t>$ 931,749</w:t>
            </w: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Gross profit</w:t>
            </w:r>
          </w:p>
        </w:tc>
        <w:tc>
          <w:tcPr>
            <w:tcW w:w="2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398,931</w:t>
            </w:r>
          </w:p>
        </w:tc>
        <w:tc>
          <w:tcPr>
            <w:tcW w:w="1120" w:type="dxa"/>
            <w:vAlign w:val="bottom"/>
            <w:gridSpan w:val="2"/>
          </w:tcPr>
          <w:p>
            <w:pPr>
              <w:jc w:val="right"/>
              <w:ind w:right="20"/>
              <w:spacing w:after="0"/>
              <w:rPr>
                <w:sz w:val="20"/>
                <w:szCs w:val="20"/>
                <w:color w:val="auto"/>
              </w:rPr>
            </w:pPr>
            <w:r>
              <w:rPr>
                <w:rFonts w:ascii="Arial" w:cs="Arial" w:eastAsia="Arial" w:hAnsi="Arial"/>
                <w:sz w:val="18"/>
                <w:szCs w:val="18"/>
                <w:color w:val="auto"/>
              </w:rPr>
              <w:t>$ 420,997</w:t>
            </w:r>
          </w:p>
        </w:tc>
        <w:tc>
          <w:tcPr>
            <w:tcW w:w="1160" w:type="dxa"/>
            <w:vAlign w:val="bottom"/>
            <w:gridSpan w:val="2"/>
          </w:tcPr>
          <w:p>
            <w:pPr>
              <w:jc w:val="right"/>
              <w:ind w:right="159"/>
              <w:spacing w:after="0"/>
              <w:rPr>
                <w:sz w:val="20"/>
                <w:szCs w:val="20"/>
                <w:color w:val="auto"/>
              </w:rPr>
            </w:pPr>
            <w:r>
              <w:rPr>
                <w:rFonts w:ascii="Arial" w:cs="Arial" w:eastAsia="Arial" w:hAnsi="Arial"/>
                <w:sz w:val="18"/>
                <w:szCs w:val="18"/>
                <w:color w:val="auto"/>
              </w:rPr>
              <w:t>$ 466,245</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color w:val="auto"/>
                <w:w w:val="99"/>
              </w:rPr>
              <w:t>$ 454,497</w:t>
            </w: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2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53,209</w:t>
            </w:r>
          </w:p>
        </w:tc>
        <w:tc>
          <w:tcPr>
            <w:tcW w:w="420" w:type="dxa"/>
            <w:vAlign w:val="bottom"/>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61,826</w:t>
            </w:r>
          </w:p>
        </w:tc>
        <w:tc>
          <w:tcPr>
            <w:tcW w:w="1160" w:type="dxa"/>
            <w:vAlign w:val="bottom"/>
            <w:gridSpan w:val="2"/>
            <w:shd w:val="clear" w:color="auto" w:fill="CCEEFF"/>
          </w:tcPr>
          <w:p>
            <w:pPr>
              <w:jc w:val="right"/>
              <w:ind w:right="159"/>
              <w:spacing w:after="0"/>
              <w:rPr>
                <w:sz w:val="20"/>
                <w:szCs w:val="20"/>
                <w:color w:val="auto"/>
              </w:rPr>
            </w:pPr>
            <w:r>
              <w:rPr>
                <w:rFonts w:ascii="Arial" w:cs="Arial" w:eastAsia="Arial" w:hAnsi="Arial"/>
                <w:sz w:val="18"/>
                <w:szCs w:val="18"/>
                <w:color w:val="auto"/>
              </w:rPr>
              <w:t>$ 103,156</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97,129</w:t>
            </w: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Net income per share:</w:t>
            </w:r>
          </w:p>
        </w:tc>
        <w:tc>
          <w:tcPr>
            <w:tcW w:w="2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3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2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420" w:type="dxa"/>
            <w:vAlign w:val="bottom"/>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0.13</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159"/>
              <w:spacing w:after="0"/>
              <w:rPr>
                <w:sz w:val="20"/>
                <w:szCs w:val="20"/>
                <w:color w:val="auto"/>
              </w:rPr>
            </w:pPr>
            <w:r>
              <w:rPr>
                <w:rFonts w:ascii="Arial" w:cs="Arial" w:eastAsia="Arial" w:hAnsi="Arial"/>
                <w:sz w:val="18"/>
                <w:szCs w:val="18"/>
                <w:color w:val="auto"/>
              </w:rPr>
              <w:t>0.21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0.20</w:t>
            </w:r>
          </w:p>
        </w:tc>
      </w:tr>
      <w:tr>
        <w:trPr>
          <w:trHeight w:val="222"/>
        </w:trPr>
        <w:tc>
          <w:tcPr>
            <w:tcW w:w="4380" w:type="dxa"/>
            <w:vAlign w:val="bottom"/>
          </w:tcPr>
          <w:p>
            <w:pPr>
              <w:ind w:left="440"/>
              <w:spacing w:after="0"/>
              <w:rPr>
                <w:sz w:val="20"/>
                <w:szCs w:val="20"/>
                <w:color w:val="auto"/>
              </w:rPr>
            </w:pPr>
            <w:r>
              <w:rPr>
                <w:rFonts w:ascii="Arial" w:cs="Arial" w:eastAsia="Arial" w:hAnsi="Arial"/>
                <w:sz w:val="18"/>
                <w:szCs w:val="18"/>
                <w:color w:val="auto"/>
              </w:rPr>
              <w:t>Diluted</w:t>
            </w:r>
          </w:p>
        </w:tc>
        <w:tc>
          <w:tcPr>
            <w:tcW w:w="28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0.11</w:t>
            </w:r>
          </w:p>
        </w:tc>
        <w:tc>
          <w:tcPr>
            <w:tcW w:w="420" w:type="dxa"/>
            <w:vAlign w:val="bottom"/>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ind w:right="20"/>
              <w:spacing w:after="0"/>
              <w:rPr>
                <w:sz w:val="20"/>
                <w:szCs w:val="20"/>
                <w:color w:val="auto"/>
              </w:rPr>
            </w:pPr>
            <w:r>
              <w:rPr>
                <w:rFonts w:ascii="Arial" w:cs="Arial" w:eastAsia="Arial" w:hAnsi="Arial"/>
                <w:sz w:val="18"/>
                <w:szCs w:val="18"/>
                <w:color w:val="auto"/>
              </w:rPr>
              <w:t>0.12</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159"/>
              <w:spacing w:after="0"/>
              <w:rPr>
                <w:sz w:val="20"/>
                <w:szCs w:val="20"/>
                <w:color w:val="auto"/>
              </w:rPr>
            </w:pPr>
            <w:r>
              <w:rPr>
                <w:rFonts w:ascii="Arial" w:cs="Arial" w:eastAsia="Arial" w:hAnsi="Arial"/>
                <w:sz w:val="18"/>
                <w:szCs w:val="18"/>
                <w:color w:val="auto"/>
              </w:rPr>
              <w:t>0.21</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0.19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30"/>
        </w:numPr>
        <w:rPr>
          <w:rFonts w:ascii="Arial" w:cs="Arial" w:eastAsia="Arial" w:hAnsi="Arial"/>
          <w:sz w:val="16"/>
          <w:szCs w:val="16"/>
          <w:color w:val="auto"/>
        </w:rPr>
      </w:pPr>
      <w:r>
        <w:rPr>
          <w:rFonts w:ascii="Arial" w:cs="Arial" w:eastAsia="Arial" w:hAnsi="Arial"/>
          <w:sz w:val="16"/>
          <w:szCs w:val="16"/>
          <w:color w:val="auto"/>
        </w:rPr>
        <w:t>The first quarter of fiscal 2015 includes $8.5 million of restructuring and other exit-related cost that includes a $3.4 million write off of IPR&amp;D.</w:t>
      </w:r>
    </w:p>
    <w:p>
      <w:pPr>
        <w:spacing w:after="0" w:line="38" w:lineRule="exact"/>
        <w:rPr>
          <w:rFonts w:ascii="Arial" w:cs="Arial" w:eastAsia="Arial" w:hAnsi="Arial"/>
          <w:sz w:val="16"/>
          <w:szCs w:val="16"/>
          <w:color w:val="auto"/>
        </w:rPr>
      </w:pPr>
    </w:p>
    <w:p>
      <w:pPr>
        <w:ind w:left="460" w:right="140" w:hanging="452"/>
        <w:spacing w:after="0" w:line="250" w:lineRule="auto"/>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second quarter of fiscal 2015 includes an $8.8 million gain from the sale of an investment and $2.2 million of costs associated with the surety bond to appeal the CMU judgment.</w:t>
      </w:r>
    </w:p>
    <w:p>
      <w:pPr>
        <w:ind w:left="460" w:hanging="452"/>
        <w:spacing w:after="0"/>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third quarter of fiscal 2015 includes $2.3 million of costs associated with the surety bond to appeal the CMU judgment.</w:t>
      </w:r>
    </w:p>
    <w:p>
      <w:pPr>
        <w:spacing w:after="0" w:line="9" w:lineRule="exact"/>
        <w:rPr>
          <w:rFonts w:ascii="Arial" w:cs="Arial" w:eastAsia="Arial" w:hAnsi="Arial"/>
          <w:sz w:val="18"/>
          <w:szCs w:val="18"/>
          <w:color w:val="auto"/>
        </w:rPr>
      </w:pPr>
    </w:p>
    <w:p>
      <w:pPr>
        <w:ind w:left="460" w:right="60" w:hanging="452"/>
        <w:spacing w:after="0" w:line="250" w:lineRule="auto"/>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fourth quarter of fiscal 2015 includes $3.4 million of restructuring and other exit-related cost, and $2.8 million of costs associated with the surety bond to appeal the CMU judgment.</w:t>
      </w:r>
    </w:p>
    <w:p>
      <w:pPr>
        <w:ind w:left="460" w:hanging="452"/>
        <w:spacing w:after="0"/>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second quarter of fiscal 2014 includes $5.2 million for litigation settlements that do not relate to the litigation with CMU.</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third quarter of fiscal 2014 includes $4.2 million of restructuring and other exit-related costs.</w:t>
      </w:r>
    </w:p>
    <w:p>
      <w:pPr>
        <w:spacing w:after="0" w:line="9" w:lineRule="exact"/>
        <w:rPr>
          <w:rFonts w:ascii="Arial" w:cs="Arial" w:eastAsia="Arial" w:hAnsi="Arial"/>
          <w:sz w:val="18"/>
          <w:szCs w:val="18"/>
          <w:color w:val="auto"/>
        </w:rPr>
      </w:pPr>
    </w:p>
    <w:p>
      <w:pPr>
        <w:ind w:left="460" w:right="480" w:hanging="452"/>
        <w:spacing w:after="0" w:line="261" w:lineRule="auto"/>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fourth quarter of fiscal 2014 includes $9.5 million for anticipated litigation settlements that do not relate to the litigation with CMU, $8.1 million charge for the impairment of an intangible asset and a $7.0 million gain from the sale of a business.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420"/>
          </w:cols>
          <w:pgMar w:left="240" w:top="45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management, with the participation of our principal executive officer and principal financial officer, has evaluated the effectiveness of our disclosure controls and procedures (as defined in Rule 13a-15(e) of the Exchange Act) as of January 31, 2015.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as of January 31, 2015,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Management is responsible for establishing and maintaining adequate internal control over financial reporting as defined in Rule 13a-15(f) of the Exchange Act. Our internal control over financial reporting is designed to provide reasonable assurance regarding the reliability of financial reporting and the preparation of financial statements for external purposes in accordance with generally accepted accounting principles.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 xml:space="preserve">Management has evaluated the effectiveness of our internal control over financial reporting as of January 31, 2015 using the criteria set forth in the </w:t>
      </w:r>
      <w:r>
        <w:rPr>
          <w:rFonts w:ascii="Arial" w:cs="Arial" w:eastAsia="Arial" w:hAnsi="Arial"/>
          <w:sz w:val="16"/>
          <w:szCs w:val="16"/>
          <w:i w:val="1"/>
          <w:iCs w:val="1"/>
          <w:color w:val="auto"/>
        </w:rPr>
        <w:t>Internal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Control — Integrated Framework (2013) </w:t>
      </w:r>
      <w:r>
        <w:rPr>
          <w:rFonts w:ascii="Arial" w:cs="Arial" w:eastAsia="Arial" w:hAnsi="Arial"/>
          <w:sz w:val="16"/>
          <w:szCs w:val="16"/>
          <w:color w:val="auto"/>
        </w:rPr>
        <w:t>issued by the Committee of Sponsoring Organizations of the Treadway Commission (“COSO”). Based on our</w:t>
      </w:r>
      <w:r>
        <w:rPr>
          <w:rFonts w:ascii="Arial" w:cs="Arial" w:eastAsia="Arial" w:hAnsi="Arial"/>
          <w:sz w:val="16"/>
          <w:szCs w:val="16"/>
          <w:i w:val="1"/>
          <w:iCs w:val="1"/>
          <w:color w:val="auto"/>
        </w:rPr>
        <w:t xml:space="preserve"> </w:t>
      </w:r>
      <w:r>
        <w:rPr>
          <w:rFonts w:ascii="Arial" w:cs="Arial" w:eastAsia="Arial" w:hAnsi="Arial"/>
          <w:sz w:val="16"/>
          <w:szCs w:val="16"/>
          <w:color w:val="auto"/>
        </w:rPr>
        <w:t>evaluation, management has concluded that we maintained effective internal control over financial reporting as of January 31, 2015 based on the COSO criteria.</w:t>
      </w:r>
    </w:p>
    <w:p>
      <w:pPr>
        <w:spacing w:after="0" w:line="107"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effectiveness of our internal control over financial reporting as of January 31, 2015 has been audited by PricewaterhouseCoopers LLP, an independent registered public accounting firm, as stated in their report included in this Annual Report on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There has been no change in our internal control over financial reporting (as defined in Rules 13a-15(f) and 15d-15(f) of the Exchange Act) during the three months ended January 31, 2015 that has materially affected, or is reasonably likely to materially affect, our internal control over financial reporting.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Our management, including our principal executive officer and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400"/>
          </w:cols>
          <w:pgMar w:left="240" w:top="459" w:right="2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2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5"/>
          <w:szCs w:val="15"/>
          <w:b w:val="1"/>
          <w:bCs w:val="1"/>
          <w:i w:val="1"/>
          <w:i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280"/>
          </w:cols>
          <w:pgMar w:left="240" w:top="459" w:right="37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III</w:t>
      </w:r>
    </w:p>
    <w:p>
      <w:pPr>
        <w:spacing w:after="0" w:line="9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17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information required by Items 401 and 407(c)(3) of Regulation S-K with respect to our directors, director nominees, executive officers and corporate governance is incorporated by reference herein to the information set forth under the caption “Board of Directors and Committees of the Board” in our definitive proxy statement in connection with our 2015 annual general meeting of shareholders (the “2015 Proxy Statement”), which will be filed with the SEC no later than 120 days after January 31, 2015, and to the information set forth in Part I, Item 1 hereof under the caption “Executive Officers of the Registrant.”</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405 of Regulation S-K is incorporated by reference herein to the information set forth under the caption “Section 16(a) Beneficial Ownership Reporting Compliance” in our 2015 Proxy Statement.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 xml:space="preserve">We have adopted a Code of Ethics and Business Conduct for Employees, Officers and Directors that applies to all of our directors, officers (including our Chief Executive Officer (our principal executive officer), Chief Financial Officer (our principal financial and accounting officer), Corporate Controller and any person performing similar functions) and employees. This Code of Ethics was most recently amended as of August 29, 2013.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t>
      </w:r>
      <w:r>
        <w:rPr>
          <w:rFonts w:ascii="Arial" w:cs="Arial" w:eastAsia="Arial" w:hAnsi="Arial"/>
          <w:sz w:val="16"/>
          <w:szCs w:val="16"/>
          <w:i w:val="1"/>
          <w:iCs w:val="1"/>
          <w:color w:val="auto"/>
        </w:rPr>
        <w:t>www.marvell.com</w:t>
      </w:r>
      <w:r>
        <w:rPr>
          <w:rFonts w:ascii="Arial" w:cs="Arial" w:eastAsia="Arial" w:hAnsi="Arial"/>
          <w:sz w:val="16"/>
          <w:szCs w:val="16"/>
          <w:color w:val="auto"/>
        </w:rPr>
        <w:t>. None of the material on our website is part of our Annual Report on Form 10-K or is incorporated by reference herein.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9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 — Committees of our Board of Directors” in our 2015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 “Board of Directors and Committees of the Board — Director Compensation Table,” “Executive Compensation” and “Executive Compensation Committee Interlocks and Insider Participation” in our 2015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Shareholder Matters</w:t>
      </w:r>
    </w:p>
    <w:p>
      <w:pPr>
        <w:spacing w:after="0" w:line="96"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2015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420"/>
          </w:cols>
          <w:pgMar w:left="240" w:top="459" w:right="23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71" w:lineRule="exact"/>
        <w:rPr>
          <w:sz w:val="20"/>
          <w:szCs w:val="20"/>
          <w:color w:val="auto"/>
        </w:rPr>
      </w:pPr>
    </w:p>
    <w:p>
      <w:pPr>
        <w:ind w:left="422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provides certain information with respect to all of our equity compensation plans in effect as of January 31, 2015:</w:t>
      </w:r>
    </w:p>
    <w:p>
      <w:pPr>
        <w:sectPr>
          <w:pgSz w:w="11900" w:h="16838" w:orient="portrait"/>
          <w:cols w:equalWidth="0" w:num="1">
            <w:col w:w="11400"/>
          </w:cols>
          <w:pgMar w:left="240" w:top="459" w:right="25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Plan Category</w:t>
      </w:r>
    </w:p>
    <w:p>
      <w:pPr>
        <w:spacing w:after="0" w:line="13" w:lineRule="exact"/>
        <w:rPr>
          <w:sz w:val="20"/>
          <w:szCs w:val="20"/>
          <w:color w:val="auto"/>
        </w:rPr>
      </w:pPr>
    </w:p>
    <w:p>
      <w:pPr>
        <w:spacing w:after="0"/>
        <w:rPr>
          <w:sz w:val="20"/>
          <w:szCs w:val="20"/>
          <w:color w:val="auto"/>
        </w:rPr>
      </w:pPr>
      <w:r>
        <w:rPr>
          <w:rFonts w:ascii="Arial" w:cs="Arial" w:eastAsia="Arial" w:hAnsi="Arial"/>
          <w:sz w:val="16"/>
          <w:szCs w:val="16"/>
          <w:color w:val="auto"/>
        </w:rPr>
        <w:t>Equity compensation plans approved by security holders (3)(4)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132080</wp:posOffset>
            </wp:positionV>
            <wp:extent cx="72898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Pr>
          <w:p>
            <w:pPr>
              <w:jc w:val="center"/>
              <w:spacing w:after="0"/>
              <w:rPr>
                <w:sz w:val="20"/>
                <w:szCs w:val="20"/>
                <w:color w:val="auto"/>
              </w:rPr>
            </w:pPr>
            <w:r>
              <w:rPr>
                <w:rFonts w:ascii="Arial" w:cs="Arial" w:eastAsia="Arial" w:hAnsi="Arial"/>
                <w:sz w:val="14"/>
                <w:szCs w:val="14"/>
                <w:b w:val="1"/>
                <w:bCs w:val="1"/>
                <w:color w:val="auto"/>
                <w:w w:val="93"/>
              </w:rPr>
              <w:t>(a)</w:t>
            </w: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60" w:type="dxa"/>
            <w:vAlign w:val="bottom"/>
            <w:gridSpan w:val="2"/>
          </w:tcPr>
          <w:p>
            <w:pPr>
              <w:jc w:val="center"/>
              <w:ind w:right="920"/>
              <w:spacing w:after="0"/>
              <w:rPr>
                <w:sz w:val="20"/>
                <w:szCs w:val="20"/>
                <w:color w:val="auto"/>
              </w:rPr>
            </w:pPr>
            <w:r>
              <w:rPr>
                <w:rFonts w:ascii="Arial" w:cs="Arial" w:eastAsia="Arial" w:hAnsi="Arial"/>
                <w:sz w:val="14"/>
                <w:szCs w:val="14"/>
                <w:b w:val="1"/>
                <w:bCs w:val="1"/>
                <w:color w:val="auto"/>
                <w:w w:val="89"/>
              </w:rPr>
              <w:t>(b)</w:t>
            </w:r>
          </w:p>
        </w:tc>
        <w:tc>
          <w:tcPr>
            <w:tcW w:w="1420" w:type="dxa"/>
            <w:vAlign w:val="bottom"/>
          </w:tcPr>
          <w:p>
            <w:pPr>
              <w:jc w:val="center"/>
              <w:spacing w:after="0"/>
              <w:rPr>
                <w:sz w:val="20"/>
                <w:szCs w:val="20"/>
                <w:color w:val="auto"/>
              </w:rPr>
            </w:pPr>
            <w:r>
              <w:rPr>
                <w:rFonts w:ascii="Arial" w:cs="Arial" w:eastAsia="Arial" w:hAnsi="Arial"/>
                <w:sz w:val="14"/>
                <w:szCs w:val="14"/>
                <w:b w:val="1"/>
                <w:bCs w:val="1"/>
                <w:color w:val="auto"/>
                <w:w w:val="81"/>
              </w:rPr>
              <w:t>(c)</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Number of</w:t>
            </w: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6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8"/>
              </w:rPr>
              <w:t>Weighted</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Securities</w:t>
            </w: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6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6"/>
              </w:rPr>
              <w:t>Average</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Securities Remaining</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to Be Issued</w:t>
            </w:r>
          </w:p>
        </w:tc>
        <w:tc>
          <w:tcPr>
            <w:tcW w:w="800" w:type="dxa"/>
            <w:vAlign w:val="bottom"/>
          </w:tcPr>
          <w:p>
            <w:pPr>
              <w:spacing w:after="0"/>
              <w:rPr>
                <w:sz w:val="12"/>
                <w:szCs w:val="12"/>
                <w:color w:val="auto"/>
              </w:rPr>
            </w:pPr>
          </w:p>
        </w:tc>
        <w:tc>
          <w:tcPr>
            <w:tcW w:w="1680" w:type="dxa"/>
            <w:vAlign w:val="bottom"/>
            <w:gridSpan w:val="3"/>
          </w:tcPr>
          <w:p>
            <w:pPr>
              <w:jc w:val="center"/>
              <w:ind w:right="820"/>
              <w:spacing w:after="0" w:line="149" w:lineRule="exact"/>
              <w:rPr>
                <w:sz w:val="20"/>
                <w:szCs w:val="20"/>
                <w:color w:val="auto"/>
              </w:rPr>
            </w:pPr>
            <w:r>
              <w:rPr>
                <w:rFonts w:ascii="Arial" w:cs="Arial" w:eastAsia="Arial" w:hAnsi="Arial"/>
                <w:sz w:val="14"/>
                <w:szCs w:val="14"/>
                <w:b w:val="1"/>
                <w:bCs w:val="1"/>
                <w:color w:val="auto"/>
                <w:w w:val="85"/>
              </w:rPr>
              <w:t>Exercise Price</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Available for Future</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Upon Exercise</w:t>
            </w:r>
          </w:p>
        </w:tc>
        <w:tc>
          <w:tcPr>
            <w:tcW w:w="800" w:type="dxa"/>
            <w:vAlign w:val="bottom"/>
          </w:tcPr>
          <w:p>
            <w:pPr>
              <w:spacing w:after="0"/>
              <w:rPr>
                <w:sz w:val="12"/>
                <w:szCs w:val="12"/>
                <w:color w:val="auto"/>
              </w:rPr>
            </w:pPr>
          </w:p>
        </w:tc>
        <w:tc>
          <w:tcPr>
            <w:tcW w:w="1680" w:type="dxa"/>
            <w:vAlign w:val="bottom"/>
            <w:gridSpan w:val="3"/>
          </w:tcPr>
          <w:p>
            <w:pPr>
              <w:jc w:val="center"/>
              <w:ind w:right="800"/>
              <w:spacing w:after="0" w:line="149" w:lineRule="exact"/>
              <w:rPr>
                <w:sz w:val="20"/>
                <w:szCs w:val="20"/>
                <w:color w:val="auto"/>
              </w:rPr>
            </w:pPr>
            <w:r>
              <w:rPr>
                <w:rFonts w:ascii="Arial" w:cs="Arial" w:eastAsia="Arial" w:hAnsi="Arial"/>
                <w:sz w:val="14"/>
                <w:szCs w:val="14"/>
                <w:b w:val="1"/>
                <w:bCs w:val="1"/>
                <w:color w:val="auto"/>
                <w:w w:val="88"/>
              </w:rPr>
              <w:t>of Outstanding</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Issuance under Equity</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of Outstanding</w:t>
            </w: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6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4"/>
              </w:rPr>
              <w:t>Options,</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Compensation Plans</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Options, Warrants</w:t>
            </w:r>
          </w:p>
        </w:tc>
        <w:tc>
          <w:tcPr>
            <w:tcW w:w="800" w:type="dxa"/>
            <w:vAlign w:val="bottom"/>
          </w:tcPr>
          <w:p>
            <w:pPr>
              <w:spacing w:after="0"/>
              <w:rPr>
                <w:sz w:val="12"/>
                <w:szCs w:val="12"/>
                <w:color w:val="auto"/>
              </w:rPr>
            </w:pPr>
          </w:p>
        </w:tc>
        <w:tc>
          <w:tcPr>
            <w:tcW w:w="1680" w:type="dxa"/>
            <w:vAlign w:val="bottom"/>
            <w:gridSpan w:val="3"/>
          </w:tcPr>
          <w:p>
            <w:pPr>
              <w:jc w:val="center"/>
              <w:ind w:right="800"/>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(Excluding Securities</w:t>
            </w:r>
          </w:p>
        </w:tc>
      </w:tr>
      <w:tr>
        <w:trPr>
          <w:trHeight w:val="161"/>
        </w:trPr>
        <w:tc>
          <w:tcPr>
            <w:tcW w:w="1080" w:type="dxa"/>
            <w:vAlign w:val="bottom"/>
          </w:tcPr>
          <w:p>
            <w:pPr>
              <w:jc w:val="center"/>
              <w:spacing w:after="0"/>
              <w:rPr>
                <w:sz w:val="20"/>
                <w:szCs w:val="20"/>
                <w:color w:val="auto"/>
              </w:rPr>
            </w:pPr>
            <w:r>
              <w:rPr>
                <w:rFonts w:ascii="Arial" w:cs="Arial" w:eastAsia="Arial" w:hAnsi="Arial"/>
                <w:sz w:val="14"/>
                <w:szCs w:val="14"/>
                <w:b w:val="1"/>
                <w:bCs w:val="1"/>
                <w:color w:val="auto"/>
                <w:w w:val="87"/>
              </w:rPr>
              <w:t>and Rights (1)</w:t>
            </w: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60" w:type="dxa"/>
            <w:vAlign w:val="bottom"/>
            <w:gridSpan w:val="2"/>
          </w:tcPr>
          <w:p>
            <w:pPr>
              <w:jc w:val="center"/>
              <w:ind w:right="920"/>
              <w:spacing w:after="0"/>
              <w:rPr>
                <w:sz w:val="20"/>
                <w:szCs w:val="20"/>
                <w:color w:val="auto"/>
              </w:rPr>
            </w:pPr>
            <w:r>
              <w:rPr>
                <w:rFonts w:ascii="Arial" w:cs="Arial" w:eastAsia="Arial" w:hAnsi="Arial"/>
                <w:sz w:val="14"/>
                <w:szCs w:val="14"/>
                <w:b w:val="1"/>
                <w:bCs w:val="1"/>
                <w:color w:val="auto"/>
                <w:w w:val="86"/>
              </w:rPr>
              <w:t>Rights (2)</w:t>
            </w:r>
          </w:p>
        </w:tc>
        <w:tc>
          <w:tcPr>
            <w:tcW w:w="1420" w:type="dxa"/>
            <w:vAlign w:val="bottom"/>
          </w:tcPr>
          <w:p>
            <w:pPr>
              <w:jc w:val="center"/>
              <w:spacing w:after="0"/>
              <w:rPr>
                <w:sz w:val="20"/>
                <w:szCs w:val="20"/>
                <w:color w:val="auto"/>
              </w:rPr>
            </w:pPr>
            <w:r>
              <w:rPr>
                <w:rFonts w:ascii="Arial" w:cs="Arial" w:eastAsia="Arial" w:hAnsi="Arial"/>
                <w:sz w:val="14"/>
                <w:szCs w:val="14"/>
                <w:b w:val="1"/>
                <w:bCs w:val="1"/>
                <w:color w:val="auto"/>
                <w:w w:val="88"/>
              </w:rPr>
              <w:t>Reflected in Column (a))</w:t>
            </w:r>
          </w:p>
        </w:tc>
      </w:tr>
      <w:tr>
        <w:trPr>
          <w:trHeight w:val="210"/>
        </w:trPr>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60,373,845</w:t>
            </w:r>
          </w:p>
        </w:tc>
        <w:tc>
          <w:tcPr>
            <w:tcW w:w="800" w:type="dxa"/>
            <w:vAlign w:val="bottom"/>
          </w:tcPr>
          <w:p>
            <w:pPr>
              <w:spacing w:after="0"/>
              <w:rPr>
                <w:sz w:val="18"/>
                <w:szCs w:val="18"/>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14.06</w:t>
            </w:r>
          </w:p>
        </w:tc>
        <w:tc>
          <w:tcPr>
            <w:tcW w:w="800" w:type="dxa"/>
            <w:vAlign w:val="bottom"/>
          </w:tcPr>
          <w:p>
            <w:pPr>
              <w:spacing w:after="0"/>
              <w:rPr>
                <w:sz w:val="18"/>
                <w:szCs w:val="18"/>
                <w:color w:val="auto"/>
              </w:rPr>
            </w:pPr>
          </w:p>
        </w:tc>
        <w:tc>
          <w:tcPr>
            <w:tcW w:w="14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104,934,514</w:t>
            </w:r>
          </w:p>
        </w:tc>
      </w:tr>
      <w:tr>
        <w:trPr>
          <w:trHeight w:val="20"/>
        </w:trPr>
        <w:tc>
          <w:tcPr>
            <w:tcW w:w="1080" w:type="dxa"/>
            <w:vAlign w:val="bottom"/>
            <w:tcBorders>
              <w:bottom w:val="single" w:sz="8" w:color="auto"/>
            </w:tcBorders>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-4020185</wp:posOffset>
            </wp:positionH>
            <wp:positionV relativeFrom="paragraph">
              <wp:posOffset>-170815</wp:posOffset>
            </wp:positionV>
            <wp:extent cx="7246620" cy="14605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46620" cy="146050"/>
                    </a:xfrm>
                    <a:prstGeom prst="rect">
                      <a:avLst/>
                    </a:prstGeom>
                    <a:noFill/>
                  </pic:spPr>
                </pic:pic>
              </a:graphicData>
            </a:graphic>
          </wp:anchor>
        </w:drawing>
      </w:r>
    </w:p>
    <w:p>
      <w:pPr>
        <w:spacing w:after="0" w:line="154" w:lineRule="exact"/>
        <w:rPr>
          <w:sz w:val="20"/>
          <w:szCs w:val="20"/>
          <w:color w:val="auto"/>
        </w:rPr>
      </w:pPr>
    </w:p>
    <w:p>
      <w:pPr>
        <w:sectPr>
          <w:pgSz w:w="11900" w:h="16838" w:orient="portrait"/>
          <w:cols w:equalWidth="0" w:num="2">
            <w:col w:w="5620" w:space="720"/>
            <w:col w:w="5060"/>
          </w:cols>
          <w:pgMar w:left="240" w:top="459" w:right="259" w:bottom="1440" w:gutter="0" w:footer="0" w:header="0"/>
          <w:type w:val="continuous"/>
        </w:sectPr>
      </w:pPr>
    </w:p>
    <w:p>
      <w:pPr>
        <w:ind w:left="460" w:right="80" w:hanging="452"/>
        <w:spacing w:after="0" w:line="254" w:lineRule="auto"/>
        <w:tabs>
          <w:tab w:leader="none" w:pos="4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January 31, 2015).</w:t>
      </w:r>
    </w:p>
    <w:p>
      <w:pPr>
        <w:ind w:left="460" w:right="120" w:hanging="452"/>
        <w:spacing w:after="0" w:line="250" w:lineRule="auto"/>
        <w:tabs>
          <w:tab w:leader="none" w:pos="4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weighted average exercise price calculation does not take into account any restricted stock units as those units vest, without any cash consideration or other payment required for such shares.</w:t>
      </w:r>
    </w:p>
    <w:p>
      <w:pPr>
        <w:ind w:left="460" w:right="200" w:hanging="452"/>
        <w:spacing w:after="0" w:line="250" w:lineRule="auto"/>
        <w:tabs>
          <w:tab w:leader="none" w:pos="4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Includes our Amended and Restated 1995 Stock Option Plan, our 1997 Directors’ Stock Option Plan, our Amended 2000 Employee Stock Purchase Plan (the “2000 ESPP”) and our 2007 Directors’ Stock Incentive Plan.</w:t>
      </w:r>
    </w:p>
    <w:p>
      <w:pPr>
        <w:ind w:left="460" w:hanging="452"/>
        <w:spacing w:after="0"/>
        <w:tabs>
          <w:tab w:leader="none" w:pos="460" w:val="left"/>
        </w:tabs>
        <w:numPr>
          <w:ilvl w:val="0"/>
          <w:numId w:val="31"/>
        </w:numPr>
        <w:rPr>
          <w:rFonts w:ascii="Arial" w:cs="Arial" w:eastAsia="Arial" w:hAnsi="Arial"/>
          <w:sz w:val="16"/>
          <w:szCs w:val="16"/>
          <w:color w:val="auto"/>
        </w:rPr>
      </w:pPr>
      <w:r>
        <w:rPr>
          <w:rFonts w:ascii="Arial" w:cs="Arial" w:eastAsia="Arial" w:hAnsi="Arial"/>
          <w:sz w:val="16"/>
          <w:szCs w:val="16"/>
          <w:color w:val="auto"/>
        </w:rPr>
        <w:t>The number of shares reserved for issuance under our 2000 ESPP includes an annual increase in shares reserved for issuance equal to the lesser of</w:t>
      </w:r>
    </w:p>
    <w:p>
      <w:pPr>
        <w:spacing w:after="0" w:line="32" w:lineRule="exact"/>
        <w:rPr>
          <w:rFonts w:ascii="Arial" w:cs="Arial" w:eastAsia="Arial" w:hAnsi="Arial"/>
          <w:sz w:val="16"/>
          <w:szCs w:val="16"/>
          <w:color w:val="auto"/>
        </w:rPr>
      </w:pPr>
    </w:p>
    <w:p>
      <w:pPr>
        <w:ind w:left="460" w:right="380"/>
        <w:spacing w:after="0" w:line="261" w:lineRule="auto"/>
        <w:rPr>
          <w:rFonts w:ascii="Arial" w:cs="Arial" w:eastAsia="Arial" w:hAnsi="Arial"/>
          <w:sz w:val="16"/>
          <w:szCs w:val="16"/>
          <w:color w:val="auto"/>
        </w:rPr>
      </w:pPr>
      <w:r>
        <w:rPr>
          <w:rFonts w:ascii="Arial" w:cs="Arial" w:eastAsia="Arial" w:hAnsi="Arial"/>
          <w:sz w:val="18"/>
          <w:szCs w:val="18"/>
          <w:color w:val="auto"/>
        </w:rPr>
        <w:t>(i) 8,000,000 shares of Common Stock, or (ii) 1.5% of the outstanding shares of capital stock on such date, or (iii) an amount determined by the Board (provided that the amount approved by the Board shall not be greater than (i) or (ii)).</w:t>
      </w:r>
    </w:p>
    <w:p>
      <w:pPr>
        <w:spacing w:after="0" w:line="25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2015 Proxy Statement.</w:t>
      </w:r>
    </w:p>
    <w:p>
      <w:pPr>
        <w:spacing w:after="0" w:line="132"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2015 Proxy Statement.</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2015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400"/>
          </w:cols>
          <w:pgMar w:left="240" w:top="459" w:right="259" w:bottom="1440" w:gutter="0" w:footer="0" w:header="0"/>
          <w:type w:val="continuous"/>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PART IV</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Financial Statement Schedules</w:t>
      </w:r>
    </w:p>
    <w:p>
      <w:pPr>
        <w:spacing w:after="0" w:line="96" w:lineRule="exact"/>
        <w:rPr>
          <w:sz w:val="20"/>
          <w:szCs w:val="20"/>
          <w:color w:val="auto"/>
        </w:rPr>
      </w:pPr>
    </w:p>
    <w:p>
      <w:pPr>
        <w:ind w:left="900" w:hanging="446"/>
        <w:spacing w:after="0"/>
        <w:tabs>
          <w:tab w:leader="none" w:pos="90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90" w:lineRule="exact"/>
        <w:rPr>
          <w:sz w:val="20"/>
          <w:szCs w:val="20"/>
          <w:color w:val="auto"/>
        </w:rPr>
      </w:pPr>
    </w:p>
    <w:p>
      <w:pPr>
        <w:ind w:left="900" w:hanging="446"/>
        <w:spacing w:after="0"/>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387" w:lineRule="exact"/>
        <w:rPr>
          <w:sz w:val="20"/>
          <w:szCs w:val="20"/>
          <w:color w:val="auto"/>
        </w:rPr>
      </w:pPr>
    </w:p>
    <w:p>
      <w:pPr>
        <w:ind w:left="900" w:hanging="446"/>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Financial Statement Schedule:</w:t>
      </w:r>
    </w:p>
    <w:p>
      <w:pPr>
        <w:spacing w:after="0" w:line="90" w:lineRule="exact"/>
        <w:rPr>
          <w:sz w:val="20"/>
          <w:szCs w:val="20"/>
          <w:color w:val="auto"/>
        </w:rPr>
      </w:pPr>
    </w:p>
    <w:p>
      <w:pPr>
        <w:ind w:left="460"/>
        <w:spacing w:after="0"/>
        <w:tabs>
          <w:tab w:leader="none" w:pos="880" w:val="left"/>
        </w:tabs>
        <w:rPr>
          <w:sz w:val="20"/>
          <w:szCs w:val="20"/>
          <w:color w:val="auto"/>
        </w:rPr>
      </w:pPr>
      <w:r>
        <w:rPr>
          <w:rFonts w:ascii="Arial" w:cs="Arial" w:eastAsia="Arial" w:hAnsi="Arial"/>
          <w:sz w:val="18"/>
          <w:szCs w:val="18"/>
          <w:color w:val="auto"/>
        </w:rPr>
        <w:t>See</w:t>
        <w:tab/>
        <w:t>“Schedule II – Valuation and Qualifying Accounts” on page 107 of this Annual Report on Form 10-K:</w:t>
      </w:r>
    </w:p>
    <w:p>
      <w:pPr>
        <w:spacing w:after="0" w:line="17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254" w:lineRule="exact"/>
        <w:rPr>
          <w:sz w:val="20"/>
          <w:szCs w:val="20"/>
          <w:color w:val="auto"/>
        </w:rPr>
      </w:pPr>
    </w:p>
    <w:p>
      <w:pPr>
        <w:ind w:left="900" w:hanging="446"/>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Annual Report on Form 10-K.</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060"/>
          </w:cols>
          <w:pgMar w:left="240" w:top="459" w:right="59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25" w:lineRule="exact"/>
        <w:rPr>
          <w:sz w:val="20"/>
          <w:szCs w:val="20"/>
          <w:color w:val="auto"/>
        </w:rPr>
      </w:pPr>
    </w:p>
    <w:p>
      <w:pPr>
        <w:spacing w:after="0"/>
        <w:tabs>
          <w:tab w:leader="none" w:pos="5460" w:val="left"/>
          <w:tab w:leader="none" w:pos="7680" w:val="left"/>
          <w:tab w:leader="none" w:pos="8020" w:val="left"/>
        </w:tabs>
        <w:rPr>
          <w:sz w:val="20"/>
          <w:szCs w:val="20"/>
          <w:color w:val="auto"/>
        </w:rPr>
      </w:pPr>
      <w:r>
        <w:rPr>
          <w:rFonts w:ascii="Arial" w:cs="Arial" w:eastAsia="Arial" w:hAnsi="Arial"/>
          <w:sz w:val="18"/>
          <w:szCs w:val="18"/>
          <w:color w:val="auto"/>
        </w:rPr>
        <w:t>Dated: March 26,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3838575</wp:posOffset>
            </wp:positionH>
            <wp:positionV relativeFrom="paragraph">
              <wp:posOffset>10795</wp:posOffset>
            </wp:positionV>
            <wp:extent cx="3413125"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jc w:val="center"/>
        <w:ind w:left="6180"/>
        <w:spacing w:after="0"/>
        <w:rPr>
          <w:sz w:val="20"/>
          <w:szCs w:val="20"/>
          <w:color w:val="auto"/>
        </w:rPr>
      </w:pPr>
      <w:r>
        <w:rPr>
          <w:rFonts w:ascii="Arial" w:cs="Arial" w:eastAsia="Arial" w:hAnsi="Arial"/>
          <w:sz w:val="14"/>
          <w:szCs w:val="14"/>
          <w:b w:val="1"/>
          <w:bCs w:val="1"/>
          <w:color w:val="auto"/>
        </w:rPr>
        <w:t>Dr. Sehat Sutardja</w:t>
      </w:r>
    </w:p>
    <w:p>
      <w:pPr>
        <w:spacing w:after="0" w:line="1" w:lineRule="exact"/>
        <w:rPr>
          <w:sz w:val="20"/>
          <w:szCs w:val="20"/>
          <w:color w:val="auto"/>
        </w:rPr>
      </w:pPr>
    </w:p>
    <w:p>
      <w:pPr>
        <w:jc w:val="center"/>
        <w:ind w:left="6180"/>
        <w:spacing w:after="0"/>
        <w:rPr>
          <w:sz w:val="20"/>
          <w:szCs w:val="20"/>
          <w:color w:val="auto"/>
        </w:rPr>
      </w:pPr>
      <w:r>
        <w:rPr>
          <w:rFonts w:ascii="Arial" w:cs="Arial" w:eastAsia="Arial" w:hAnsi="Arial"/>
          <w:sz w:val="14"/>
          <w:szCs w:val="14"/>
          <w:b w:val="1"/>
          <w:bCs w:val="1"/>
          <w:i w:val="1"/>
          <w:iCs w:val="1"/>
          <w:color w:val="auto"/>
        </w:rPr>
        <w:t>Chief Executive Officer</w:t>
      </w:r>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Dr. Sehat Sutardja and Michael Rashkin, and each of them individually, as his attorney-in-fact, each with full power of substitution, for him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Name and Signature</w:t>
            </w:r>
          </w:p>
        </w:tc>
        <w:tc>
          <w:tcPr>
            <w:tcW w:w="166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24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Date</w:t>
            </w:r>
          </w:p>
        </w:tc>
        <w:tc>
          <w:tcPr>
            <w:tcW w:w="420" w:type="dxa"/>
            <w:vAlign w:val="bottom"/>
          </w:tcPr>
          <w:p>
            <w:pPr>
              <w:spacing w:after="0"/>
              <w:rPr>
                <w:sz w:val="14"/>
                <w:szCs w:val="14"/>
                <w:color w:val="auto"/>
              </w:rPr>
            </w:pPr>
          </w:p>
        </w:tc>
      </w:tr>
      <w:tr>
        <w:trPr>
          <w:trHeight w:val="424"/>
        </w:trPr>
        <w:tc>
          <w:tcPr>
            <w:tcW w:w="1660" w:type="dxa"/>
            <w:vAlign w:val="bottom"/>
            <w:tcBorders>
              <w:bottom w:val="single" w:sz="8" w:color="auto"/>
            </w:tcBorders>
          </w:tcPr>
          <w:p>
            <w:pPr>
              <w:jc w:val="center"/>
              <w:ind w:left="1392"/>
              <w:spacing w:after="0"/>
              <w:rPr>
                <w:sz w:val="20"/>
                <w:szCs w:val="20"/>
                <w:color w:val="auto"/>
              </w:rPr>
            </w:pPr>
            <w:r>
              <w:rPr>
                <w:rFonts w:ascii="Arial" w:cs="Arial" w:eastAsia="Arial" w:hAnsi="Arial"/>
                <w:sz w:val="18"/>
                <w:szCs w:val="18"/>
                <w:color w:val="auto"/>
                <w:w w:val="92"/>
              </w:rPr>
              <w:t>/</w:t>
            </w:r>
            <w:r>
              <w:rPr>
                <w:rFonts w:ascii="Arial" w:cs="Arial" w:eastAsia="Arial" w:hAnsi="Arial"/>
                <w:sz w:val="14"/>
                <w:szCs w:val="14"/>
                <w:color w:val="auto"/>
                <w:w w:val="92"/>
              </w:rPr>
              <w:t>S</w:t>
            </w:r>
            <w:r>
              <w:rPr>
                <w:rFonts w:ascii="Arial" w:cs="Arial" w:eastAsia="Arial" w:hAnsi="Arial"/>
                <w:sz w:val="18"/>
                <w:szCs w:val="18"/>
                <w:color w:val="auto"/>
                <w:w w:val="92"/>
              </w:rPr>
              <w:t>/</w:t>
            </w:r>
          </w:p>
        </w:tc>
        <w:tc>
          <w:tcPr>
            <w:tcW w:w="20" w:type="dxa"/>
            <w:vAlign w:val="bottom"/>
            <w:tcBorders>
              <w:bottom w:val="single" w:sz="8" w:color="auto"/>
            </w:tcBorders>
          </w:tcPr>
          <w:p>
            <w:pPr>
              <w:spacing w:after="0"/>
              <w:rPr>
                <w:sz w:val="24"/>
                <w:szCs w:val="24"/>
                <w:color w:val="auto"/>
              </w:rPr>
            </w:pPr>
          </w:p>
        </w:tc>
        <w:tc>
          <w:tcPr>
            <w:tcW w:w="2940" w:type="dxa"/>
            <w:vAlign w:val="bottom"/>
            <w:tcBorders>
              <w:bottom w:val="single" w:sz="8" w:color="auto"/>
            </w:tcBorders>
            <w:gridSpan w:val="2"/>
          </w:tcPr>
          <w:p>
            <w:pPr>
              <w:jc w:val="center"/>
              <w:ind w:right="1260"/>
              <w:spacing w:after="0"/>
              <w:rPr>
                <w:sz w:val="20"/>
                <w:szCs w:val="20"/>
                <w:color w:val="auto"/>
              </w:rPr>
            </w:pPr>
            <w:r>
              <w:rPr>
                <w:rFonts w:ascii="Arial" w:cs="Arial" w:eastAsia="Arial" w:hAnsi="Arial"/>
                <w:sz w:val="18"/>
                <w:szCs w:val="18"/>
                <w:color w:val="auto"/>
                <w:w w:val="97"/>
              </w:rPr>
              <w:t>S</w:t>
            </w:r>
            <w:r>
              <w:rPr>
                <w:rFonts w:ascii="Arial" w:cs="Arial" w:eastAsia="Arial" w:hAnsi="Arial"/>
                <w:sz w:val="14"/>
                <w:szCs w:val="14"/>
                <w:color w:val="auto"/>
                <w:w w:val="97"/>
              </w:rPr>
              <w:t>EHAT</w:t>
            </w:r>
            <w:r>
              <w:rPr>
                <w:rFonts w:ascii="Arial" w:cs="Arial" w:eastAsia="Arial" w:hAnsi="Arial"/>
                <w:sz w:val="18"/>
                <w:szCs w:val="18"/>
                <w:color w:val="auto"/>
                <w:w w:val="97"/>
              </w:rPr>
              <w:t xml:space="preserve"> S</w:t>
            </w:r>
            <w:r>
              <w:rPr>
                <w:rFonts w:ascii="Arial" w:cs="Arial" w:eastAsia="Arial" w:hAnsi="Arial"/>
                <w:sz w:val="14"/>
                <w:szCs w:val="14"/>
                <w:color w:val="auto"/>
                <w:w w:val="97"/>
              </w:rPr>
              <w:t>UTARDJA</w:t>
            </w:r>
          </w:p>
        </w:tc>
        <w:tc>
          <w:tcPr>
            <w:tcW w:w="4840" w:type="dxa"/>
            <w:vAlign w:val="bottom"/>
            <w:gridSpan w:val="3"/>
          </w:tcPr>
          <w:p>
            <w:pPr>
              <w:jc w:val="center"/>
              <w:ind w:right="220"/>
              <w:spacing w:after="0"/>
              <w:rPr>
                <w:sz w:val="20"/>
                <w:szCs w:val="20"/>
                <w:color w:val="auto"/>
              </w:rPr>
            </w:pPr>
            <w:r>
              <w:rPr>
                <w:rFonts w:ascii="Arial" w:cs="Arial" w:eastAsia="Arial" w:hAnsi="Arial"/>
                <w:sz w:val="18"/>
                <w:szCs w:val="18"/>
                <w:color w:val="auto"/>
                <w:w w:val="90"/>
              </w:rPr>
              <w:t>Chairman of the Board and Chief Executive Officer (Principal</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26, 2015</w:t>
            </w:r>
          </w:p>
        </w:tc>
      </w:tr>
      <w:tr>
        <w:trPr>
          <w:trHeight w:val="202"/>
        </w:trPr>
        <w:tc>
          <w:tcPr>
            <w:tcW w:w="16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940" w:type="dxa"/>
            <w:vAlign w:val="bottom"/>
            <w:gridSpan w:val="2"/>
          </w:tcPr>
          <w:p>
            <w:pPr>
              <w:jc w:val="center"/>
              <w:ind w:right="1660"/>
              <w:spacing w:after="0"/>
              <w:rPr>
                <w:sz w:val="20"/>
                <w:szCs w:val="20"/>
                <w:color w:val="auto"/>
              </w:rPr>
            </w:pPr>
            <w:r>
              <w:rPr>
                <w:rFonts w:ascii="Arial" w:cs="Arial" w:eastAsia="Arial" w:hAnsi="Arial"/>
                <w:sz w:val="14"/>
                <w:szCs w:val="14"/>
                <w:b w:val="1"/>
                <w:bCs w:val="1"/>
                <w:color w:val="auto"/>
                <w:w w:val="88"/>
              </w:rPr>
              <w:t>Dr. Sehat Sutardja</w:t>
            </w:r>
          </w:p>
        </w:tc>
        <w:tc>
          <w:tcPr>
            <w:tcW w:w="4840" w:type="dxa"/>
            <w:vAlign w:val="bottom"/>
            <w:gridSpan w:val="3"/>
          </w:tcPr>
          <w:p>
            <w:pPr>
              <w:jc w:val="center"/>
              <w:ind w:right="240"/>
              <w:spacing w:after="0" w:line="202" w:lineRule="exact"/>
              <w:rPr>
                <w:sz w:val="20"/>
                <w:szCs w:val="20"/>
                <w:color w:val="auto"/>
              </w:rPr>
            </w:pPr>
            <w:r>
              <w:rPr>
                <w:rFonts w:ascii="Arial" w:cs="Arial" w:eastAsia="Arial" w:hAnsi="Arial"/>
                <w:sz w:val="18"/>
                <w:szCs w:val="18"/>
                <w:color w:val="auto"/>
                <w:w w:val="92"/>
              </w:rPr>
              <w:t>Executive Officer)</w:t>
            </w: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6"/>
        </w:trPr>
        <w:tc>
          <w:tcPr>
            <w:tcW w:w="1660" w:type="dxa"/>
            <w:vAlign w:val="bottom"/>
            <w:tcBorders>
              <w:bottom w:val="single" w:sz="8" w:color="auto"/>
            </w:tcBorders>
          </w:tcPr>
          <w:p>
            <w:pPr>
              <w:ind w:left="142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0" w:type="dxa"/>
            <w:vAlign w:val="bottom"/>
            <w:tcBorders>
              <w:bottom w:val="single" w:sz="8" w:color="auto"/>
            </w:tcBorders>
          </w:tcPr>
          <w:p>
            <w:pPr>
              <w:spacing w:after="0"/>
              <w:rPr>
                <w:sz w:val="24"/>
                <w:szCs w:val="24"/>
                <w:color w:val="auto"/>
              </w:rPr>
            </w:pPr>
          </w:p>
        </w:tc>
        <w:tc>
          <w:tcPr>
            <w:tcW w:w="2940" w:type="dxa"/>
            <w:vAlign w:val="bottom"/>
            <w:tcBorders>
              <w:bottom w:val="single" w:sz="8" w:color="auto"/>
            </w:tcBorders>
            <w:gridSpan w:val="2"/>
          </w:tcPr>
          <w:p>
            <w:pPr>
              <w:jc w:val="center"/>
              <w:ind w:right="126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ICHAEL</w:t>
            </w:r>
            <w:r>
              <w:rPr>
                <w:rFonts w:ascii="Arial" w:cs="Arial" w:eastAsia="Arial" w:hAnsi="Arial"/>
                <w:sz w:val="18"/>
                <w:szCs w:val="18"/>
                <w:color w:val="auto"/>
              </w:rPr>
              <w:t xml:space="preserve"> R</w:t>
            </w:r>
            <w:r>
              <w:rPr>
                <w:rFonts w:ascii="Arial" w:cs="Arial" w:eastAsia="Arial" w:hAnsi="Arial"/>
                <w:sz w:val="14"/>
                <w:szCs w:val="14"/>
                <w:color w:val="auto"/>
              </w:rPr>
              <w:t>ASHKIN</w:t>
            </w:r>
          </w:p>
        </w:tc>
        <w:tc>
          <w:tcPr>
            <w:tcW w:w="4840" w:type="dxa"/>
            <w:vAlign w:val="bottom"/>
            <w:gridSpan w:val="3"/>
          </w:tcPr>
          <w:p>
            <w:pPr>
              <w:jc w:val="center"/>
              <w:ind w:right="240"/>
              <w:spacing w:after="0"/>
              <w:rPr>
                <w:sz w:val="20"/>
                <w:szCs w:val="20"/>
                <w:color w:val="auto"/>
              </w:rPr>
            </w:pPr>
            <w:r>
              <w:rPr>
                <w:rFonts w:ascii="Arial" w:cs="Arial" w:eastAsia="Arial" w:hAnsi="Arial"/>
                <w:sz w:val="18"/>
                <w:szCs w:val="18"/>
                <w:color w:val="auto"/>
                <w:w w:val="91"/>
              </w:rPr>
              <w:t>Chief Financial Officer (Principal Financial and Accounting</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26, 2015</w:t>
            </w:r>
          </w:p>
        </w:tc>
      </w:tr>
      <w:tr>
        <w:trPr>
          <w:trHeight w:val="202"/>
        </w:trPr>
        <w:tc>
          <w:tcPr>
            <w:tcW w:w="16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940" w:type="dxa"/>
            <w:vAlign w:val="bottom"/>
            <w:gridSpan w:val="2"/>
          </w:tcPr>
          <w:p>
            <w:pPr>
              <w:jc w:val="center"/>
              <w:ind w:right="1680"/>
              <w:spacing w:after="0"/>
              <w:rPr>
                <w:sz w:val="20"/>
                <w:szCs w:val="20"/>
                <w:color w:val="auto"/>
              </w:rPr>
            </w:pPr>
            <w:r>
              <w:rPr>
                <w:rFonts w:ascii="Arial" w:cs="Arial" w:eastAsia="Arial" w:hAnsi="Arial"/>
                <w:sz w:val="14"/>
                <w:szCs w:val="14"/>
                <w:b w:val="1"/>
                <w:bCs w:val="1"/>
                <w:color w:val="auto"/>
                <w:w w:val="89"/>
              </w:rPr>
              <w:t>Michael Rashkin</w:t>
            </w:r>
          </w:p>
        </w:tc>
        <w:tc>
          <w:tcPr>
            <w:tcW w:w="4840" w:type="dxa"/>
            <w:vAlign w:val="bottom"/>
            <w:gridSpan w:val="3"/>
          </w:tcPr>
          <w:p>
            <w:pPr>
              <w:jc w:val="center"/>
              <w:ind w:right="240"/>
              <w:spacing w:after="0" w:line="202" w:lineRule="exact"/>
              <w:rPr>
                <w:sz w:val="20"/>
                <w:szCs w:val="20"/>
                <w:color w:val="auto"/>
              </w:rPr>
            </w:pPr>
            <w:r>
              <w:rPr>
                <w:rFonts w:ascii="Arial" w:cs="Arial" w:eastAsia="Arial" w:hAnsi="Arial"/>
                <w:sz w:val="18"/>
                <w:szCs w:val="18"/>
                <w:color w:val="auto"/>
                <w:w w:val="94"/>
              </w:rPr>
              <w:t>Officer)</w:t>
            </w: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7"/>
        </w:trPr>
        <w:tc>
          <w:tcPr>
            <w:tcW w:w="166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940" w:type="dxa"/>
            <w:vAlign w:val="bottom"/>
            <w:tcBorders>
              <w:bottom w:val="single" w:sz="8" w:color="auto"/>
            </w:tcBorders>
            <w:gridSpan w:val="2"/>
          </w:tcPr>
          <w:p>
            <w:pPr>
              <w:jc w:val="center"/>
              <w:ind w:right="16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W</w:t>
            </w:r>
            <w:r>
              <w:rPr>
                <w:rFonts w:ascii="Arial" w:cs="Arial" w:eastAsia="Arial" w:hAnsi="Arial"/>
                <w:sz w:val="14"/>
                <w:szCs w:val="14"/>
                <w:color w:val="auto"/>
              </w:rPr>
              <w:t>EILI</w:t>
            </w:r>
            <w:r>
              <w:rPr>
                <w:rFonts w:ascii="Arial" w:cs="Arial" w:eastAsia="Arial" w:hAnsi="Arial"/>
                <w:sz w:val="18"/>
                <w:szCs w:val="18"/>
                <w:color w:val="auto"/>
              </w:rPr>
              <w:t xml:space="preserve"> D</w:t>
            </w:r>
            <w:r>
              <w:rPr>
                <w:rFonts w:ascii="Arial" w:cs="Arial" w:eastAsia="Arial" w:hAnsi="Arial"/>
                <w:sz w:val="14"/>
                <w:szCs w:val="14"/>
                <w:color w:val="auto"/>
              </w:rPr>
              <w:t>AI</w:t>
            </w:r>
          </w:p>
        </w:tc>
        <w:tc>
          <w:tcPr>
            <w:tcW w:w="4840" w:type="dxa"/>
            <w:vAlign w:val="bottom"/>
            <w:gridSpan w:val="3"/>
          </w:tcPr>
          <w:p>
            <w:pPr>
              <w:jc w:val="center"/>
              <w:ind w:right="220"/>
              <w:spacing w:after="0"/>
              <w:rPr>
                <w:sz w:val="20"/>
                <w:szCs w:val="20"/>
                <w:color w:val="auto"/>
              </w:rPr>
            </w:pPr>
            <w:r>
              <w:rPr>
                <w:rFonts w:ascii="Arial" w:cs="Arial" w:eastAsia="Arial" w:hAnsi="Arial"/>
                <w:sz w:val="18"/>
                <w:szCs w:val="18"/>
                <w:color w:val="auto"/>
                <w:w w:val="88"/>
              </w:rPr>
              <w:t>President and 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26, 2015</w:t>
            </w:r>
          </w:p>
        </w:tc>
      </w:tr>
      <w:tr>
        <w:trPr>
          <w:trHeight w:val="169"/>
        </w:trPr>
        <w:tc>
          <w:tcPr>
            <w:tcW w:w="1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940" w:type="dxa"/>
            <w:vAlign w:val="bottom"/>
            <w:gridSpan w:val="2"/>
          </w:tcPr>
          <w:p>
            <w:pPr>
              <w:jc w:val="center"/>
              <w:ind w:right="1680"/>
              <w:spacing w:after="0"/>
              <w:rPr>
                <w:sz w:val="20"/>
                <w:szCs w:val="20"/>
                <w:color w:val="auto"/>
              </w:rPr>
            </w:pPr>
            <w:r>
              <w:rPr>
                <w:rFonts w:ascii="Arial" w:cs="Arial" w:eastAsia="Arial" w:hAnsi="Arial"/>
                <w:sz w:val="14"/>
                <w:szCs w:val="14"/>
                <w:b w:val="1"/>
                <w:bCs w:val="1"/>
                <w:color w:val="auto"/>
                <w:w w:val="92"/>
              </w:rPr>
              <w:t>Weili Dai</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660" w:type="dxa"/>
            <w:vAlign w:val="bottom"/>
            <w:tcBorders>
              <w:bottom w:val="single" w:sz="8" w:color="auto"/>
            </w:tcBorders>
          </w:tcPr>
          <w:p>
            <w:pPr>
              <w:jc w:val="center"/>
              <w:ind w:left="1352"/>
              <w:spacing w:after="0"/>
              <w:rPr>
                <w:sz w:val="20"/>
                <w:szCs w:val="20"/>
                <w:color w:val="auto"/>
              </w:rPr>
            </w:pPr>
            <w:r>
              <w:rPr>
                <w:rFonts w:ascii="Arial" w:cs="Arial" w:eastAsia="Arial" w:hAnsi="Arial"/>
                <w:sz w:val="18"/>
                <w:szCs w:val="18"/>
                <w:color w:val="auto"/>
                <w:w w:val="92"/>
              </w:rPr>
              <w:t>/</w:t>
            </w:r>
            <w:r>
              <w:rPr>
                <w:rFonts w:ascii="Arial" w:cs="Arial" w:eastAsia="Arial" w:hAnsi="Arial"/>
                <w:sz w:val="14"/>
                <w:szCs w:val="14"/>
                <w:color w:val="auto"/>
                <w:w w:val="92"/>
              </w:rPr>
              <w:t>S</w:t>
            </w:r>
            <w:r>
              <w:rPr>
                <w:rFonts w:ascii="Arial" w:cs="Arial" w:eastAsia="Arial" w:hAnsi="Arial"/>
                <w:sz w:val="18"/>
                <w:szCs w:val="18"/>
                <w:color w:val="auto"/>
                <w:w w:val="92"/>
              </w:rPr>
              <w:t>/</w:t>
            </w:r>
          </w:p>
        </w:tc>
        <w:tc>
          <w:tcPr>
            <w:tcW w:w="20" w:type="dxa"/>
            <w:vAlign w:val="bottom"/>
            <w:tcBorders>
              <w:bottom w:val="single" w:sz="8" w:color="auto"/>
            </w:tcBorders>
          </w:tcPr>
          <w:p>
            <w:pPr>
              <w:spacing w:after="0"/>
              <w:rPr>
                <w:sz w:val="24"/>
                <w:szCs w:val="24"/>
                <w:color w:val="auto"/>
              </w:rPr>
            </w:pPr>
          </w:p>
        </w:tc>
        <w:tc>
          <w:tcPr>
            <w:tcW w:w="2940" w:type="dxa"/>
            <w:vAlign w:val="bottom"/>
            <w:tcBorders>
              <w:bottom w:val="single" w:sz="8" w:color="auto"/>
            </w:tcBorders>
            <w:gridSpan w:val="2"/>
          </w:tcPr>
          <w:p>
            <w:pPr>
              <w:jc w:val="center"/>
              <w:ind w:right="1300"/>
              <w:spacing w:after="0"/>
              <w:rPr>
                <w:sz w:val="20"/>
                <w:szCs w:val="20"/>
                <w:color w:val="auto"/>
              </w:rPr>
            </w:pPr>
            <w:r>
              <w:rPr>
                <w:rFonts w:ascii="Arial" w:cs="Arial" w:eastAsia="Arial" w:hAnsi="Arial"/>
                <w:sz w:val="18"/>
                <w:szCs w:val="18"/>
                <w:color w:val="auto"/>
                <w:w w:val="97"/>
              </w:rPr>
              <w:t>J</w:t>
            </w:r>
            <w:r>
              <w:rPr>
                <w:rFonts w:ascii="Arial" w:cs="Arial" w:eastAsia="Arial" w:hAnsi="Arial"/>
                <w:sz w:val="14"/>
                <w:szCs w:val="14"/>
                <w:color w:val="auto"/>
                <w:w w:val="97"/>
              </w:rPr>
              <w:t>UERGEN</w:t>
            </w:r>
            <w:r>
              <w:rPr>
                <w:rFonts w:ascii="Arial" w:cs="Arial" w:eastAsia="Arial" w:hAnsi="Arial"/>
                <w:sz w:val="18"/>
                <w:szCs w:val="18"/>
                <w:color w:val="auto"/>
                <w:w w:val="97"/>
              </w:rPr>
              <w:t xml:space="preserve"> G</w:t>
            </w:r>
            <w:r>
              <w:rPr>
                <w:rFonts w:ascii="Arial" w:cs="Arial" w:eastAsia="Arial" w:hAnsi="Arial"/>
                <w:sz w:val="14"/>
                <w:szCs w:val="14"/>
                <w:color w:val="auto"/>
                <w:w w:val="97"/>
              </w:rPr>
              <w:t>ROMER</w:t>
            </w:r>
          </w:p>
        </w:tc>
        <w:tc>
          <w:tcPr>
            <w:tcW w:w="4840" w:type="dxa"/>
            <w:vAlign w:val="bottom"/>
            <w:gridSpan w:val="3"/>
          </w:tcPr>
          <w:p>
            <w:pPr>
              <w:jc w:val="center"/>
              <w:ind w:right="22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26, 2015</w:t>
            </w:r>
          </w:p>
        </w:tc>
      </w:tr>
      <w:tr>
        <w:trPr>
          <w:trHeight w:val="169"/>
        </w:trPr>
        <w:tc>
          <w:tcPr>
            <w:tcW w:w="1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940" w:type="dxa"/>
            <w:vAlign w:val="bottom"/>
            <w:gridSpan w:val="2"/>
          </w:tcPr>
          <w:p>
            <w:pPr>
              <w:jc w:val="center"/>
              <w:ind w:right="1660"/>
              <w:spacing w:after="0"/>
              <w:rPr>
                <w:sz w:val="20"/>
                <w:szCs w:val="20"/>
                <w:color w:val="auto"/>
              </w:rPr>
            </w:pPr>
            <w:r>
              <w:rPr>
                <w:rFonts w:ascii="Arial" w:cs="Arial" w:eastAsia="Arial" w:hAnsi="Arial"/>
                <w:sz w:val="14"/>
                <w:szCs w:val="14"/>
                <w:b w:val="1"/>
                <w:bCs w:val="1"/>
                <w:color w:val="auto"/>
                <w:w w:val="87"/>
              </w:rPr>
              <w:t>Dr. Juergen Gromer</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660" w:type="dxa"/>
            <w:vAlign w:val="bottom"/>
            <w:tcBorders>
              <w:bottom w:val="single" w:sz="8" w:color="auto"/>
            </w:tcBorders>
          </w:tcPr>
          <w:p>
            <w:pPr>
              <w:ind w:left="138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0" w:type="dxa"/>
            <w:vAlign w:val="bottom"/>
            <w:tcBorders>
              <w:bottom w:val="single" w:sz="8" w:color="auto"/>
            </w:tcBorders>
          </w:tcPr>
          <w:p>
            <w:pPr>
              <w:spacing w:after="0"/>
              <w:rPr>
                <w:sz w:val="24"/>
                <w:szCs w:val="24"/>
                <w:color w:val="auto"/>
              </w:rPr>
            </w:pPr>
          </w:p>
        </w:tc>
        <w:tc>
          <w:tcPr>
            <w:tcW w:w="2940" w:type="dxa"/>
            <w:vAlign w:val="bottom"/>
            <w:tcBorders>
              <w:bottom w:val="single" w:sz="8" w:color="auto"/>
            </w:tcBorders>
            <w:gridSpan w:val="2"/>
          </w:tcPr>
          <w:p>
            <w:pPr>
              <w:jc w:val="center"/>
              <w:ind w:right="1320"/>
              <w:spacing w:after="0"/>
              <w:rPr>
                <w:sz w:val="20"/>
                <w:szCs w:val="20"/>
                <w:color w:val="auto"/>
              </w:rPr>
            </w:pPr>
            <w:r>
              <w:rPr>
                <w:rFonts w:ascii="Arial" w:cs="Arial" w:eastAsia="Arial" w:hAnsi="Arial"/>
                <w:sz w:val="18"/>
                <w:szCs w:val="18"/>
                <w:color w:val="auto"/>
                <w:w w:val="99"/>
              </w:rPr>
              <w:t>J</w:t>
            </w:r>
            <w:r>
              <w:rPr>
                <w:rFonts w:ascii="Arial" w:cs="Arial" w:eastAsia="Arial" w:hAnsi="Arial"/>
                <w:sz w:val="14"/>
                <w:szCs w:val="14"/>
                <w:color w:val="auto"/>
                <w:w w:val="99"/>
              </w:rPr>
              <w:t>OHN</w:t>
            </w:r>
            <w:r>
              <w:rPr>
                <w:rFonts w:ascii="Arial" w:cs="Arial" w:eastAsia="Arial" w:hAnsi="Arial"/>
                <w:sz w:val="18"/>
                <w:szCs w:val="18"/>
                <w:color w:val="auto"/>
                <w:w w:val="99"/>
              </w:rPr>
              <w:t xml:space="preserve"> G. K</w:t>
            </w:r>
            <w:r>
              <w:rPr>
                <w:rFonts w:ascii="Arial" w:cs="Arial" w:eastAsia="Arial" w:hAnsi="Arial"/>
                <w:sz w:val="14"/>
                <w:szCs w:val="14"/>
                <w:color w:val="auto"/>
                <w:w w:val="99"/>
              </w:rPr>
              <w:t>ASSAKIAN</w:t>
            </w:r>
          </w:p>
        </w:tc>
        <w:tc>
          <w:tcPr>
            <w:tcW w:w="4840" w:type="dxa"/>
            <w:vAlign w:val="bottom"/>
            <w:gridSpan w:val="3"/>
          </w:tcPr>
          <w:p>
            <w:pPr>
              <w:jc w:val="center"/>
              <w:ind w:right="22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26, 2015</w:t>
            </w:r>
          </w:p>
        </w:tc>
      </w:tr>
      <w:tr>
        <w:trPr>
          <w:trHeight w:val="169"/>
        </w:trPr>
        <w:tc>
          <w:tcPr>
            <w:tcW w:w="1660" w:type="dxa"/>
            <w:vAlign w:val="bottom"/>
          </w:tcPr>
          <w:p>
            <w:pPr>
              <w:spacing w:after="0"/>
              <w:rPr>
                <w:sz w:val="14"/>
                <w:szCs w:val="14"/>
                <w:color w:val="auto"/>
              </w:rPr>
            </w:pPr>
          </w:p>
        </w:tc>
        <w:tc>
          <w:tcPr>
            <w:tcW w:w="2960" w:type="dxa"/>
            <w:vAlign w:val="bottom"/>
            <w:gridSpan w:val="3"/>
          </w:tcPr>
          <w:p>
            <w:pPr>
              <w:jc w:val="center"/>
              <w:ind w:right="1660"/>
              <w:spacing w:after="0"/>
              <w:rPr>
                <w:sz w:val="20"/>
                <w:szCs w:val="20"/>
                <w:color w:val="auto"/>
              </w:rPr>
            </w:pPr>
            <w:r>
              <w:rPr>
                <w:rFonts w:ascii="Arial" w:cs="Arial" w:eastAsia="Arial" w:hAnsi="Arial"/>
                <w:sz w:val="14"/>
                <w:szCs w:val="14"/>
                <w:b w:val="1"/>
                <w:bCs w:val="1"/>
                <w:color w:val="auto"/>
                <w:w w:val="87"/>
              </w:rPr>
              <w:t>Dr. John G. Kassakian</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660" w:type="dxa"/>
            <w:vAlign w:val="bottom"/>
            <w:tcBorders>
              <w:bottom w:val="single" w:sz="8" w:color="auto"/>
            </w:tcBorders>
          </w:tcPr>
          <w:p>
            <w:pPr>
              <w:jc w:val="center"/>
              <w:ind w:left="1352"/>
              <w:spacing w:after="0"/>
              <w:rPr>
                <w:sz w:val="20"/>
                <w:szCs w:val="20"/>
                <w:color w:val="auto"/>
              </w:rPr>
            </w:pPr>
            <w:r>
              <w:rPr>
                <w:rFonts w:ascii="Arial" w:cs="Arial" w:eastAsia="Arial" w:hAnsi="Arial"/>
                <w:sz w:val="18"/>
                <w:szCs w:val="18"/>
                <w:color w:val="auto"/>
                <w:w w:val="92"/>
              </w:rPr>
              <w:t>/</w:t>
            </w:r>
            <w:r>
              <w:rPr>
                <w:rFonts w:ascii="Arial" w:cs="Arial" w:eastAsia="Arial" w:hAnsi="Arial"/>
                <w:sz w:val="14"/>
                <w:szCs w:val="14"/>
                <w:color w:val="auto"/>
                <w:w w:val="92"/>
              </w:rPr>
              <w:t>S</w:t>
            </w:r>
            <w:r>
              <w:rPr>
                <w:rFonts w:ascii="Arial" w:cs="Arial" w:eastAsia="Arial" w:hAnsi="Arial"/>
                <w:sz w:val="18"/>
                <w:szCs w:val="18"/>
                <w:color w:val="auto"/>
                <w:w w:val="92"/>
              </w:rPr>
              <w:t>/</w:t>
            </w:r>
          </w:p>
        </w:tc>
        <w:tc>
          <w:tcPr>
            <w:tcW w:w="20" w:type="dxa"/>
            <w:vAlign w:val="bottom"/>
            <w:tcBorders>
              <w:bottom w:val="single" w:sz="8" w:color="auto"/>
            </w:tcBorders>
          </w:tcPr>
          <w:p>
            <w:pPr>
              <w:spacing w:after="0"/>
              <w:rPr>
                <w:sz w:val="24"/>
                <w:szCs w:val="24"/>
                <w:color w:val="auto"/>
              </w:rPr>
            </w:pPr>
          </w:p>
        </w:tc>
        <w:tc>
          <w:tcPr>
            <w:tcW w:w="2940" w:type="dxa"/>
            <w:vAlign w:val="bottom"/>
            <w:tcBorders>
              <w:bottom w:val="single" w:sz="8" w:color="auto"/>
            </w:tcBorders>
            <w:gridSpan w:val="2"/>
          </w:tcPr>
          <w:p>
            <w:pPr>
              <w:ind w:left="120"/>
              <w:spacing w:after="0"/>
              <w:rPr>
                <w:sz w:val="20"/>
                <w:szCs w:val="20"/>
                <w:color w:val="auto"/>
              </w:rPr>
            </w:pPr>
            <w:r>
              <w:rPr>
                <w:rFonts w:ascii="Arial" w:cs="Arial" w:eastAsia="Arial" w:hAnsi="Arial"/>
                <w:sz w:val="18"/>
                <w:szCs w:val="18"/>
                <w:color w:val="auto"/>
              </w:rPr>
              <w:t>A</w:t>
            </w:r>
            <w:r>
              <w:rPr>
                <w:rFonts w:ascii="Arial" w:cs="Arial" w:eastAsia="Arial" w:hAnsi="Arial"/>
                <w:sz w:val="14"/>
                <w:szCs w:val="14"/>
                <w:color w:val="auto"/>
              </w:rPr>
              <w:t>RTURO</w:t>
            </w:r>
            <w:r>
              <w:rPr>
                <w:rFonts w:ascii="Arial" w:cs="Arial" w:eastAsia="Arial" w:hAnsi="Arial"/>
                <w:sz w:val="18"/>
                <w:szCs w:val="18"/>
                <w:color w:val="auto"/>
              </w:rPr>
              <w:t xml:space="preserve"> K</w:t>
            </w:r>
            <w:r>
              <w:rPr>
                <w:rFonts w:ascii="Arial" w:cs="Arial" w:eastAsia="Arial" w:hAnsi="Arial"/>
                <w:sz w:val="14"/>
                <w:szCs w:val="14"/>
                <w:color w:val="auto"/>
              </w:rPr>
              <w:t>RUEGER</w:t>
            </w:r>
          </w:p>
        </w:tc>
        <w:tc>
          <w:tcPr>
            <w:tcW w:w="4840" w:type="dxa"/>
            <w:vAlign w:val="bottom"/>
            <w:gridSpan w:val="3"/>
          </w:tcPr>
          <w:p>
            <w:pPr>
              <w:jc w:val="center"/>
              <w:ind w:right="22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26, 2015</w:t>
            </w:r>
          </w:p>
        </w:tc>
      </w:tr>
      <w:tr>
        <w:trPr>
          <w:trHeight w:val="169"/>
        </w:trPr>
        <w:tc>
          <w:tcPr>
            <w:tcW w:w="1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940" w:type="dxa"/>
            <w:vAlign w:val="bottom"/>
            <w:gridSpan w:val="2"/>
          </w:tcPr>
          <w:p>
            <w:pPr>
              <w:jc w:val="center"/>
              <w:ind w:right="1660"/>
              <w:spacing w:after="0"/>
              <w:rPr>
                <w:sz w:val="20"/>
                <w:szCs w:val="20"/>
                <w:color w:val="auto"/>
              </w:rPr>
            </w:pPr>
            <w:r>
              <w:rPr>
                <w:rFonts w:ascii="Arial" w:cs="Arial" w:eastAsia="Arial" w:hAnsi="Arial"/>
                <w:sz w:val="14"/>
                <w:szCs w:val="14"/>
                <w:b w:val="1"/>
                <w:bCs w:val="1"/>
                <w:color w:val="auto"/>
                <w:w w:val="91"/>
              </w:rPr>
              <w:t>Arturo Krueger</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660" w:type="dxa"/>
            <w:vAlign w:val="bottom"/>
            <w:tcBorders>
              <w:bottom w:val="single" w:sz="8" w:color="auto"/>
            </w:tcBorders>
          </w:tcPr>
          <w:p>
            <w:pPr>
              <w:jc w:val="center"/>
              <w:ind w:left="1352"/>
              <w:spacing w:after="0"/>
              <w:rPr>
                <w:sz w:val="20"/>
                <w:szCs w:val="20"/>
                <w:color w:val="auto"/>
              </w:rPr>
            </w:pPr>
            <w:r>
              <w:rPr>
                <w:rFonts w:ascii="Arial" w:cs="Arial" w:eastAsia="Arial" w:hAnsi="Arial"/>
                <w:sz w:val="18"/>
                <w:szCs w:val="18"/>
                <w:color w:val="auto"/>
                <w:w w:val="92"/>
              </w:rPr>
              <w:t>/</w:t>
            </w:r>
            <w:r>
              <w:rPr>
                <w:rFonts w:ascii="Arial" w:cs="Arial" w:eastAsia="Arial" w:hAnsi="Arial"/>
                <w:sz w:val="14"/>
                <w:szCs w:val="14"/>
                <w:color w:val="auto"/>
                <w:w w:val="92"/>
              </w:rPr>
              <w:t>S</w:t>
            </w:r>
            <w:r>
              <w:rPr>
                <w:rFonts w:ascii="Arial" w:cs="Arial" w:eastAsia="Arial" w:hAnsi="Arial"/>
                <w:sz w:val="18"/>
                <w:szCs w:val="18"/>
                <w:color w:val="auto"/>
                <w:w w:val="92"/>
              </w:rPr>
              <w:t>/</w:t>
            </w:r>
          </w:p>
        </w:tc>
        <w:tc>
          <w:tcPr>
            <w:tcW w:w="20" w:type="dxa"/>
            <w:vAlign w:val="bottom"/>
            <w:tcBorders>
              <w:bottom w:val="single" w:sz="8" w:color="auto"/>
            </w:tcBorders>
          </w:tcPr>
          <w:p>
            <w:pPr>
              <w:spacing w:after="0"/>
              <w:rPr>
                <w:sz w:val="24"/>
                <w:szCs w:val="24"/>
                <w:color w:val="auto"/>
              </w:rPr>
            </w:pPr>
          </w:p>
        </w:tc>
        <w:tc>
          <w:tcPr>
            <w:tcW w:w="2940" w:type="dxa"/>
            <w:vAlign w:val="bottom"/>
            <w:tcBorders>
              <w:bottom w:val="single" w:sz="8" w:color="auto"/>
            </w:tcBorders>
            <w:gridSpan w:val="2"/>
          </w:tcPr>
          <w:p>
            <w:pPr>
              <w:jc w:val="center"/>
              <w:ind w:right="1300"/>
              <w:spacing w:after="0"/>
              <w:rPr>
                <w:sz w:val="20"/>
                <w:szCs w:val="20"/>
                <w:color w:val="auto"/>
              </w:rPr>
            </w:pPr>
            <w:r>
              <w:rPr>
                <w:rFonts w:ascii="Arial" w:cs="Arial" w:eastAsia="Arial" w:hAnsi="Arial"/>
                <w:sz w:val="18"/>
                <w:szCs w:val="18"/>
                <w:color w:val="auto"/>
              </w:rPr>
              <w:t>R</w:t>
            </w:r>
            <w:r>
              <w:rPr>
                <w:rFonts w:ascii="Arial" w:cs="Arial" w:eastAsia="Arial" w:hAnsi="Arial"/>
                <w:sz w:val="14"/>
                <w:szCs w:val="14"/>
                <w:color w:val="auto"/>
              </w:rPr>
              <w:t>ANDHIR</w:t>
            </w:r>
            <w:r>
              <w:rPr>
                <w:rFonts w:ascii="Arial" w:cs="Arial" w:eastAsia="Arial" w:hAnsi="Arial"/>
                <w:sz w:val="18"/>
                <w:szCs w:val="18"/>
                <w:color w:val="auto"/>
              </w:rPr>
              <w:t xml:space="preserve"> T</w:t>
            </w:r>
            <w:r>
              <w:rPr>
                <w:rFonts w:ascii="Arial" w:cs="Arial" w:eastAsia="Arial" w:hAnsi="Arial"/>
                <w:sz w:val="14"/>
                <w:szCs w:val="14"/>
                <w:color w:val="auto"/>
              </w:rPr>
              <w:t>HAKUR</w:t>
            </w:r>
          </w:p>
        </w:tc>
        <w:tc>
          <w:tcPr>
            <w:tcW w:w="4840" w:type="dxa"/>
            <w:vAlign w:val="bottom"/>
            <w:gridSpan w:val="3"/>
          </w:tcPr>
          <w:p>
            <w:pPr>
              <w:jc w:val="center"/>
              <w:ind w:right="22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26, 2015</w:t>
            </w:r>
          </w:p>
        </w:tc>
      </w:tr>
      <w:tr>
        <w:trPr>
          <w:trHeight w:val="169"/>
        </w:trPr>
        <w:tc>
          <w:tcPr>
            <w:tcW w:w="1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940" w:type="dxa"/>
            <w:vAlign w:val="bottom"/>
            <w:gridSpan w:val="2"/>
          </w:tcPr>
          <w:p>
            <w:pPr>
              <w:jc w:val="center"/>
              <w:ind w:right="1680"/>
              <w:spacing w:after="0"/>
              <w:rPr>
                <w:sz w:val="20"/>
                <w:szCs w:val="20"/>
                <w:color w:val="auto"/>
              </w:rPr>
            </w:pPr>
            <w:r>
              <w:rPr>
                <w:rFonts w:ascii="Arial" w:cs="Arial" w:eastAsia="Arial" w:hAnsi="Arial"/>
                <w:sz w:val="14"/>
                <w:szCs w:val="14"/>
                <w:b w:val="1"/>
                <w:bCs w:val="1"/>
                <w:color w:val="auto"/>
                <w:w w:val="93"/>
              </w:rPr>
              <w:t>Dr. Randhir Thakur</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350"/>
        </w:trPr>
        <w:tc>
          <w:tcPr>
            <w:tcW w:w="1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160" w:type="dxa"/>
            <w:vAlign w:val="bottom"/>
          </w:tcPr>
          <w:p>
            <w:pPr>
              <w:jc w:val="right"/>
              <w:ind w:right="852"/>
              <w:spacing w:after="0"/>
              <w:rPr>
                <w:sz w:val="20"/>
                <w:szCs w:val="20"/>
                <w:color w:val="auto"/>
              </w:rPr>
            </w:pPr>
            <w:r>
              <w:rPr>
                <w:rFonts w:ascii="Arial" w:cs="Arial" w:eastAsia="Arial" w:hAnsi="Arial"/>
                <w:sz w:val="18"/>
                <w:szCs w:val="18"/>
                <w:color w:val="auto"/>
              </w:rPr>
              <w:t>106</w:t>
            </w:r>
          </w:p>
        </w:tc>
        <w:tc>
          <w:tcPr>
            <w:tcW w:w="28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SCHEDULE II</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0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10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85"/>
              </w:rPr>
              <w:t>Balance at</w:t>
            </w: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5"/>
              </w:rPr>
              <w:t>Balance at</w:t>
            </w:r>
          </w:p>
        </w:tc>
        <w:tc>
          <w:tcPr>
            <w:tcW w:w="0" w:type="dxa"/>
            <w:vAlign w:val="bottom"/>
          </w:tcPr>
          <w:p>
            <w:pPr>
              <w:spacing w:after="0"/>
              <w:rPr>
                <w:sz w:val="1"/>
                <w:szCs w:val="1"/>
                <w:color w:val="auto"/>
              </w:rPr>
            </w:pPr>
          </w:p>
        </w:tc>
      </w:tr>
      <w:tr>
        <w:trPr>
          <w:trHeight w:val="149"/>
        </w:trPr>
        <w:tc>
          <w:tcPr>
            <w:tcW w:w="480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10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4"/>
              </w:rPr>
              <w:t>Beginning</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End of</w:t>
            </w:r>
          </w:p>
        </w:tc>
        <w:tc>
          <w:tcPr>
            <w:tcW w:w="0" w:type="dxa"/>
            <w:vAlign w:val="bottom"/>
          </w:tcPr>
          <w:p>
            <w:pPr>
              <w:spacing w:after="0"/>
              <w:rPr>
                <w:sz w:val="1"/>
                <w:szCs w:val="1"/>
                <w:color w:val="auto"/>
              </w:rPr>
            </w:pPr>
          </w:p>
        </w:tc>
      </w:tr>
      <w:tr>
        <w:trPr>
          <w:trHeight w:val="161"/>
        </w:trPr>
        <w:tc>
          <w:tcPr>
            <w:tcW w:w="480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8"/>
              </w:rPr>
              <w:t>of Year</w:t>
            </w:r>
          </w:p>
        </w:tc>
        <w:tc>
          <w:tcPr>
            <w:tcW w:w="580" w:type="dxa"/>
            <w:vAlign w:val="bottom"/>
            <w:gridSpan w:val="2"/>
          </w:tcPr>
          <w:p>
            <w:pPr>
              <w:ind w:left="20"/>
              <w:spacing w:after="0"/>
              <w:rPr>
                <w:sz w:val="20"/>
                <w:szCs w:val="20"/>
                <w:color w:val="auto"/>
              </w:rPr>
            </w:pPr>
            <w:r>
              <w:rPr>
                <w:rFonts w:ascii="Arial" w:cs="Arial" w:eastAsia="Arial" w:hAnsi="Arial"/>
                <w:sz w:val="14"/>
                <w:szCs w:val="14"/>
                <w:b w:val="1"/>
                <w:bCs w:val="1"/>
                <w:color w:val="auto"/>
                <w:w w:val="83"/>
              </w:rPr>
              <w:t>Additions</w:t>
            </w:r>
          </w:p>
        </w:tc>
        <w:tc>
          <w:tcPr>
            <w:tcW w:w="44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rPr>
              <w:t>Deductions</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Year</w:t>
            </w:r>
          </w:p>
        </w:tc>
        <w:tc>
          <w:tcPr>
            <w:tcW w:w="0" w:type="dxa"/>
            <w:vAlign w:val="bottom"/>
          </w:tcPr>
          <w:p>
            <w:pPr>
              <w:spacing w:after="0"/>
              <w:rPr>
                <w:sz w:val="1"/>
                <w:szCs w:val="1"/>
                <w:color w:val="auto"/>
              </w:rPr>
            </w:pPr>
          </w:p>
        </w:tc>
      </w:tr>
      <w:tr>
        <w:trPr>
          <w:trHeight w:val="196"/>
        </w:trPr>
        <w:tc>
          <w:tcPr>
            <w:tcW w:w="48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Fiscal year ended January 31, 2015</w:t>
            </w:r>
          </w:p>
        </w:tc>
        <w:tc>
          <w:tcPr>
            <w:tcW w:w="26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80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2,294</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3,041</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(3,223)</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2,112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 allowance</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6"/>
              </w:rPr>
              <w:t>335,890</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46,906</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382,796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vMerge w:val="restart"/>
          </w:tcPr>
          <w:p>
            <w:pPr>
              <w:spacing w:after="0"/>
              <w:rPr>
                <w:sz w:val="20"/>
                <w:szCs w:val="20"/>
                <w:color w:val="auto"/>
              </w:rPr>
            </w:pPr>
            <w:r>
              <w:rPr>
                <w:rFonts w:ascii="Arial" w:cs="Arial" w:eastAsia="Arial" w:hAnsi="Arial"/>
                <w:sz w:val="18"/>
                <w:szCs w:val="18"/>
                <w:color w:val="auto"/>
              </w:rPr>
              <w:t>Fiscal year ended February 1, 2014</w:t>
            </w: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800" w:type="dxa"/>
            <w:vAlign w:val="bottom"/>
            <w:vMerge w:val="continue"/>
          </w:tcPr>
          <w:p>
            <w:pPr>
              <w:spacing w:after="0"/>
              <w:rPr>
                <w:sz w:val="18"/>
                <w:szCs w:val="18"/>
                <w:color w:val="auto"/>
              </w:rPr>
            </w:pP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7,921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3,808</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4"/>
              </w:rPr>
              <w:t>(9,435)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vMerge w:val="restart"/>
          </w:tcPr>
          <w:p>
            <w:pPr>
              <w:spacing w:after="0"/>
              <w:rPr>
                <w:sz w:val="20"/>
                <w:szCs w:val="20"/>
                <w:color w:val="auto"/>
              </w:rPr>
            </w:pPr>
            <w:r>
              <w:rPr>
                <w:rFonts w:ascii="Arial" w:cs="Arial" w:eastAsia="Arial" w:hAnsi="Arial"/>
                <w:sz w:val="18"/>
                <w:szCs w:val="18"/>
                <w:color w:val="auto"/>
              </w:rPr>
              <w:t>Deferred tax valuation allowance</w:t>
            </w: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00" w:type="dxa"/>
            <w:vAlign w:val="bottom"/>
            <w:vMerge w:val="continue"/>
          </w:tcPr>
          <w:p>
            <w:pPr>
              <w:spacing w:after="0"/>
              <w:rPr>
                <w:sz w:val="18"/>
                <w:szCs w:val="18"/>
                <w:color w:val="auto"/>
              </w:rPr>
            </w:pPr>
          </w:p>
        </w:tc>
        <w:tc>
          <w:tcPr>
            <w:tcW w:w="27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w w:val="86"/>
              </w:rPr>
              <w:t>299,449</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36,441</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335,890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February 2, 2013</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0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2,663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9,024</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(3,766)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7,921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 allowance</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6"/>
              </w:rPr>
              <w:t>259,316</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40,133</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299,449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vMerge w:val="restart"/>
          </w:tcPr>
          <w:p>
            <w:pPr>
              <w:jc w:val="right"/>
              <w:ind w:right="1512"/>
              <w:spacing w:after="0"/>
              <w:rPr>
                <w:sz w:val="20"/>
                <w:szCs w:val="20"/>
                <w:color w:val="auto"/>
              </w:rPr>
            </w:pPr>
            <w:r>
              <w:rPr>
                <w:rFonts w:ascii="Arial" w:cs="Arial" w:eastAsia="Arial" w:hAnsi="Arial"/>
                <w:sz w:val="18"/>
                <w:szCs w:val="18"/>
                <w:color w:val="auto"/>
              </w:rPr>
              <w:t>107</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800" w:type="dxa"/>
            <w:vAlign w:val="bottom"/>
          </w:tcPr>
          <w:p>
            <w:pPr>
              <w:spacing w:after="0"/>
              <w:rPr>
                <w:sz w:val="24"/>
                <w:szCs w:val="24"/>
                <w:color w:val="auto"/>
              </w:rPr>
            </w:pPr>
          </w:p>
        </w:tc>
        <w:tc>
          <w:tcPr>
            <w:tcW w:w="26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420" w:type="dxa"/>
            <w:vAlign w:val="bottom"/>
          </w:tcPr>
          <w:p>
            <w:pPr>
              <w:jc w:val="center"/>
              <w:ind w:right="1812"/>
              <w:spacing w:after="0"/>
              <w:rPr>
                <w:sz w:val="20"/>
                <w:szCs w:val="20"/>
                <w:color w:val="auto"/>
              </w:rPr>
            </w:pPr>
            <w:r>
              <w:rPr>
                <w:rFonts w:ascii="Arial" w:cs="Arial" w:eastAsia="Arial" w:hAnsi="Arial"/>
                <w:sz w:val="18"/>
                <w:szCs w:val="18"/>
                <w:b w:val="1"/>
                <w:bCs w:val="1"/>
                <w:color w:val="auto"/>
              </w:rPr>
              <w:t>INDEX TO EXHIBITS</w:t>
            </w:r>
          </w:p>
        </w:tc>
      </w:tr>
      <w:tr>
        <w:trPr>
          <w:trHeight w:val="340"/>
        </w:trPr>
        <w:tc>
          <w:tcPr>
            <w:tcW w:w="120" w:type="dxa"/>
            <w:vAlign w:val="bottom"/>
          </w:tcPr>
          <w:p>
            <w:pPr>
              <w:spacing w:after="0"/>
              <w:rPr>
                <w:sz w:val="24"/>
                <w:szCs w:val="2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6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20" w:type="dxa"/>
            <w:vAlign w:val="bottom"/>
          </w:tcPr>
          <w:p>
            <w:pPr>
              <w:spacing w:after="0"/>
              <w:rPr>
                <w:sz w:val="24"/>
                <w:szCs w:val="24"/>
                <w:color w:val="auto"/>
              </w:rPr>
            </w:pPr>
          </w:p>
        </w:tc>
      </w:tr>
      <w:tr>
        <w:trPr>
          <w:trHeight w:val="161"/>
        </w:trPr>
        <w:tc>
          <w:tcPr>
            <w:tcW w:w="12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420" w:type="dxa"/>
            <w:vAlign w:val="bottom"/>
          </w:tcPr>
          <w:p>
            <w:pPr>
              <w:spacing w:after="0"/>
              <w:rPr>
                <w:sz w:val="14"/>
                <w:szCs w:val="14"/>
                <w:color w:val="auto"/>
              </w:rPr>
            </w:pPr>
          </w:p>
        </w:tc>
      </w:tr>
      <w:tr>
        <w:trPr>
          <w:trHeight w:val="309"/>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3.1</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4"/>
              </w:rPr>
              <w:t>Memorandum of Association of Marvell Technology Group Ltd., incorporated by reference to Exhibit 3.1 of the registrant’s Registration</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318"/>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3.2</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Third Amended and Restated Bye-Laws of Marvell Technology Group Ltd., incorporated by reference to Exhibit 3.1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3.3</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3"/>
              </w:rPr>
              <w:t>Memorandum of Increase of Share Capital of Marvell Technology Group Ltd., incorporated by reference to Exhibit 3.1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3"/>
              </w:rPr>
              <w:t>1997 Directors’ Stock Option Plan, incorporated by reference to Exhibit 10.2 of the registrant’s Registration Statement on Form S-1 (file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10.2#</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Form of Notice of Stock Option Grants, Nonstatutory Stock Option Agreement, Exercise Notice and Restricted Stock Purchase Agreement for</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use under the 1997 Directors’ Stock Option Plan, incorporated by reference to Exhibit 10.7 of the registrant’s Registration Statement on Form</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S-8 (file no. 333-148621) as filed on January 11,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10.3#</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2"/>
              </w:rPr>
              <w:t>2000 Employee Stock Purchase Plan (as amended and restated as of October 31, 2011), incorporated by reference to Exhibit 10.1 of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10.4#</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1"/>
              </w:rPr>
              <w:t>2000 Employee Stock Purchase Plan Form of Subscription Agreement, incorporated by reference to Exhibit 10.4 of the registrant’s Annual</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Report on Form 10-K for the year ended February 2, 2013 as filed on March 29, 2013</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10.5#</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8"/>
              </w:rPr>
              <w:t>Amended and Restated 1995 Stock Option Plan, incorporated by reference to Exhibit 10.1 of the registrant’s Quarterly Report on Form 10-Q as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filed on June 5, 2014</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10.6#</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1"/>
              </w:rPr>
              <w:t>Amended and Restated 1995 Stock Option Plan Restricted Stock Agreement, incorporated by reference to Exhibit 10.20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10.7#</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Form of Option Agreement for use with the Amended and Restated 1995 Stock Option Plan, incorporated by reference to Exhibit 10.21 of the</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registrant’s Annual Report on Form 10-K for the year ended January 28, 2006 as filed on April 13, 2006 (for options granted prior to December</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380" w:type="dxa"/>
            <w:vAlign w:val="bottom"/>
            <w:gridSpan w:val="2"/>
          </w:tcPr>
          <w:p>
            <w:pPr>
              <w:ind w:left="680"/>
              <w:spacing w:after="0"/>
              <w:rPr>
                <w:sz w:val="20"/>
                <w:szCs w:val="20"/>
                <w:color w:val="auto"/>
              </w:rPr>
            </w:pPr>
            <w:r>
              <w:rPr>
                <w:rFonts w:ascii="Arial" w:cs="Arial" w:eastAsia="Arial" w:hAnsi="Arial"/>
                <w:sz w:val="18"/>
                <w:szCs w:val="18"/>
                <w:color w:val="auto"/>
              </w:rPr>
              <w:t>4, 2008)</w:t>
            </w:r>
          </w:p>
        </w:tc>
        <w:tc>
          <w:tcPr>
            <w:tcW w:w="9420" w:type="dxa"/>
            <w:vAlign w:val="bottom"/>
          </w:tcPr>
          <w:p>
            <w:pPr>
              <w:spacing w:after="0"/>
              <w:rPr>
                <w:sz w:val="19"/>
                <w:szCs w:val="19"/>
                <w:color w:val="auto"/>
              </w:rPr>
            </w:pP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10.7.1#</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Stock Option Plan, incorporated by reference to Exhibit 10.1 of the registrant’s Current Report on Form 8-K as filed on December 17, 2008 (for</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options granted on or after December 4,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10.7.2#</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Stock Option Plan, incorporated by reference to Exhibit 10.3 of the registrant’s quarterly report on 10-Q for the period ended July 31, 2010 as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filed on September 3, 2010 (for options granted on or after August 2, 2010)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10.7.3#</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1"/>
              </w:rPr>
              <w:t>Stock Option Plan (for options granted on or after September 20, 2013), incorporated by reference to Exhibit 10.1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Report on Form 8-K as filed on September 26, 2013</w:t>
            </w:r>
          </w:p>
        </w:tc>
      </w:tr>
      <w:tr>
        <w:trPr>
          <w:trHeight w:val="365"/>
        </w:trPr>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800" w:type="dxa"/>
            <w:vAlign w:val="bottom"/>
            <w:gridSpan w:val="3"/>
          </w:tcPr>
          <w:p>
            <w:pPr>
              <w:jc w:val="right"/>
              <w:ind w:right="5452"/>
              <w:spacing w:after="0"/>
              <w:rPr>
                <w:sz w:val="20"/>
                <w:szCs w:val="20"/>
                <w:color w:val="auto"/>
              </w:rPr>
            </w:pPr>
            <w:r>
              <w:rPr>
                <w:rFonts w:ascii="Arial" w:cs="Arial" w:eastAsia="Arial" w:hAnsi="Arial"/>
                <w:sz w:val="18"/>
                <w:szCs w:val="18"/>
                <w:color w:val="auto"/>
              </w:rPr>
              <w:t>108</w:t>
            </w:r>
          </w:p>
        </w:tc>
      </w:tr>
    </w:tbl>
    <w:p>
      <w:pPr>
        <w:sectPr>
          <w:pgSz w:w="11900" w:h="16838" w:orient="portrait"/>
          <w:cols w:equalWidth="0" w:num="1">
            <w:col w:w="11380"/>
          </w:cols>
          <w:pgMar w:left="240" w:top="459" w:right="27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300" w:type="dxa"/>
            <w:vAlign w:val="bottom"/>
          </w:tcPr>
          <w:p>
            <w:pPr>
              <w:spacing w:after="0"/>
              <w:rPr>
                <w:sz w:val="14"/>
                <w:szCs w:val="14"/>
                <w:color w:val="auto"/>
              </w:rPr>
            </w:pPr>
          </w:p>
        </w:tc>
      </w:tr>
      <w:tr>
        <w:trPr>
          <w:trHeight w:val="161"/>
        </w:trPr>
        <w:tc>
          <w:tcPr>
            <w:tcW w:w="18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300" w:type="dxa"/>
            <w:vAlign w:val="bottom"/>
          </w:tcPr>
          <w:p>
            <w:pPr>
              <w:spacing w:after="0"/>
              <w:rPr>
                <w:sz w:val="14"/>
                <w:szCs w:val="14"/>
                <w:color w:val="auto"/>
              </w:rPr>
            </w:pPr>
          </w:p>
        </w:tc>
      </w:tr>
      <w:tr>
        <w:trPr>
          <w:trHeight w:val="309"/>
        </w:trPr>
        <w:tc>
          <w:tcPr>
            <w:tcW w:w="640" w:type="dxa"/>
            <w:vAlign w:val="bottom"/>
            <w:gridSpan w:val="2"/>
          </w:tcPr>
          <w:p>
            <w:pPr>
              <w:spacing w:after="0"/>
              <w:rPr>
                <w:sz w:val="20"/>
                <w:szCs w:val="20"/>
                <w:color w:val="auto"/>
              </w:rPr>
            </w:pPr>
            <w:r>
              <w:rPr>
                <w:rFonts w:ascii="Arial" w:cs="Arial" w:eastAsia="Arial" w:hAnsi="Arial"/>
                <w:sz w:val="18"/>
                <w:szCs w:val="18"/>
                <w:color w:val="auto"/>
              </w:rPr>
              <w:t>10.8#</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Restricted Stock Unit Agreement for use with the Amended and Restated 1995 Stock Option Plan, incorporated by reference to</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Exhibit 10.34 of the registrant’s Annual Report on Form 10-K for the year ended January 27, 2007 as filed on July 2, 2007 (for RSUs granted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prior to December 4,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10.8.1#</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Option Plan, incorporated by reference to Exhibit 10.2 of the registrant’s Current Report on Form 8-K as filed on December 17, 2008 (for</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10.8.2#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Option Plan, incorporated by reference to Exhibit 10.4 of the registrant’s quarterly report on 10-Q for the period ended July 31, 2010 as filed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on September 3, 2010 (for RSUs granted on or after August 2, 2010)</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10.9#</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6"/>
              </w:rPr>
              <w:t>Form of Notice of Grant of Stock Options – Performance-Based, for use with the Amended and Restated 1995 Stock Option Plan,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10.10#</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Reformation of Stock Option Agreement dated December 27, 2006 by and between Sehat Sutardja and Marvell Technology Group Ltd.,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10.11#</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6"/>
              </w:rPr>
              <w:t>Reformation of Stock Option Agreement dated December 27, 2006 by and between Weili Dai and Marvell Technology Group Ltd.,</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1"/>
              </w:rPr>
              <w:t>incorporated by reference to Exhibit 10.2 of the registrant’s current report on Form 8-K for the period dated December 27, 2006 as filed on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January 4,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Reformation of Stock Option Agreement dated May 6, 2007 between Marvell Technology Group Ltd. and Dr. Sehat Sutardja, incorporated by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reference to Exhibit 10.1 of the registrant’s Current Report on Form 8-K as filed on May 8,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10.13#</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5"/>
              </w:rPr>
              <w:t>Amendment of Stock Option Agreement dated May 6, 2007 between Marvell Technology Group Ltd. and Weili Dai, incorporated by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8"/>
              </w:rPr>
              <w:t>reference to Exhibit 10.2 of the registrant’s current report on Form 8-K for the period dated May 2, 2007 as filed on May 8,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10.14#</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1"/>
              </w:rPr>
              <w:t>Form of Performance Award Agreement and Notice of Grant of Performance Award and Award Agreement for use with the Amended and</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Restated 1995 Stock Option Plan, incorporated by reference to Exhibit 10.2 of the registrant’s Quarterly Report on Form 10-Q filed on June 5,</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440" w:type="dxa"/>
            <w:vAlign w:val="bottom"/>
            <w:gridSpan w:val="2"/>
          </w:tcPr>
          <w:p>
            <w:pPr>
              <w:ind w:left="740"/>
              <w:spacing w:after="0"/>
              <w:rPr>
                <w:sz w:val="20"/>
                <w:szCs w:val="20"/>
                <w:color w:val="auto"/>
              </w:rPr>
            </w:pPr>
            <w:r>
              <w:rPr>
                <w:rFonts w:ascii="Arial" w:cs="Arial" w:eastAsia="Arial" w:hAnsi="Arial"/>
                <w:sz w:val="18"/>
                <w:szCs w:val="18"/>
                <w:color w:val="auto"/>
              </w:rPr>
              <w:t>2014</w:t>
            </w:r>
          </w:p>
        </w:tc>
        <w:tc>
          <w:tcPr>
            <w:tcW w:w="9300" w:type="dxa"/>
            <w:vAlign w:val="bottom"/>
          </w:tcPr>
          <w:p>
            <w:pPr>
              <w:spacing w:after="0"/>
              <w:rPr>
                <w:sz w:val="19"/>
                <w:szCs w:val="19"/>
                <w:color w:val="auto"/>
              </w:rPr>
            </w:pP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10.15#</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Marvell Technology Group Ltd. Executive Performance Incentive Plan, incorporated by reference to Exhibit 10.1 of the registrant’s Current</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10.16#</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1"/>
              </w:rPr>
              <w:t>2007 Director Stock Incentive Plan, as amended and restated effective March 11, 2014, incorporated by reference to Exhibit 10.15 of the</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registrant’s Annual Report on Form 10-K for the year ended February 1, 2014 as filed on March 27, 2014</w:t>
            </w:r>
          </w:p>
        </w:tc>
      </w:tr>
      <w:tr>
        <w:trPr>
          <w:trHeight w:val="331"/>
        </w:trPr>
        <w:tc>
          <w:tcPr>
            <w:tcW w:w="640" w:type="dxa"/>
            <w:vAlign w:val="bottom"/>
            <w:gridSpan w:val="2"/>
          </w:tcPr>
          <w:p>
            <w:pPr>
              <w:spacing w:after="0"/>
              <w:rPr>
                <w:sz w:val="20"/>
                <w:szCs w:val="20"/>
                <w:color w:val="auto"/>
              </w:rPr>
            </w:pPr>
            <w:r>
              <w:rPr>
                <w:rFonts w:ascii="Arial" w:cs="Arial" w:eastAsia="Arial" w:hAnsi="Arial"/>
                <w:sz w:val="18"/>
                <w:szCs w:val="18"/>
                <w:color w:val="auto"/>
                <w:w w:val="88"/>
              </w:rPr>
              <w:t>10.17.1#</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6"/>
              </w:rPr>
              <w:t>Form of Stock Option Agreement for use with the 2007 Director Stock Incentive Plan — Initial Award, incorporated by reference to</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w w:val="88"/>
              </w:rPr>
              <w:t>10.17.2#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5"/>
              </w:rPr>
              <w:t>Form of Stock Option Agreement for use with the 2007 Director Stock Incentive Plan — Annual Award, incorporated by reference to</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w w:val="88"/>
              </w:rPr>
              <w:t>10.17.3#</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2007 Director Stock Incentive Plan,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10.2 of our Current Report on Form 8-K as filed on July 1, 2011</w:t>
            </w:r>
          </w:p>
        </w:tc>
      </w:tr>
      <w:tr>
        <w:trPr>
          <w:trHeight w:val="365"/>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40" w:type="dxa"/>
            <w:vAlign w:val="bottom"/>
            <w:gridSpan w:val="3"/>
          </w:tcPr>
          <w:p>
            <w:pPr>
              <w:jc w:val="right"/>
              <w:ind w:right="5540"/>
              <w:spacing w:after="0"/>
              <w:rPr>
                <w:sz w:val="20"/>
                <w:szCs w:val="20"/>
                <w:color w:val="auto"/>
              </w:rPr>
            </w:pPr>
            <w:r>
              <w:rPr>
                <w:rFonts w:ascii="Arial" w:cs="Arial" w:eastAsia="Arial" w:hAnsi="Arial"/>
                <w:sz w:val="18"/>
                <w:szCs w:val="18"/>
                <w:color w:val="auto"/>
              </w:rPr>
              <w:t>109</w:t>
            </w:r>
          </w:p>
        </w:tc>
      </w:tr>
    </w:tbl>
    <w:p>
      <w:pPr>
        <w:sectPr>
          <w:pgSz w:w="11900" w:h="16838" w:orient="portrait"/>
          <w:cols w:equalWidth="0" w:num="1">
            <w:col w:w="11380"/>
          </w:cols>
          <w:pgMar w:left="240" w:top="459" w:right="27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0" w:type="dxa"/>
            <w:vAlign w:val="bottom"/>
          </w:tcPr>
          <w:p>
            <w:pPr>
              <w:spacing w:after="0"/>
              <w:rPr>
                <w:sz w:val="14"/>
                <w:szCs w:val="14"/>
                <w:color w:val="auto"/>
              </w:rPr>
            </w:pPr>
          </w:p>
        </w:tc>
        <w:tc>
          <w:tcPr>
            <w:tcW w:w="44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260" w:type="dxa"/>
            <w:vAlign w:val="bottom"/>
          </w:tcPr>
          <w:p>
            <w:pPr>
              <w:spacing w:after="0"/>
              <w:rPr>
                <w:sz w:val="14"/>
                <w:szCs w:val="14"/>
                <w:color w:val="auto"/>
              </w:rPr>
            </w:pPr>
          </w:p>
        </w:tc>
        <w:tc>
          <w:tcPr>
            <w:tcW w:w="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00" w:type="dxa"/>
            <w:vAlign w:val="bottom"/>
          </w:tcPr>
          <w:p>
            <w:pPr>
              <w:spacing w:after="0"/>
              <w:rPr>
                <w:sz w:val="14"/>
                <w:szCs w:val="14"/>
                <w:color w:val="auto"/>
              </w:rPr>
            </w:pPr>
          </w:p>
        </w:tc>
      </w:tr>
      <w:tr>
        <w:trPr>
          <w:trHeight w:val="309"/>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90"/>
              </w:rPr>
              <w:t>10.18#</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9"/>
              </w:rPr>
              <w:t>Policy for Non-Business Use of Corporate Aircraft, incorporated by reference to Exhibit 10.1 of the registrant’s Current Report on Form 8-K</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as filed on May 23, 2008</w:t>
            </w:r>
          </w:p>
        </w:tc>
      </w:tr>
      <w:tr>
        <w:trPr>
          <w:trHeight w:val="318"/>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90"/>
              </w:rPr>
              <w:t>10.19#</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5"/>
              </w:rPr>
              <w:t>Description of Indemnification Rights for certain current and former directors, officers and employees, incorporated by reference to</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6"/>
              </w:rPr>
              <w:t>Exhibit 10.37 of the registrant’s Quarterly Report on Form 10-Q for the period ended July 28, 2007 as filed on September 6, 2007</w:t>
            </w:r>
          </w:p>
        </w:tc>
      </w:tr>
      <w:tr>
        <w:trPr>
          <w:trHeight w:val="318"/>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90"/>
              </w:rPr>
              <w:t>10.20#</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3"/>
              </w:rPr>
              <w:t>Form of Indemnification Agreement with Directors and Executive Officers, incorporated by reference to Exhibit 10.1 of the registrant’s</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October 10, 2008</w:t>
            </w:r>
          </w:p>
        </w:tc>
      </w:tr>
      <w:tr>
        <w:trPr>
          <w:trHeight w:val="318"/>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90"/>
              </w:rPr>
              <w:t>10.21#</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0"/>
              </w:rPr>
              <w:t>Indemnification Arrangement with Dr. Sehat Sutardja, incorporated by reference to Exhibit 10.1 of our Current Report on Form 8-K as filed</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on March 7, 2011</w:t>
            </w:r>
          </w:p>
        </w:tc>
      </w:tr>
      <w:tr>
        <w:trPr>
          <w:trHeight w:val="324"/>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85"/>
              </w:rPr>
              <w:t>21.1</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85"/>
              </w:rPr>
              <w:t>23.1</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85"/>
              </w:rPr>
              <w:t>24.1</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24"/>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85"/>
              </w:rPr>
              <w:t>31.1</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w:t>
            </w:r>
          </w:p>
        </w:tc>
      </w:tr>
      <w:tr>
        <w:trPr>
          <w:trHeight w:val="324"/>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85"/>
              </w:rPr>
              <w:t>31.2</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32.1~</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32.2~</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101.INS</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3"/>
              </w:rPr>
              <w:t>101.SCH</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7"/>
              </w:rPr>
              <w:t>101.CAL</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5"/>
              </w:rPr>
              <w:t>101.DEF</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8"/>
              </w:rPr>
              <w:t>101.LAB</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4"/>
              </w:rPr>
              <w:t>101.PRE</w:t>
            </w:r>
          </w:p>
        </w:tc>
        <w:tc>
          <w:tcPr>
            <w:tcW w:w="68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196" w:lineRule="exact"/>
        <w:rPr>
          <w:sz w:val="20"/>
          <w:szCs w:val="20"/>
          <w:color w:val="auto"/>
        </w:rPr>
      </w:pPr>
    </w:p>
    <w:p>
      <w:pPr>
        <w:ind w:left="460" w:hanging="452"/>
        <w:spacing w:after="0"/>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20" w:hanging="452"/>
        <w:spacing w:after="0" w:line="253" w:lineRule="auto"/>
        <w:tabs>
          <w:tab w:leader="none" w:pos="4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3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280"/>
          </w:cols>
          <w:pgMar w:left="240" w:top="459" w:right="379" w:bottom="1440" w:gutter="0" w:footer="0" w:header="0"/>
        </w:sectPr>
      </w:pPr>
    </w:p>
    <w:bookmarkStart w:id="112" w:name="page113"/>
    <w:bookmarkEnd w:id="112"/>
    <w:p>
      <w:pPr>
        <w:jc w:val="right"/>
        <w:spacing w:after="0"/>
        <w:rPr>
          <w:sz w:val="20"/>
          <w:szCs w:val="20"/>
          <w:color w:val="auto"/>
        </w:rPr>
      </w:pPr>
      <w:r>
        <w:rPr>
          <w:rFonts w:ascii="Arial" w:cs="Arial" w:eastAsia="Arial" w:hAnsi="Arial"/>
          <w:sz w:val="18"/>
          <w:szCs w:val="18"/>
          <w:b w:val="1"/>
          <w:bCs w:val="1"/>
          <w:color w:val="auto"/>
        </w:rPr>
        <w:t>Exhibit 21.1</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80" w:type="dxa"/>
            <w:vAlign w:val="bottom"/>
          </w:tcPr>
          <w:p>
            <w:pPr>
              <w:spacing w:after="0"/>
              <w:rPr>
                <w:sz w:val="20"/>
                <w:szCs w:val="20"/>
                <w:color w:val="auto"/>
              </w:rPr>
            </w:pPr>
          </w:p>
        </w:tc>
        <w:tc>
          <w:tcPr>
            <w:tcW w:w="3620" w:type="dxa"/>
            <w:vAlign w:val="bottom"/>
          </w:tcPr>
          <w:p>
            <w:pPr>
              <w:spacing w:after="0"/>
              <w:rPr>
                <w:sz w:val="20"/>
                <w:szCs w:val="20"/>
                <w:color w:val="auto"/>
              </w:rPr>
            </w:pPr>
          </w:p>
        </w:tc>
        <w:tc>
          <w:tcPr>
            <w:tcW w:w="4320" w:type="dxa"/>
            <w:vAlign w:val="bottom"/>
            <w:gridSpan w:val="3"/>
          </w:tcPr>
          <w:p>
            <w:pPr>
              <w:ind w:left="160"/>
              <w:spacing w:after="0"/>
              <w:rPr>
                <w:sz w:val="20"/>
                <w:szCs w:val="20"/>
                <w:color w:val="auto"/>
              </w:rPr>
            </w:pPr>
            <w:r>
              <w:rPr>
                <w:rFonts w:ascii="Arial" w:cs="Arial" w:eastAsia="Arial" w:hAnsi="Arial"/>
                <w:sz w:val="18"/>
                <w:szCs w:val="18"/>
                <w:b w:val="1"/>
                <w:bCs w:val="1"/>
                <w:color w:val="auto"/>
              </w:rPr>
              <w:t>SUBSIDIARIES OF MARVELL</w:t>
            </w:r>
          </w:p>
        </w:tc>
      </w:tr>
      <w:tr>
        <w:trPr>
          <w:trHeight w:val="392"/>
        </w:trPr>
        <w:tc>
          <w:tcPr>
            <w:tcW w:w="4300" w:type="dxa"/>
            <w:vAlign w:val="bottom"/>
            <w:gridSpan w:val="2"/>
          </w:tcPr>
          <w:p>
            <w:pPr>
              <w:spacing w:after="0"/>
              <w:rPr>
                <w:sz w:val="20"/>
                <w:szCs w:val="20"/>
                <w:color w:val="auto"/>
              </w:rPr>
            </w:pPr>
            <w:r>
              <w:rPr>
                <w:rFonts w:ascii="Arial" w:cs="Arial" w:eastAsia="Arial" w:hAnsi="Arial"/>
                <w:sz w:val="14"/>
                <w:szCs w:val="14"/>
                <w:b w:val="1"/>
                <w:bCs w:val="1"/>
                <w:color w:val="auto"/>
              </w:rPr>
              <w:t>Subsidiary</w:t>
            </w:r>
          </w:p>
        </w:tc>
        <w:tc>
          <w:tcPr>
            <w:tcW w:w="4320" w:type="dxa"/>
            <w:vAlign w:val="bottom"/>
            <w:gridSpan w:val="3"/>
          </w:tcPr>
          <w:p>
            <w:pPr>
              <w:ind w:left="2540"/>
              <w:spacing w:after="0"/>
              <w:rPr>
                <w:sz w:val="20"/>
                <w:szCs w:val="20"/>
                <w:color w:val="auto"/>
              </w:rPr>
            </w:pPr>
            <w:r>
              <w:rPr>
                <w:rFonts w:ascii="Arial" w:cs="Arial" w:eastAsia="Arial" w:hAnsi="Arial"/>
                <w:sz w:val="14"/>
                <w:szCs w:val="14"/>
                <w:b w:val="1"/>
                <w:bCs w:val="1"/>
                <w:color w:val="auto"/>
                <w:w w:val="94"/>
              </w:rPr>
              <w:t>Jurisdiction of Organization</w:t>
            </w:r>
          </w:p>
        </w:tc>
      </w:tr>
      <w:tr>
        <w:trPr>
          <w:trHeight w:val="195"/>
        </w:trPr>
        <w:tc>
          <w:tcPr>
            <w:tcW w:w="6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Marvell</w:t>
            </w:r>
          </w:p>
        </w:tc>
        <w:tc>
          <w:tcPr>
            <w:tcW w:w="3620" w:type="dxa"/>
            <w:vAlign w:val="bottom"/>
          </w:tcPr>
          <w:p>
            <w:pPr>
              <w:spacing w:after="0" w:line="195" w:lineRule="exact"/>
              <w:rPr>
                <w:sz w:val="20"/>
                <w:szCs w:val="20"/>
                <w:color w:val="auto"/>
              </w:rPr>
            </w:pPr>
            <w:r>
              <w:rPr>
                <w:rFonts w:ascii="Arial" w:cs="Arial" w:eastAsia="Arial" w:hAnsi="Arial"/>
                <w:sz w:val="18"/>
                <w:szCs w:val="18"/>
                <w:color w:val="auto"/>
              </w:rPr>
              <w:t>International Ltd.</w:t>
            </w:r>
          </w:p>
        </w:tc>
        <w:tc>
          <w:tcPr>
            <w:tcW w:w="2540" w:type="dxa"/>
            <w:vAlign w:val="bottom"/>
          </w:tcPr>
          <w:p>
            <w:pPr>
              <w:spacing w:after="0"/>
              <w:rPr>
                <w:sz w:val="16"/>
                <w:szCs w:val="16"/>
                <w:color w:val="auto"/>
              </w:rPr>
            </w:pPr>
          </w:p>
        </w:tc>
        <w:tc>
          <w:tcPr>
            <w:tcW w:w="17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Bermuda</w:t>
            </w:r>
          </w:p>
        </w:tc>
        <w:tc>
          <w:tcPr>
            <w:tcW w:w="40" w:type="dxa"/>
            <w:vAlign w:val="bottom"/>
          </w:tcPr>
          <w:p>
            <w:pPr>
              <w:spacing w:after="0"/>
              <w:rPr>
                <w:sz w:val="16"/>
                <w:szCs w:val="16"/>
                <w:color w:val="auto"/>
              </w:rPr>
            </w:pP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Utopia Capital Holdings,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Bermuda</w:t>
            </w:r>
          </w:p>
        </w:tc>
      </w:tr>
      <w:tr>
        <w:trPr>
          <w:trHeight w:val="230"/>
        </w:trPr>
        <w:tc>
          <w:tcPr>
            <w:tcW w:w="4300" w:type="dxa"/>
            <w:vAlign w:val="bottom"/>
            <w:gridSpan w:val="2"/>
          </w:tcPr>
          <w:p>
            <w:pPr>
              <w:spacing w:after="0"/>
              <w:rPr>
                <w:sz w:val="20"/>
                <w:szCs w:val="20"/>
                <w:color w:val="auto"/>
              </w:rPr>
            </w:pPr>
            <w:r>
              <w:rPr>
                <w:rFonts w:ascii="Arial" w:cs="Arial" w:eastAsia="Arial" w:hAnsi="Arial"/>
                <w:sz w:val="18"/>
                <w:szCs w:val="18"/>
                <w:color w:val="auto"/>
              </w:rPr>
              <w:t>MV Acquisition,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Nulinear,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UK Limited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United Kingdom</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World Trade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Barbados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Denmark ApS</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Denmark</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Germany</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Technologies Hungary Kft.</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Hungary</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Italy</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Netherlands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Hispania, S.L.</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Spain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Sweden AB</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Sweden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Switzerland</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Micromos Sarl</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Switzerland</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(Switzerland)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Switzerland</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Israel</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India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PT Marvell Technology Indonesia</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Indonesia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Japan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Japan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Korea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Malaysia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Singapore</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Taiwan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Hong Kong</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(Beijing),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(Chengdu),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(Shanghai),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China</w:t>
            </w:r>
          </w:p>
        </w:tc>
      </w:tr>
      <w:tr>
        <w:trPr>
          <w:trHeight w:val="230"/>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(Nanjing),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Canada Corporation</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Canada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Kinoma, Inc.</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w w:val="90"/>
              </w:rPr>
              <w:t>California, United States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w w:val="90"/>
              </w:rPr>
              <w:t>California, United States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Nulinear Inc.</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w w:val="95"/>
              </w:rPr>
              <w:t>California, United State</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w w:val="90"/>
              </w:rPr>
              <w:t>Delaware, United States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w w:val="90"/>
              </w:rPr>
              <w:t>Delaware, United States</w:t>
            </w:r>
          </w:p>
        </w:tc>
      </w:tr>
      <w:tr>
        <w:trPr>
          <w:trHeight w:val="230"/>
        </w:trPr>
        <w:tc>
          <w:tcPr>
            <w:tcW w:w="4300" w:type="dxa"/>
            <w:vAlign w:val="bottom"/>
            <w:gridSpan w:val="2"/>
          </w:tcPr>
          <w:p>
            <w:pPr>
              <w:spacing w:after="0"/>
              <w:rPr>
                <w:sz w:val="20"/>
                <w:szCs w:val="20"/>
                <w:color w:val="auto"/>
              </w:rPr>
            </w:pPr>
            <w:r>
              <w:rPr>
                <w:rFonts w:ascii="Arial" w:cs="Arial" w:eastAsia="Arial" w:hAnsi="Arial"/>
                <w:sz w:val="18"/>
                <w:szCs w:val="18"/>
                <w:color w:val="auto"/>
                <w:w w:val="97"/>
              </w:rPr>
              <w:t>Marvell Technology Vietnam Limited Liability Company</w:t>
            </w:r>
          </w:p>
        </w:tc>
        <w:tc>
          <w:tcPr>
            <w:tcW w:w="4320" w:type="dxa"/>
            <w:vAlign w:val="bottom"/>
            <w:gridSpan w:val="3"/>
          </w:tcPr>
          <w:p>
            <w:pPr>
              <w:ind w:left="2540"/>
              <w:spacing w:after="0"/>
              <w:rPr>
                <w:sz w:val="20"/>
                <w:szCs w:val="20"/>
                <w:color w:val="auto"/>
              </w:rPr>
            </w:pPr>
            <w:r>
              <w:rPr>
                <w:rFonts w:ascii="Arial" w:cs="Arial" w:eastAsia="Arial" w:hAnsi="Arial"/>
                <w:sz w:val="18"/>
                <w:szCs w:val="18"/>
                <w:color w:val="auto"/>
              </w:rPr>
              <w:t>Vietnam</w:t>
            </w:r>
          </w:p>
        </w:tc>
      </w:tr>
    </w:tbl>
    <w:p>
      <w:pPr>
        <w:sectPr>
          <w:pgSz w:w="11900" w:h="16838" w:orient="portrait"/>
          <w:cols w:equalWidth="0" w:num="1">
            <w:col w:w="11420"/>
          </w:cols>
          <w:pgMar w:left="240" w:top="121" w:right="239" w:bottom="1440" w:gutter="0" w:footer="0" w:header="0"/>
        </w:sectPr>
      </w:pPr>
    </w:p>
    <w:bookmarkStart w:id="113" w:name="page114"/>
    <w:bookmarkEnd w:id="113"/>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100" w:firstLine="456"/>
        <w:spacing w:after="0" w:line="302" w:lineRule="auto"/>
        <w:rPr>
          <w:sz w:val="20"/>
          <w:szCs w:val="20"/>
          <w:color w:val="auto"/>
        </w:rPr>
      </w:pPr>
      <w:r>
        <w:rPr>
          <w:rFonts w:ascii="Arial" w:cs="Arial" w:eastAsia="Arial" w:hAnsi="Arial"/>
          <w:sz w:val="16"/>
          <w:szCs w:val="16"/>
          <w:color w:val="auto"/>
        </w:rPr>
        <w:t>We hereby consent to the incorporation by reference in the Registration Statements on Form S-8 (Nos. 333-40152, 333-40154, 333-54188, 333-55974, 333-56322, 333-87322, 333-91124, 333-104925, 333-106683, 333-108334, 333-111133, 333-114434, 333-124072, 333-133281, 333-148621, 333-151816, 333-163644, 333-180412, 333-187641, 333-194865) of Marvell Technology Group Ltd. of our report dated March 26, 2015 relating to the consolidated financial statements, financial statement schedule and the effectiveness of internal control over financial reporting, which appears in this Form 10-K.</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26, 2015</w:t>
      </w:r>
    </w:p>
    <w:p>
      <w:pPr>
        <w:sectPr>
          <w:pgSz w:w="11900" w:h="16838" w:orient="portrait"/>
          <w:cols w:equalWidth="0" w:num="1">
            <w:col w:w="11420"/>
          </w:cols>
          <w:pgMar w:left="240" w:top="121" w:right="239" w:bottom="1440" w:gutter="0" w:footer="0" w:header="0"/>
        </w:sectPr>
      </w:pPr>
    </w:p>
    <w:bookmarkStart w:id="114" w:name="page115"/>
    <w:bookmarkEnd w:id="114"/>
    <w:p>
      <w:pPr>
        <w:jc w:val="right"/>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ind w:left="260" w:right="2100"/>
        <w:spacing w:after="0" w:line="266" w:lineRule="auto"/>
        <w:rPr>
          <w:sz w:val="20"/>
          <w:szCs w:val="20"/>
          <w:color w:val="auto"/>
        </w:rPr>
      </w:pPr>
      <w:r>
        <w:rPr>
          <w:rFonts w:ascii="Arial" w:cs="Arial" w:eastAsia="Arial" w:hAnsi="Arial"/>
          <w:sz w:val="18"/>
          <w:szCs w:val="18"/>
          <w:b w:val="1"/>
          <w:bCs w:val="1"/>
          <w:color w:val="auto"/>
        </w:rPr>
        <w:t>CERTIFICATION OF THE CHIEF EXECUTIVE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131" w:lineRule="exact"/>
        <w:rPr>
          <w:sz w:val="20"/>
          <w:szCs w:val="20"/>
          <w:color w:val="auto"/>
        </w:rPr>
      </w:pPr>
    </w:p>
    <w:p>
      <w:pPr>
        <w:ind w:left="460" w:hanging="452"/>
        <w:spacing w:after="0"/>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3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3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3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76" w:lineRule="exact"/>
        <w:rPr>
          <w:sz w:val="20"/>
          <w:szCs w:val="20"/>
          <w:color w:val="auto"/>
        </w:rPr>
      </w:pPr>
    </w:p>
    <w:p>
      <w:pPr>
        <w:spacing w:after="0"/>
        <w:tabs>
          <w:tab w:leader="none" w:pos="5820" w:val="left"/>
          <w:tab w:leader="none" w:pos="7860" w:val="left"/>
          <w:tab w:leader="none" w:pos="8220" w:val="left"/>
        </w:tabs>
        <w:rPr>
          <w:sz w:val="20"/>
          <w:szCs w:val="20"/>
          <w:color w:val="auto"/>
        </w:rPr>
      </w:pPr>
      <w:r>
        <w:rPr>
          <w:rFonts w:ascii="Arial" w:cs="Arial" w:eastAsia="Arial" w:hAnsi="Arial"/>
          <w:sz w:val="18"/>
          <w:szCs w:val="18"/>
          <w:color w:val="auto"/>
        </w:rPr>
        <w:t>Date: March 26,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5"/>
          <w:szCs w:val="15"/>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S</w:t>
      </w:r>
      <w:r>
        <w:rPr>
          <w:rFonts w:ascii="Arial" w:cs="Arial" w:eastAsia="Arial" w:hAnsi="Arial"/>
          <w:sz w:val="14"/>
          <w:szCs w:val="14"/>
          <w:color w:val="auto"/>
        </w:rPr>
        <w:t>EHAT</w:t>
      </w:r>
      <w:r>
        <w:rPr>
          <w:rFonts w:ascii="Arial" w:cs="Arial" w:eastAsia="Arial" w:hAnsi="Arial"/>
          <w:sz w:val="17"/>
          <w:szCs w:val="17"/>
          <w:color w:val="auto"/>
        </w:rPr>
        <w:t xml:space="preserve"> S</w:t>
      </w:r>
      <w:r>
        <w:rPr>
          <w:rFonts w:ascii="Arial" w:cs="Arial" w:eastAsia="Arial" w:hAnsi="Arial"/>
          <w:sz w:val="14"/>
          <w:szCs w:val="14"/>
          <w:color w:val="auto"/>
        </w:rPr>
        <w:t>UTARDJA</w:t>
      </w:r>
    </w:p>
    <w:p>
      <w:pPr>
        <w:spacing w:after="0" w:line="18" w:lineRule="exact"/>
        <w:rPr>
          <w:sz w:val="20"/>
          <w:szCs w:val="20"/>
          <w:color w:val="auto"/>
        </w:rPr>
      </w:pPr>
    </w:p>
    <w:p>
      <w:pPr>
        <w:jc w:val="center"/>
        <w:ind w:left="6280"/>
        <w:spacing w:after="0"/>
        <w:rPr>
          <w:sz w:val="20"/>
          <w:szCs w:val="20"/>
          <w:color w:val="auto"/>
        </w:rPr>
      </w:pPr>
      <w:r>
        <w:rPr>
          <w:rFonts w:ascii="Arial" w:cs="Arial" w:eastAsia="Arial" w:hAnsi="Arial"/>
          <w:sz w:val="14"/>
          <w:szCs w:val="14"/>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-97790</wp:posOffset>
            </wp:positionV>
            <wp:extent cx="33274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line="221" w:lineRule="auto"/>
        <w:rPr>
          <w:sz w:val="20"/>
          <w:szCs w:val="20"/>
          <w:color w:val="auto"/>
        </w:rPr>
      </w:pPr>
      <w:r>
        <w:rPr>
          <w:rFonts w:ascii="Arial" w:cs="Arial" w:eastAsia="Arial" w:hAnsi="Arial"/>
          <w:sz w:val="14"/>
          <w:szCs w:val="14"/>
          <w:b w:val="1"/>
          <w:bCs w:val="1"/>
          <w:color w:val="auto"/>
        </w:rPr>
        <w:t>Chief Executive Officer</w:t>
      </w:r>
    </w:p>
    <w:p>
      <w:pPr>
        <w:jc w:val="center"/>
        <w:ind w:left="6280"/>
        <w:spacing w:after="0"/>
        <w:rPr>
          <w:sz w:val="20"/>
          <w:szCs w:val="20"/>
          <w:color w:val="auto"/>
        </w:rPr>
      </w:pPr>
      <w:r>
        <w:rPr>
          <w:rFonts w:ascii="Arial" w:cs="Arial" w:eastAsia="Arial" w:hAnsi="Arial"/>
          <w:sz w:val="14"/>
          <w:szCs w:val="14"/>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115" w:name="page116"/>
    <w:bookmarkEnd w:id="115"/>
    <w:p>
      <w:pPr>
        <w:jc w:val="right"/>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ind w:left="260" w:right="2100"/>
        <w:spacing w:after="0" w:line="266"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Michael Rashkin, certify that:</w:t>
      </w:r>
    </w:p>
    <w:p>
      <w:pPr>
        <w:spacing w:after="0" w:line="131" w:lineRule="exact"/>
        <w:rPr>
          <w:sz w:val="20"/>
          <w:szCs w:val="20"/>
          <w:color w:val="auto"/>
        </w:rPr>
      </w:pPr>
    </w:p>
    <w:p>
      <w:pPr>
        <w:ind w:left="460" w:hanging="452"/>
        <w:spacing w:after="0"/>
        <w:tabs>
          <w:tab w:leader="none" w:pos="4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39"/>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3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3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3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3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3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3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3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76" w:lineRule="exact"/>
        <w:rPr>
          <w:sz w:val="20"/>
          <w:szCs w:val="20"/>
          <w:color w:val="auto"/>
        </w:rPr>
      </w:pPr>
    </w:p>
    <w:p>
      <w:pPr>
        <w:spacing w:after="0"/>
        <w:tabs>
          <w:tab w:leader="none" w:pos="5880" w:val="left"/>
          <w:tab w:leader="none" w:pos="7840" w:val="left"/>
          <w:tab w:leader="none" w:pos="8200" w:val="left"/>
        </w:tabs>
        <w:rPr>
          <w:sz w:val="20"/>
          <w:szCs w:val="20"/>
          <w:color w:val="auto"/>
        </w:rPr>
      </w:pPr>
      <w:r>
        <w:rPr>
          <w:rFonts w:ascii="Arial" w:cs="Arial" w:eastAsia="Arial" w:hAnsi="Arial"/>
          <w:sz w:val="18"/>
          <w:szCs w:val="18"/>
          <w:color w:val="auto"/>
        </w:rPr>
        <w:t>Date: March 26,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5"/>
          <w:szCs w:val="15"/>
          <w:color w:val="auto"/>
        </w:rPr>
        <w:t>S</w:t>
      </w:r>
      <w:r>
        <w:rPr>
          <w:rFonts w:ascii="Arial" w:cs="Arial" w:eastAsia="Arial" w:hAnsi="Arial"/>
          <w:sz w:val="18"/>
          <w:szCs w:val="18"/>
          <w:color w:val="auto"/>
        </w:rPr>
        <w:t>/</w:t>
        <w:tab/>
        <w:t>M</w:t>
      </w:r>
      <w:r>
        <w:rPr>
          <w:rFonts w:ascii="Arial" w:cs="Arial" w:eastAsia="Arial" w:hAnsi="Arial"/>
          <w:sz w:val="15"/>
          <w:szCs w:val="15"/>
          <w:color w:val="auto"/>
        </w:rPr>
        <w:t>ICHAEL</w:t>
      </w:r>
      <w:r>
        <w:rPr>
          <w:rFonts w:ascii="Arial" w:cs="Arial" w:eastAsia="Arial" w:hAnsi="Arial"/>
          <w:sz w:val="18"/>
          <w:szCs w:val="18"/>
          <w:color w:val="auto"/>
        </w:rPr>
        <w:t xml:space="preserve"> R</w:t>
      </w:r>
      <w:r>
        <w:rPr>
          <w:rFonts w:ascii="Arial" w:cs="Arial" w:eastAsia="Arial" w:hAnsi="Arial"/>
          <w:sz w:val="15"/>
          <w:szCs w:val="15"/>
          <w:color w:val="auto"/>
        </w:rPr>
        <w:t>ASHKIN</w:t>
      </w:r>
    </w:p>
    <w:p>
      <w:pPr>
        <w:spacing w:after="0" w:line="18" w:lineRule="exact"/>
        <w:rPr>
          <w:sz w:val="20"/>
          <w:szCs w:val="20"/>
          <w:color w:val="auto"/>
        </w:rPr>
      </w:pPr>
    </w:p>
    <w:p>
      <w:pPr>
        <w:jc w:val="center"/>
        <w:ind w:left="6400"/>
        <w:spacing w:after="0"/>
        <w:rPr>
          <w:sz w:val="20"/>
          <w:szCs w:val="20"/>
          <w:color w:val="auto"/>
        </w:rPr>
      </w:pPr>
      <w:r>
        <w:rPr>
          <w:rFonts w:ascii="Arial" w:cs="Arial" w:eastAsia="Arial" w:hAnsi="Arial"/>
          <w:sz w:val="14"/>
          <w:szCs w:val="14"/>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3966845</wp:posOffset>
            </wp:positionH>
            <wp:positionV relativeFrom="paragraph">
              <wp:posOffset>-97790</wp:posOffset>
            </wp:positionV>
            <wp:extent cx="3284855"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3284855" cy="8890"/>
                    </a:xfrm>
                    <a:prstGeom prst="rect">
                      <a:avLst/>
                    </a:prstGeom>
                    <a:noFill/>
                  </pic:spPr>
                </pic:pic>
              </a:graphicData>
            </a:graphic>
          </wp:anchor>
        </w:drawing>
      </w:r>
    </w:p>
    <w:p>
      <w:pPr>
        <w:jc w:val="center"/>
        <w:ind w:left="6400"/>
        <w:spacing w:after="0" w:line="221" w:lineRule="auto"/>
        <w:rPr>
          <w:sz w:val="20"/>
          <w:szCs w:val="20"/>
          <w:color w:val="auto"/>
        </w:rPr>
      </w:pPr>
      <w:r>
        <w:rPr>
          <w:rFonts w:ascii="Arial" w:cs="Arial" w:eastAsia="Arial" w:hAnsi="Arial"/>
          <w:sz w:val="14"/>
          <w:szCs w:val="14"/>
          <w:b w:val="1"/>
          <w:bCs w:val="1"/>
          <w:color w:val="auto"/>
        </w:rPr>
        <w:t>Chief Financial Officer</w:t>
      </w:r>
    </w:p>
    <w:p>
      <w:pPr>
        <w:jc w:val="center"/>
        <w:ind w:left="6400"/>
        <w:spacing w:after="0"/>
        <w:rPr>
          <w:sz w:val="20"/>
          <w:szCs w:val="20"/>
          <w:color w:val="auto"/>
        </w:rPr>
      </w:pPr>
      <w:r>
        <w:rPr>
          <w:rFonts w:ascii="Arial" w:cs="Arial" w:eastAsia="Arial" w:hAnsi="Arial"/>
          <w:sz w:val="14"/>
          <w:szCs w:val="14"/>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 THE SARBANES-OXLEY ACT OF 2002</w:t>
      </w:r>
    </w:p>
    <w:p>
      <w:pPr>
        <w:spacing w:after="0" w:line="180" w:lineRule="exact"/>
        <w:rPr>
          <w:sz w:val="20"/>
          <w:szCs w:val="20"/>
          <w:color w:val="auto"/>
        </w:rPr>
      </w:pPr>
    </w:p>
    <w:p>
      <w:pPr>
        <w:ind w:right="960" w:firstLine="456"/>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20" w:hanging="446"/>
        <w:spacing w:after="0" w:line="277"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31, 2015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80" w:val="left"/>
          <w:tab w:leader="none" w:pos="7860" w:val="left"/>
          <w:tab w:leader="none" w:pos="8220" w:val="left"/>
        </w:tabs>
        <w:rPr>
          <w:sz w:val="20"/>
          <w:szCs w:val="20"/>
          <w:color w:val="auto"/>
        </w:rPr>
      </w:pPr>
      <w:r>
        <w:rPr>
          <w:rFonts w:ascii="Arial" w:cs="Arial" w:eastAsia="Arial" w:hAnsi="Arial"/>
          <w:sz w:val="18"/>
          <w:szCs w:val="18"/>
          <w:color w:val="auto"/>
        </w:rPr>
        <w:t>Date: March 26,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5"/>
          <w:szCs w:val="15"/>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S</w:t>
      </w:r>
      <w:r>
        <w:rPr>
          <w:rFonts w:ascii="Arial" w:cs="Arial" w:eastAsia="Arial" w:hAnsi="Arial"/>
          <w:sz w:val="14"/>
          <w:szCs w:val="14"/>
          <w:color w:val="auto"/>
        </w:rPr>
        <w:t>EHAT</w:t>
      </w:r>
      <w:r>
        <w:rPr>
          <w:rFonts w:ascii="Arial" w:cs="Arial" w:eastAsia="Arial" w:hAnsi="Arial"/>
          <w:sz w:val="17"/>
          <w:szCs w:val="17"/>
          <w:color w:val="auto"/>
        </w:rPr>
        <w:t xml:space="preserve"> S</w:t>
      </w:r>
      <w:r>
        <w:rPr>
          <w:rFonts w:ascii="Arial" w:cs="Arial" w:eastAsia="Arial" w:hAnsi="Arial"/>
          <w:sz w:val="14"/>
          <w:szCs w:val="14"/>
          <w:color w:val="auto"/>
        </w:rPr>
        <w:t>UTARDJA</w:t>
      </w:r>
    </w:p>
    <w:p>
      <w:pPr>
        <w:spacing w:after="0" w:line="18" w:lineRule="exact"/>
        <w:rPr>
          <w:sz w:val="20"/>
          <w:szCs w:val="20"/>
          <w:color w:val="auto"/>
        </w:rPr>
      </w:pPr>
    </w:p>
    <w:p>
      <w:pPr>
        <w:jc w:val="center"/>
        <w:ind w:left="6280"/>
        <w:spacing w:after="0"/>
        <w:rPr>
          <w:sz w:val="20"/>
          <w:szCs w:val="20"/>
          <w:color w:val="auto"/>
        </w:rPr>
      </w:pPr>
      <w:r>
        <w:rPr>
          <w:rFonts w:ascii="Arial" w:cs="Arial" w:eastAsia="Arial" w:hAnsi="Arial"/>
          <w:sz w:val="14"/>
          <w:szCs w:val="14"/>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-97790</wp:posOffset>
            </wp:positionV>
            <wp:extent cx="332740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line="221" w:lineRule="auto"/>
        <w:rPr>
          <w:sz w:val="20"/>
          <w:szCs w:val="20"/>
          <w:color w:val="auto"/>
        </w:rPr>
      </w:pPr>
      <w:r>
        <w:rPr>
          <w:rFonts w:ascii="Arial" w:cs="Arial" w:eastAsia="Arial" w:hAnsi="Arial"/>
          <w:sz w:val="14"/>
          <w:szCs w:val="14"/>
          <w:b w:val="1"/>
          <w:bCs w:val="1"/>
          <w:color w:val="auto"/>
        </w:rPr>
        <w:t>Chief Executive Officer</w:t>
      </w:r>
    </w:p>
    <w:p>
      <w:pPr>
        <w:jc w:val="center"/>
        <w:ind w:left="6280"/>
        <w:spacing w:after="0"/>
        <w:rPr>
          <w:sz w:val="20"/>
          <w:szCs w:val="20"/>
          <w:color w:val="auto"/>
        </w:rPr>
      </w:pPr>
      <w:r>
        <w:rPr>
          <w:rFonts w:ascii="Arial" w:cs="Arial" w:eastAsia="Arial" w:hAnsi="Arial"/>
          <w:sz w:val="14"/>
          <w:szCs w:val="14"/>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117" w:name="page118"/>
    <w:bookmarkEnd w:id="117"/>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CERTIFICATION OF CHIEF FINANCIAL OFFICER PURSUANT TO 18 U.S.C. § 1350, AS ADOPTED PURSUANT TO SECTION 906 OF THE SARBANES-OXLEY ACT OF 2002</w:t>
      </w:r>
    </w:p>
    <w:p>
      <w:pPr>
        <w:spacing w:after="0" w:line="180" w:lineRule="exact"/>
        <w:rPr>
          <w:sz w:val="20"/>
          <w:szCs w:val="20"/>
          <w:color w:val="auto"/>
        </w:rPr>
      </w:pPr>
    </w:p>
    <w:p>
      <w:pPr>
        <w:ind w:right="80" w:firstLine="456"/>
        <w:spacing w:after="0" w:line="277" w:lineRule="auto"/>
        <w:rPr>
          <w:sz w:val="20"/>
          <w:szCs w:val="20"/>
          <w:color w:val="auto"/>
        </w:rPr>
      </w:pPr>
      <w:r>
        <w:rPr>
          <w:rFonts w:ascii="Arial" w:cs="Arial" w:eastAsia="Arial" w:hAnsi="Arial"/>
          <w:sz w:val="18"/>
          <w:szCs w:val="18"/>
          <w:color w:val="auto"/>
        </w:rPr>
        <w:t>I, Michael Rashkin, the chief financial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20" w:hanging="446"/>
        <w:spacing w:after="0" w:line="277"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31, 2015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80" w:val="left"/>
          <w:tab w:leader="none" w:pos="7780" w:val="left"/>
          <w:tab w:leader="none" w:pos="8140" w:val="left"/>
        </w:tabs>
        <w:rPr>
          <w:sz w:val="20"/>
          <w:szCs w:val="20"/>
          <w:color w:val="auto"/>
        </w:rPr>
      </w:pPr>
      <w:r>
        <w:rPr>
          <w:rFonts w:ascii="Arial" w:cs="Arial" w:eastAsia="Arial" w:hAnsi="Arial"/>
          <w:sz w:val="18"/>
          <w:szCs w:val="18"/>
          <w:color w:val="auto"/>
        </w:rPr>
        <w:t>Date: March 26,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5"/>
          <w:szCs w:val="15"/>
          <w:color w:val="auto"/>
        </w:rPr>
        <w:t>S</w:t>
      </w:r>
      <w:r>
        <w:rPr>
          <w:rFonts w:ascii="Arial" w:cs="Arial" w:eastAsia="Arial" w:hAnsi="Arial"/>
          <w:sz w:val="18"/>
          <w:szCs w:val="18"/>
          <w:color w:val="auto"/>
        </w:rPr>
        <w:t>/</w:t>
        <w:tab/>
        <w:t>M</w:t>
      </w:r>
      <w:r>
        <w:rPr>
          <w:rFonts w:ascii="Arial" w:cs="Arial" w:eastAsia="Arial" w:hAnsi="Arial"/>
          <w:sz w:val="15"/>
          <w:szCs w:val="15"/>
          <w:color w:val="auto"/>
        </w:rPr>
        <w:t>ICHAEL</w:t>
      </w:r>
      <w:r>
        <w:rPr>
          <w:rFonts w:ascii="Arial" w:cs="Arial" w:eastAsia="Arial" w:hAnsi="Arial"/>
          <w:sz w:val="18"/>
          <w:szCs w:val="18"/>
          <w:color w:val="auto"/>
        </w:rPr>
        <w:t xml:space="preserve"> R</w:t>
      </w:r>
      <w:r>
        <w:rPr>
          <w:rFonts w:ascii="Arial" w:cs="Arial" w:eastAsia="Arial" w:hAnsi="Arial"/>
          <w:sz w:val="15"/>
          <w:szCs w:val="15"/>
          <w:color w:val="auto"/>
        </w:rPr>
        <w:t>ASHKIN</w:t>
      </w:r>
    </w:p>
    <w:p>
      <w:pPr>
        <w:spacing w:after="0" w:line="18" w:lineRule="exact"/>
        <w:rPr>
          <w:sz w:val="20"/>
          <w:szCs w:val="20"/>
          <w:color w:val="auto"/>
        </w:rPr>
      </w:pPr>
    </w:p>
    <w:p>
      <w:pPr>
        <w:jc w:val="center"/>
        <w:ind w:left="6280"/>
        <w:spacing w:after="0"/>
        <w:rPr>
          <w:sz w:val="20"/>
          <w:szCs w:val="20"/>
          <w:color w:val="auto"/>
        </w:rPr>
      </w:pPr>
      <w:r>
        <w:rPr>
          <w:rFonts w:ascii="Arial" w:cs="Arial" w:eastAsia="Arial" w:hAnsi="Arial"/>
          <w:sz w:val="14"/>
          <w:szCs w:val="14"/>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-97790</wp:posOffset>
            </wp:positionV>
            <wp:extent cx="33274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line="221" w:lineRule="auto"/>
        <w:rPr>
          <w:sz w:val="20"/>
          <w:szCs w:val="20"/>
          <w:color w:val="auto"/>
        </w:rPr>
      </w:pPr>
      <w:r>
        <w:rPr>
          <w:rFonts w:ascii="Arial" w:cs="Arial" w:eastAsia="Arial" w:hAnsi="Arial"/>
          <w:sz w:val="14"/>
          <w:szCs w:val="14"/>
          <w:b w:val="1"/>
          <w:bCs w:val="1"/>
          <w:color w:val="auto"/>
        </w:rPr>
        <w:t>Chief Financial Officer</w:t>
      </w:r>
    </w:p>
    <w:p>
      <w:pPr>
        <w:jc w:val="center"/>
        <w:ind w:left="6280"/>
        <w:spacing w:after="0"/>
        <w:rPr>
          <w:sz w:val="20"/>
          <w:szCs w:val="20"/>
          <w:color w:val="auto"/>
        </w:rPr>
      </w:pPr>
      <w:r>
        <w:rPr>
          <w:rFonts w:ascii="Arial" w:cs="Arial" w:eastAsia="Arial" w:hAnsi="Arial"/>
          <w:sz w:val="14"/>
          <w:szCs w:val="14"/>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8C895D"/>
    <w:multiLevelType w:val="hybridMultilevel"/>
    <w:lvl w:ilvl="0">
      <w:lvlJc w:val="left"/>
      <w:lvlText w:val="☒"/>
      <w:numFmt w:val="bullet"/>
      <w:start w:val="1"/>
    </w:lvl>
  </w:abstractNum>
  <w:abstractNum w:abstractNumId="1">
    <w:nsid w:val="333AB105"/>
    <w:multiLevelType w:val="hybridMultilevel"/>
    <w:lvl w:ilvl="0">
      <w:lvlJc w:val="left"/>
      <w:lvlText w:val="☐"/>
      <w:numFmt w:val="bullet"/>
      <w:start w:val="1"/>
    </w:lvl>
  </w:abstractNum>
  <w:abstractNum w:abstractNumId="2">
    <w:nsid w:val="721DA317"/>
    <w:multiLevelType w:val="hybridMultilevel"/>
    <w:lvl w:ilvl="0">
      <w:lvlJc w:val="left"/>
      <w:lvlText w:val="•"/>
      <w:numFmt w:val="bullet"/>
      <w:start w:val="1"/>
    </w:lvl>
  </w:abstractNum>
  <w:abstractNum w:abstractNumId="3">
    <w:nsid w:val="2443A858"/>
    <w:multiLevelType w:val="hybridMultilevel"/>
    <w:lvl w:ilvl="0">
      <w:lvlJc w:val="left"/>
      <w:lvlText w:val="•"/>
      <w:numFmt w:val="bullet"/>
      <w:start w:val="1"/>
    </w:lvl>
  </w:abstractNum>
  <w:abstractNum w:abstractNumId="4">
    <w:nsid w:val="2D1D5AE9"/>
    <w:multiLevelType w:val="hybridMultilevel"/>
    <w:lvl w:ilvl="0">
      <w:lvlJc w:val="left"/>
      <w:lvlText w:val="•"/>
      <w:numFmt w:val="bullet"/>
      <w:start w:val="1"/>
    </w:lvl>
  </w:abstractNum>
  <w:abstractNum w:abstractNumId="5">
    <w:nsid w:val="6763845E"/>
    <w:multiLevelType w:val="hybridMultilevel"/>
    <w:lvl w:ilvl="0">
      <w:lvlJc w:val="left"/>
      <w:lvlText w:val="*"/>
      <w:numFmt w:val="bullet"/>
      <w:start w:val="1"/>
    </w:lvl>
  </w:abstractNum>
  <w:abstractNum w:abstractNumId="6">
    <w:nsid w:val="75A2A8D4"/>
    <w:multiLevelType w:val="hybridMultilevel"/>
    <w:lvl w:ilvl="0">
      <w:lvlJc w:val="left"/>
      <w:lvlText w:val="•"/>
      <w:numFmt w:val="bullet"/>
      <w:start w:val="1"/>
    </w:lvl>
  </w:abstractNum>
  <w:abstractNum w:abstractNumId="7">
    <w:nsid w:val="8EDBDAB"/>
    <w:multiLevelType w:val="hybridMultilevel"/>
    <w:lvl w:ilvl="0">
      <w:lvlJc w:val="left"/>
      <w:lvlText w:val="•"/>
      <w:numFmt w:val="bullet"/>
      <w:start w:val="1"/>
    </w:lvl>
  </w:abstractNum>
  <w:abstractNum w:abstractNumId="8">
    <w:nsid w:val="79838CB2"/>
    <w:multiLevelType w:val="hybridMultilevel"/>
    <w:lvl w:ilvl="0">
      <w:lvlJc w:val="left"/>
      <w:lvlText w:val="•"/>
      <w:numFmt w:val="bullet"/>
      <w:start w:val="1"/>
    </w:lvl>
  </w:abstractNum>
  <w:abstractNum w:abstractNumId="9">
    <w:nsid w:val="4353D0CD"/>
    <w:multiLevelType w:val="hybridMultilevel"/>
    <w:lvl w:ilvl="0">
      <w:lvlJc w:val="left"/>
      <w:lvlText w:val="•"/>
      <w:numFmt w:val="bullet"/>
      <w:start w:val="1"/>
    </w:lvl>
  </w:abstractNum>
  <w:abstractNum w:abstractNumId="10">
    <w:nsid w:val="B03E0C6"/>
    <w:multiLevelType w:val="hybridMultilevel"/>
    <w:lvl w:ilvl="0">
      <w:lvlJc w:val="left"/>
      <w:lvlText w:val="•"/>
      <w:numFmt w:val="bullet"/>
      <w:start w:val="1"/>
    </w:lvl>
  </w:abstractNum>
  <w:abstractNum w:abstractNumId="11">
    <w:nsid w:val="189A769B"/>
    <w:multiLevelType w:val="hybridMultilevel"/>
    <w:lvl w:ilvl="0">
      <w:lvlJc w:val="left"/>
      <w:lvlText w:val="•"/>
      <w:numFmt w:val="bullet"/>
      <w:start w:val="1"/>
    </w:lvl>
  </w:abstractNum>
  <w:abstractNum w:abstractNumId="12">
    <w:nsid w:val="54E49EB4"/>
    <w:multiLevelType w:val="hybridMultilevel"/>
    <w:lvl w:ilvl="0">
      <w:lvlJc w:val="left"/>
      <w:lvlText w:val="•"/>
      <w:numFmt w:val="bullet"/>
      <w:start w:val="1"/>
    </w:lvl>
  </w:abstractNum>
  <w:abstractNum w:abstractNumId="13">
    <w:nsid w:val="71F32454"/>
    <w:multiLevelType w:val="hybridMultilevel"/>
    <w:lvl w:ilvl="0">
      <w:lvlJc w:val="left"/>
      <w:lvlText w:val="•"/>
      <w:numFmt w:val="bullet"/>
      <w:start w:val="1"/>
    </w:lvl>
  </w:abstractNum>
  <w:abstractNum w:abstractNumId="14">
    <w:nsid w:val="2CA88611"/>
    <w:multiLevelType w:val="hybridMultilevel"/>
    <w:lvl w:ilvl="0">
      <w:lvlJc w:val="left"/>
      <w:lvlText w:val="•"/>
      <w:numFmt w:val="bullet"/>
      <w:start w:val="1"/>
    </w:lvl>
  </w:abstractNum>
  <w:abstractNum w:abstractNumId="15">
    <w:nsid w:val="836C40E"/>
    <w:multiLevelType w:val="hybridMultilevel"/>
    <w:lvl w:ilvl="0">
      <w:lvlJc w:val="left"/>
      <w:lvlText w:val="•"/>
      <w:numFmt w:val="bullet"/>
      <w:start w:val="1"/>
    </w:lvl>
  </w:abstractNum>
  <w:abstractNum w:abstractNumId="16">
    <w:nsid w:val="2901D82"/>
    <w:multiLevelType w:val="hybridMultilevel"/>
    <w:lvl w:ilvl="0">
      <w:lvlJc w:val="left"/>
      <w:lvlText w:val="(%1)"/>
      <w:numFmt w:val="decimal"/>
      <w:start w:val="1"/>
    </w:lvl>
  </w:abstractNum>
  <w:abstractNum w:abstractNumId="17">
    <w:nsid w:val="3A95F874"/>
    <w:multiLevelType w:val="hybridMultilevel"/>
    <w:lvl w:ilvl="0">
      <w:lvlJc w:val="left"/>
      <w:lvlText w:val="(%1)"/>
      <w:numFmt w:val="decimal"/>
      <w:start w:val="1"/>
    </w:lvl>
  </w:abstractNum>
  <w:abstractNum w:abstractNumId="18">
    <w:nsid w:val="8138641"/>
    <w:multiLevelType w:val="hybridMultilevel"/>
    <w:lvl w:ilvl="0">
      <w:lvlJc w:val="left"/>
      <w:lvlText w:val="(%1)"/>
      <w:numFmt w:val="decimal"/>
      <w:start w:val="1"/>
    </w:lvl>
  </w:abstractNum>
  <w:abstractNum w:abstractNumId="19">
    <w:nsid w:val="1E7FF521"/>
    <w:multiLevelType w:val="hybridMultilevel"/>
    <w:lvl w:ilvl="0">
      <w:lvlJc w:val="left"/>
      <w:lvlText w:val="•"/>
      <w:numFmt w:val="bullet"/>
      <w:start w:val="1"/>
    </w:lvl>
  </w:abstractNum>
  <w:abstractNum w:abstractNumId="20">
    <w:nsid w:val="7C3DBD3D"/>
    <w:multiLevelType w:val="hybridMultilevel"/>
    <w:lvl w:ilvl="0">
      <w:lvlJc w:val="left"/>
      <w:lvlText w:val="•"/>
      <w:numFmt w:val="bullet"/>
      <w:start w:val="1"/>
    </w:lvl>
  </w:abstractNum>
  <w:abstractNum w:abstractNumId="21">
    <w:nsid w:val="737B8DDC"/>
    <w:multiLevelType w:val="hybridMultilevel"/>
    <w:lvl w:ilvl="0">
      <w:lvlJc w:val="left"/>
      <w:lvlText w:val="•"/>
      <w:numFmt w:val="bullet"/>
      <w:start w:val="1"/>
    </w:lvl>
  </w:abstractNum>
  <w:abstractNum w:abstractNumId="22">
    <w:nsid w:val="6CEAF087"/>
    <w:multiLevelType w:val="hybridMultilevel"/>
    <w:lvl w:ilvl="0">
      <w:lvlJc w:val="left"/>
      <w:lvlText w:val="•"/>
      <w:numFmt w:val="bullet"/>
      <w:start w:val="1"/>
    </w:lvl>
  </w:abstractNum>
  <w:abstractNum w:abstractNumId="23">
    <w:nsid w:val="22221A70"/>
    <w:multiLevelType w:val="hybridMultilevel"/>
    <w:lvl w:ilvl="0">
      <w:lvlJc w:val="left"/>
      <w:lvlText w:val="•"/>
      <w:numFmt w:val="bullet"/>
      <w:start w:val="1"/>
    </w:lvl>
  </w:abstractNum>
  <w:abstractNum w:abstractNumId="24">
    <w:nsid w:val="4516DDE9"/>
    <w:multiLevelType w:val="hybridMultilevel"/>
    <w:lvl w:ilvl="0">
      <w:lvlJc w:val="left"/>
      <w:lvlText w:val="•"/>
      <w:numFmt w:val="bullet"/>
      <w:start w:val="1"/>
    </w:lvl>
  </w:abstractNum>
  <w:abstractNum w:abstractNumId="25">
    <w:nsid w:val="3006C83E"/>
    <w:multiLevelType w:val="hybridMultilevel"/>
    <w:lvl w:ilvl="0">
      <w:lvlJc w:val="left"/>
      <w:lvlText w:val="(%1)"/>
      <w:numFmt w:val="decimal"/>
      <w:start w:val="1"/>
    </w:lvl>
  </w:abstractNum>
  <w:abstractNum w:abstractNumId="26">
    <w:nsid w:val="614FD4A1"/>
    <w:multiLevelType w:val="hybridMultilevel"/>
    <w:lvl w:ilvl="0">
      <w:lvlJc w:val="left"/>
      <w:lvlText w:val="*"/>
      <w:numFmt w:val="bullet"/>
      <w:start w:val="1"/>
    </w:lvl>
  </w:abstractNum>
  <w:abstractNum w:abstractNumId="27">
    <w:nsid w:val="419AC241"/>
    <w:multiLevelType w:val="hybridMultilevel"/>
    <w:lvl w:ilvl="0">
      <w:lvlJc w:val="left"/>
      <w:lvlText w:val="•"/>
      <w:numFmt w:val="bullet"/>
      <w:start w:val="1"/>
    </w:lvl>
  </w:abstractNum>
  <w:abstractNum w:abstractNumId="28">
    <w:nsid w:val="5577F8E1"/>
    <w:multiLevelType w:val="hybridMultilevel"/>
    <w:lvl w:ilvl="0">
      <w:lvlJc w:val="left"/>
      <w:lvlText w:val="•"/>
      <w:numFmt w:val="bullet"/>
      <w:start w:val="1"/>
    </w:lvl>
  </w:abstractNum>
  <w:abstractNum w:abstractNumId="29">
    <w:nsid w:val="440BADFC"/>
    <w:multiLevelType w:val="hybridMultilevel"/>
    <w:lvl w:ilvl="0">
      <w:lvlJc w:val="left"/>
      <w:lvlText w:val="(%1)"/>
      <w:numFmt w:val="decimal"/>
      <w:start w:val="1"/>
    </w:lvl>
  </w:abstractNum>
  <w:abstractNum w:abstractNumId="30">
    <w:nsid w:val="5072367"/>
    <w:multiLevelType w:val="hybridMultilevel"/>
    <w:lvl w:ilvl="0">
      <w:lvlJc w:val="left"/>
      <w:lvlText w:val="(%1)"/>
      <w:numFmt w:val="decimal"/>
      <w:start w:val="1"/>
    </w:lvl>
  </w:abstractNum>
  <w:abstractNum w:abstractNumId="31">
    <w:nsid w:val="3804823E"/>
    <w:multiLevelType w:val="hybridMultilevel"/>
    <w:lvl w:ilvl="0">
      <w:lvlJc w:val="left"/>
      <w:lvlText w:val="(%1)"/>
      <w:numFmt w:val="lowerLetter"/>
      <w:start w:val="1"/>
    </w:lvl>
  </w:abstractNum>
  <w:abstractNum w:abstractNumId="32">
    <w:nsid w:val="77465F01"/>
    <w:multiLevelType w:val="hybridMultilevel"/>
    <w:lvl w:ilvl="0">
      <w:lvlJc w:val="left"/>
      <w:lvlText w:val="%1."/>
      <w:numFmt w:val="decimal"/>
      <w:start w:val="1"/>
    </w:lvl>
  </w:abstractNum>
  <w:abstractNum w:abstractNumId="33">
    <w:nsid w:val="7724C67E"/>
    <w:multiLevelType w:val="hybridMultilevel"/>
    <w:lvl w:ilvl="0">
      <w:lvlJc w:val="left"/>
      <w:lvlText w:val="%1."/>
      <w:numFmt w:val="decimal"/>
      <w:start w:val="2"/>
    </w:lvl>
  </w:abstractNum>
  <w:abstractNum w:abstractNumId="34">
    <w:nsid w:val="5C482A97"/>
    <w:multiLevelType w:val="hybridMultilevel"/>
    <w:lvl w:ilvl="0">
      <w:lvlJc w:val="left"/>
      <w:lvlText w:val="%1."/>
      <w:numFmt w:val="decimal"/>
      <w:start w:val="3"/>
    </w:lvl>
  </w:abstractNum>
  <w:abstractNum w:abstractNumId="35">
    <w:nsid w:val="2463B9EA"/>
    <w:multiLevelType w:val="hybridMultilevel"/>
    <w:lvl w:ilvl="0">
      <w:lvlJc w:val="left"/>
      <w:lvlText w:val="#"/>
      <w:numFmt w:val="bullet"/>
      <w:start w:val="1"/>
    </w:lvl>
  </w:abstractNum>
  <w:abstractNum w:abstractNumId="36">
    <w:nsid w:val="5E884ADC"/>
    <w:multiLevelType w:val="hybridMultilevel"/>
    <w:lvl w:ilvl="0">
      <w:lvlJc w:val="left"/>
      <w:lvlText w:val="~"/>
      <w:numFmt w:val="bullet"/>
      <w:start w:val="1"/>
    </w:lvl>
  </w:abstractNum>
  <w:abstractNum w:abstractNumId="37">
    <w:nsid w:val="51EAD36B"/>
    <w:multiLevelType w:val="hybridMultilevel"/>
    <w:lvl w:ilvl="0">
      <w:lvlJc w:val="left"/>
      <w:lvlText w:val="%1."/>
      <w:numFmt w:val="decimal"/>
      <w:start w:val="1"/>
    </w:lvl>
    <w:lvl w:ilvl="1">
      <w:lvlJc w:val="left"/>
      <w:lvlText w:val="%2)"/>
      <w:numFmt w:val="lowerLetter"/>
      <w:start w:val="1"/>
    </w:lvl>
  </w:abstractNum>
  <w:abstractNum w:abstractNumId="38">
    <w:nsid w:val="2D517796"/>
    <w:multiLevelType w:val="hybridMultilevel"/>
    <w:lvl w:ilvl="0">
      <w:lvlJc w:val="left"/>
      <w:lvlText w:val="%1."/>
      <w:numFmt w:val="decimal"/>
      <w:start w:val="1"/>
    </w:lvl>
    <w:lvl w:ilvl="1">
      <w:lvlJc w:val="left"/>
      <w:lvlText w:val="%2)"/>
      <w:numFmt w:val="lowerLetter"/>
      <w:start w:val="1"/>
    </w:lvl>
  </w:abstractNum>
  <w:abstractNum w:abstractNumId="39">
    <w:nsid w:val="580BD78F"/>
    <w:multiLevelType w:val="hybridMultilevel"/>
    <w:lvl w:ilvl="0">
      <w:lvlJc w:val="left"/>
      <w:lvlText w:val="(%1)"/>
      <w:numFmt w:val="lowerRoman"/>
      <w:start w:val="1"/>
    </w:lvl>
  </w:abstractNum>
  <w:abstractNum w:abstractNumId="40">
    <w:nsid w:val="153EA43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jpe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2019-12-29T17:47:14Z</dcterms:created>
  <dcterms:modified xsi:type="dcterms:W3CDTF">2019-12-29T17:47:14Z</dcterms:modified>
</cp:coreProperties>
</file>