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Arial" w:cs="Arial" w:eastAsia="Arial" w:hAnsi="Arial"/>
          <w:sz w:val="18"/>
          <w:szCs w:val="18"/>
          <w:b w:val="1"/>
          <w:bCs w:val="1"/>
          <w:color w:val="auto"/>
        </w:rPr>
        <w:t>As filed with the Securities and Exchange Commission on June 4, 2015</w:t>
      </w:r>
    </w:p>
    <w:p>
      <w:pPr>
        <w:spacing w:after="0" w:line="27" w:lineRule="exact"/>
        <w:rPr>
          <w:sz w:val="24"/>
          <w:szCs w:val="24"/>
          <w:color w:val="auto"/>
        </w:rPr>
      </w:pPr>
    </w:p>
    <w:p>
      <w:pPr>
        <w:ind w:left="9240"/>
        <w:spacing w:after="0"/>
        <w:rPr>
          <w:sz w:val="20"/>
          <w:szCs w:val="20"/>
          <w:color w:val="auto"/>
        </w:rPr>
      </w:pPr>
      <w:r>
        <w:rPr>
          <w:rFonts w:ascii="Arial" w:cs="Arial" w:eastAsia="Arial" w:hAnsi="Arial"/>
          <w:sz w:val="18"/>
          <w:szCs w:val="18"/>
          <w:b w:val="1"/>
          <w:bCs w:val="1"/>
          <w:color w:val="auto"/>
        </w:rPr>
        <w:t>Registration No. 333-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14605</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57150</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110"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SECURITIES AND EXCHANGE COMMISSION</w:t>
      </w: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FORM S-8</w:t>
      </w:r>
    </w:p>
    <w:p>
      <w:pPr>
        <w:spacing w:after="0" w:line="31"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REGISTRATION STATEMENT</w:t>
      </w:r>
    </w:p>
    <w:p>
      <w:pPr>
        <w:jc w:val="center"/>
        <w:spacing w:after="0" w:line="230" w:lineRule="auto"/>
        <w:rPr>
          <w:sz w:val="20"/>
          <w:szCs w:val="20"/>
          <w:color w:val="auto"/>
        </w:rPr>
      </w:pPr>
      <w:r>
        <w:rPr>
          <w:rFonts w:ascii="Arial" w:cs="Arial" w:eastAsia="Arial" w:hAnsi="Arial"/>
          <w:sz w:val="22"/>
          <w:szCs w:val="22"/>
          <w:b w:val="1"/>
          <w:bCs w:val="1"/>
          <w:i w:val="1"/>
          <w:iCs w:val="1"/>
          <w:color w:val="auto"/>
        </w:rPr>
        <w:t>UNDER</w:t>
      </w:r>
    </w:p>
    <w:p>
      <w:pPr>
        <w:spacing w:after="0" w:line="1" w:lineRule="exact"/>
        <w:rPr>
          <w:sz w:val="24"/>
          <w:szCs w:val="24"/>
          <w:color w:val="auto"/>
        </w:rPr>
      </w:pPr>
    </w:p>
    <w:p>
      <w:pPr>
        <w:jc w:val="center"/>
        <w:spacing w:after="0"/>
        <w:rPr>
          <w:sz w:val="20"/>
          <w:szCs w:val="20"/>
          <w:color w:val="auto"/>
        </w:rPr>
      </w:pPr>
      <w:r>
        <w:rPr>
          <w:rFonts w:ascii="Arial" w:cs="Arial" w:eastAsia="Arial" w:hAnsi="Arial"/>
          <w:sz w:val="22"/>
          <w:szCs w:val="22"/>
          <w:b w:val="1"/>
          <w:bCs w:val="1"/>
          <w:i w:val="1"/>
          <w:iCs w:val="1"/>
          <w:color w:val="auto"/>
        </w:rPr>
        <w:t>THE SECURITIES ACT OF 1933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219075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11" w:lineRule="exact"/>
        <w:rPr>
          <w:sz w:val="24"/>
          <w:szCs w:val="24"/>
          <w:color w:val="auto"/>
        </w:rPr>
      </w:pPr>
    </w:p>
    <w:p>
      <w:pPr>
        <w:jc w:val="center"/>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227965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tbl>
      <w:tblPr>
        <w:tblLayout w:type="fixed"/>
        <w:tblInd w:w="1960" w:type="dxa"/>
        <w:tblCellMar>
          <w:top w:w="0" w:type="dxa"/>
          <w:left w:w="0" w:type="dxa"/>
          <w:bottom w:w="0" w:type="dxa"/>
          <w:right w:w="0" w:type="dxa"/>
        </w:tblCellMar>
      </w:tblPr>
      <w:tr>
        <w:trPr>
          <w:trHeight w:val="212"/>
        </w:trPr>
        <w:tc>
          <w:tcPr>
            <w:tcW w:w="3920" w:type="dxa"/>
            <w:vAlign w:val="bottom"/>
          </w:tcPr>
          <w:p>
            <w:pPr>
              <w:jc w:val="center"/>
              <w:ind w:right="1962"/>
              <w:spacing w:after="0"/>
              <w:rPr>
                <w:sz w:val="20"/>
                <w:szCs w:val="20"/>
                <w:color w:val="auto"/>
              </w:rPr>
            </w:pPr>
            <w:r>
              <w:rPr>
                <w:rFonts w:ascii="Arial" w:cs="Arial" w:eastAsia="Arial" w:hAnsi="Arial"/>
                <w:sz w:val="18"/>
                <w:szCs w:val="18"/>
                <w:b w:val="1"/>
                <w:bCs w:val="1"/>
                <w:color w:val="auto"/>
                <w:w w:val="92"/>
              </w:rPr>
              <w:t>Bermuda</w:t>
            </w:r>
          </w:p>
        </w:tc>
        <w:tc>
          <w:tcPr>
            <w:tcW w:w="3480" w:type="dxa"/>
            <w:vAlign w:val="bottom"/>
          </w:tcPr>
          <w:p>
            <w:pPr>
              <w:jc w:val="center"/>
              <w:ind w:left="1982"/>
              <w:spacing w:after="0"/>
              <w:rPr>
                <w:sz w:val="20"/>
                <w:szCs w:val="20"/>
                <w:color w:val="auto"/>
              </w:rPr>
            </w:pPr>
            <w:r>
              <w:rPr>
                <w:rFonts w:ascii="Arial" w:cs="Arial" w:eastAsia="Arial" w:hAnsi="Arial"/>
                <w:sz w:val="18"/>
                <w:szCs w:val="18"/>
                <w:b w:val="1"/>
                <w:bCs w:val="1"/>
                <w:color w:val="auto"/>
                <w:w w:val="89"/>
              </w:rPr>
              <w:t>77-0481679</w:t>
            </w:r>
          </w:p>
        </w:tc>
      </w:tr>
      <w:tr>
        <w:trPr>
          <w:trHeight w:val="149"/>
        </w:trPr>
        <w:tc>
          <w:tcPr>
            <w:tcW w:w="3920" w:type="dxa"/>
            <w:vAlign w:val="bottom"/>
          </w:tcPr>
          <w:p>
            <w:pPr>
              <w:jc w:val="center"/>
              <w:ind w:right="1962"/>
              <w:spacing w:after="0" w:line="149" w:lineRule="exact"/>
              <w:rPr>
                <w:sz w:val="20"/>
                <w:szCs w:val="20"/>
                <w:color w:val="auto"/>
              </w:rPr>
            </w:pPr>
            <w:r>
              <w:rPr>
                <w:rFonts w:ascii="Arial" w:cs="Arial" w:eastAsia="Arial" w:hAnsi="Arial"/>
                <w:sz w:val="14"/>
                <w:szCs w:val="14"/>
                <w:b w:val="1"/>
                <w:bCs w:val="1"/>
                <w:color w:val="auto"/>
                <w:w w:val="93"/>
              </w:rPr>
              <w:t>(State or other jurisdiction of</w:t>
            </w:r>
          </w:p>
        </w:tc>
        <w:tc>
          <w:tcPr>
            <w:tcW w:w="3480" w:type="dxa"/>
            <w:vAlign w:val="bottom"/>
          </w:tcPr>
          <w:p>
            <w:pPr>
              <w:jc w:val="center"/>
              <w:ind w:left="2002"/>
              <w:spacing w:after="0" w:line="149" w:lineRule="exact"/>
              <w:rPr>
                <w:sz w:val="20"/>
                <w:szCs w:val="20"/>
                <w:color w:val="auto"/>
              </w:rPr>
            </w:pPr>
            <w:r>
              <w:rPr>
                <w:rFonts w:ascii="Arial" w:cs="Arial" w:eastAsia="Arial" w:hAnsi="Arial"/>
                <w:sz w:val="14"/>
                <w:szCs w:val="14"/>
                <w:b w:val="1"/>
                <w:bCs w:val="1"/>
                <w:color w:val="auto"/>
                <w:w w:val="96"/>
              </w:rPr>
              <w:t>(I.R.S. Employer</w:t>
            </w:r>
          </w:p>
        </w:tc>
      </w:tr>
      <w:tr>
        <w:trPr>
          <w:trHeight w:val="186"/>
        </w:trPr>
        <w:tc>
          <w:tcPr>
            <w:tcW w:w="3920" w:type="dxa"/>
            <w:vAlign w:val="bottom"/>
          </w:tcPr>
          <w:p>
            <w:pPr>
              <w:jc w:val="center"/>
              <w:ind w:right="1962"/>
              <w:spacing w:after="0"/>
              <w:rPr>
                <w:sz w:val="20"/>
                <w:szCs w:val="20"/>
                <w:color w:val="auto"/>
              </w:rPr>
            </w:pPr>
            <w:r>
              <w:rPr>
                <w:rFonts w:ascii="Arial" w:cs="Arial" w:eastAsia="Arial" w:hAnsi="Arial"/>
                <w:sz w:val="14"/>
                <w:szCs w:val="14"/>
                <w:b w:val="1"/>
                <w:bCs w:val="1"/>
                <w:color w:val="auto"/>
                <w:w w:val="94"/>
              </w:rPr>
              <w:t>incorporation or organization)</w:t>
            </w:r>
          </w:p>
        </w:tc>
        <w:tc>
          <w:tcPr>
            <w:tcW w:w="3480" w:type="dxa"/>
            <w:vAlign w:val="bottom"/>
          </w:tcPr>
          <w:p>
            <w:pPr>
              <w:jc w:val="center"/>
              <w:ind w:left="1982"/>
              <w:spacing w:after="0"/>
              <w:rPr>
                <w:sz w:val="20"/>
                <w:szCs w:val="20"/>
                <w:color w:val="auto"/>
              </w:rPr>
            </w:pPr>
            <w:r>
              <w:rPr>
                <w:rFonts w:ascii="Arial" w:cs="Arial" w:eastAsia="Arial" w:hAnsi="Arial"/>
                <w:sz w:val="14"/>
                <w:szCs w:val="14"/>
                <w:b w:val="1"/>
                <w:bCs w:val="1"/>
                <w:color w:val="auto"/>
                <w:w w:val="95"/>
              </w:rPr>
              <w:t>Identification Number)</w:t>
            </w:r>
          </w:p>
        </w:tc>
      </w:tr>
    </w:tbl>
    <w:p>
      <w:pPr>
        <w:spacing w:after="0" w:line="196"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(441) 296-6395</w:t>
      </w:r>
    </w:p>
    <w:p>
      <w:pPr>
        <w:spacing w:after="0" w:line="2" w:lineRule="exact"/>
        <w:rPr>
          <w:sz w:val="24"/>
          <w:szCs w:val="24"/>
          <w:color w:val="auto"/>
        </w:rPr>
      </w:pPr>
    </w:p>
    <w:p>
      <w:pPr>
        <w:jc w:val="center"/>
        <w:spacing w:after="0"/>
        <w:rPr>
          <w:sz w:val="20"/>
          <w:szCs w:val="20"/>
          <w:color w:val="auto"/>
        </w:rPr>
      </w:pPr>
      <w:r>
        <w:rPr>
          <w:rFonts w:ascii="Arial" w:cs="Arial" w:eastAsia="Arial" w:hAnsi="Arial"/>
          <w:sz w:val="14"/>
          <w:szCs w:val="14"/>
          <w:b w:val="1"/>
          <w:bCs w:val="1"/>
          <w:color w:val="auto"/>
        </w:rPr>
        <w:t>(Address, including zip code, and telephone number, including area code, of Registrant’s principal executive offices)</w:t>
      </w:r>
    </w:p>
    <w:p>
      <w:pPr>
        <w:spacing w:after="0" w:line="192"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2000 Employee Stock Purchase Plan, as amended and restated</w:t>
      </w:r>
    </w:p>
    <w:p>
      <w:pPr>
        <w:spacing w:after="0" w:line="21" w:lineRule="exact"/>
        <w:rPr>
          <w:sz w:val="24"/>
          <w:szCs w:val="24"/>
          <w:color w:val="auto"/>
        </w:rPr>
      </w:pPr>
    </w:p>
    <w:p>
      <w:pPr>
        <w:jc w:val="center"/>
        <w:spacing w:after="0"/>
        <w:rPr>
          <w:sz w:val="20"/>
          <w:szCs w:val="20"/>
          <w:color w:val="auto"/>
        </w:rPr>
      </w:pPr>
      <w:r>
        <w:rPr>
          <w:rFonts w:ascii="Arial" w:cs="Arial" w:eastAsia="Arial" w:hAnsi="Arial"/>
          <w:sz w:val="14"/>
          <w:szCs w:val="14"/>
          <w:b w:val="1"/>
          <w:bCs w:val="1"/>
          <w:color w:val="auto"/>
        </w:rPr>
        <w:t>(Full title of the plan)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219075</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3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Tom Savage</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Vice President, Legal and Governmental Policy; General Counsel</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Marvell Semiconductor, Inc.</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5488 Marvell Lane</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Santa Clara, California 95054</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(408) 222-2500</w:t>
      </w:r>
    </w:p>
    <w:p>
      <w:pPr>
        <w:spacing w:after="0" w:line="2" w:lineRule="exact"/>
        <w:rPr>
          <w:sz w:val="24"/>
          <w:szCs w:val="24"/>
          <w:color w:val="auto"/>
        </w:rPr>
      </w:pPr>
    </w:p>
    <w:p>
      <w:pPr>
        <w:jc w:val="center"/>
        <w:spacing w:after="0"/>
        <w:rPr>
          <w:sz w:val="20"/>
          <w:szCs w:val="20"/>
          <w:color w:val="auto"/>
        </w:rPr>
      </w:pPr>
      <w:r>
        <w:rPr>
          <w:rFonts w:ascii="Arial" w:cs="Arial" w:eastAsia="Arial" w:hAnsi="Arial"/>
          <w:sz w:val="14"/>
          <w:szCs w:val="14"/>
          <w:b w:val="1"/>
          <w:bCs w:val="1"/>
          <w:color w:val="auto"/>
        </w:rPr>
        <w:t>(Name, address, including zip code, and telephone number, including area code, of agent for service)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227965</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54" w:lineRule="exact"/>
        <w:rPr>
          <w:sz w:val="24"/>
          <w:szCs w:val="24"/>
          <w:color w:val="auto"/>
        </w:rPr>
      </w:pPr>
    </w:p>
    <w:p>
      <w:pPr>
        <w:jc w:val="center"/>
        <w:spacing w:after="0"/>
        <w:rPr>
          <w:sz w:val="20"/>
          <w:szCs w:val="20"/>
          <w:color w:val="auto"/>
        </w:rPr>
      </w:pPr>
      <w:r>
        <w:rPr>
          <w:rFonts w:ascii="Arial" w:cs="Arial" w:eastAsia="Arial" w:hAnsi="Arial"/>
          <w:sz w:val="18"/>
          <w:szCs w:val="18"/>
          <w:b w:val="1"/>
          <w:bCs w:val="1"/>
          <w:i w:val="1"/>
          <w:iCs w:val="1"/>
          <w:color w:val="auto"/>
        </w:rPr>
        <w:t>Copy to:</w:t>
      </w:r>
    </w:p>
    <w:p>
      <w:pPr>
        <w:spacing w:after="0" w:line="221"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Robert Freedman, Esq.</w:t>
      </w:r>
    </w:p>
    <w:p>
      <w:pPr>
        <w:spacing w:after="0" w:line="27"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Fenwick &amp; West LLP</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Silicon Valley Center</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801 California Street</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Mountain View, CA 94041</w:t>
      </w:r>
    </w:p>
    <w:p>
      <w:pPr>
        <w:spacing w:after="0" w:line="9"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(650) 988-8500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228600</wp:posOffset>
            </wp:positionV>
            <wp:extent cx="151765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56" w:lineRule="exact"/>
        <w:rPr>
          <w:sz w:val="24"/>
          <w:szCs w:val="24"/>
          <w:color w:val="auto"/>
        </w:rPr>
      </w:pPr>
    </w:p>
    <w:p>
      <w:pPr>
        <w:ind w:right="80" w:firstLine="456"/>
        <w:spacing w:after="0" w:line="342" w:lineRule="auto"/>
        <w:rPr>
          <w:sz w:val="20"/>
          <w:szCs w:val="20"/>
          <w:color w:val="auto"/>
        </w:rPr>
      </w:pPr>
      <w:r>
        <w:rPr>
          <w:rFonts w:ascii="Arial" w:cs="Arial" w:eastAsia="Arial" w:hAnsi="Arial"/>
          <w:sz w:val="16"/>
          <w:szCs w:val="16"/>
          <w:color w:val="auto"/>
        </w:rPr>
        <w:t>Indicate by check mark whether the registrant is a large accelerated filer, an accelerated filer, a non-accelerated filer, or a small reporting company. See the definitions of “large accelerated filer,” “accelerated filer” and “smaller reporting company” in Rule 12b-2 of the Exchange Act. (Check one):</w:t>
      </w:r>
    </w:p>
    <w:p>
      <w:pPr>
        <w:spacing w:after="0" w:line="118" w:lineRule="exact"/>
        <w:rPr>
          <w:sz w:val="24"/>
          <w:szCs w:val="24"/>
          <w:color w:val="auto"/>
        </w:rPr>
      </w:pPr>
    </w:p>
    <w:tbl>
      <w:tblPr>
        <w:tblLayout w:type="fixed"/>
        <w:tblInd w:w="0" w:type="dxa"/>
        <w:tblCellMar>
          <w:top w:w="0" w:type="dxa"/>
          <w:left w:w="0" w:type="dxa"/>
          <w:bottom w:w="0" w:type="dxa"/>
          <w:right w:w="0" w:type="dxa"/>
        </w:tblCellMar>
      </w:tblPr>
      <w:tr>
        <w:trPr>
          <w:trHeight w:val="283"/>
        </w:trPr>
        <w:tc>
          <w:tcPr>
            <w:tcW w:w="1780" w:type="dxa"/>
            <w:vAlign w:val="bottom"/>
            <w:gridSpan w:val="2"/>
          </w:tcPr>
          <w:p>
            <w:pPr>
              <w:spacing w:after="0"/>
              <w:rPr>
                <w:sz w:val="20"/>
                <w:szCs w:val="20"/>
                <w:color w:val="auto"/>
              </w:rPr>
            </w:pPr>
            <w:r>
              <w:rPr>
                <w:rFonts w:ascii="Arial" w:cs="Arial" w:eastAsia="Arial" w:hAnsi="Arial"/>
                <w:sz w:val="18"/>
                <w:szCs w:val="18"/>
                <w:color w:val="auto"/>
                <w:w w:val="98"/>
              </w:rPr>
              <w:t>Large accelerated filer</w:t>
            </w:r>
          </w:p>
        </w:tc>
        <w:tc>
          <w:tcPr>
            <w:tcW w:w="3280" w:type="dxa"/>
            <w:vAlign w:val="bottom"/>
            <w:gridSpan w:val="2"/>
          </w:tcPr>
          <w:p>
            <w:pPr>
              <w:ind w:left="140"/>
              <w:spacing w:after="0" w:line="181" w:lineRule="exact"/>
              <w:rPr>
                <w:sz w:val="20"/>
                <w:szCs w:val="20"/>
                <w:color w:val="auto"/>
              </w:rPr>
            </w:pPr>
            <w:r>
              <w:rPr>
                <w:rFonts w:ascii="MS PGothic" w:cs="MS PGothic" w:eastAsia="MS PGothic" w:hAnsi="MS PGothic"/>
                <w:sz w:val="18"/>
                <w:szCs w:val="18"/>
                <w:color w:val="auto"/>
              </w:rPr>
              <w:t>☒</w:t>
            </w:r>
          </w:p>
        </w:tc>
        <w:tc>
          <w:tcPr>
            <w:tcW w:w="16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360" w:type="dxa"/>
            <w:vAlign w:val="bottom"/>
          </w:tcPr>
          <w:p>
            <w:pPr>
              <w:spacing w:after="0"/>
              <w:rPr>
                <w:sz w:val="24"/>
                <w:szCs w:val="24"/>
                <w:color w:val="auto"/>
              </w:rPr>
            </w:pPr>
          </w:p>
        </w:tc>
        <w:tc>
          <w:tcPr>
            <w:tcW w:w="1840" w:type="dxa"/>
            <w:vAlign w:val="bottom"/>
            <w:gridSpan w:val="2"/>
          </w:tcPr>
          <w:p>
            <w:pPr>
              <w:ind w:left="600"/>
              <w:spacing w:after="0"/>
              <w:rPr>
                <w:sz w:val="20"/>
                <w:szCs w:val="20"/>
                <w:color w:val="auto"/>
              </w:rPr>
            </w:pPr>
            <w:r>
              <w:rPr>
                <w:rFonts w:ascii="Arial" w:cs="Arial" w:eastAsia="Arial" w:hAnsi="Arial"/>
                <w:sz w:val="18"/>
                <w:szCs w:val="18"/>
                <w:color w:val="auto"/>
                <w:w w:val="94"/>
              </w:rPr>
              <w:t>Accelerated filer</w:t>
            </w:r>
          </w:p>
        </w:tc>
        <w:tc>
          <w:tcPr>
            <w:tcW w:w="1160" w:type="dxa"/>
            <w:vAlign w:val="bottom"/>
          </w:tcPr>
          <w:p>
            <w:pPr>
              <w:spacing w:after="0"/>
              <w:rPr>
                <w:sz w:val="24"/>
                <w:szCs w:val="24"/>
                <w:color w:val="auto"/>
              </w:rPr>
            </w:pPr>
          </w:p>
        </w:tc>
        <w:tc>
          <w:tcPr>
            <w:tcW w:w="160" w:type="dxa"/>
            <w:vAlign w:val="bottom"/>
          </w:tcPr>
          <w:p>
            <w:pPr>
              <w:spacing w:after="0" w:line="181" w:lineRule="exact"/>
              <w:rPr>
                <w:sz w:val="20"/>
                <w:szCs w:val="20"/>
                <w:color w:val="auto"/>
              </w:rPr>
            </w:pPr>
            <w:r>
              <w:rPr>
                <w:rFonts w:ascii="MS PGothic" w:cs="MS PGothic" w:eastAsia="MS PGothic" w:hAnsi="MS PGothic"/>
                <w:sz w:val="18"/>
                <w:szCs w:val="18"/>
                <w:color w:val="auto"/>
                <w:w w:val="77"/>
              </w:rPr>
              <w:t>☐</w:t>
            </w:r>
          </w:p>
        </w:tc>
        <w:tc>
          <w:tcPr>
            <w:tcW w:w="0" w:type="dxa"/>
            <w:vAlign w:val="bottom"/>
          </w:tcPr>
          <w:p>
            <w:pPr>
              <w:spacing w:after="0"/>
              <w:rPr>
                <w:sz w:val="1"/>
                <w:szCs w:val="1"/>
                <w:color w:val="auto"/>
              </w:rPr>
            </w:pPr>
          </w:p>
        </w:tc>
      </w:tr>
      <w:tr>
        <w:trPr>
          <w:trHeight w:val="324"/>
        </w:trPr>
        <w:tc>
          <w:tcPr>
            <w:tcW w:w="1780" w:type="dxa"/>
            <w:vAlign w:val="bottom"/>
            <w:gridSpan w:val="2"/>
          </w:tcPr>
          <w:p>
            <w:pPr>
              <w:spacing w:after="0"/>
              <w:rPr>
                <w:sz w:val="20"/>
                <w:szCs w:val="20"/>
                <w:color w:val="auto"/>
              </w:rPr>
            </w:pPr>
            <w:r>
              <w:rPr>
                <w:rFonts w:ascii="Arial" w:cs="Arial" w:eastAsia="Arial" w:hAnsi="Arial"/>
                <w:sz w:val="18"/>
                <w:szCs w:val="18"/>
                <w:color w:val="auto"/>
              </w:rPr>
              <w:t>Non-accelerated filer</w:t>
            </w:r>
          </w:p>
        </w:tc>
        <w:tc>
          <w:tcPr>
            <w:tcW w:w="5120" w:type="dxa"/>
            <w:vAlign w:val="bottom"/>
            <w:gridSpan w:val="4"/>
          </w:tcPr>
          <w:p>
            <w:pPr>
              <w:ind w:left="140"/>
              <w:spacing w:after="0" w:line="207"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(Do not check if a smaller reporting company)</w:t>
            </w:r>
          </w:p>
        </w:tc>
        <w:tc>
          <w:tcPr>
            <w:tcW w:w="1360" w:type="dxa"/>
            <w:vAlign w:val="bottom"/>
          </w:tcPr>
          <w:p>
            <w:pPr>
              <w:spacing w:after="0"/>
              <w:rPr>
                <w:sz w:val="24"/>
                <w:szCs w:val="24"/>
                <w:color w:val="auto"/>
              </w:rPr>
            </w:pPr>
          </w:p>
        </w:tc>
        <w:tc>
          <w:tcPr>
            <w:tcW w:w="3000" w:type="dxa"/>
            <w:vAlign w:val="bottom"/>
            <w:gridSpan w:val="3"/>
          </w:tcPr>
          <w:p>
            <w:pPr>
              <w:ind w:left="600"/>
              <w:spacing w:after="0"/>
              <w:rPr>
                <w:sz w:val="20"/>
                <w:szCs w:val="20"/>
                <w:color w:val="auto"/>
              </w:rPr>
            </w:pPr>
            <w:r>
              <w:rPr>
                <w:rFonts w:ascii="Arial" w:cs="Arial" w:eastAsia="Arial" w:hAnsi="Arial"/>
                <w:sz w:val="18"/>
                <w:szCs w:val="18"/>
                <w:color w:val="auto"/>
              </w:rPr>
              <w:t>Smaller reporting company</w:t>
            </w:r>
          </w:p>
        </w:tc>
        <w:tc>
          <w:tcPr>
            <w:tcW w:w="160" w:type="dxa"/>
            <w:vAlign w:val="bottom"/>
          </w:tcPr>
          <w:p>
            <w:pPr>
              <w:spacing w:after="0" w:line="181" w:lineRule="exact"/>
              <w:rPr>
                <w:sz w:val="20"/>
                <w:szCs w:val="20"/>
                <w:color w:val="auto"/>
              </w:rPr>
            </w:pPr>
            <w:r>
              <w:rPr>
                <w:rFonts w:ascii="MS PGothic" w:cs="MS PGothic" w:eastAsia="MS PGothic" w:hAnsi="MS PGothic"/>
                <w:sz w:val="18"/>
                <w:szCs w:val="18"/>
                <w:color w:val="auto"/>
                <w:w w:val="77"/>
              </w:rPr>
              <w:t>☐</w:t>
            </w:r>
          </w:p>
        </w:tc>
        <w:tc>
          <w:tcPr>
            <w:tcW w:w="0" w:type="dxa"/>
            <w:vAlign w:val="bottom"/>
          </w:tcPr>
          <w:p>
            <w:pPr>
              <w:spacing w:after="0"/>
              <w:rPr>
                <w:sz w:val="1"/>
                <w:szCs w:val="1"/>
                <w:color w:val="auto"/>
              </w:rPr>
            </w:pPr>
          </w:p>
        </w:tc>
      </w:tr>
      <w:tr>
        <w:trPr>
          <w:trHeight w:val="331"/>
        </w:trPr>
        <w:tc>
          <w:tcPr>
            <w:tcW w:w="20" w:type="dxa"/>
            <w:vAlign w:val="bottom"/>
          </w:tcPr>
          <w:p>
            <w:pPr>
              <w:spacing w:after="0"/>
              <w:rPr>
                <w:sz w:val="24"/>
                <w:szCs w:val="24"/>
                <w:color w:val="auto"/>
              </w:rPr>
            </w:pPr>
          </w:p>
        </w:tc>
        <w:tc>
          <w:tcPr>
            <w:tcW w:w="1760" w:type="dxa"/>
            <w:vAlign w:val="bottom"/>
          </w:tcPr>
          <w:p>
            <w:pPr>
              <w:spacing w:after="0"/>
              <w:rPr>
                <w:sz w:val="24"/>
                <w:szCs w:val="24"/>
                <w:color w:val="auto"/>
              </w:rPr>
            </w:pPr>
          </w:p>
        </w:tc>
        <w:tc>
          <w:tcPr>
            <w:tcW w:w="2740" w:type="dxa"/>
            <w:vAlign w:val="bottom"/>
          </w:tcPr>
          <w:p>
            <w:pPr>
              <w:spacing w:after="0"/>
              <w:rPr>
                <w:sz w:val="24"/>
                <w:szCs w:val="24"/>
                <w:color w:val="auto"/>
              </w:rPr>
            </w:pPr>
          </w:p>
        </w:tc>
        <w:tc>
          <w:tcPr>
            <w:tcW w:w="540" w:type="dxa"/>
            <w:vAlign w:val="bottom"/>
            <w:tcBorders>
              <w:bottom w:val="single" w:sz="8" w:color="auto"/>
            </w:tcBorders>
          </w:tcPr>
          <w:p>
            <w:pPr>
              <w:spacing w:after="0"/>
              <w:rPr>
                <w:sz w:val="24"/>
                <w:szCs w:val="24"/>
                <w:color w:val="auto"/>
              </w:rPr>
            </w:pPr>
          </w:p>
        </w:tc>
        <w:tc>
          <w:tcPr>
            <w:tcW w:w="1600" w:type="dxa"/>
            <w:vAlign w:val="bottom"/>
            <w:tcBorders>
              <w:bottom w:val="single" w:sz="8" w:color="auto"/>
            </w:tcBorders>
          </w:tcPr>
          <w:p>
            <w:pPr>
              <w:spacing w:after="0"/>
              <w:rPr>
                <w:sz w:val="24"/>
                <w:szCs w:val="24"/>
                <w:color w:val="auto"/>
              </w:rPr>
            </w:pPr>
          </w:p>
        </w:tc>
        <w:tc>
          <w:tcPr>
            <w:tcW w:w="240" w:type="dxa"/>
            <w:vAlign w:val="bottom"/>
            <w:tcBorders>
              <w:bottom w:val="single" w:sz="8" w:color="auto"/>
            </w:tcBorders>
          </w:tcPr>
          <w:p>
            <w:pPr>
              <w:spacing w:after="0"/>
              <w:rPr>
                <w:sz w:val="24"/>
                <w:szCs w:val="24"/>
                <w:color w:val="auto"/>
              </w:rPr>
            </w:pPr>
          </w:p>
        </w:tc>
        <w:tc>
          <w:tcPr>
            <w:tcW w:w="1360" w:type="dxa"/>
            <w:vAlign w:val="bottom"/>
          </w:tcPr>
          <w:p>
            <w:pPr>
              <w:spacing w:after="0"/>
              <w:rPr>
                <w:sz w:val="24"/>
                <w:szCs w:val="24"/>
                <w:color w:val="auto"/>
              </w:rPr>
            </w:pPr>
          </w:p>
        </w:tc>
        <w:tc>
          <w:tcPr>
            <w:tcW w:w="16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26"/>
        </w:trPr>
        <w:tc>
          <w:tcPr>
            <w:tcW w:w="20" w:type="dxa"/>
            <w:vAlign w:val="bottom"/>
          </w:tcPr>
          <w:p>
            <w:pPr>
              <w:spacing w:after="0"/>
              <w:rPr>
                <w:sz w:val="24"/>
                <w:szCs w:val="24"/>
                <w:color w:val="auto"/>
              </w:rPr>
            </w:pPr>
          </w:p>
        </w:tc>
        <w:tc>
          <w:tcPr>
            <w:tcW w:w="1760" w:type="dxa"/>
            <w:vAlign w:val="bottom"/>
          </w:tcPr>
          <w:p>
            <w:pPr>
              <w:spacing w:after="0"/>
              <w:rPr>
                <w:sz w:val="24"/>
                <w:szCs w:val="24"/>
                <w:color w:val="auto"/>
              </w:rPr>
            </w:pPr>
          </w:p>
        </w:tc>
        <w:tc>
          <w:tcPr>
            <w:tcW w:w="6480" w:type="dxa"/>
            <w:vAlign w:val="bottom"/>
            <w:gridSpan w:val="5"/>
          </w:tcPr>
          <w:p>
            <w:pPr>
              <w:ind w:left="2200"/>
              <w:spacing w:after="0"/>
              <w:rPr>
                <w:sz w:val="20"/>
                <w:szCs w:val="20"/>
                <w:color w:val="auto"/>
              </w:rPr>
            </w:pPr>
            <w:r>
              <w:rPr>
                <w:rFonts w:ascii="Arial" w:cs="Arial" w:eastAsia="Arial" w:hAnsi="Arial"/>
                <w:sz w:val="18"/>
                <w:szCs w:val="18"/>
                <w:b w:val="1"/>
                <w:bCs w:val="1"/>
                <w:color w:val="auto"/>
              </w:rPr>
              <w:t>CALCULATION OF REGISTRATION FEE</w:t>
            </w:r>
          </w:p>
        </w:tc>
        <w:tc>
          <w:tcPr>
            <w:tcW w:w="16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81"/>
        </w:trPr>
        <w:tc>
          <w:tcPr>
            <w:tcW w:w="20" w:type="dxa"/>
            <w:vAlign w:val="bottom"/>
          </w:tcPr>
          <w:p>
            <w:pPr>
              <w:spacing w:after="0"/>
              <w:rPr>
                <w:sz w:val="7"/>
                <w:szCs w:val="7"/>
                <w:color w:val="auto"/>
              </w:rPr>
            </w:pPr>
          </w:p>
        </w:tc>
        <w:tc>
          <w:tcPr>
            <w:tcW w:w="1760" w:type="dxa"/>
            <w:vAlign w:val="bottom"/>
            <w:tcBorders>
              <w:bottom w:val="single" w:sz="8" w:color="auto"/>
            </w:tcBorders>
          </w:tcPr>
          <w:p>
            <w:pPr>
              <w:spacing w:after="0"/>
              <w:rPr>
                <w:sz w:val="7"/>
                <w:szCs w:val="7"/>
                <w:color w:val="auto"/>
              </w:rPr>
            </w:pPr>
          </w:p>
        </w:tc>
        <w:tc>
          <w:tcPr>
            <w:tcW w:w="2740" w:type="dxa"/>
            <w:vAlign w:val="bottom"/>
            <w:tcBorders>
              <w:bottom w:val="single" w:sz="8" w:color="auto"/>
            </w:tcBorders>
          </w:tcPr>
          <w:p>
            <w:pPr>
              <w:spacing w:after="0"/>
              <w:rPr>
                <w:sz w:val="7"/>
                <w:szCs w:val="7"/>
                <w:color w:val="auto"/>
              </w:rPr>
            </w:pPr>
          </w:p>
        </w:tc>
        <w:tc>
          <w:tcPr>
            <w:tcW w:w="540" w:type="dxa"/>
            <w:vAlign w:val="bottom"/>
            <w:tcBorders>
              <w:bottom w:val="single" w:sz="8" w:color="auto"/>
            </w:tcBorders>
          </w:tcPr>
          <w:p>
            <w:pPr>
              <w:spacing w:after="0"/>
              <w:rPr>
                <w:sz w:val="7"/>
                <w:szCs w:val="7"/>
                <w:color w:val="auto"/>
              </w:rPr>
            </w:pPr>
          </w:p>
        </w:tc>
        <w:tc>
          <w:tcPr>
            <w:tcW w:w="1600" w:type="dxa"/>
            <w:vAlign w:val="bottom"/>
            <w:tcBorders>
              <w:bottom w:val="single" w:sz="8" w:color="auto"/>
            </w:tcBorders>
          </w:tcPr>
          <w:p>
            <w:pPr>
              <w:spacing w:after="0"/>
              <w:rPr>
                <w:sz w:val="7"/>
                <w:szCs w:val="7"/>
                <w:color w:val="auto"/>
              </w:rPr>
            </w:pPr>
          </w:p>
        </w:tc>
        <w:tc>
          <w:tcPr>
            <w:tcW w:w="240" w:type="dxa"/>
            <w:vAlign w:val="bottom"/>
            <w:tcBorders>
              <w:bottom w:val="single" w:sz="8" w:color="auto"/>
            </w:tcBorders>
          </w:tcPr>
          <w:p>
            <w:pPr>
              <w:spacing w:after="0"/>
              <w:rPr>
                <w:sz w:val="7"/>
                <w:szCs w:val="7"/>
                <w:color w:val="auto"/>
              </w:rPr>
            </w:pPr>
          </w:p>
        </w:tc>
        <w:tc>
          <w:tcPr>
            <w:tcW w:w="1360" w:type="dxa"/>
            <w:vAlign w:val="bottom"/>
            <w:tcBorders>
              <w:bottom w:val="single" w:sz="8" w:color="auto"/>
            </w:tcBorders>
          </w:tcPr>
          <w:p>
            <w:pPr>
              <w:spacing w:after="0"/>
              <w:rPr>
                <w:sz w:val="7"/>
                <w:szCs w:val="7"/>
                <w:color w:val="auto"/>
              </w:rPr>
            </w:pPr>
          </w:p>
        </w:tc>
        <w:tc>
          <w:tcPr>
            <w:tcW w:w="1600" w:type="dxa"/>
            <w:vAlign w:val="bottom"/>
            <w:tcBorders>
              <w:bottom w:val="single" w:sz="8" w:color="auto"/>
            </w:tcBorders>
          </w:tcPr>
          <w:p>
            <w:pPr>
              <w:spacing w:after="0"/>
              <w:rPr>
                <w:sz w:val="7"/>
                <w:szCs w:val="7"/>
                <w:color w:val="auto"/>
              </w:rPr>
            </w:pPr>
          </w:p>
        </w:tc>
        <w:tc>
          <w:tcPr>
            <w:tcW w:w="240" w:type="dxa"/>
            <w:vAlign w:val="bottom"/>
            <w:tcBorders>
              <w:bottom w:val="single" w:sz="8" w:color="auto"/>
            </w:tcBorders>
          </w:tcPr>
          <w:p>
            <w:pPr>
              <w:spacing w:after="0"/>
              <w:rPr>
                <w:sz w:val="7"/>
                <w:szCs w:val="7"/>
                <w:color w:val="auto"/>
              </w:rPr>
            </w:pPr>
          </w:p>
        </w:tc>
        <w:tc>
          <w:tcPr>
            <w:tcW w:w="1160" w:type="dxa"/>
            <w:vAlign w:val="bottom"/>
            <w:tcBorders>
              <w:bottom w:val="single" w:sz="8" w:color="auto"/>
            </w:tcBorders>
          </w:tcPr>
          <w:p>
            <w:pPr>
              <w:spacing w:after="0"/>
              <w:rPr>
                <w:sz w:val="7"/>
                <w:szCs w:val="7"/>
                <w:color w:val="auto"/>
              </w:rPr>
            </w:pPr>
          </w:p>
        </w:tc>
        <w:tc>
          <w:tcPr>
            <w:tcW w:w="160" w:type="dxa"/>
            <w:vAlign w:val="bottom"/>
            <w:tcBorders>
              <w:bottom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760" w:type="dxa"/>
            <w:vAlign w:val="bottom"/>
            <w:tcBorders>
              <w:bottom w:val="single" w:sz="8" w:color="auto"/>
            </w:tcBorders>
          </w:tcPr>
          <w:p>
            <w:pPr>
              <w:spacing w:after="0" w:line="20" w:lineRule="exact"/>
              <w:rPr>
                <w:sz w:val="1"/>
                <w:szCs w:val="1"/>
                <w:color w:val="auto"/>
              </w:rPr>
            </w:pPr>
          </w:p>
        </w:tc>
        <w:tc>
          <w:tcPr>
            <w:tcW w:w="2740" w:type="dxa"/>
            <w:vAlign w:val="bottom"/>
            <w:tcBorders>
              <w:bottom w:val="single" w:sz="8" w:color="auto"/>
            </w:tcBorders>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160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360" w:type="dxa"/>
            <w:vAlign w:val="bottom"/>
            <w:tcBorders>
              <w:bottom w:val="single" w:sz="8" w:color="auto"/>
            </w:tcBorders>
          </w:tcPr>
          <w:p>
            <w:pPr>
              <w:spacing w:after="0" w:line="20" w:lineRule="exact"/>
              <w:rPr>
                <w:sz w:val="1"/>
                <w:szCs w:val="1"/>
                <w:color w:val="auto"/>
              </w:rPr>
            </w:pPr>
          </w:p>
        </w:tc>
        <w:tc>
          <w:tcPr>
            <w:tcW w:w="160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6"/>
        </w:trPr>
        <w:tc>
          <w:tcPr>
            <w:tcW w:w="20" w:type="dxa"/>
            <w:vAlign w:val="bottom"/>
          </w:tcPr>
          <w:p>
            <w:pPr>
              <w:spacing w:after="0"/>
              <w:rPr>
                <w:sz w:val="9"/>
                <w:szCs w:val="9"/>
                <w:color w:val="auto"/>
              </w:rPr>
            </w:pPr>
          </w:p>
        </w:tc>
        <w:tc>
          <w:tcPr>
            <w:tcW w:w="1760" w:type="dxa"/>
            <w:vAlign w:val="bottom"/>
          </w:tcPr>
          <w:p>
            <w:pPr>
              <w:spacing w:after="0"/>
              <w:rPr>
                <w:sz w:val="9"/>
                <w:szCs w:val="9"/>
                <w:color w:val="auto"/>
              </w:rPr>
            </w:pPr>
          </w:p>
        </w:tc>
        <w:tc>
          <w:tcPr>
            <w:tcW w:w="2740" w:type="dxa"/>
            <w:vAlign w:val="bottom"/>
          </w:tcPr>
          <w:p>
            <w:pPr>
              <w:spacing w:after="0"/>
              <w:rPr>
                <w:sz w:val="9"/>
                <w:szCs w:val="9"/>
                <w:color w:val="auto"/>
              </w:rPr>
            </w:pPr>
          </w:p>
        </w:tc>
        <w:tc>
          <w:tcPr>
            <w:tcW w:w="540" w:type="dxa"/>
            <w:vAlign w:val="bottom"/>
            <w:tcBorders>
              <w:right w:val="single" w:sz="8" w:color="auto"/>
            </w:tcBorders>
          </w:tcPr>
          <w:p>
            <w:pPr>
              <w:spacing w:after="0"/>
              <w:rPr>
                <w:sz w:val="9"/>
                <w:szCs w:val="9"/>
                <w:color w:val="auto"/>
              </w:rPr>
            </w:pPr>
          </w:p>
        </w:tc>
        <w:tc>
          <w:tcPr>
            <w:tcW w:w="1600" w:type="dxa"/>
            <w:vAlign w:val="bottom"/>
            <w:tcBorders>
              <w:right w:val="single" w:sz="8" w:color="auto"/>
            </w:tcBorders>
            <w:vMerge w:val="restart"/>
          </w:tcPr>
          <w:p>
            <w:pPr>
              <w:jc w:val="center"/>
              <w:spacing w:after="0"/>
              <w:rPr>
                <w:sz w:val="20"/>
                <w:szCs w:val="20"/>
                <w:color w:val="auto"/>
              </w:rPr>
            </w:pPr>
            <w:r>
              <w:rPr>
                <w:rFonts w:ascii="Arial" w:cs="Arial" w:eastAsia="Arial" w:hAnsi="Arial"/>
                <w:sz w:val="14"/>
                <w:szCs w:val="14"/>
                <w:b w:val="1"/>
                <w:bCs w:val="1"/>
                <w:color w:val="auto"/>
                <w:w w:val="98"/>
              </w:rPr>
              <w:t>Amount</w:t>
            </w:r>
          </w:p>
        </w:tc>
        <w:tc>
          <w:tcPr>
            <w:tcW w:w="240" w:type="dxa"/>
            <w:vAlign w:val="bottom"/>
          </w:tcPr>
          <w:p>
            <w:pPr>
              <w:spacing w:after="0"/>
              <w:rPr>
                <w:sz w:val="9"/>
                <w:szCs w:val="9"/>
                <w:color w:val="auto"/>
              </w:rPr>
            </w:pPr>
          </w:p>
        </w:tc>
        <w:tc>
          <w:tcPr>
            <w:tcW w:w="1360" w:type="dxa"/>
            <w:vAlign w:val="bottom"/>
            <w:tcBorders>
              <w:right w:val="single" w:sz="8" w:color="auto"/>
            </w:tcBorders>
          </w:tcPr>
          <w:p>
            <w:pPr>
              <w:jc w:val="center"/>
              <w:ind w:right="66"/>
              <w:spacing w:after="0" w:line="106" w:lineRule="exact"/>
              <w:rPr>
                <w:sz w:val="20"/>
                <w:szCs w:val="20"/>
                <w:color w:val="auto"/>
              </w:rPr>
            </w:pPr>
            <w:r>
              <w:rPr>
                <w:rFonts w:ascii="Arial" w:cs="Arial" w:eastAsia="Arial" w:hAnsi="Arial"/>
                <w:sz w:val="12"/>
                <w:szCs w:val="12"/>
                <w:b w:val="1"/>
                <w:bCs w:val="1"/>
                <w:color w:val="auto"/>
              </w:rPr>
              <w:t>Proposed</w:t>
            </w:r>
          </w:p>
        </w:tc>
        <w:tc>
          <w:tcPr>
            <w:tcW w:w="1600" w:type="dxa"/>
            <w:vAlign w:val="bottom"/>
            <w:tcBorders>
              <w:right w:val="single" w:sz="8" w:color="auto"/>
            </w:tcBorders>
          </w:tcPr>
          <w:p>
            <w:pPr>
              <w:jc w:val="center"/>
              <w:spacing w:after="0" w:line="106" w:lineRule="exact"/>
              <w:rPr>
                <w:sz w:val="20"/>
                <w:szCs w:val="20"/>
                <w:color w:val="auto"/>
              </w:rPr>
            </w:pPr>
            <w:r>
              <w:rPr>
                <w:rFonts w:ascii="Arial" w:cs="Arial" w:eastAsia="Arial" w:hAnsi="Arial"/>
                <w:sz w:val="12"/>
                <w:szCs w:val="12"/>
                <w:b w:val="1"/>
                <w:bCs w:val="1"/>
                <w:color w:val="auto"/>
              </w:rPr>
              <w:t>Proposed</w:t>
            </w:r>
          </w:p>
        </w:tc>
        <w:tc>
          <w:tcPr>
            <w:tcW w:w="240" w:type="dxa"/>
            <w:vAlign w:val="bottom"/>
          </w:tcPr>
          <w:p>
            <w:pPr>
              <w:spacing w:after="0"/>
              <w:rPr>
                <w:sz w:val="9"/>
                <w:szCs w:val="9"/>
                <w:color w:val="auto"/>
              </w:rPr>
            </w:pPr>
          </w:p>
        </w:tc>
        <w:tc>
          <w:tcPr>
            <w:tcW w:w="1160" w:type="dxa"/>
            <w:vAlign w:val="bottom"/>
          </w:tcPr>
          <w:p>
            <w:pPr>
              <w:spacing w:after="0"/>
              <w:rPr>
                <w:sz w:val="9"/>
                <w:szCs w:val="9"/>
                <w:color w:val="auto"/>
              </w:rPr>
            </w:pPr>
          </w:p>
        </w:tc>
        <w:tc>
          <w:tcPr>
            <w:tcW w:w="1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760" w:type="dxa"/>
            <w:vAlign w:val="bottom"/>
          </w:tcPr>
          <w:p>
            <w:pPr>
              <w:spacing w:after="0"/>
              <w:rPr>
                <w:sz w:val="12"/>
                <w:szCs w:val="12"/>
                <w:color w:val="auto"/>
              </w:rPr>
            </w:pPr>
          </w:p>
        </w:tc>
        <w:tc>
          <w:tcPr>
            <w:tcW w:w="3280" w:type="dxa"/>
            <w:vAlign w:val="bottom"/>
            <w:tcBorders>
              <w:right w:val="single" w:sz="8" w:color="auto"/>
            </w:tcBorders>
            <w:gridSpan w:val="2"/>
            <w:vMerge w:val="restart"/>
          </w:tcPr>
          <w:p>
            <w:pPr>
              <w:jc w:val="center"/>
              <w:ind w:right="1800"/>
              <w:spacing w:after="0"/>
              <w:rPr>
                <w:sz w:val="20"/>
                <w:szCs w:val="20"/>
                <w:color w:val="auto"/>
              </w:rPr>
            </w:pPr>
            <w:r>
              <w:rPr>
                <w:rFonts w:ascii="Arial" w:cs="Arial" w:eastAsia="Arial" w:hAnsi="Arial"/>
                <w:sz w:val="14"/>
                <w:szCs w:val="14"/>
                <w:b w:val="1"/>
                <w:bCs w:val="1"/>
                <w:color w:val="auto"/>
                <w:w w:val="90"/>
              </w:rPr>
              <w:t>Title of securities</w:t>
            </w:r>
          </w:p>
        </w:tc>
        <w:tc>
          <w:tcPr>
            <w:tcW w:w="1600" w:type="dxa"/>
            <w:vAlign w:val="bottom"/>
            <w:tcBorders>
              <w:right w:val="single" w:sz="8" w:color="auto"/>
            </w:tcBorders>
            <w:vMerge w:val="continue"/>
          </w:tcPr>
          <w:p>
            <w:pPr>
              <w:spacing w:after="0"/>
              <w:rPr>
                <w:sz w:val="12"/>
                <w:szCs w:val="12"/>
                <w:color w:val="auto"/>
              </w:rPr>
            </w:pPr>
          </w:p>
        </w:tc>
        <w:tc>
          <w:tcPr>
            <w:tcW w:w="240" w:type="dxa"/>
            <w:vAlign w:val="bottom"/>
          </w:tcPr>
          <w:p>
            <w:pPr>
              <w:spacing w:after="0"/>
              <w:rPr>
                <w:sz w:val="12"/>
                <w:szCs w:val="12"/>
                <w:color w:val="auto"/>
              </w:rPr>
            </w:pPr>
          </w:p>
        </w:tc>
        <w:tc>
          <w:tcPr>
            <w:tcW w:w="1360" w:type="dxa"/>
            <w:vAlign w:val="bottom"/>
            <w:tcBorders>
              <w:right w:val="single" w:sz="8" w:color="auto"/>
            </w:tcBorders>
          </w:tcPr>
          <w:p>
            <w:pPr>
              <w:jc w:val="center"/>
              <w:ind w:right="66"/>
              <w:spacing w:after="0" w:line="149" w:lineRule="exact"/>
              <w:rPr>
                <w:sz w:val="20"/>
                <w:szCs w:val="20"/>
                <w:color w:val="auto"/>
              </w:rPr>
            </w:pPr>
            <w:r>
              <w:rPr>
                <w:rFonts w:ascii="Arial" w:cs="Arial" w:eastAsia="Arial" w:hAnsi="Arial"/>
                <w:sz w:val="14"/>
                <w:szCs w:val="14"/>
                <w:b w:val="1"/>
                <w:bCs w:val="1"/>
                <w:color w:val="auto"/>
                <w:w w:val="94"/>
              </w:rPr>
              <w:t>maximum</w:t>
            </w:r>
          </w:p>
        </w:tc>
        <w:tc>
          <w:tcPr>
            <w:tcW w:w="1600" w:type="dxa"/>
            <w:vAlign w:val="bottom"/>
            <w:tcBorders>
              <w:right w:val="single" w:sz="8" w:color="auto"/>
            </w:tcBorders>
          </w:tcPr>
          <w:p>
            <w:pPr>
              <w:jc w:val="center"/>
              <w:spacing w:after="0" w:line="149" w:lineRule="exact"/>
              <w:rPr>
                <w:sz w:val="20"/>
                <w:szCs w:val="20"/>
                <w:color w:val="auto"/>
              </w:rPr>
            </w:pPr>
            <w:r>
              <w:rPr>
                <w:rFonts w:ascii="Arial" w:cs="Arial" w:eastAsia="Arial" w:hAnsi="Arial"/>
                <w:sz w:val="14"/>
                <w:szCs w:val="14"/>
                <w:b w:val="1"/>
                <w:bCs w:val="1"/>
                <w:color w:val="auto"/>
                <w:w w:val="94"/>
              </w:rPr>
              <w:t>maximum</w:t>
            </w:r>
          </w:p>
        </w:tc>
        <w:tc>
          <w:tcPr>
            <w:tcW w:w="240" w:type="dxa"/>
            <w:vAlign w:val="bottom"/>
          </w:tcPr>
          <w:p>
            <w:pPr>
              <w:spacing w:after="0"/>
              <w:rPr>
                <w:sz w:val="12"/>
                <w:szCs w:val="12"/>
                <w:color w:val="auto"/>
              </w:rPr>
            </w:pPr>
          </w:p>
        </w:tc>
        <w:tc>
          <w:tcPr>
            <w:tcW w:w="116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4"/>
              </w:rPr>
              <w:t>Amount of</w:t>
            </w:r>
          </w:p>
        </w:tc>
        <w:tc>
          <w:tcPr>
            <w:tcW w:w="1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1760" w:type="dxa"/>
            <w:vAlign w:val="bottom"/>
          </w:tcPr>
          <w:p>
            <w:pPr>
              <w:spacing w:after="0"/>
              <w:rPr>
                <w:sz w:val="12"/>
                <w:szCs w:val="12"/>
                <w:color w:val="auto"/>
              </w:rPr>
            </w:pPr>
          </w:p>
        </w:tc>
        <w:tc>
          <w:tcPr>
            <w:tcW w:w="3280" w:type="dxa"/>
            <w:vAlign w:val="bottom"/>
            <w:tcBorders>
              <w:right w:val="single" w:sz="8" w:color="auto"/>
            </w:tcBorders>
            <w:gridSpan w:val="2"/>
            <w:vMerge w:val="continue"/>
          </w:tcPr>
          <w:p>
            <w:pPr>
              <w:spacing w:after="0"/>
              <w:rPr>
                <w:sz w:val="12"/>
                <w:szCs w:val="12"/>
                <w:color w:val="auto"/>
              </w:rPr>
            </w:pPr>
          </w:p>
        </w:tc>
        <w:tc>
          <w:tcPr>
            <w:tcW w:w="1600" w:type="dxa"/>
            <w:vAlign w:val="bottom"/>
            <w:tcBorders>
              <w:right w:val="single" w:sz="8" w:color="auto"/>
            </w:tcBorders>
          </w:tcPr>
          <w:p>
            <w:pPr>
              <w:jc w:val="center"/>
              <w:spacing w:after="0" w:line="149" w:lineRule="exact"/>
              <w:rPr>
                <w:sz w:val="20"/>
                <w:szCs w:val="20"/>
                <w:color w:val="auto"/>
              </w:rPr>
            </w:pPr>
            <w:r>
              <w:rPr>
                <w:rFonts w:ascii="Arial" w:cs="Arial" w:eastAsia="Arial" w:hAnsi="Arial"/>
                <w:sz w:val="14"/>
                <w:szCs w:val="14"/>
                <w:b w:val="1"/>
                <w:bCs w:val="1"/>
                <w:color w:val="auto"/>
                <w:w w:val="89"/>
              </w:rPr>
              <w:t>to be</w:t>
            </w:r>
          </w:p>
        </w:tc>
        <w:tc>
          <w:tcPr>
            <w:tcW w:w="240" w:type="dxa"/>
            <w:vAlign w:val="bottom"/>
          </w:tcPr>
          <w:p>
            <w:pPr>
              <w:spacing w:after="0"/>
              <w:rPr>
                <w:sz w:val="12"/>
                <w:szCs w:val="12"/>
                <w:color w:val="auto"/>
              </w:rPr>
            </w:pPr>
          </w:p>
        </w:tc>
        <w:tc>
          <w:tcPr>
            <w:tcW w:w="1360" w:type="dxa"/>
            <w:vAlign w:val="bottom"/>
            <w:tcBorders>
              <w:right w:val="single" w:sz="8" w:color="auto"/>
            </w:tcBorders>
          </w:tcPr>
          <w:p>
            <w:pPr>
              <w:jc w:val="center"/>
              <w:ind w:right="86"/>
              <w:spacing w:after="0" w:line="149" w:lineRule="exact"/>
              <w:rPr>
                <w:sz w:val="20"/>
                <w:szCs w:val="20"/>
                <w:color w:val="auto"/>
              </w:rPr>
            </w:pPr>
            <w:r>
              <w:rPr>
                <w:rFonts w:ascii="Arial" w:cs="Arial" w:eastAsia="Arial" w:hAnsi="Arial"/>
                <w:sz w:val="14"/>
                <w:szCs w:val="14"/>
                <w:b w:val="1"/>
                <w:bCs w:val="1"/>
                <w:color w:val="auto"/>
                <w:w w:val="93"/>
              </w:rPr>
              <w:t>offering price</w:t>
            </w:r>
          </w:p>
        </w:tc>
        <w:tc>
          <w:tcPr>
            <w:tcW w:w="1600" w:type="dxa"/>
            <w:vAlign w:val="bottom"/>
            <w:tcBorders>
              <w:right w:val="single" w:sz="8" w:color="auto"/>
            </w:tcBorders>
          </w:tcPr>
          <w:p>
            <w:pPr>
              <w:jc w:val="center"/>
              <w:spacing w:after="0" w:line="149" w:lineRule="exact"/>
              <w:rPr>
                <w:sz w:val="20"/>
                <w:szCs w:val="20"/>
                <w:color w:val="auto"/>
              </w:rPr>
            </w:pPr>
            <w:r>
              <w:rPr>
                <w:rFonts w:ascii="Arial" w:cs="Arial" w:eastAsia="Arial" w:hAnsi="Arial"/>
                <w:sz w:val="14"/>
                <w:szCs w:val="14"/>
                <w:b w:val="1"/>
                <w:bCs w:val="1"/>
                <w:color w:val="auto"/>
                <w:w w:val="89"/>
              </w:rPr>
              <w:t>aggregate</w:t>
            </w:r>
          </w:p>
        </w:tc>
        <w:tc>
          <w:tcPr>
            <w:tcW w:w="240" w:type="dxa"/>
            <w:vAlign w:val="bottom"/>
          </w:tcPr>
          <w:p>
            <w:pPr>
              <w:spacing w:after="0"/>
              <w:rPr>
                <w:sz w:val="12"/>
                <w:szCs w:val="12"/>
                <w:color w:val="auto"/>
              </w:rPr>
            </w:pPr>
          </w:p>
        </w:tc>
        <w:tc>
          <w:tcPr>
            <w:tcW w:w="1160" w:type="dxa"/>
            <w:vAlign w:val="bottom"/>
            <w:vMerge w:val="continue"/>
          </w:tcPr>
          <w:p>
            <w:pPr>
              <w:spacing w:after="0"/>
              <w:rPr>
                <w:sz w:val="12"/>
                <w:szCs w:val="12"/>
                <w:color w:val="auto"/>
              </w:rPr>
            </w:pPr>
          </w:p>
        </w:tc>
        <w:tc>
          <w:tcPr>
            <w:tcW w:w="1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85"/>
        </w:trPr>
        <w:tc>
          <w:tcPr>
            <w:tcW w:w="20" w:type="dxa"/>
            <w:vAlign w:val="bottom"/>
          </w:tcPr>
          <w:p>
            <w:pPr>
              <w:spacing w:after="0"/>
              <w:rPr>
                <w:sz w:val="16"/>
                <w:szCs w:val="16"/>
                <w:color w:val="auto"/>
              </w:rPr>
            </w:pPr>
          </w:p>
        </w:tc>
        <w:tc>
          <w:tcPr>
            <w:tcW w:w="1760" w:type="dxa"/>
            <w:vAlign w:val="bottom"/>
            <w:tcBorders>
              <w:bottom w:val="single" w:sz="8" w:color="auto"/>
            </w:tcBorders>
          </w:tcPr>
          <w:p>
            <w:pPr>
              <w:spacing w:after="0"/>
              <w:rPr>
                <w:sz w:val="16"/>
                <w:szCs w:val="16"/>
                <w:color w:val="auto"/>
              </w:rPr>
            </w:pPr>
          </w:p>
        </w:tc>
        <w:tc>
          <w:tcPr>
            <w:tcW w:w="3280" w:type="dxa"/>
            <w:vAlign w:val="bottom"/>
            <w:tcBorders>
              <w:bottom w:val="single" w:sz="8" w:color="auto"/>
              <w:right w:val="single" w:sz="8" w:color="auto"/>
            </w:tcBorders>
            <w:gridSpan w:val="2"/>
          </w:tcPr>
          <w:p>
            <w:pPr>
              <w:jc w:val="center"/>
              <w:ind w:right="1800"/>
              <w:spacing w:after="0"/>
              <w:rPr>
                <w:sz w:val="20"/>
                <w:szCs w:val="20"/>
                <w:color w:val="auto"/>
              </w:rPr>
            </w:pPr>
            <w:r>
              <w:rPr>
                <w:rFonts w:ascii="Arial" w:cs="Arial" w:eastAsia="Arial" w:hAnsi="Arial"/>
                <w:sz w:val="14"/>
                <w:szCs w:val="14"/>
                <w:b w:val="1"/>
                <w:bCs w:val="1"/>
                <w:color w:val="auto"/>
                <w:w w:val="91"/>
              </w:rPr>
              <w:t>to be registered</w:t>
            </w:r>
          </w:p>
        </w:tc>
        <w:tc>
          <w:tcPr>
            <w:tcW w:w="160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4"/>
                <w:szCs w:val="14"/>
                <w:b w:val="1"/>
                <w:bCs w:val="1"/>
                <w:color w:val="auto"/>
                <w:w w:val="90"/>
              </w:rPr>
              <w:t>registered (1)</w:t>
            </w:r>
          </w:p>
        </w:tc>
        <w:tc>
          <w:tcPr>
            <w:tcW w:w="240" w:type="dxa"/>
            <w:vAlign w:val="bottom"/>
            <w:tcBorders>
              <w:bottom w:val="single" w:sz="8" w:color="auto"/>
            </w:tcBorders>
          </w:tcPr>
          <w:p>
            <w:pPr>
              <w:spacing w:after="0"/>
              <w:rPr>
                <w:sz w:val="16"/>
                <w:szCs w:val="16"/>
                <w:color w:val="auto"/>
              </w:rPr>
            </w:pPr>
          </w:p>
        </w:tc>
        <w:tc>
          <w:tcPr>
            <w:tcW w:w="1360" w:type="dxa"/>
            <w:vAlign w:val="bottom"/>
            <w:tcBorders>
              <w:bottom w:val="single" w:sz="8" w:color="auto"/>
              <w:right w:val="single" w:sz="8" w:color="auto"/>
            </w:tcBorders>
          </w:tcPr>
          <w:p>
            <w:pPr>
              <w:jc w:val="center"/>
              <w:ind w:right="66"/>
              <w:spacing w:after="0"/>
              <w:rPr>
                <w:sz w:val="20"/>
                <w:szCs w:val="20"/>
                <w:color w:val="auto"/>
              </w:rPr>
            </w:pPr>
            <w:r>
              <w:rPr>
                <w:rFonts w:ascii="Arial" w:cs="Arial" w:eastAsia="Arial" w:hAnsi="Arial"/>
                <w:sz w:val="14"/>
                <w:szCs w:val="14"/>
                <w:b w:val="1"/>
                <w:bCs w:val="1"/>
                <w:color w:val="auto"/>
                <w:w w:val="92"/>
              </w:rPr>
              <w:t>per share (2)</w:t>
            </w:r>
          </w:p>
        </w:tc>
        <w:tc>
          <w:tcPr>
            <w:tcW w:w="160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4"/>
                <w:szCs w:val="14"/>
                <w:b w:val="1"/>
                <w:bCs w:val="1"/>
                <w:color w:val="auto"/>
                <w:w w:val="94"/>
              </w:rPr>
              <w:t>offering price (2)</w:t>
            </w:r>
          </w:p>
        </w:tc>
        <w:tc>
          <w:tcPr>
            <w:tcW w:w="24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3"/>
              </w:rPr>
              <w:t>registration fee (2)</w:t>
            </w:r>
          </w:p>
        </w:tc>
        <w:tc>
          <w:tcPr>
            <w:tcW w:w="160" w:type="dxa"/>
            <w:vAlign w:val="bottom"/>
            <w:tcBorders>
              <w:bottom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195"/>
        </w:trPr>
        <w:tc>
          <w:tcPr>
            <w:tcW w:w="20" w:type="dxa"/>
            <w:vAlign w:val="bottom"/>
          </w:tcPr>
          <w:p>
            <w:pPr>
              <w:spacing w:after="0"/>
              <w:rPr>
                <w:sz w:val="16"/>
                <w:szCs w:val="16"/>
                <w:color w:val="auto"/>
              </w:rPr>
            </w:pPr>
          </w:p>
        </w:tc>
        <w:tc>
          <w:tcPr>
            <w:tcW w:w="5040" w:type="dxa"/>
            <w:vAlign w:val="bottom"/>
            <w:tcBorders>
              <w:right w:val="single" w:sz="8" w:color="auto"/>
            </w:tcBorders>
            <w:gridSpan w:val="3"/>
          </w:tcPr>
          <w:p>
            <w:pPr>
              <w:spacing w:after="0" w:line="195" w:lineRule="exact"/>
              <w:rPr>
                <w:sz w:val="20"/>
                <w:szCs w:val="20"/>
                <w:color w:val="auto"/>
              </w:rPr>
            </w:pPr>
            <w:r>
              <w:rPr>
                <w:rFonts w:ascii="Arial" w:cs="Arial" w:eastAsia="Arial" w:hAnsi="Arial"/>
                <w:sz w:val="18"/>
                <w:szCs w:val="18"/>
                <w:color w:val="auto"/>
                <w:w w:val="91"/>
              </w:rPr>
              <w:t>Common shares, par value $0.002 per share, to be issued under the</w:t>
            </w:r>
          </w:p>
        </w:tc>
        <w:tc>
          <w:tcPr>
            <w:tcW w:w="1600" w:type="dxa"/>
            <w:vAlign w:val="bottom"/>
            <w:tcBorders>
              <w:right w:val="single" w:sz="8" w:color="auto"/>
            </w:tcBorders>
          </w:tcPr>
          <w:p>
            <w:pPr>
              <w:spacing w:after="0"/>
              <w:rPr>
                <w:sz w:val="16"/>
                <w:szCs w:val="16"/>
                <w:color w:val="auto"/>
              </w:rPr>
            </w:pPr>
          </w:p>
        </w:tc>
        <w:tc>
          <w:tcPr>
            <w:tcW w:w="240" w:type="dxa"/>
            <w:vAlign w:val="bottom"/>
          </w:tcPr>
          <w:p>
            <w:pPr>
              <w:spacing w:after="0"/>
              <w:rPr>
                <w:sz w:val="16"/>
                <w:szCs w:val="16"/>
                <w:color w:val="auto"/>
              </w:rPr>
            </w:pPr>
          </w:p>
        </w:tc>
        <w:tc>
          <w:tcPr>
            <w:tcW w:w="1360" w:type="dxa"/>
            <w:vAlign w:val="bottom"/>
            <w:tcBorders>
              <w:right w:val="single" w:sz="8" w:color="auto"/>
            </w:tcBorders>
          </w:tcPr>
          <w:p>
            <w:pPr>
              <w:spacing w:after="0"/>
              <w:rPr>
                <w:sz w:val="16"/>
                <w:szCs w:val="16"/>
                <w:color w:val="auto"/>
              </w:rPr>
            </w:pPr>
          </w:p>
        </w:tc>
        <w:tc>
          <w:tcPr>
            <w:tcW w:w="1600" w:type="dxa"/>
            <w:vAlign w:val="bottom"/>
            <w:tcBorders>
              <w:right w:val="single" w:sz="8" w:color="auto"/>
            </w:tcBorders>
          </w:tcPr>
          <w:p>
            <w:pPr>
              <w:spacing w:after="0"/>
              <w:rPr>
                <w:sz w:val="16"/>
                <w:szCs w:val="16"/>
                <w:color w:val="auto"/>
              </w:rPr>
            </w:pPr>
          </w:p>
        </w:tc>
        <w:tc>
          <w:tcPr>
            <w:tcW w:w="24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tcBorders>
              <w:right w:val="single" w:sz="8" w:color="auto"/>
            </w:tcBorders>
            <w:gridSpan w:val="3"/>
          </w:tcPr>
          <w:p>
            <w:pPr>
              <w:jc w:val="center"/>
              <w:ind w:right="80"/>
              <w:spacing w:after="0"/>
              <w:rPr>
                <w:sz w:val="20"/>
                <w:szCs w:val="20"/>
                <w:color w:val="auto"/>
              </w:rPr>
            </w:pPr>
            <w:r>
              <w:rPr>
                <w:rFonts w:ascii="Arial" w:cs="Arial" w:eastAsia="Arial" w:hAnsi="Arial"/>
                <w:sz w:val="18"/>
                <w:szCs w:val="18"/>
                <w:color w:val="auto"/>
                <w:w w:val="91"/>
              </w:rPr>
              <w:t>Marvell Technology Group Ltd. 2000 Employee Stock Purchase</w:t>
            </w:r>
          </w:p>
        </w:tc>
        <w:tc>
          <w:tcPr>
            <w:tcW w:w="1600" w:type="dxa"/>
            <w:vAlign w:val="bottom"/>
            <w:tcBorders>
              <w:right w:val="single" w:sz="8" w:color="auto"/>
            </w:tcBorders>
          </w:tcPr>
          <w:p>
            <w:pPr>
              <w:spacing w:after="0"/>
              <w:rPr>
                <w:sz w:val="18"/>
                <w:szCs w:val="18"/>
                <w:color w:val="auto"/>
              </w:rPr>
            </w:pPr>
          </w:p>
        </w:tc>
        <w:tc>
          <w:tcPr>
            <w:tcW w:w="240" w:type="dxa"/>
            <w:vAlign w:val="bottom"/>
          </w:tcPr>
          <w:p>
            <w:pPr>
              <w:spacing w:after="0"/>
              <w:rPr>
                <w:sz w:val="18"/>
                <w:szCs w:val="18"/>
                <w:color w:val="auto"/>
              </w:rPr>
            </w:pPr>
          </w:p>
        </w:tc>
        <w:tc>
          <w:tcPr>
            <w:tcW w:w="1360" w:type="dxa"/>
            <w:vAlign w:val="bottom"/>
            <w:tcBorders>
              <w:right w:val="single" w:sz="8" w:color="auto"/>
            </w:tcBorders>
          </w:tcPr>
          <w:p>
            <w:pPr>
              <w:spacing w:after="0"/>
              <w:rPr>
                <w:sz w:val="18"/>
                <w:szCs w:val="18"/>
                <w:color w:val="auto"/>
              </w:rPr>
            </w:pPr>
          </w:p>
        </w:tc>
        <w:tc>
          <w:tcPr>
            <w:tcW w:w="1600" w:type="dxa"/>
            <w:vAlign w:val="bottom"/>
            <w:tcBorders>
              <w:right w:val="single" w:sz="8" w:color="auto"/>
            </w:tcBorders>
          </w:tcPr>
          <w:p>
            <w:pPr>
              <w:spacing w:after="0"/>
              <w:rPr>
                <w:sz w:val="18"/>
                <w:szCs w:val="18"/>
                <w:color w:val="auto"/>
              </w:rPr>
            </w:pPr>
          </w:p>
        </w:tc>
        <w:tc>
          <w:tcPr>
            <w:tcW w:w="24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5040" w:type="dxa"/>
            <w:vAlign w:val="bottom"/>
            <w:tcBorders>
              <w:bottom w:val="single" w:sz="8" w:color="auto"/>
              <w:right w:val="single" w:sz="8" w:color="auto"/>
            </w:tcBorders>
            <w:gridSpan w:val="3"/>
          </w:tcPr>
          <w:p>
            <w:pPr>
              <w:ind w:left="160"/>
              <w:spacing w:after="0"/>
              <w:rPr>
                <w:sz w:val="20"/>
                <w:szCs w:val="20"/>
                <w:color w:val="auto"/>
              </w:rPr>
            </w:pPr>
            <w:r>
              <w:rPr>
                <w:rFonts w:ascii="Arial" w:cs="Arial" w:eastAsia="Arial" w:hAnsi="Arial"/>
                <w:sz w:val="18"/>
                <w:szCs w:val="18"/>
                <w:color w:val="auto"/>
              </w:rPr>
              <w:t>Plan, as amended and restated</w:t>
            </w:r>
          </w:p>
        </w:tc>
        <w:tc>
          <w:tcPr>
            <w:tcW w:w="160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7,721,312 shares</w:t>
            </w:r>
          </w:p>
        </w:tc>
        <w:tc>
          <w:tcPr>
            <w:tcW w:w="240" w:type="dxa"/>
            <w:vAlign w:val="bottom"/>
            <w:tcBorders>
              <w:bottom w:val="single" w:sz="8" w:color="auto"/>
            </w:tcBorders>
          </w:tcPr>
          <w:p>
            <w:pPr>
              <w:spacing w:after="0"/>
              <w:rPr>
                <w:sz w:val="20"/>
                <w:szCs w:val="20"/>
                <w:color w:val="auto"/>
              </w:rPr>
            </w:pPr>
          </w:p>
        </w:tc>
        <w:tc>
          <w:tcPr>
            <w:tcW w:w="1360" w:type="dxa"/>
            <w:vAlign w:val="bottom"/>
            <w:tcBorders>
              <w:bottom w:val="single" w:sz="8" w:color="auto"/>
              <w:right w:val="single" w:sz="8" w:color="auto"/>
            </w:tcBorders>
          </w:tcPr>
          <w:p>
            <w:pPr>
              <w:jc w:val="center"/>
              <w:ind w:right="66"/>
              <w:spacing w:after="0"/>
              <w:rPr>
                <w:sz w:val="20"/>
                <w:szCs w:val="20"/>
                <w:color w:val="auto"/>
              </w:rPr>
            </w:pPr>
            <w:r>
              <w:rPr>
                <w:rFonts w:ascii="Arial" w:cs="Arial" w:eastAsia="Arial" w:hAnsi="Arial"/>
                <w:sz w:val="18"/>
                <w:szCs w:val="18"/>
                <w:color w:val="auto"/>
                <w:w w:val="89"/>
              </w:rPr>
              <w:t>$14.023</w:t>
            </w:r>
          </w:p>
        </w:tc>
        <w:tc>
          <w:tcPr>
            <w:tcW w:w="160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8"/>
              </w:rPr>
              <w:t>$108,275,958.18</w:t>
            </w:r>
          </w:p>
        </w:tc>
        <w:tc>
          <w:tcPr>
            <w:tcW w:w="240" w:type="dxa"/>
            <w:vAlign w:val="bottom"/>
            <w:tcBorders>
              <w:bottom w:val="single" w:sz="8" w:color="auto"/>
            </w:tcBorders>
          </w:tcPr>
          <w:p>
            <w:pPr>
              <w:spacing w:after="0"/>
              <w:rPr>
                <w:sz w:val="20"/>
                <w:szCs w:val="20"/>
                <w:color w:val="auto"/>
              </w:rPr>
            </w:pPr>
          </w:p>
        </w:tc>
        <w:tc>
          <w:tcPr>
            <w:tcW w:w="116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88"/>
              </w:rPr>
              <w:t>$12,581.67</w:t>
            </w:r>
          </w:p>
        </w:tc>
        <w:tc>
          <w:tcPr>
            <w:tcW w:w="160" w:type="dxa"/>
            <w:vAlign w:val="bottom"/>
            <w:tcBorders>
              <w:bottom w:val="single" w:sz="8" w:color="auto"/>
            </w:tcBorders>
          </w:tcPr>
          <w:p>
            <w:pPr>
              <w:spacing w:after="0"/>
              <w:rPr>
                <w:sz w:val="20"/>
                <w:szCs w:val="20"/>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760" w:type="dxa"/>
            <w:vAlign w:val="bottom"/>
            <w:tcBorders>
              <w:bottom w:val="single" w:sz="8" w:color="auto"/>
            </w:tcBorders>
          </w:tcPr>
          <w:p>
            <w:pPr>
              <w:spacing w:after="0" w:line="20" w:lineRule="exact"/>
              <w:rPr>
                <w:sz w:val="1"/>
                <w:szCs w:val="1"/>
                <w:color w:val="auto"/>
              </w:rPr>
            </w:pPr>
          </w:p>
        </w:tc>
        <w:tc>
          <w:tcPr>
            <w:tcW w:w="2740" w:type="dxa"/>
            <w:vAlign w:val="bottom"/>
            <w:tcBorders>
              <w:bottom w:val="single" w:sz="8" w:color="auto"/>
            </w:tcBorders>
          </w:tcPr>
          <w:p>
            <w:pPr>
              <w:spacing w:after="0" w:line="20" w:lineRule="exact"/>
              <w:rPr>
                <w:sz w:val="1"/>
                <w:szCs w:val="1"/>
                <w:color w:val="auto"/>
              </w:rPr>
            </w:pPr>
          </w:p>
        </w:tc>
        <w:tc>
          <w:tcPr>
            <w:tcW w:w="540" w:type="dxa"/>
            <w:vAlign w:val="bottom"/>
            <w:tcBorders>
              <w:bottom w:val="single" w:sz="8" w:color="auto"/>
            </w:tcBorders>
          </w:tcPr>
          <w:p>
            <w:pPr>
              <w:spacing w:after="0" w:line="20" w:lineRule="exact"/>
              <w:rPr>
                <w:sz w:val="1"/>
                <w:szCs w:val="1"/>
                <w:color w:val="auto"/>
              </w:rPr>
            </w:pPr>
          </w:p>
        </w:tc>
        <w:tc>
          <w:tcPr>
            <w:tcW w:w="160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360" w:type="dxa"/>
            <w:vAlign w:val="bottom"/>
            <w:tcBorders>
              <w:bottom w:val="single" w:sz="8" w:color="auto"/>
            </w:tcBorders>
          </w:tcPr>
          <w:p>
            <w:pPr>
              <w:spacing w:after="0" w:line="20" w:lineRule="exact"/>
              <w:rPr>
                <w:sz w:val="1"/>
                <w:szCs w:val="1"/>
                <w:color w:val="auto"/>
              </w:rPr>
            </w:pPr>
          </w:p>
        </w:tc>
        <w:tc>
          <w:tcPr>
            <w:tcW w:w="160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ectPr>
          <w:pgSz w:w="11900" w:h="16838" w:orient="portrait"/>
          <w:cols w:equalWidth="0" w:num="1">
            <w:col w:w="11420"/>
          </w:cols>
          <w:pgMar w:left="240" w:top="229" w:right="239" w:bottom="0" w:gutter="0" w:footer="0" w:header="0"/>
        </w:sectPr>
      </w:pPr>
    </w:p>
    <w:bookmarkStart w:id="1" w:name="page2"/>
    <w:bookmarkEnd w:id="1"/>
    <w:p>
      <w:pPr>
        <w:ind w:left="452" w:hanging="452"/>
        <w:spacing w:after="0" w:line="286" w:lineRule="auto"/>
        <w:tabs>
          <w:tab w:leader="none" w:pos="452" w:val="left"/>
        </w:tabs>
        <w:numPr>
          <w:ilvl w:val="0"/>
          <w:numId w:val="1"/>
        </w:numPr>
        <w:rPr>
          <w:rFonts w:ascii="Arial" w:cs="Arial" w:eastAsia="Arial" w:hAnsi="Arial"/>
          <w:sz w:val="16"/>
          <w:szCs w:val="16"/>
          <w:color w:val="auto"/>
        </w:rPr>
      </w:pPr>
      <w:r>
        <w:rPr>
          <w:rFonts w:ascii="Arial" w:cs="Arial" w:eastAsia="Arial" w:hAnsi="Arial"/>
          <w:sz w:val="16"/>
          <w:szCs w:val="16"/>
          <w:color w:val="auto"/>
        </w:rPr>
        <w:t>Pursuant to Rule 416(a) of the Securities Act of 1933, as amended (the “Securities Act”), this Registration Statement also covers shares issued pursuant to certain anti-dilution provisions as set forth the Marvell Technology Group Ltd. 2000 Employee Stock Purchase Plan, as amended and restated, including, without limitation, shares issued as a result of any stock split, stock dividend, recapitalization or any other similar transaction effected without the Registrant’s receipt of consideration that results in an increase in the number of the Registrant’s outstanding common shares.</w:t>
      </w:r>
    </w:p>
    <w:p>
      <w:pPr>
        <w:spacing w:after="0" w:line="1" w:lineRule="exact"/>
        <w:rPr>
          <w:rFonts w:ascii="Arial" w:cs="Arial" w:eastAsia="Arial" w:hAnsi="Arial"/>
          <w:sz w:val="16"/>
          <w:szCs w:val="16"/>
          <w:color w:val="auto"/>
        </w:rPr>
      </w:pPr>
    </w:p>
    <w:p>
      <w:pPr>
        <w:ind w:left="452" w:right="120" w:hanging="452"/>
        <w:spacing w:after="0" w:line="255" w:lineRule="auto"/>
        <w:tabs>
          <w:tab w:leader="none" w:pos="452" w:val="left"/>
        </w:tabs>
        <w:numPr>
          <w:ilvl w:val="0"/>
          <w:numId w:val="1"/>
        </w:numPr>
        <w:rPr>
          <w:rFonts w:ascii="Arial" w:cs="Arial" w:eastAsia="Arial" w:hAnsi="Arial"/>
          <w:sz w:val="18"/>
          <w:szCs w:val="18"/>
          <w:color w:val="auto"/>
        </w:rPr>
      </w:pPr>
      <w:r>
        <w:rPr>
          <w:rFonts w:ascii="Arial" w:cs="Arial" w:eastAsia="Arial" w:hAnsi="Arial"/>
          <w:sz w:val="18"/>
          <w:szCs w:val="18"/>
          <w:color w:val="auto"/>
        </w:rPr>
        <w:t>Estimated in accordance with Rules 457(c) and (h) of the Securities Act solely for the purpose of calculating the registration fee, based upon the average of the high and low prices of the Registrant’s common shares as reported on the Nasdaq Global Select Market on June 2, 2015, which amount was $14.023 per share.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2864485</wp:posOffset>
            </wp:positionH>
            <wp:positionV relativeFrom="paragraph">
              <wp:posOffset>224155</wp:posOffset>
            </wp:positionV>
            <wp:extent cx="151765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1517650" cy="8890"/>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412750</wp:posOffset>
            </wp:positionV>
            <wp:extent cx="724662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455930</wp:posOffset>
            </wp:positionV>
            <wp:extent cx="724662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72"/>
          </w:cols>
          <w:pgMar w:left="248" w:top="125" w:right="279" w:bottom="1440" w:gutter="0" w:footer="0" w:header="0"/>
        </w:sectPr>
      </w:pPr>
    </w:p>
    <w:bookmarkStart w:id="2" w:name="page3"/>
    <w:bookmarkEnd w:id="2"/>
    <w:p>
      <w:pPr>
        <w:ind w:left="208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INFORMATION REQUIRED PURSUANT TO GENERAL INSTRUCTION E TO FORM S-8</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General Instruction E Information</w:t>
      </w:r>
    </w:p>
    <w:p>
      <w:pPr>
        <w:spacing w:after="0" w:line="121" w:lineRule="exact"/>
        <w:rPr>
          <w:sz w:val="20"/>
          <w:szCs w:val="20"/>
          <w:color w:val="auto"/>
        </w:rPr>
      </w:pPr>
    </w:p>
    <w:p>
      <w:pPr>
        <w:ind w:right="40"/>
        <w:spacing w:after="0" w:line="259" w:lineRule="auto"/>
        <w:rPr>
          <w:sz w:val="20"/>
          <w:szCs w:val="20"/>
          <w:color w:val="auto"/>
        </w:rPr>
      </w:pPr>
      <w:r>
        <w:rPr>
          <w:rFonts w:ascii="Arial" w:cs="Arial" w:eastAsia="Arial" w:hAnsi="Arial"/>
          <w:sz w:val="18"/>
          <w:szCs w:val="18"/>
          <w:color w:val="auto"/>
        </w:rPr>
        <w:t>This Registration Statement on Form S-8 is being filed by Marvell Technology Group Ltd. (“Marvell”) to register an additional 7,721,312 of its common shares, par value $0.002 per share (“Common Shares”) issuable to employees of Marvell and certain of its subsidiaries under the Marvell Technology Group Ltd. 2000 Employee Stock Purchase Plan, as amended and restated (the “2000 ESPP”), and consists of only those items required by General Instruction E to Form S-8.</w:t>
      </w:r>
    </w:p>
    <w:p>
      <w:pPr>
        <w:spacing w:after="0" w:line="187" w:lineRule="exact"/>
        <w:rPr>
          <w:sz w:val="20"/>
          <w:szCs w:val="20"/>
          <w:color w:val="auto"/>
        </w:rPr>
      </w:pPr>
    </w:p>
    <w:p>
      <w:pPr>
        <w:spacing w:after="0"/>
        <w:rPr>
          <w:sz w:val="20"/>
          <w:szCs w:val="20"/>
          <w:color w:val="auto"/>
        </w:rPr>
      </w:pPr>
      <w:r>
        <w:rPr>
          <w:rFonts w:ascii="Arial" w:cs="Arial" w:eastAsia="Arial" w:hAnsi="Arial"/>
          <w:sz w:val="16"/>
          <w:szCs w:val="16"/>
          <w:color w:val="auto"/>
        </w:rPr>
        <w:t>The contents of Marvell’s Registration Statements on Form S-8 previously filed with the Securities and Exchange Commission (“Commission”) June 26,</w:t>
      </w:r>
    </w:p>
    <w:p>
      <w:pPr>
        <w:spacing w:after="0" w:line="46" w:lineRule="exact"/>
        <w:rPr>
          <w:sz w:val="20"/>
          <w:szCs w:val="20"/>
          <w:color w:val="auto"/>
        </w:rPr>
      </w:pPr>
    </w:p>
    <w:p>
      <w:pPr>
        <w:spacing w:after="0"/>
        <w:rPr>
          <w:sz w:val="20"/>
          <w:szCs w:val="20"/>
          <w:color w:val="auto"/>
        </w:rPr>
      </w:pPr>
      <w:r>
        <w:rPr>
          <w:rFonts w:ascii="Arial" w:cs="Arial" w:eastAsia="Arial" w:hAnsi="Arial"/>
          <w:sz w:val="16"/>
          <w:szCs w:val="16"/>
          <w:color w:val="auto"/>
        </w:rPr>
        <w:t>2000 (Registration No. 333-40154), February 28, 2001 (Registration No. 333-56322), May 1, 2002 (Registration No. 333-87322), May 2, 2003 (Registration</w:t>
      </w:r>
    </w:p>
    <w:p>
      <w:pPr>
        <w:spacing w:after="0" w:line="32" w:lineRule="exact"/>
        <w:rPr>
          <w:sz w:val="20"/>
          <w:szCs w:val="20"/>
          <w:color w:val="auto"/>
        </w:rPr>
      </w:pPr>
    </w:p>
    <w:p>
      <w:pPr>
        <w:spacing w:after="0"/>
        <w:rPr>
          <w:sz w:val="20"/>
          <w:szCs w:val="20"/>
          <w:color w:val="auto"/>
        </w:rPr>
      </w:pPr>
      <w:r>
        <w:rPr>
          <w:rFonts w:ascii="Arial" w:cs="Arial" w:eastAsia="Arial" w:hAnsi="Arial"/>
          <w:sz w:val="17"/>
          <w:szCs w:val="17"/>
          <w:color w:val="auto"/>
        </w:rPr>
        <w:t>No. 333-104925), April 13, 2004 (Registration No. 333-114434), April 14, 2005 (Registration No. 333-124072), April 13, 2006 (Registration No. 333-</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133281), January 11, 2008 (Registration No. 333-148621), June 20, 2008 (Registration No. 333-151816), December 10, 2009 (Registration No. 333-</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163644), March 28, 2012 (Registration No. 333-180412), March 29, 2013 (Registration No. 333-187641) and March 28, 2014 (Registration No. 333-</w:t>
      </w:r>
    </w:p>
    <w:p>
      <w:pPr>
        <w:spacing w:after="0" w:line="21" w:lineRule="exact"/>
        <w:rPr>
          <w:sz w:val="20"/>
          <w:szCs w:val="20"/>
          <w:color w:val="auto"/>
        </w:rPr>
      </w:pPr>
    </w:p>
    <w:p>
      <w:pPr>
        <w:spacing w:after="0"/>
        <w:rPr>
          <w:sz w:val="20"/>
          <w:szCs w:val="20"/>
          <w:color w:val="auto"/>
        </w:rPr>
      </w:pPr>
      <w:r>
        <w:rPr>
          <w:rFonts w:ascii="Arial" w:cs="Arial" w:eastAsia="Arial" w:hAnsi="Arial"/>
          <w:sz w:val="18"/>
          <w:szCs w:val="18"/>
          <w:color w:val="auto"/>
        </w:rPr>
        <w:t>194865), each of which relates to the 2000 ESPP, are incorporated herein by reference and made a part hereof.</w:t>
      </w:r>
    </w:p>
    <w:p>
      <w:pPr>
        <w:spacing w:after="0" w:line="200" w:lineRule="exact"/>
        <w:rPr>
          <w:sz w:val="20"/>
          <w:szCs w:val="20"/>
          <w:color w:val="auto"/>
        </w:rPr>
      </w:pPr>
    </w:p>
    <w:p>
      <w:pPr>
        <w:spacing w:after="0" w:line="223"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PART II</w:t>
      </w:r>
    </w:p>
    <w:p>
      <w:pPr>
        <w:spacing w:after="0" w:line="22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INFORMATION REQUIRED IN THE REGISTRATION STATEMENT</w:t>
      </w:r>
    </w:p>
    <w:p>
      <w:pPr>
        <w:spacing w:after="0" w:line="252"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b w:val="1"/>
          <w:bCs w:val="1"/>
          <w:color w:val="auto"/>
        </w:rPr>
        <w:t>Item 8.</w:t>
      </w:r>
      <w:r>
        <w:rPr>
          <w:sz w:val="20"/>
          <w:szCs w:val="20"/>
          <w:color w:val="auto"/>
        </w:rPr>
        <w:tab/>
      </w:r>
      <w:r>
        <w:rPr>
          <w:rFonts w:ascii="Arial" w:cs="Arial" w:eastAsia="Arial" w:hAnsi="Arial"/>
          <w:sz w:val="16"/>
          <w:szCs w:val="16"/>
          <w:b w:val="1"/>
          <w:bCs w:val="1"/>
          <w:color w:val="auto"/>
        </w:rPr>
        <w:t>Exhibits.</w:t>
      </w:r>
    </w:p>
    <w:p>
      <w:pPr>
        <w:spacing w:after="0" w:line="12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exhibits are filed as part of this Registration Statement:</w:t>
      </w:r>
    </w:p>
    <w:p>
      <w:pPr>
        <w:spacing w:after="0" w:line="23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60" w:type="dxa"/>
            <w:vAlign w:val="bottom"/>
          </w:tcPr>
          <w:p>
            <w:pPr>
              <w:jc w:val="right"/>
              <w:spacing w:after="0"/>
              <w:rPr>
                <w:sz w:val="20"/>
                <w:szCs w:val="20"/>
                <w:color w:val="auto"/>
              </w:rPr>
            </w:pPr>
            <w:r>
              <w:rPr>
                <w:rFonts w:ascii="Arial" w:cs="Arial" w:eastAsia="Arial" w:hAnsi="Arial"/>
                <w:sz w:val="14"/>
                <w:szCs w:val="14"/>
                <w:b w:val="1"/>
                <w:bCs w:val="1"/>
                <w:color w:val="auto"/>
                <w:w w:val="94"/>
              </w:rPr>
              <w:t>Exhibit</w:t>
            </w:r>
          </w:p>
        </w:tc>
        <w:tc>
          <w:tcPr>
            <w:tcW w:w="5400" w:type="dxa"/>
            <w:vAlign w:val="bottom"/>
            <w:vMerge w:val="restart"/>
          </w:tcPr>
          <w:p>
            <w:pPr>
              <w:spacing w:after="0"/>
              <w:rPr>
                <w:sz w:val="14"/>
                <w:szCs w:val="14"/>
                <w:color w:val="auto"/>
              </w:rPr>
            </w:pPr>
          </w:p>
        </w:tc>
        <w:tc>
          <w:tcPr>
            <w:tcW w:w="720" w:type="dxa"/>
            <w:vAlign w:val="bottom"/>
            <w:vMerge w:val="restart"/>
          </w:tcPr>
          <w:p>
            <w:pPr>
              <w:spacing w:after="0"/>
              <w:rPr>
                <w:sz w:val="20"/>
                <w:szCs w:val="20"/>
                <w:color w:val="auto"/>
              </w:rPr>
            </w:pPr>
            <w:r>
              <w:rPr>
                <w:rFonts w:ascii="Arial" w:cs="Arial" w:eastAsia="Arial" w:hAnsi="Arial"/>
                <w:sz w:val="14"/>
                <w:szCs w:val="14"/>
                <w:b w:val="1"/>
                <w:bCs w:val="1"/>
                <w:color w:val="auto"/>
                <w:w w:val="90"/>
              </w:rPr>
              <w:t>Description</w:t>
            </w:r>
          </w:p>
        </w:tc>
        <w:tc>
          <w:tcPr>
            <w:tcW w:w="4460" w:type="dxa"/>
            <w:vAlign w:val="bottom"/>
            <w:vMerge w:val="restart"/>
          </w:tcPr>
          <w:p>
            <w:pPr>
              <w:spacing w:after="0"/>
              <w:rPr>
                <w:sz w:val="14"/>
                <w:szCs w:val="14"/>
                <w:color w:val="auto"/>
              </w:rPr>
            </w:pPr>
          </w:p>
        </w:tc>
        <w:tc>
          <w:tcPr>
            <w:tcW w:w="0" w:type="dxa"/>
            <w:vAlign w:val="bottom"/>
          </w:tcPr>
          <w:p>
            <w:pPr>
              <w:spacing w:after="0"/>
              <w:rPr>
                <w:sz w:val="1"/>
                <w:szCs w:val="1"/>
                <w:color w:val="auto"/>
              </w:rPr>
            </w:pPr>
          </w:p>
        </w:tc>
      </w:tr>
      <w:tr>
        <w:trPr>
          <w:trHeight w:val="171"/>
        </w:trPr>
        <w:tc>
          <w:tcPr>
            <w:tcW w:w="460" w:type="dxa"/>
            <w:vAlign w:val="bottom"/>
            <w:tcBorders>
              <w:bottom w:val="single" w:sz="8" w:color="auto"/>
            </w:tcBorders>
          </w:tcPr>
          <w:p>
            <w:pPr>
              <w:jc w:val="right"/>
              <w:ind w:right="34"/>
              <w:spacing w:after="0"/>
              <w:rPr>
                <w:sz w:val="20"/>
                <w:szCs w:val="20"/>
                <w:color w:val="auto"/>
              </w:rPr>
            </w:pPr>
            <w:r>
              <w:rPr>
                <w:rFonts w:ascii="Arial" w:cs="Arial" w:eastAsia="Arial" w:hAnsi="Arial"/>
                <w:sz w:val="14"/>
                <w:szCs w:val="14"/>
                <w:b w:val="1"/>
                <w:bCs w:val="1"/>
                <w:color w:val="auto"/>
              </w:rPr>
              <w:t>No.</w:t>
            </w:r>
          </w:p>
        </w:tc>
        <w:tc>
          <w:tcPr>
            <w:tcW w:w="5400" w:type="dxa"/>
            <w:vAlign w:val="bottom"/>
            <w:vMerge w:val="continue"/>
          </w:tcPr>
          <w:p>
            <w:pPr>
              <w:spacing w:after="0"/>
              <w:rPr>
                <w:sz w:val="14"/>
                <w:szCs w:val="14"/>
                <w:color w:val="auto"/>
              </w:rPr>
            </w:pPr>
          </w:p>
        </w:tc>
        <w:tc>
          <w:tcPr>
            <w:tcW w:w="720" w:type="dxa"/>
            <w:vAlign w:val="bottom"/>
            <w:tcBorders>
              <w:bottom w:val="single" w:sz="8" w:color="auto"/>
            </w:tcBorders>
            <w:vMerge w:val="continue"/>
          </w:tcPr>
          <w:p>
            <w:pPr>
              <w:spacing w:after="0"/>
              <w:rPr>
                <w:sz w:val="14"/>
                <w:szCs w:val="14"/>
                <w:color w:val="auto"/>
              </w:rPr>
            </w:pPr>
          </w:p>
        </w:tc>
        <w:tc>
          <w:tcPr>
            <w:tcW w:w="446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318"/>
        </w:trPr>
        <w:tc>
          <w:tcPr>
            <w:tcW w:w="460" w:type="dxa"/>
            <w:vAlign w:val="bottom"/>
          </w:tcPr>
          <w:p>
            <w:pPr>
              <w:jc w:val="right"/>
              <w:ind w:right="54"/>
              <w:spacing w:after="0"/>
              <w:rPr>
                <w:sz w:val="20"/>
                <w:szCs w:val="20"/>
                <w:color w:val="auto"/>
              </w:rPr>
            </w:pPr>
            <w:r>
              <w:rPr>
                <w:rFonts w:ascii="Arial" w:cs="Arial" w:eastAsia="Arial" w:hAnsi="Arial"/>
                <w:sz w:val="18"/>
                <w:szCs w:val="18"/>
                <w:color w:val="auto"/>
              </w:rPr>
              <w:t>5.1</w:t>
            </w:r>
          </w:p>
        </w:tc>
        <w:tc>
          <w:tcPr>
            <w:tcW w:w="10580" w:type="dxa"/>
            <w:vAlign w:val="bottom"/>
            <w:gridSpan w:val="3"/>
          </w:tcPr>
          <w:p>
            <w:pPr>
              <w:ind w:left="560"/>
              <w:spacing w:after="0"/>
              <w:rPr>
                <w:sz w:val="20"/>
                <w:szCs w:val="20"/>
                <w:color w:val="auto"/>
              </w:rPr>
            </w:pPr>
            <w:r>
              <w:rPr>
                <w:rFonts w:ascii="Arial" w:cs="Arial" w:eastAsia="Arial" w:hAnsi="Arial"/>
                <w:sz w:val="18"/>
                <w:szCs w:val="18"/>
                <w:color w:val="auto"/>
              </w:rPr>
              <w:t>Opinion of Appleby (Bermuda) Limited</w:t>
            </w:r>
          </w:p>
        </w:tc>
        <w:tc>
          <w:tcPr>
            <w:tcW w:w="0" w:type="dxa"/>
            <w:vAlign w:val="bottom"/>
          </w:tcPr>
          <w:p>
            <w:pPr>
              <w:spacing w:after="0"/>
              <w:rPr>
                <w:sz w:val="1"/>
                <w:szCs w:val="1"/>
                <w:color w:val="auto"/>
              </w:rPr>
            </w:pPr>
          </w:p>
        </w:tc>
      </w:tr>
      <w:tr>
        <w:trPr>
          <w:trHeight w:val="310"/>
        </w:trPr>
        <w:tc>
          <w:tcPr>
            <w:tcW w:w="460" w:type="dxa"/>
            <w:vAlign w:val="bottom"/>
          </w:tcPr>
          <w:p>
            <w:pPr>
              <w:jc w:val="right"/>
              <w:ind w:right="54"/>
              <w:spacing w:after="0"/>
              <w:rPr>
                <w:sz w:val="20"/>
                <w:szCs w:val="20"/>
                <w:color w:val="auto"/>
              </w:rPr>
            </w:pPr>
            <w:r>
              <w:rPr>
                <w:rFonts w:ascii="Arial" w:cs="Arial" w:eastAsia="Arial" w:hAnsi="Arial"/>
                <w:sz w:val="18"/>
                <w:szCs w:val="18"/>
                <w:color w:val="auto"/>
                <w:w w:val="85"/>
              </w:rPr>
              <w:t>10.1</w:t>
            </w:r>
          </w:p>
        </w:tc>
        <w:tc>
          <w:tcPr>
            <w:tcW w:w="10580" w:type="dxa"/>
            <w:vAlign w:val="bottom"/>
            <w:gridSpan w:val="3"/>
          </w:tcPr>
          <w:p>
            <w:pPr>
              <w:ind w:left="560"/>
              <w:spacing w:after="0"/>
              <w:rPr>
                <w:sz w:val="20"/>
                <w:szCs w:val="20"/>
                <w:color w:val="auto"/>
              </w:rPr>
            </w:pPr>
            <w:r>
              <w:rPr>
                <w:rFonts w:ascii="Arial" w:cs="Arial" w:eastAsia="Arial" w:hAnsi="Arial"/>
                <w:sz w:val="18"/>
                <w:szCs w:val="18"/>
                <w:color w:val="auto"/>
                <w:w w:val="91"/>
              </w:rPr>
              <w:t>2000 Employee Stock Purchase Plan (as amended and restated as of October 31, 2011), incorporated by reference to Exhibit 10.1 of the</w:t>
            </w:r>
          </w:p>
        </w:tc>
        <w:tc>
          <w:tcPr>
            <w:tcW w:w="0" w:type="dxa"/>
            <w:vAlign w:val="bottom"/>
          </w:tcPr>
          <w:p>
            <w:pPr>
              <w:spacing w:after="0"/>
              <w:rPr>
                <w:sz w:val="1"/>
                <w:szCs w:val="1"/>
                <w:color w:val="auto"/>
              </w:rPr>
            </w:pPr>
          </w:p>
        </w:tc>
      </w:tr>
      <w:tr>
        <w:trPr>
          <w:trHeight w:val="230"/>
        </w:trPr>
        <w:tc>
          <w:tcPr>
            <w:tcW w:w="460" w:type="dxa"/>
            <w:vAlign w:val="bottom"/>
          </w:tcPr>
          <w:p>
            <w:pPr>
              <w:spacing w:after="0"/>
              <w:rPr>
                <w:sz w:val="20"/>
                <w:szCs w:val="20"/>
                <w:color w:val="auto"/>
              </w:rPr>
            </w:pPr>
          </w:p>
        </w:tc>
        <w:tc>
          <w:tcPr>
            <w:tcW w:w="10580" w:type="dxa"/>
            <w:vAlign w:val="bottom"/>
            <w:gridSpan w:val="3"/>
          </w:tcPr>
          <w:p>
            <w:pPr>
              <w:ind w:left="560"/>
              <w:spacing w:after="0"/>
              <w:rPr>
                <w:sz w:val="20"/>
                <w:szCs w:val="20"/>
                <w:color w:val="auto"/>
              </w:rPr>
            </w:pPr>
            <w:r>
              <w:rPr>
                <w:rFonts w:ascii="Arial" w:cs="Arial" w:eastAsia="Arial" w:hAnsi="Arial"/>
                <w:sz w:val="18"/>
                <w:szCs w:val="18"/>
                <w:color w:val="auto"/>
              </w:rPr>
              <w:t>registrant’s Quarterly Report on Form 10-Q for the period ended October 29, 2011 as filed on December 2, 2011</w:t>
            </w:r>
          </w:p>
        </w:tc>
        <w:tc>
          <w:tcPr>
            <w:tcW w:w="0" w:type="dxa"/>
            <w:vAlign w:val="bottom"/>
          </w:tcPr>
          <w:p>
            <w:pPr>
              <w:spacing w:after="0"/>
              <w:rPr>
                <w:sz w:val="1"/>
                <w:szCs w:val="1"/>
                <w:color w:val="auto"/>
              </w:rPr>
            </w:pPr>
          </w:p>
        </w:tc>
      </w:tr>
      <w:tr>
        <w:trPr>
          <w:trHeight w:val="310"/>
        </w:trPr>
        <w:tc>
          <w:tcPr>
            <w:tcW w:w="460" w:type="dxa"/>
            <w:vAlign w:val="bottom"/>
          </w:tcPr>
          <w:p>
            <w:pPr>
              <w:jc w:val="right"/>
              <w:ind w:right="54"/>
              <w:spacing w:after="0"/>
              <w:rPr>
                <w:sz w:val="20"/>
                <w:szCs w:val="20"/>
                <w:color w:val="auto"/>
              </w:rPr>
            </w:pPr>
            <w:r>
              <w:rPr>
                <w:rFonts w:ascii="Arial" w:cs="Arial" w:eastAsia="Arial" w:hAnsi="Arial"/>
                <w:sz w:val="18"/>
                <w:szCs w:val="18"/>
                <w:color w:val="auto"/>
                <w:w w:val="85"/>
              </w:rPr>
              <w:t>10.2</w:t>
            </w:r>
          </w:p>
        </w:tc>
        <w:tc>
          <w:tcPr>
            <w:tcW w:w="10580" w:type="dxa"/>
            <w:vAlign w:val="bottom"/>
            <w:gridSpan w:val="3"/>
          </w:tcPr>
          <w:p>
            <w:pPr>
              <w:ind w:left="560"/>
              <w:spacing w:after="0"/>
              <w:rPr>
                <w:sz w:val="20"/>
                <w:szCs w:val="20"/>
                <w:color w:val="auto"/>
              </w:rPr>
            </w:pPr>
            <w:r>
              <w:rPr>
                <w:rFonts w:ascii="Arial" w:cs="Arial" w:eastAsia="Arial" w:hAnsi="Arial"/>
                <w:sz w:val="18"/>
                <w:szCs w:val="18"/>
                <w:color w:val="auto"/>
                <w:w w:val="90"/>
              </w:rPr>
              <w:t>2000 Employee Stock Purchase Plan Form of Subscription Agreement, incorporated by reference to Exhibit 10.4 of the registrant’s Annual</w:t>
            </w:r>
          </w:p>
        </w:tc>
        <w:tc>
          <w:tcPr>
            <w:tcW w:w="0" w:type="dxa"/>
            <w:vAlign w:val="bottom"/>
          </w:tcPr>
          <w:p>
            <w:pPr>
              <w:spacing w:after="0"/>
              <w:rPr>
                <w:sz w:val="1"/>
                <w:szCs w:val="1"/>
                <w:color w:val="auto"/>
              </w:rPr>
            </w:pPr>
          </w:p>
        </w:tc>
      </w:tr>
      <w:tr>
        <w:trPr>
          <w:trHeight w:val="230"/>
        </w:trPr>
        <w:tc>
          <w:tcPr>
            <w:tcW w:w="460" w:type="dxa"/>
            <w:vAlign w:val="bottom"/>
          </w:tcPr>
          <w:p>
            <w:pPr>
              <w:spacing w:after="0"/>
              <w:rPr>
                <w:sz w:val="20"/>
                <w:szCs w:val="20"/>
                <w:color w:val="auto"/>
              </w:rPr>
            </w:pPr>
          </w:p>
        </w:tc>
        <w:tc>
          <w:tcPr>
            <w:tcW w:w="10580" w:type="dxa"/>
            <w:vAlign w:val="bottom"/>
            <w:gridSpan w:val="3"/>
          </w:tcPr>
          <w:p>
            <w:pPr>
              <w:ind w:left="560"/>
              <w:spacing w:after="0"/>
              <w:rPr>
                <w:sz w:val="20"/>
                <w:szCs w:val="20"/>
                <w:color w:val="auto"/>
              </w:rPr>
            </w:pPr>
            <w:r>
              <w:rPr>
                <w:rFonts w:ascii="Arial" w:cs="Arial" w:eastAsia="Arial" w:hAnsi="Arial"/>
                <w:sz w:val="18"/>
                <w:szCs w:val="18"/>
                <w:color w:val="auto"/>
              </w:rPr>
              <w:t>Report on Form 10-K for the period ended February 2, 2013 as filed on March 29, 2013</w:t>
            </w:r>
          </w:p>
        </w:tc>
        <w:tc>
          <w:tcPr>
            <w:tcW w:w="0" w:type="dxa"/>
            <w:vAlign w:val="bottom"/>
          </w:tcPr>
          <w:p>
            <w:pPr>
              <w:spacing w:after="0"/>
              <w:rPr>
                <w:sz w:val="1"/>
                <w:szCs w:val="1"/>
                <w:color w:val="auto"/>
              </w:rPr>
            </w:pPr>
          </w:p>
        </w:tc>
      </w:tr>
      <w:tr>
        <w:trPr>
          <w:trHeight w:val="324"/>
        </w:trPr>
        <w:tc>
          <w:tcPr>
            <w:tcW w:w="460" w:type="dxa"/>
            <w:vAlign w:val="bottom"/>
          </w:tcPr>
          <w:p>
            <w:pPr>
              <w:jc w:val="right"/>
              <w:ind w:right="54"/>
              <w:spacing w:after="0"/>
              <w:rPr>
                <w:sz w:val="20"/>
                <w:szCs w:val="20"/>
                <w:color w:val="auto"/>
              </w:rPr>
            </w:pPr>
            <w:r>
              <w:rPr>
                <w:rFonts w:ascii="Arial" w:cs="Arial" w:eastAsia="Arial" w:hAnsi="Arial"/>
                <w:sz w:val="18"/>
                <w:szCs w:val="18"/>
                <w:color w:val="auto"/>
                <w:w w:val="85"/>
              </w:rPr>
              <w:t>23.1</w:t>
            </w:r>
          </w:p>
        </w:tc>
        <w:tc>
          <w:tcPr>
            <w:tcW w:w="10580" w:type="dxa"/>
            <w:vAlign w:val="bottom"/>
            <w:gridSpan w:val="3"/>
          </w:tcPr>
          <w:p>
            <w:pPr>
              <w:ind w:left="560"/>
              <w:spacing w:after="0"/>
              <w:rPr>
                <w:sz w:val="20"/>
                <w:szCs w:val="20"/>
                <w:color w:val="auto"/>
              </w:rPr>
            </w:pPr>
            <w:r>
              <w:rPr>
                <w:rFonts w:ascii="Arial" w:cs="Arial" w:eastAsia="Arial" w:hAnsi="Arial"/>
                <w:sz w:val="18"/>
                <w:szCs w:val="18"/>
                <w:color w:val="auto"/>
              </w:rPr>
              <w:t>Consent of PricewaterhouseCoopers LLP, Independent Registered Public Accounting Firm</w:t>
            </w:r>
          </w:p>
        </w:tc>
        <w:tc>
          <w:tcPr>
            <w:tcW w:w="0" w:type="dxa"/>
            <w:vAlign w:val="bottom"/>
          </w:tcPr>
          <w:p>
            <w:pPr>
              <w:spacing w:after="0"/>
              <w:rPr>
                <w:sz w:val="1"/>
                <w:szCs w:val="1"/>
                <w:color w:val="auto"/>
              </w:rPr>
            </w:pPr>
          </w:p>
        </w:tc>
      </w:tr>
      <w:tr>
        <w:trPr>
          <w:trHeight w:val="324"/>
        </w:trPr>
        <w:tc>
          <w:tcPr>
            <w:tcW w:w="460" w:type="dxa"/>
            <w:vAlign w:val="bottom"/>
          </w:tcPr>
          <w:p>
            <w:pPr>
              <w:jc w:val="right"/>
              <w:ind w:right="54"/>
              <w:spacing w:after="0"/>
              <w:rPr>
                <w:sz w:val="20"/>
                <w:szCs w:val="20"/>
                <w:color w:val="auto"/>
              </w:rPr>
            </w:pPr>
            <w:r>
              <w:rPr>
                <w:rFonts w:ascii="Arial" w:cs="Arial" w:eastAsia="Arial" w:hAnsi="Arial"/>
                <w:sz w:val="18"/>
                <w:szCs w:val="18"/>
                <w:color w:val="auto"/>
                <w:w w:val="85"/>
              </w:rPr>
              <w:t>23.2</w:t>
            </w:r>
          </w:p>
        </w:tc>
        <w:tc>
          <w:tcPr>
            <w:tcW w:w="10580" w:type="dxa"/>
            <w:vAlign w:val="bottom"/>
            <w:gridSpan w:val="3"/>
          </w:tcPr>
          <w:p>
            <w:pPr>
              <w:ind w:left="560"/>
              <w:spacing w:after="0"/>
              <w:rPr>
                <w:sz w:val="20"/>
                <w:szCs w:val="20"/>
                <w:color w:val="auto"/>
              </w:rPr>
            </w:pPr>
            <w:r>
              <w:rPr>
                <w:rFonts w:ascii="Arial" w:cs="Arial" w:eastAsia="Arial" w:hAnsi="Arial"/>
                <w:sz w:val="18"/>
                <w:szCs w:val="18"/>
                <w:color w:val="auto"/>
              </w:rPr>
              <w:t>Consent of Appleby (Bermuda) Limited (included in Exhibit 5.1)</w:t>
            </w:r>
          </w:p>
        </w:tc>
        <w:tc>
          <w:tcPr>
            <w:tcW w:w="0" w:type="dxa"/>
            <w:vAlign w:val="bottom"/>
          </w:tcPr>
          <w:p>
            <w:pPr>
              <w:spacing w:after="0"/>
              <w:rPr>
                <w:sz w:val="1"/>
                <w:szCs w:val="1"/>
                <w:color w:val="auto"/>
              </w:rPr>
            </w:pPr>
          </w:p>
        </w:tc>
      </w:tr>
      <w:tr>
        <w:trPr>
          <w:trHeight w:val="324"/>
        </w:trPr>
        <w:tc>
          <w:tcPr>
            <w:tcW w:w="460" w:type="dxa"/>
            <w:vAlign w:val="bottom"/>
          </w:tcPr>
          <w:p>
            <w:pPr>
              <w:jc w:val="right"/>
              <w:ind w:right="54"/>
              <w:spacing w:after="0"/>
              <w:rPr>
                <w:sz w:val="20"/>
                <w:szCs w:val="20"/>
                <w:color w:val="auto"/>
              </w:rPr>
            </w:pPr>
            <w:r>
              <w:rPr>
                <w:rFonts w:ascii="Arial" w:cs="Arial" w:eastAsia="Arial" w:hAnsi="Arial"/>
                <w:sz w:val="18"/>
                <w:szCs w:val="18"/>
                <w:color w:val="auto"/>
                <w:w w:val="85"/>
              </w:rPr>
              <w:t>24.1</w:t>
            </w:r>
          </w:p>
        </w:tc>
        <w:tc>
          <w:tcPr>
            <w:tcW w:w="10580" w:type="dxa"/>
            <w:vAlign w:val="bottom"/>
            <w:gridSpan w:val="3"/>
          </w:tcPr>
          <w:p>
            <w:pPr>
              <w:ind w:left="560"/>
              <w:spacing w:after="0"/>
              <w:rPr>
                <w:sz w:val="20"/>
                <w:szCs w:val="20"/>
                <w:color w:val="auto"/>
              </w:rPr>
            </w:pPr>
            <w:r>
              <w:rPr>
                <w:rFonts w:ascii="Arial" w:cs="Arial" w:eastAsia="Arial" w:hAnsi="Arial"/>
                <w:sz w:val="18"/>
                <w:szCs w:val="18"/>
                <w:color w:val="auto"/>
              </w:rPr>
              <w:t>Power of Attorney (included in signature page to this Registration Statement)</w:t>
            </w:r>
          </w:p>
        </w:tc>
        <w:tc>
          <w:tcPr>
            <w:tcW w:w="0" w:type="dxa"/>
            <w:vAlign w:val="bottom"/>
          </w:tcPr>
          <w:p>
            <w:pPr>
              <w:spacing w:after="0"/>
              <w:rPr>
                <w:sz w:val="1"/>
                <w:szCs w:val="1"/>
                <w:color w:val="auto"/>
              </w:rPr>
            </w:pPr>
          </w:p>
        </w:tc>
      </w:tr>
    </w:tbl>
    <w:p>
      <w:pPr>
        <w:sectPr>
          <w:pgSz w:w="11900" w:h="16838" w:orient="portrait"/>
          <w:cols w:equalWidth="0" w:num="1">
            <w:col w:w="11320"/>
          </w:cols>
          <w:pgMar w:left="240" w:top="270" w:right="339" w:bottom="1440" w:gutter="0" w:footer="0" w:header="0"/>
        </w:sectPr>
      </w:pPr>
    </w:p>
    <w:bookmarkStart w:id="3" w:name="page4"/>
    <w:bookmarkEnd w:id="3"/>
    <w:p>
      <w:pPr>
        <w:jc w:val="center"/>
        <w:ind w:right="-5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SIGNATURES</w:t>
      </w:r>
    </w:p>
    <w:p>
      <w:pPr>
        <w:spacing w:after="0" w:line="229" w:lineRule="exact"/>
        <w:rPr>
          <w:sz w:val="20"/>
          <w:szCs w:val="20"/>
          <w:color w:val="auto"/>
        </w:rPr>
      </w:pPr>
    </w:p>
    <w:p>
      <w:pPr>
        <w:ind w:right="120" w:firstLine="456"/>
        <w:spacing w:after="0" w:line="264" w:lineRule="auto"/>
        <w:rPr>
          <w:sz w:val="20"/>
          <w:szCs w:val="20"/>
          <w:color w:val="auto"/>
        </w:rPr>
      </w:pPr>
      <w:r>
        <w:rPr>
          <w:rFonts w:ascii="Arial" w:cs="Arial" w:eastAsia="Arial" w:hAnsi="Arial"/>
          <w:sz w:val="18"/>
          <w:szCs w:val="18"/>
          <w:color w:val="auto"/>
        </w:rPr>
        <w:t>Pursuant to the requirements of the Securities Act of 1933, the Registrant certifies that it has reasonable grounds to believe that it meets all of the requirements for filing on Form S-8 and has duly caused this registration statement to be signed on its behalf by the undersigned, thereunto duly authorized, in the City of Santa Clara, State of California, on this 4th day of June 2015.</w:t>
      </w:r>
    </w:p>
    <w:p>
      <w:pPr>
        <w:spacing w:after="0" w:line="208"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Dr.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4558665</wp:posOffset>
            </wp:positionH>
            <wp:positionV relativeFrom="paragraph">
              <wp:posOffset>14605</wp:posOffset>
            </wp:positionV>
            <wp:extent cx="2693035"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2693035" cy="8890"/>
                    </a:xfrm>
                    <a:prstGeom prst="rect">
                      <a:avLst/>
                    </a:prstGeom>
                    <a:noFill/>
                  </pic:spPr>
                </pic:pic>
              </a:graphicData>
            </a:graphic>
          </wp:anchor>
        </w:drawing>
      </w:r>
    </w:p>
    <w:p>
      <w:pPr>
        <w:spacing w:after="0" w:line="16" w:lineRule="exact"/>
        <w:rPr>
          <w:sz w:val="20"/>
          <w:szCs w:val="20"/>
          <w:color w:val="auto"/>
        </w:rPr>
      </w:pPr>
    </w:p>
    <w:p>
      <w:pPr>
        <w:ind w:left="7180"/>
        <w:spacing w:after="0"/>
        <w:rPr>
          <w:sz w:val="20"/>
          <w:szCs w:val="20"/>
          <w:color w:val="auto"/>
        </w:rPr>
      </w:pPr>
      <w:r>
        <w:rPr>
          <w:rFonts w:ascii="Arial" w:cs="Arial" w:eastAsia="Arial" w:hAnsi="Arial"/>
          <w:sz w:val="18"/>
          <w:szCs w:val="18"/>
          <w:color w:val="auto"/>
        </w:rPr>
        <w:t>Name:  Dr. Sehat Sutardja</w:t>
      </w:r>
    </w:p>
    <w:p>
      <w:pPr>
        <w:spacing w:after="0" w:line="23" w:lineRule="exact"/>
        <w:rPr>
          <w:sz w:val="20"/>
          <w:szCs w:val="20"/>
          <w:color w:val="auto"/>
        </w:rPr>
      </w:pPr>
    </w:p>
    <w:p>
      <w:pPr>
        <w:ind w:left="7180"/>
        <w:spacing w:after="0"/>
        <w:tabs>
          <w:tab w:leader="none" w:pos="7760" w:val="left"/>
        </w:tabs>
        <w:rPr>
          <w:sz w:val="20"/>
          <w:szCs w:val="20"/>
          <w:color w:val="auto"/>
        </w:rPr>
      </w:pPr>
      <w:r>
        <w:rPr>
          <w:rFonts w:ascii="Arial" w:cs="Arial" w:eastAsia="Arial" w:hAnsi="Arial"/>
          <w:sz w:val="18"/>
          <w:szCs w:val="18"/>
          <w:color w:val="auto"/>
        </w:rPr>
        <w:t>Title:</w:t>
      </w:r>
      <w:r>
        <w:rPr>
          <w:sz w:val="20"/>
          <w:szCs w:val="20"/>
          <w:color w:val="auto"/>
        </w:rPr>
        <w:tab/>
      </w:r>
      <w:r>
        <w:rPr>
          <w:rFonts w:ascii="Arial" w:cs="Arial" w:eastAsia="Arial" w:hAnsi="Arial"/>
          <w:sz w:val="18"/>
          <w:szCs w:val="18"/>
          <w:i w:val="1"/>
          <w:iCs w:val="1"/>
          <w:color w:val="auto"/>
        </w:rPr>
        <w:t>Chief Executive Officer</w:t>
      </w:r>
    </w:p>
    <w:p>
      <w:pPr>
        <w:spacing w:after="0" w:line="200" w:lineRule="exact"/>
        <w:rPr>
          <w:sz w:val="20"/>
          <w:szCs w:val="20"/>
          <w:color w:val="auto"/>
        </w:rPr>
      </w:pPr>
    </w:p>
    <w:p>
      <w:pPr>
        <w:spacing w:after="0" w:line="223"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POWER OF ATTORNEY</w:t>
      </w:r>
    </w:p>
    <w:p>
      <w:pPr>
        <w:spacing w:after="0" w:line="229" w:lineRule="exact"/>
        <w:rPr>
          <w:sz w:val="20"/>
          <w:szCs w:val="20"/>
          <w:color w:val="auto"/>
        </w:rPr>
      </w:pPr>
    </w:p>
    <w:p>
      <w:pPr>
        <w:ind w:firstLine="456"/>
        <w:spacing w:after="0" w:line="276" w:lineRule="auto"/>
        <w:rPr>
          <w:sz w:val="20"/>
          <w:szCs w:val="20"/>
          <w:color w:val="auto"/>
        </w:rPr>
      </w:pPr>
      <w:r>
        <w:rPr>
          <w:rFonts w:ascii="Arial" w:cs="Arial" w:eastAsia="Arial" w:hAnsi="Arial"/>
          <w:sz w:val="17"/>
          <w:szCs w:val="17"/>
          <w:color w:val="auto"/>
        </w:rPr>
        <w:t>KNOW ALL PERSONS BY THESE PRESENTS, that each person whose signature appears below hereby constitutes and appoints Dr. Sehat Sutardja and Sukhi Nagesh and each of them, acting individually, as his attorney-in-fact, with full power of substitution, for him and in any and all capacities, to sign any and all amendments to this Registration Statement on this Form S-8 (including any post-effective amendments thereto) and to file the same, with all exhibits thereto and other documents in connection therewith, with the Securities and Exchange Commission, hereby ratifying and confirming all that each of said attorneys-in-fact, or his substitute or substitutes, may lawfully do or cause to be done by virtue hereof.</w:t>
      </w:r>
    </w:p>
    <w:p>
      <w:pPr>
        <w:spacing w:after="0" w:line="173" w:lineRule="exact"/>
        <w:rPr>
          <w:sz w:val="20"/>
          <w:szCs w:val="20"/>
          <w:color w:val="auto"/>
        </w:rPr>
      </w:pPr>
    </w:p>
    <w:p>
      <w:pPr>
        <w:ind w:right="260" w:firstLine="456"/>
        <w:spacing w:after="0" w:line="277" w:lineRule="auto"/>
        <w:rPr>
          <w:sz w:val="20"/>
          <w:szCs w:val="20"/>
          <w:color w:val="auto"/>
        </w:rPr>
      </w:pPr>
      <w:r>
        <w:rPr>
          <w:rFonts w:ascii="Arial" w:cs="Arial" w:eastAsia="Arial" w:hAnsi="Arial"/>
          <w:sz w:val="18"/>
          <w:szCs w:val="18"/>
          <w:color w:val="auto"/>
        </w:rPr>
        <w:t>Pursuant to the requirements of the Securities Act of 1933, this Registration Statement on Form S-8 has been signed by the following persons in the capacities and on the dates indicated.</w:t>
      </w:r>
    </w:p>
    <w:p>
      <w:pPr>
        <w:spacing w:after="0" w:line="18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1840" w:type="dxa"/>
            <w:vAlign w:val="bottom"/>
          </w:tcPr>
          <w:p>
            <w:pPr>
              <w:spacing w:after="0"/>
              <w:rPr>
                <w:sz w:val="14"/>
                <w:szCs w:val="14"/>
                <w:color w:val="auto"/>
              </w:rPr>
            </w:pPr>
          </w:p>
        </w:tc>
        <w:tc>
          <w:tcPr>
            <w:tcW w:w="2440" w:type="dxa"/>
            <w:vAlign w:val="bottom"/>
            <w:gridSpan w:val="2"/>
          </w:tcPr>
          <w:p>
            <w:pPr>
              <w:jc w:val="center"/>
              <w:ind w:right="1840"/>
              <w:spacing w:after="0"/>
              <w:rPr>
                <w:sz w:val="20"/>
                <w:szCs w:val="20"/>
                <w:color w:val="auto"/>
              </w:rPr>
            </w:pPr>
            <w:r>
              <w:rPr>
                <w:rFonts w:ascii="Arial" w:cs="Arial" w:eastAsia="Arial" w:hAnsi="Arial"/>
                <w:sz w:val="14"/>
                <w:szCs w:val="14"/>
                <w:b w:val="1"/>
                <w:bCs w:val="1"/>
                <w:color w:val="auto"/>
                <w:w w:val="92"/>
              </w:rPr>
              <w:t>Signature</w:t>
            </w:r>
          </w:p>
        </w:tc>
        <w:tc>
          <w:tcPr>
            <w:tcW w:w="2500" w:type="dxa"/>
            <w:vAlign w:val="bottom"/>
          </w:tcPr>
          <w:p>
            <w:pPr>
              <w:spacing w:after="0"/>
              <w:rPr>
                <w:sz w:val="14"/>
                <w:szCs w:val="14"/>
                <w:color w:val="auto"/>
              </w:rPr>
            </w:pPr>
          </w:p>
        </w:tc>
        <w:tc>
          <w:tcPr>
            <w:tcW w:w="2540" w:type="dxa"/>
            <w:vAlign w:val="bottom"/>
            <w:gridSpan w:val="2"/>
          </w:tcPr>
          <w:p>
            <w:pPr>
              <w:jc w:val="center"/>
              <w:ind w:right="2260"/>
              <w:spacing w:after="0"/>
              <w:rPr>
                <w:sz w:val="20"/>
                <w:szCs w:val="20"/>
                <w:color w:val="auto"/>
              </w:rPr>
            </w:pPr>
            <w:r>
              <w:rPr>
                <w:rFonts w:ascii="Arial" w:cs="Arial" w:eastAsia="Arial" w:hAnsi="Arial"/>
                <w:sz w:val="14"/>
                <w:szCs w:val="14"/>
                <w:b w:val="1"/>
                <w:bCs w:val="1"/>
                <w:color w:val="auto"/>
                <w:w w:val="97"/>
              </w:rPr>
              <w:t>Title</w:t>
            </w:r>
          </w:p>
        </w:tc>
        <w:tc>
          <w:tcPr>
            <w:tcW w:w="1680" w:type="dxa"/>
            <w:vAlign w:val="bottom"/>
            <w:gridSpan w:val="3"/>
          </w:tcPr>
          <w:p>
            <w:pPr>
              <w:jc w:val="center"/>
              <w:ind w:left="692"/>
              <w:spacing w:after="0"/>
              <w:rPr>
                <w:sz w:val="20"/>
                <w:szCs w:val="20"/>
                <w:color w:val="auto"/>
              </w:rPr>
            </w:pPr>
            <w:r>
              <w:rPr>
                <w:rFonts w:ascii="Arial" w:cs="Arial" w:eastAsia="Arial" w:hAnsi="Arial"/>
                <w:sz w:val="14"/>
                <w:szCs w:val="14"/>
                <w:b w:val="1"/>
                <w:bCs w:val="1"/>
                <w:color w:val="auto"/>
                <w:w w:val="98"/>
              </w:rPr>
              <w:t>Date</w:t>
            </w:r>
          </w:p>
        </w:tc>
      </w:tr>
      <w:tr>
        <w:trPr>
          <w:trHeight w:val="20"/>
        </w:trPr>
        <w:tc>
          <w:tcPr>
            <w:tcW w:w="1840" w:type="dxa"/>
            <w:vAlign w:val="bottom"/>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1840" w:type="dxa"/>
            <w:vAlign w:val="bottom"/>
          </w:tcPr>
          <w:p>
            <w:pPr>
              <w:spacing w:after="0" w:line="20" w:lineRule="exact"/>
              <w:rPr>
                <w:sz w:val="1"/>
                <w:szCs w:val="1"/>
                <w:color w:val="auto"/>
              </w:rPr>
            </w:pPr>
          </w:p>
        </w:tc>
        <w:tc>
          <w:tcPr>
            <w:tcW w:w="2500" w:type="dxa"/>
            <w:vAlign w:val="bottom"/>
          </w:tcPr>
          <w:p>
            <w:pPr>
              <w:spacing w:after="0" w:line="20" w:lineRule="exact"/>
              <w:rPr>
                <w:sz w:val="1"/>
                <w:szCs w:val="1"/>
                <w:color w:val="auto"/>
              </w:rPr>
            </w:pPr>
          </w:p>
        </w:tc>
        <w:tc>
          <w:tcPr>
            <w:tcW w:w="300" w:type="dxa"/>
            <w:vAlign w:val="bottom"/>
            <w:shd w:val="clear" w:color="auto" w:fill="000000"/>
          </w:tcPr>
          <w:p>
            <w:pPr>
              <w:spacing w:after="0" w:line="20" w:lineRule="exact"/>
              <w:rPr>
                <w:sz w:val="1"/>
                <w:szCs w:val="1"/>
                <w:color w:val="auto"/>
              </w:rPr>
            </w:pPr>
          </w:p>
        </w:tc>
        <w:tc>
          <w:tcPr>
            <w:tcW w:w="2240" w:type="dxa"/>
            <w:vAlign w:val="bottom"/>
          </w:tcPr>
          <w:p>
            <w:pPr>
              <w:spacing w:after="0" w:line="20" w:lineRule="exact"/>
              <w:rPr>
                <w:sz w:val="1"/>
                <w:szCs w:val="1"/>
                <w:color w:val="auto"/>
              </w:rPr>
            </w:pPr>
          </w:p>
        </w:tc>
        <w:tc>
          <w:tcPr>
            <w:tcW w:w="1080" w:type="dxa"/>
            <w:vAlign w:val="bottom"/>
          </w:tcPr>
          <w:p>
            <w:pPr>
              <w:spacing w:after="0" w:line="20" w:lineRule="exact"/>
              <w:rPr>
                <w:sz w:val="1"/>
                <w:szCs w:val="1"/>
                <w:color w:val="auto"/>
              </w:rPr>
            </w:pPr>
          </w:p>
        </w:tc>
        <w:tc>
          <w:tcPr>
            <w:tcW w:w="30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r>
      <w:tr>
        <w:trPr>
          <w:trHeight w:val="426"/>
        </w:trPr>
        <w:tc>
          <w:tcPr>
            <w:tcW w:w="184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/s/ Dr. Sehat Sutardja</w:t>
            </w:r>
          </w:p>
        </w:tc>
        <w:tc>
          <w:tcPr>
            <w:tcW w:w="600" w:type="dxa"/>
            <w:vAlign w:val="bottom"/>
            <w:tcBorders>
              <w:bottom w:val="single" w:sz="8" w:color="auto"/>
            </w:tcBorders>
          </w:tcPr>
          <w:p>
            <w:pPr>
              <w:spacing w:after="0"/>
              <w:rPr>
                <w:sz w:val="24"/>
                <w:szCs w:val="24"/>
                <w:color w:val="auto"/>
              </w:rPr>
            </w:pPr>
          </w:p>
        </w:tc>
        <w:tc>
          <w:tcPr>
            <w:tcW w:w="1840" w:type="dxa"/>
            <w:vAlign w:val="bottom"/>
            <w:tcBorders>
              <w:bottom w:val="single" w:sz="8" w:color="auto"/>
            </w:tcBorders>
          </w:tcPr>
          <w:p>
            <w:pPr>
              <w:spacing w:after="0"/>
              <w:rPr>
                <w:sz w:val="24"/>
                <w:szCs w:val="24"/>
                <w:color w:val="auto"/>
              </w:rPr>
            </w:pPr>
          </w:p>
        </w:tc>
        <w:tc>
          <w:tcPr>
            <w:tcW w:w="5040" w:type="dxa"/>
            <w:vAlign w:val="bottom"/>
            <w:gridSpan w:val="3"/>
          </w:tcPr>
          <w:p>
            <w:pPr>
              <w:jc w:val="center"/>
              <w:ind w:left="170"/>
              <w:spacing w:after="0"/>
              <w:rPr>
                <w:sz w:val="20"/>
                <w:szCs w:val="20"/>
                <w:color w:val="auto"/>
              </w:rPr>
            </w:pPr>
            <w:r>
              <w:rPr>
                <w:rFonts w:ascii="Arial" w:cs="Arial" w:eastAsia="Arial" w:hAnsi="Arial"/>
                <w:sz w:val="18"/>
                <w:szCs w:val="18"/>
                <w:color w:val="auto"/>
                <w:w w:val="91"/>
              </w:rPr>
              <w:t>Chairman of the Board</w:t>
            </w:r>
          </w:p>
        </w:tc>
        <w:tc>
          <w:tcPr>
            <w:tcW w:w="1680" w:type="dxa"/>
            <w:vAlign w:val="bottom"/>
            <w:gridSpan w:val="3"/>
          </w:tcPr>
          <w:p>
            <w:pPr>
              <w:jc w:val="center"/>
              <w:ind w:left="692"/>
              <w:spacing w:after="0"/>
              <w:rPr>
                <w:sz w:val="20"/>
                <w:szCs w:val="20"/>
                <w:color w:val="auto"/>
              </w:rPr>
            </w:pPr>
            <w:r>
              <w:rPr>
                <w:rFonts w:ascii="Arial" w:cs="Arial" w:eastAsia="Arial" w:hAnsi="Arial"/>
                <w:sz w:val="18"/>
                <w:szCs w:val="18"/>
                <w:color w:val="auto"/>
                <w:w w:val="86"/>
              </w:rPr>
              <w:t>June 4, 2015</w:t>
            </w:r>
          </w:p>
        </w:tc>
      </w:tr>
      <w:tr>
        <w:trPr>
          <w:trHeight w:val="182"/>
        </w:trPr>
        <w:tc>
          <w:tcPr>
            <w:tcW w:w="4280" w:type="dxa"/>
            <w:vAlign w:val="bottom"/>
            <w:gridSpan w:val="3"/>
          </w:tcPr>
          <w:p>
            <w:pPr>
              <w:jc w:val="center"/>
              <w:spacing w:after="0" w:line="182" w:lineRule="exact"/>
              <w:rPr>
                <w:sz w:val="20"/>
                <w:szCs w:val="20"/>
                <w:color w:val="auto"/>
              </w:rPr>
            </w:pPr>
            <w:r>
              <w:rPr>
                <w:rFonts w:ascii="Arial" w:cs="Arial" w:eastAsia="Arial" w:hAnsi="Arial"/>
                <w:sz w:val="18"/>
                <w:szCs w:val="18"/>
                <w:color w:val="auto"/>
                <w:w w:val="89"/>
              </w:rPr>
              <w:t>Dr. Sehat Sutardja</w:t>
            </w:r>
          </w:p>
        </w:tc>
        <w:tc>
          <w:tcPr>
            <w:tcW w:w="5040" w:type="dxa"/>
            <w:vAlign w:val="bottom"/>
            <w:gridSpan w:val="3"/>
          </w:tcPr>
          <w:p>
            <w:pPr>
              <w:jc w:val="center"/>
              <w:ind w:left="150"/>
              <w:spacing w:after="0" w:line="182" w:lineRule="exact"/>
              <w:rPr>
                <w:sz w:val="20"/>
                <w:szCs w:val="20"/>
                <w:color w:val="auto"/>
              </w:rPr>
            </w:pPr>
            <w:r>
              <w:rPr>
                <w:rFonts w:ascii="Arial" w:cs="Arial" w:eastAsia="Arial" w:hAnsi="Arial"/>
                <w:sz w:val="18"/>
                <w:szCs w:val="18"/>
                <w:color w:val="auto"/>
                <w:w w:val="93"/>
              </w:rPr>
              <w:t>and Chief Executive Officer</w:t>
            </w:r>
          </w:p>
        </w:tc>
        <w:tc>
          <w:tcPr>
            <w:tcW w:w="108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300" w:type="dxa"/>
            <w:vAlign w:val="bottom"/>
          </w:tcPr>
          <w:p>
            <w:pPr>
              <w:spacing w:after="0"/>
              <w:rPr>
                <w:sz w:val="15"/>
                <w:szCs w:val="15"/>
                <w:color w:val="auto"/>
              </w:rPr>
            </w:pPr>
          </w:p>
        </w:tc>
      </w:tr>
      <w:tr>
        <w:trPr>
          <w:trHeight w:val="230"/>
        </w:trPr>
        <w:tc>
          <w:tcPr>
            <w:tcW w:w="184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1840" w:type="dxa"/>
            <w:vAlign w:val="bottom"/>
          </w:tcPr>
          <w:p>
            <w:pPr>
              <w:spacing w:after="0"/>
              <w:rPr>
                <w:sz w:val="20"/>
                <w:szCs w:val="20"/>
                <w:color w:val="auto"/>
              </w:rPr>
            </w:pPr>
          </w:p>
        </w:tc>
        <w:tc>
          <w:tcPr>
            <w:tcW w:w="5040" w:type="dxa"/>
            <w:vAlign w:val="bottom"/>
            <w:gridSpan w:val="3"/>
          </w:tcPr>
          <w:p>
            <w:pPr>
              <w:jc w:val="center"/>
              <w:ind w:left="170"/>
              <w:spacing w:after="0"/>
              <w:rPr>
                <w:sz w:val="20"/>
                <w:szCs w:val="20"/>
                <w:color w:val="auto"/>
              </w:rPr>
            </w:pPr>
            <w:r>
              <w:rPr>
                <w:rFonts w:ascii="Arial" w:cs="Arial" w:eastAsia="Arial" w:hAnsi="Arial"/>
                <w:sz w:val="18"/>
                <w:szCs w:val="18"/>
                <w:color w:val="auto"/>
                <w:w w:val="94"/>
              </w:rPr>
              <w:t>(</w:t>
            </w:r>
            <w:r>
              <w:rPr>
                <w:rFonts w:ascii="Arial" w:cs="Arial" w:eastAsia="Arial" w:hAnsi="Arial"/>
                <w:sz w:val="18"/>
                <w:szCs w:val="18"/>
                <w:i w:val="1"/>
                <w:iCs w:val="1"/>
                <w:color w:val="auto"/>
                <w:w w:val="94"/>
              </w:rPr>
              <w:t>Principal Executive Officer)</w:t>
            </w:r>
          </w:p>
        </w:tc>
        <w:tc>
          <w:tcPr>
            <w:tcW w:w="108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300" w:type="dxa"/>
            <w:vAlign w:val="bottom"/>
          </w:tcPr>
          <w:p>
            <w:pPr>
              <w:spacing w:after="0"/>
              <w:rPr>
                <w:sz w:val="20"/>
                <w:szCs w:val="20"/>
                <w:color w:val="auto"/>
              </w:rPr>
            </w:pPr>
          </w:p>
        </w:tc>
      </w:tr>
      <w:tr>
        <w:trPr>
          <w:trHeight w:val="446"/>
        </w:trPr>
        <w:tc>
          <w:tcPr>
            <w:tcW w:w="4280" w:type="dxa"/>
            <w:vAlign w:val="bottom"/>
            <w:tcBorders>
              <w:bottom w:val="single" w:sz="8" w:color="auto"/>
            </w:tcBorders>
            <w:gridSpan w:val="3"/>
          </w:tcPr>
          <w:p>
            <w:pPr>
              <w:spacing w:after="0"/>
              <w:rPr>
                <w:sz w:val="20"/>
                <w:szCs w:val="20"/>
                <w:color w:val="auto"/>
              </w:rPr>
            </w:pPr>
            <w:r>
              <w:rPr>
                <w:rFonts w:ascii="Arial" w:cs="Arial" w:eastAsia="Arial" w:hAnsi="Arial"/>
                <w:sz w:val="18"/>
                <w:szCs w:val="18"/>
                <w:color w:val="auto"/>
              </w:rPr>
              <w:t>/s/ Sukhi Nagesh</w:t>
            </w:r>
          </w:p>
        </w:tc>
        <w:tc>
          <w:tcPr>
            <w:tcW w:w="5040" w:type="dxa"/>
            <w:vAlign w:val="bottom"/>
            <w:gridSpan w:val="3"/>
          </w:tcPr>
          <w:p>
            <w:pPr>
              <w:jc w:val="center"/>
              <w:ind w:left="150"/>
              <w:spacing w:after="0"/>
              <w:rPr>
                <w:sz w:val="20"/>
                <w:szCs w:val="20"/>
                <w:color w:val="auto"/>
              </w:rPr>
            </w:pPr>
            <w:r>
              <w:rPr>
                <w:rFonts w:ascii="Arial" w:cs="Arial" w:eastAsia="Arial" w:hAnsi="Arial"/>
                <w:sz w:val="18"/>
                <w:szCs w:val="18"/>
                <w:color w:val="auto"/>
                <w:w w:val="94"/>
              </w:rPr>
              <w:t>Interim Chief Financial Officer</w:t>
            </w:r>
          </w:p>
        </w:tc>
        <w:tc>
          <w:tcPr>
            <w:tcW w:w="1680" w:type="dxa"/>
            <w:vAlign w:val="bottom"/>
            <w:gridSpan w:val="3"/>
          </w:tcPr>
          <w:p>
            <w:pPr>
              <w:jc w:val="center"/>
              <w:ind w:left="692"/>
              <w:spacing w:after="0"/>
              <w:rPr>
                <w:sz w:val="20"/>
                <w:szCs w:val="20"/>
                <w:color w:val="auto"/>
              </w:rPr>
            </w:pPr>
            <w:r>
              <w:rPr>
                <w:rFonts w:ascii="Arial" w:cs="Arial" w:eastAsia="Arial" w:hAnsi="Arial"/>
                <w:sz w:val="18"/>
                <w:szCs w:val="18"/>
                <w:color w:val="auto"/>
                <w:w w:val="86"/>
              </w:rPr>
              <w:t>June 4, 2015</w:t>
            </w:r>
          </w:p>
        </w:tc>
      </w:tr>
      <w:tr>
        <w:trPr>
          <w:trHeight w:val="224"/>
        </w:trPr>
        <w:tc>
          <w:tcPr>
            <w:tcW w:w="4280" w:type="dxa"/>
            <w:vAlign w:val="bottom"/>
            <w:gridSpan w:val="3"/>
          </w:tcPr>
          <w:p>
            <w:pPr>
              <w:jc w:val="center"/>
              <w:spacing w:after="0"/>
              <w:rPr>
                <w:sz w:val="20"/>
                <w:szCs w:val="20"/>
                <w:color w:val="auto"/>
              </w:rPr>
            </w:pPr>
            <w:r>
              <w:rPr>
                <w:rFonts w:ascii="Arial" w:cs="Arial" w:eastAsia="Arial" w:hAnsi="Arial"/>
                <w:sz w:val="18"/>
                <w:szCs w:val="18"/>
                <w:color w:val="auto"/>
                <w:w w:val="89"/>
              </w:rPr>
              <w:t>Sukhi Nagesh</w:t>
            </w:r>
          </w:p>
        </w:tc>
        <w:tc>
          <w:tcPr>
            <w:tcW w:w="5040" w:type="dxa"/>
            <w:vAlign w:val="bottom"/>
            <w:gridSpan w:val="3"/>
          </w:tcPr>
          <w:p>
            <w:pPr>
              <w:jc w:val="center"/>
              <w:ind w:left="150"/>
              <w:spacing w:after="0"/>
              <w:rPr>
                <w:sz w:val="20"/>
                <w:szCs w:val="20"/>
                <w:color w:val="auto"/>
              </w:rPr>
            </w:pPr>
            <w:r>
              <w:rPr>
                <w:rFonts w:ascii="Arial" w:cs="Arial" w:eastAsia="Arial" w:hAnsi="Arial"/>
                <w:sz w:val="18"/>
                <w:szCs w:val="18"/>
                <w:color w:val="auto"/>
                <w:w w:val="95"/>
              </w:rPr>
              <w:t>(</w:t>
            </w:r>
            <w:r>
              <w:rPr>
                <w:rFonts w:ascii="Arial" w:cs="Arial" w:eastAsia="Arial" w:hAnsi="Arial"/>
                <w:sz w:val="18"/>
                <w:szCs w:val="18"/>
                <w:i w:val="1"/>
                <w:iCs w:val="1"/>
                <w:color w:val="auto"/>
                <w:w w:val="95"/>
              </w:rPr>
              <w:t>Principal Financial and Accounting Officer)</w:t>
            </w:r>
          </w:p>
        </w:tc>
        <w:tc>
          <w:tcPr>
            <w:tcW w:w="10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300" w:type="dxa"/>
            <w:vAlign w:val="bottom"/>
          </w:tcPr>
          <w:p>
            <w:pPr>
              <w:spacing w:after="0"/>
              <w:rPr>
                <w:sz w:val="19"/>
                <w:szCs w:val="19"/>
                <w:color w:val="auto"/>
              </w:rPr>
            </w:pPr>
          </w:p>
        </w:tc>
      </w:tr>
      <w:tr>
        <w:trPr>
          <w:trHeight w:val="431"/>
        </w:trPr>
        <w:tc>
          <w:tcPr>
            <w:tcW w:w="4280" w:type="dxa"/>
            <w:vAlign w:val="bottom"/>
            <w:tcBorders>
              <w:bottom w:val="single" w:sz="8" w:color="auto"/>
            </w:tcBorders>
            <w:gridSpan w:val="3"/>
          </w:tcPr>
          <w:p>
            <w:pPr>
              <w:spacing w:after="0"/>
              <w:rPr>
                <w:sz w:val="20"/>
                <w:szCs w:val="20"/>
                <w:color w:val="auto"/>
              </w:rPr>
            </w:pPr>
            <w:r>
              <w:rPr>
                <w:rFonts w:ascii="Arial" w:cs="Arial" w:eastAsia="Arial" w:hAnsi="Arial"/>
                <w:sz w:val="18"/>
                <w:szCs w:val="18"/>
                <w:color w:val="auto"/>
              </w:rPr>
              <w:t>/s/ Weili Dai</w:t>
            </w:r>
          </w:p>
        </w:tc>
        <w:tc>
          <w:tcPr>
            <w:tcW w:w="5040" w:type="dxa"/>
            <w:vAlign w:val="bottom"/>
            <w:gridSpan w:val="3"/>
          </w:tcPr>
          <w:p>
            <w:pPr>
              <w:jc w:val="center"/>
              <w:ind w:left="170"/>
              <w:spacing w:after="0"/>
              <w:rPr>
                <w:sz w:val="20"/>
                <w:szCs w:val="20"/>
                <w:color w:val="auto"/>
              </w:rPr>
            </w:pPr>
            <w:r>
              <w:rPr>
                <w:rFonts w:ascii="Arial" w:cs="Arial" w:eastAsia="Arial" w:hAnsi="Arial"/>
                <w:sz w:val="18"/>
                <w:szCs w:val="18"/>
                <w:color w:val="auto"/>
                <w:w w:val="90"/>
              </w:rPr>
              <w:t>President and Director</w:t>
            </w:r>
          </w:p>
        </w:tc>
        <w:tc>
          <w:tcPr>
            <w:tcW w:w="1680" w:type="dxa"/>
            <w:vAlign w:val="bottom"/>
            <w:gridSpan w:val="3"/>
          </w:tcPr>
          <w:p>
            <w:pPr>
              <w:jc w:val="center"/>
              <w:ind w:left="692"/>
              <w:spacing w:after="0"/>
              <w:rPr>
                <w:sz w:val="20"/>
                <w:szCs w:val="20"/>
                <w:color w:val="auto"/>
              </w:rPr>
            </w:pPr>
            <w:r>
              <w:rPr>
                <w:rFonts w:ascii="Arial" w:cs="Arial" w:eastAsia="Arial" w:hAnsi="Arial"/>
                <w:sz w:val="18"/>
                <w:szCs w:val="18"/>
                <w:color w:val="auto"/>
                <w:w w:val="86"/>
              </w:rPr>
              <w:t>June 4, 2015</w:t>
            </w:r>
          </w:p>
        </w:tc>
      </w:tr>
      <w:tr>
        <w:trPr>
          <w:trHeight w:val="224"/>
        </w:trPr>
        <w:tc>
          <w:tcPr>
            <w:tcW w:w="4280" w:type="dxa"/>
            <w:vAlign w:val="bottom"/>
            <w:gridSpan w:val="3"/>
          </w:tcPr>
          <w:p>
            <w:pPr>
              <w:jc w:val="center"/>
              <w:spacing w:after="0"/>
              <w:rPr>
                <w:sz w:val="20"/>
                <w:szCs w:val="20"/>
                <w:color w:val="auto"/>
              </w:rPr>
            </w:pPr>
            <w:r>
              <w:rPr>
                <w:rFonts w:ascii="Arial" w:cs="Arial" w:eastAsia="Arial" w:hAnsi="Arial"/>
                <w:sz w:val="18"/>
                <w:szCs w:val="18"/>
                <w:color w:val="auto"/>
                <w:w w:val="95"/>
              </w:rPr>
              <w:t>Weili Dai</w:t>
            </w:r>
          </w:p>
        </w:tc>
        <w:tc>
          <w:tcPr>
            <w:tcW w:w="25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224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300" w:type="dxa"/>
            <w:vAlign w:val="bottom"/>
          </w:tcPr>
          <w:p>
            <w:pPr>
              <w:spacing w:after="0"/>
              <w:rPr>
                <w:sz w:val="19"/>
                <w:szCs w:val="19"/>
                <w:color w:val="auto"/>
              </w:rPr>
            </w:pPr>
          </w:p>
        </w:tc>
      </w:tr>
      <w:tr>
        <w:trPr>
          <w:trHeight w:val="431"/>
        </w:trPr>
        <w:tc>
          <w:tcPr>
            <w:tcW w:w="4280" w:type="dxa"/>
            <w:vAlign w:val="bottom"/>
            <w:tcBorders>
              <w:bottom w:val="single" w:sz="8" w:color="auto"/>
            </w:tcBorders>
            <w:gridSpan w:val="3"/>
          </w:tcPr>
          <w:p>
            <w:pPr>
              <w:spacing w:after="0"/>
              <w:rPr>
                <w:sz w:val="20"/>
                <w:szCs w:val="20"/>
                <w:color w:val="auto"/>
              </w:rPr>
            </w:pPr>
            <w:r>
              <w:rPr>
                <w:rFonts w:ascii="Arial" w:cs="Arial" w:eastAsia="Arial" w:hAnsi="Arial"/>
                <w:sz w:val="18"/>
                <w:szCs w:val="18"/>
                <w:color w:val="auto"/>
              </w:rPr>
              <w:t>/s/ Dr. Juergen Gromer</w:t>
            </w:r>
          </w:p>
        </w:tc>
        <w:tc>
          <w:tcPr>
            <w:tcW w:w="5040" w:type="dxa"/>
            <w:vAlign w:val="bottom"/>
            <w:gridSpan w:val="3"/>
          </w:tcPr>
          <w:p>
            <w:pPr>
              <w:jc w:val="center"/>
              <w:ind w:left="150"/>
              <w:spacing w:after="0"/>
              <w:rPr>
                <w:sz w:val="20"/>
                <w:szCs w:val="20"/>
                <w:color w:val="auto"/>
              </w:rPr>
            </w:pPr>
            <w:r>
              <w:rPr>
                <w:rFonts w:ascii="Arial" w:cs="Arial" w:eastAsia="Arial" w:hAnsi="Arial"/>
                <w:sz w:val="18"/>
                <w:szCs w:val="18"/>
                <w:color w:val="auto"/>
                <w:w w:val="95"/>
              </w:rPr>
              <w:t>Director</w:t>
            </w:r>
          </w:p>
        </w:tc>
        <w:tc>
          <w:tcPr>
            <w:tcW w:w="1680" w:type="dxa"/>
            <w:vAlign w:val="bottom"/>
            <w:gridSpan w:val="3"/>
          </w:tcPr>
          <w:p>
            <w:pPr>
              <w:jc w:val="center"/>
              <w:ind w:left="692"/>
              <w:spacing w:after="0"/>
              <w:rPr>
                <w:sz w:val="20"/>
                <w:szCs w:val="20"/>
                <w:color w:val="auto"/>
              </w:rPr>
            </w:pPr>
            <w:r>
              <w:rPr>
                <w:rFonts w:ascii="Arial" w:cs="Arial" w:eastAsia="Arial" w:hAnsi="Arial"/>
                <w:sz w:val="18"/>
                <w:szCs w:val="18"/>
                <w:color w:val="auto"/>
                <w:w w:val="86"/>
              </w:rPr>
              <w:t>June 4, 2015</w:t>
            </w:r>
          </w:p>
        </w:tc>
      </w:tr>
      <w:tr>
        <w:trPr>
          <w:trHeight w:val="224"/>
        </w:trPr>
        <w:tc>
          <w:tcPr>
            <w:tcW w:w="4280" w:type="dxa"/>
            <w:vAlign w:val="bottom"/>
            <w:gridSpan w:val="3"/>
          </w:tcPr>
          <w:p>
            <w:pPr>
              <w:jc w:val="center"/>
              <w:spacing w:after="0"/>
              <w:rPr>
                <w:sz w:val="20"/>
                <w:szCs w:val="20"/>
                <w:color w:val="auto"/>
              </w:rPr>
            </w:pPr>
            <w:r>
              <w:rPr>
                <w:rFonts w:ascii="Arial" w:cs="Arial" w:eastAsia="Arial" w:hAnsi="Arial"/>
                <w:sz w:val="18"/>
                <w:szCs w:val="18"/>
                <w:color w:val="auto"/>
                <w:w w:val="89"/>
              </w:rPr>
              <w:t>Dr. Juergen Gromer</w:t>
            </w:r>
          </w:p>
        </w:tc>
        <w:tc>
          <w:tcPr>
            <w:tcW w:w="25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224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300" w:type="dxa"/>
            <w:vAlign w:val="bottom"/>
          </w:tcPr>
          <w:p>
            <w:pPr>
              <w:spacing w:after="0"/>
              <w:rPr>
                <w:sz w:val="19"/>
                <w:szCs w:val="19"/>
                <w:color w:val="auto"/>
              </w:rPr>
            </w:pPr>
          </w:p>
        </w:tc>
      </w:tr>
      <w:tr>
        <w:trPr>
          <w:trHeight w:val="431"/>
        </w:trPr>
        <w:tc>
          <w:tcPr>
            <w:tcW w:w="4280" w:type="dxa"/>
            <w:vAlign w:val="bottom"/>
            <w:tcBorders>
              <w:bottom w:val="single" w:sz="8" w:color="auto"/>
            </w:tcBorders>
            <w:gridSpan w:val="3"/>
          </w:tcPr>
          <w:p>
            <w:pPr>
              <w:spacing w:after="0"/>
              <w:rPr>
                <w:sz w:val="20"/>
                <w:szCs w:val="20"/>
                <w:color w:val="auto"/>
              </w:rPr>
            </w:pPr>
            <w:r>
              <w:rPr>
                <w:rFonts w:ascii="Arial" w:cs="Arial" w:eastAsia="Arial" w:hAnsi="Arial"/>
                <w:sz w:val="18"/>
                <w:szCs w:val="18"/>
                <w:color w:val="auto"/>
              </w:rPr>
              <w:t>/s/ Dr. John G. Kassakian</w:t>
            </w:r>
          </w:p>
        </w:tc>
        <w:tc>
          <w:tcPr>
            <w:tcW w:w="5040" w:type="dxa"/>
            <w:vAlign w:val="bottom"/>
            <w:gridSpan w:val="3"/>
          </w:tcPr>
          <w:p>
            <w:pPr>
              <w:jc w:val="center"/>
              <w:ind w:left="150"/>
              <w:spacing w:after="0"/>
              <w:rPr>
                <w:sz w:val="20"/>
                <w:szCs w:val="20"/>
                <w:color w:val="auto"/>
              </w:rPr>
            </w:pPr>
            <w:r>
              <w:rPr>
                <w:rFonts w:ascii="Arial" w:cs="Arial" w:eastAsia="Arial" w:hAnsi="Arial"/>
                <w:sz w:val="18"/>
                <w:szCs w:val="18"/>
                <w:color w:val="auto"/>
                <w:w w:val="95"/>
              </w:rPr>
              <w:t>Director</w:t>
            </w:r>
          </w:p>
        </w:tc>
        <w:tc>
          <w:tcPr>
            <w:tcW w:w="1680" w:type="dxa"/>
            <w:vAlign w:val="bottom"/>
            <w:gridSpan w:val="3"/>
          </w:tcPr>
          <w:p>
            <w:pPr>
              <w:jc w:val="center"/>
              <w:ind w:left="692"/>
              <w:spacing w:after="0"/>
              <w:rPr>
                <w:sz w:val="20"/>
                <w:szCs w:val="20"/>
                <w:color w:val="auto"/>
              </w:rPr>
            </w:pPr>
            <w:r>
              <w:rPr>
                <w:rFonts w:ascii="Arial" w:cs="Arial" w:eastAsia="Arial" w:hAnsi="Arial"/>
                <w:sz w:val="18"/>
                <w:szCs w:val="18"/>
                <w:color w:val="auto"/>
                <w:w w:val="86"/>
              </w:rPr>
              <w:t>June 4, 2015</w:t>
            </w:r>
          </w:p>
        </w:tc>
      </w:tr>
      <w:tr>
        <w:trPr>
          <w:trHeight w:val="224"/>
        </w:trPr>
        <w:tc>
          <w:tcPr>
            <w:tcW w:w="4280" w:type="dxa"/>
            <w:vAlign w:val="bottom"/>
            <w:gridSpan w:val="3"/>
          </w:tcPr>
          <w:p>
            <w:pPr>
              <w:jc w:val="center"/>
              <w:spacing w:after="0"/>
              <w:rPr>
                <w:sz w:val="20"/>
                <w:szCs w:val="20"/>
                <w:color w:val="auto"/>
              </w:rPr>
            </w:pPr>
            <w:r>
              <w:rPr>
                <w:rFonts w:ascii="Arial" w:cs="Arial" w:eastAsia="Arial" w:hAnsi="Arial"/>
                <w:sz w:val="18"/>
                <w:szCs w:val="18"/>
                <w:color w:val="auto"/>
                <w:w w:val="88"/>
              </w:rPr>
              <w:t>Dr. John G. Kassakian</w:t>
            </w:r>
          </w:p>
        </w:tc>
        <w:tc>
          <w:tcPr>
            <w:tcW w:w="25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224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300" w:type="dxa"/>
            <w:vAlign w:val="bottom"/>
          </w:tcPr>
          <w:p>
            <w:pPr>
              <w:spacing w:after="0"/>
              <w:rPr>
                <w:sz w:val="19"/>
                <w:szCs w:val="19"/>
                <w:color w:val="auto"/>
              </w:rPr>
            </w:pPr>
          </w:p>
        </w:tc>
      </w:tr>
      <w:tr>
        <w:trPr>
          <w:trHeight w:val="431"/>
        </w:trPr>
        <w:tc>
          <w:tcPr>
            <w:tcW w:w="4280" w:type="dxa"/>
            <w:vAlign w:val="bottom"/>
            <w:tcBorders>
              <w:bottom w:val="single" w:sz="8" w:color="auto"/>
            </w:tcBorders>
            <w:gridSpan w:val="3"/>
          </w:tcPr>
          <w:p>
            <w:pPr>
              <w:spacing w:after="0"/>
              <w:rPr>
                <w:sz w:val="20"/>
                <w:szCs w:val="20"/>
                <w:color w:val="auto"/>
              </w:rPr>
            </w:pPr>
            <w:r>
              <w:rPr>
                <w:rFonts w:ascii="Arial" w:cs="Arial" w:eastAsia="Arial" w:hAnsi="Arial"/>
                <w:sz w:val="18"/>
                <w:szCs w:val="18"/>
                <w:color w:val="auto"/>
              </w:rPr>
              <w:t>/s/ Arturo Krueger</w:t>
            </w:r>
          </w:p>
        </w:tc>
        <w:tc>
          <w:tcPr>
            <w:tcW w:w="5040" w:type="dxa"/>
            <w:vAlign w:val="bottom"/>
            <w:gridSpan w:val="3"/>
          </w:tcPr>
          <w:p>
            <w:pPr>
              <w:jc w:val="center"/>
              <w:ind w:left="150"/>
              <w:spacing w:after="0"/>
              <w:rPr>
                <w:sz w:val="20"/>
                <w:szCs w:val="20"/>
                <w:color w:val="auto"/>
              </w:rPr>
            </w:pPr>
            <w:r>
              <w:rPr>
                <w:rFonts w:ascii="Arial" w:cs="Arial" w:eastAsia="Arial" w:hAnsi="Arial"/>
                <w:sz w:val="18"/>
                <w:szCs w:val="18"/>
                <w:color w:val="auto"/>
                <w:w w:val="95"/>
              </w:rPr>
              <w:t>Director</w:t>
            </w:r>
          </w:p>
        </w:tc>
        <w:tc>
          <w:tcPr>
            <w:tcW w:w="1680" w:type="dxa"/>
            <w:vAlign w:val="bottom"/>
            <w:gridSpan w:val="3"/>
          </w:tcPr>
          <w:p>
            <w:pPr>
              <w:jc w:val="center"/>
              <w:ind w:left="692"/>
              <w:spacing w:after="0"/>
              <w:rPr>
                <w:sz w:val="20"/>
                <w:szCs w:val="20"/>
                <w:color w:val="auto"/>
              </w:rPr>
            </w:pPr>
            <w:r>
              <w:rPr>
                <w:rFonts w:ascii="Arial" w:cs="Arial" w:eastAsia="Arial" w:hAnsi="Arial"/>
                <w:sz w:val="18"/>
                <w:szCs w:val="18"/>
                <w:color w:val="auto"/>
                <w:w w:val="86"/>
              </w:rPr>
              <w:t>June 4, 2015</w:t>
            </w:r>
          </w:p>
        </w:tc>
      </w:tr>
      <w:tr>
        <w:trPr>
          <w:trHeight w:val="224"/>
        </w:trPr>
        <w:tc>
          <w:tcPr>
            <w:tcW w:w="4280" w:type="dxa"/>
            <w:vAlign w:val="bottom"/>
            <w:gridSpan w:val="3"/>
          </w:tcPr>
          <w:p>
            <w:pPr>
              <w:jc w:val="center"/>
              <w:spacing w:after="0"/>
              <w:rPr>
                <w:sz w:val="20"/>
                <w:szCs w:val="20"/>
                <w:color w:val="auto"/>
              </w:rPr>
            </w:pPr>
            <w:r>
              <w:rPr>
                <w:rFonts w:ascii="Arial" w:cs="Arial" w:eastAsia="Arial" w:hAnsi="Arial"/>
                <w:sz w:val="18"/>
                <w:szCs w:val="18"/>
                <w:color w:val="auto"/>
                <w:w w:val="94"/>
              </w:rPr>
              <w:t>Arturo Krueger</w:t>
            </w:r>
          </w:p>
        </w:tc>
        <w:tc>
          <w:tcPr>
            <w:tcW w:w="25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224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300" w:type="dxa"/>
            <w:vAlign w:val="bottom"/>
          </w:tcPr>
          <w:p>
            <w:pPr>
              <w:spacing w:after="0"/>
              <w:rPr>
                <w:sz w:val="19"/>
                <w:szCs w:val="19"/>
                <w:color w:val="auto"/>
              </w:rPr>
            </w:pPr>
          </w:p>
        </w:tc>
      </w:tr>
      <w:tr>
        <w:trPr>
          <w:trHeight w:val="431"/>
        </w:trPr>
        <w:tc>
          <w:tcPr>
            <w:tcW w:w="4280" w:type="dxa"/>
            <w:vAlign w:val="bottom"/>
            <w:tcBorders>
              <w:bottom w:val="single" w:sz="8" w:color="auto"/>
            </w:tcBorders>
            <w:gridSpan w:val="3"/>
          </w:tcPr>
          <w:p>
            <w:pPr>
              <w:spacing w:after="0"/>
              <w:rPr>
                <w:sz w:val="20"/>
                <w:szCs w:val="20"/>
                <w:color w:val="auto"/>
              </w:rPr>
            </w:pPr>
            <w:r>
              <w:rPr>
                <w:rFonts w:ascii="Arial" w:cs="Arial" w:eastAsia="Arial" w:hAnsi="Arial"/>
                <w:sz w:val="18"/>
                <w:szCs w:val="18"/>
                <w:color w:val="auto"/>
              </w:rPr>
              <w:t>/s/ Dr. Randhir Thakur</w:t>
            </w:r>
          </w:p>
        </w:tc>
        <w:tc>
          <w:tcPr>
            <w:tcW w:w="5040" w:type="dxa"/>
            <w:vAlign w:val="bottom"/>
            <w:gridSpan w:val="3"/>
          </w:tcPr>
          <w:p>
            <w:pPr>
              <w:jc w:val="center"/>
              <w:ind w:left="150"/>
              <w:spacing w:after="0"/>
              <w:rPr>
                <w:sz w:val="20"/>
                <w:szCs w:val="20"/>
                <w:color w:val="auto"/>
              </w:rPr>
            </w:pPr>
            <w:r>
              <w:rPr>
                <w:rFonts w:ascii="Arial" w:cs="Arial" w:eastAsia="Arial" w:hAnsi="Arial"/>
                <w:sz w:val="18"/>
                <w:szCs w:val="18"/>
                <w:color w:val="auto"/>
                <w:w w:val="95"/>
              </w:rPr>
              <w:t>Director</w:t>
            </w:r>
          </w:p>
        </w:tc>
        <w:tc>
          <w:tcPr>
            <w:tcW w:w="1680" w:type="dxa"/>
            <w:vAlign w:val="bottom"/>
            <w:gridSpan w:val="3"/>
          </w:tcPr>
          <w:p>
            <w:pPr>
              <w:jc w:val="center"/>
              <w:ind w:left="692"/>
              <w:spacing w:after="0"/>
              <w:rPr>
                <w:sz w:val="20"/>
                <w:szCs w:val="20"/>
                <w:color w:val="auto"/>
              </w:rPr>
            </w:pPr>
            <w:r>
              <w:rPr>
                <w:rFonts w:ascii="Arial" w:cs="Arial" w:eastAsia="Arial" w:hAnsi="Arial"/>
                <w:sz w:val="18"/>
                <w:szCs w:val="18"/>
                <w:color w:val="auto"/>
                <w:w w:val="86"/>
              </w:rPr>
              <w:t>June 4, 2015</w:t>
            </w:r>
          </w:p>
        </w:tc>
      </w:tr>
      <w:tr>
        <w:trPr>
          <w:trHeight w:val="224"/>
        </w:trPr>
        <w:tc>
          <w:tcPr>
            <w:tcW w:w="4280" w:type="dxa"/>
            <w:vAlign w:val="bottom"/>
            <w:gridSpan w:val="3"/>
          </w:tcPr>
          <w:p>
            <w:pPr>
              <w:jc w:val="center"/>
              <w:spacing w:after="0"/>
              <w:rPr>
                <w:sz w:val="20"/>
                <w:szCs w:val="20"/>
                <w:color w:val="auto"/>
              </w:rPr>
            </w:pPr>
            <w:r>
              <w:rPr>
                <w:rFonts w:ascii="Arial" w:cs="Arial" w:eastAsia="Arial" w:hAnsi="Arial"/>
                <w:sz w:val="18"/>
                <w:szCs w:val="18"/>
                <w:color w:val="auto"/>
                <w:w w:val="91"/>
              </w:rPr>
              <w:t>Dr. Randhir Thakur</w:t>
            </w:r>
          </w:p>
        </w:tc>
        <w:tc>
          <w:tcPr>
            <w:tcW w:w="25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224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300" w:type="dxa"/>
            <w:vAlign w:val="bottom"/>
          </w:tcPr>
          <w:p>
            <w:pPr>
              <w:spacing w:after="0"/>
              <w:rPr>
                <w:sz w:val="19"/>
                <w:szCs w:val="19"/>
                <w:color w:val="auto"/>
              </w:rPr>
            </w:pPr>
          </w:p>
        </w:tc>
      </w:tr>
    </w:tbl>
    <w:p>
      <w:pPr>
        <w:sectPr>
          <w:pgSz w:w="11900" w:h="16838" w:orient="portrait"/>
          <w:cols w:equalWidth="0" w:num="1">
            <w:col w:w="11360"/>
          </w:cols>
          <w:pgMar w:left="240" w:top="270" w:right="299" w:bottom="1440" w:gutter="0" w:footer="0" w:header="0"/>
        </w:sectPr>
      </w:pPr>
    </w:p>
    <w:bookmarkStart w:id="4" w:name="page5"/>
    <w:bookmarkEnd w:id="4"/>
    <w:p>
      <w:pPr>
        <w:spacing w:after="0" w:line="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tbl>
      <w:tblPr>
        <w:tblLayout w:type="fixed"/>
        <w:tblInd w:w="0" w:type="dxa"/>
        <w:tblCellMar>
          <w:top w:w="0" w:type="dxa"/>
          <w:left w:w="0" w:type="dxa"/>
          <w:bottom w:w="0" w:type="dxa"/>
          <w:right w:w="0" w:type="dxa"/>
        </w:tblCellMar>
      </w:tblPr>
      <w:tr>
        <w:trPr>
          <w:trHeight w:val="234"/>
        </w:trPr>
        <w:tc>
          <w:tcPr>
            <w:tcW w:w="460" w:type="dxa"/>
            <w:vAlign w:val="bottom"/>
          </w:tcPr>
          <w:p>
            <w:pPr>
              <w:spacing w:after="0"/>
              <w:rPr>
                <w:sz w:val="20"/>
                <w:szCs w:val="20"/>
                <w:color w:val="auto"/>
              </w:rPr>
            </w:pPr>
          </w:p>
        </w:tc>
        <w:tc>
          <w:tcPr>
            <w:tcW w:w="10580" w:type="dxa"/>
            <w:vAlign w:val="bottom"/>
            <w:gridSpan w:val="3"/>
          </w:tcPr>
          <w:p>
            <w:pPr>
              <w:ind w:left="4560"/>
              <w:spacing w:after="0"/>
              <w:rPr>
                <w:sz w:val="20"/>
                <w:szCs w:val="20"/>
                <w:color w:val="auto"/>
              </w:rPr>
            </w:pPr>
            <w:r>
              <w:rPr>
                <w:rFonts w:ascii="Arial" w:cs="Arial" w:eastAsia="Arial" w:hAnsi="Arial"/>
                <w:sz w:val="18"/>
                <w:szCs w:val="18"/>
                <w:b w:val="1"/>
                <w:bCs w:val="1"/>
                <w:color w:val="auto"/>
              </w:rPr>
              <w:t>EXHIBIT INDEX</w:t>
            </w:r>
          </w:p>
        </w:tc>
        <w:tc>
          <w:tcPr>
            <w:tcW w:w="0" w:type="dxa"/>
            <w:vAlign w:val="bottom"/>
          </w:tcPr>
          <w:p>
            <w:pPr>
              <w:spacing w:after="0"/>
              <w:rPr>
                <w:sz w:val="1"/>
                <w:szCs w:val="1"/>
                <w:color w:val="auto"/>
              </w:rPr>
            </w:pPr>
          </w:p>
        </w:tc>
      </w:tr>
      <w:tr>
        <w:trPr>
          <w:trHeight w:val="369"/>
        </w:trPr>
        <w:tc>
          <w:tcPr>
            <w:tcW w:w="460" w:type="dxa"/>
            <w:vAlign w:val="bottom"/>
          </w:tcPr>
          <w:p>
            <w:pPr>
              <w:jc w:val="right"/>
              <w:spacing w:after="0"/>
              <w:rPr>
                <w:sz w:val="20"/>
                <w:szCs w:val="20"/>
                <w:color w:val="auto"/>
              </w:rPr>
            </w:pPr>
            <w:r>
              <w:rPr>
                <w:rFonts w:ascii="Arial" w:cs="Arial" w:eastAsia="Arial" w:hAnsi="Arial"/>
                <w:sz w:val="14"/>
                <w:szCs w:val="14"/>
                <w:b w:val="1"/>
                <w:bCs w:val="1"/>
                <w:color w:val="auto"/>
                <w:w w:val="94"/>
              </w:rPr>
              <w:t>Exhibit</w:t>
            </w:r>
          </w:p>
        </w:tc>
        <w:tc>
          <w:tcPr>
            <w:tcW w:w="5400" w:type="dxa"/>
            <w:vAlign w:val="bottom"/>
            <w:vMerge w:val="restart"/>
          </w:tcPr>
          <w:p>
            <w:pPr>
              <w:spacing w:after="0"/>
              <w:rPr>
                <w:sz w:val="24"/>
                <w:szCs w:val="24"/>
                <w:color w:val="auto"/>
              </w:rPr>
            </w:pPr>
          </w:p>
        </w:tc>
        <w:tc>
          <w:tcPr>
            <w:tcW w:w="720" w:type="dxa"/>
            <w:vAlign w:val="bottom"/>
            <w:vMerge w:val="restart"/>
          </w:tcPr>
          <w:p>
            <w:pPr>
              <w:spacing w:after="0"/>
              <w:rPr>
                <w:sz w:val="20"/>
                <w:szCs w:val="20"/>
                <w:color w:val="auto"/>
              </w:rPr>
            </w:pPr>
            <w:r>
              <w:rPr>
                <w:rFonts w:ascii="Arial" w:cs="Arial" w:eastAsia="Arial" w:hAnsi="Arial"/>
                <w:sz w:val="14"/>
                <w:szCs w:val="14"/>
                <w:b w:val="1"/>
                <w:bCs w:val="1"/>
                <w:color w:val="auto"/>
                <w:w w:val="90"/>
              </w:rPr>
              <w:t>Description</w:t>
            </w:r>
          </w:p>
        </w:tc>
        <w:tc>
          <w:tcPr>
            <w:tcW w:w="4460" w:type="dxa"/>
            <w:vAlign w:val="bottom"/>
            <w:vMerge w:val="restart"/>
          </w:tcPr>
          <w:p>
            <w:pPr>
              <w:spacing w:after="0"/>
              <w:rPr>
                <w:sz w:val="24"/>
                <w:szCs w:val="24"/>
                <w:color w:val="auto"/>
              </w:rPr>
            </w:pPr>
          </w:p>
        </w:tc>
        <w:tc>
          <w:tcPr>
            <w:tcW w:w="0" w:type="dxa"/>
            <w:vAlign w:val="bottom"/>
          </w:tcPr>
          <w:p>
            <w:pPr>
              <w:spacing w:after="0"/>
              <w:rPr>
                <w:sz w:val="1"/>
                <w:szCs w:val="1"/>
                <w:color w:val="auto"/>
              </w:rPr>
            </w:pPr>
          </w:p>
        </w:tc>
      </w:tr>
      <w:tr>
        <w:trPr>
          <w:trHeight w:val="171"/>
        </w:trPr>
        <w:tc>
          <w:tcPr>
            <w:tcW w:w="460" w:type="dxa"/>
            <w:vAlign w:val="bottom"/>
            <w:tcBorders>
              <w:bottom w:val="single" w:sz="8" w:color="auto"/>
            </w:tcBorders>
          </w:tcPr>
          <w:p>
            <w:pPr>
              <w:jc w:val="right"/>
              <w:ind w:right="34"/>
              <w:spacing w:after="0"/>
              <w:rPr>
                <w:sz w:val="20"/>
                <w:szCs w:val="20"/>
                <w:color w:val="auto"/>
              </w:rPr>
            </w:pPr>
            <w:r>
              <w:rPr>
                <w:rFonts w:ascii="Arial" w:cs="Arial" w:eastAsia="Arial" w:hAnsi="Arial"/>
                <w:sz w:val="14"/>
                <w:szCs w:val="14"/>
                <w:b w:val="1"/>
                <w:bCs w:val="1"/>
                <w:color w:val="auto"/>
              </w:rPr>
              <w:t>No.</w:t>
            </w:r>
          </w:p>
        </w:tc>
        <w:tc>
          <w:tcPr>
            <w:tcW w:w="5400" w:type="dxa"/>
            <w:vAlign w:val="bottom"/>
            <w:vMerge w:val="continue"/>
          </w:tcPr>
          <w:p>
            <w:pPr>
              <w:spacing w:after="0"/>
              <w:rPr>
                <w:sz w:val="14"/>
                <w:szCs w:val="14"/>
                <w:color w:val="auto"/>
              </w:rPr>
            </w:pPr>
          </w:p>
        </w:tc>
        <w:tc>
          <w:tcPr>
            <w:tcW w:w="720" w:type="dxa"/>
            <w:vAlign w:val="bottom"/>
            <w:tcBorders>
              <w:bottom w:val="single" w:sz="8" w:color="auto"/>
            </w:tcBorders>
            <w:vMerge w:val="continue"/>
          </w:tcPr>
          <w:p>
            <w:pPr>
              <w:spacing w:after="0"/>
              <w:rPr>
                <w:sz w:val="14"/>
                <w:szCs w:val="14"/>
                <w:color w:val="auto"/>
              </w:rPr>
            </w:pPr>
          </w:p>
        </w:tc>
        <w:tc>
          <w:tcPr>
            <w:tcW w:w="446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318"/>
        </w:trPr>
        <w:tc>
          <w:tcPr>
            <w:tcW w:w="460" w:type="dxa"/>
            <w:vAlign w:val="bottom"/>
          </w:tcPr>
          <w:p>
            <w:pPr>
              <w:jc w:val="right"/>
              <w:ind w:right="54"/>
              <w:spacing w:after="0"/>
              <w:rPr>
                <w:sz w:val="20"/>
                <w:szCs w:val="20"/>
                <w:color w:val="auto"/>
              </w:rPr>
            </w:pPr>
            <w:r>
              <w:rPr>
                <w:rFonts w:ascii="Arial" w:cs="Arial" w:eastAsia="Arial" w:hAnsi="Arial"/>
                <w:sz w:val="18"/>
                <w:szCs w:val="18"/>
                <w:color w:val="auto"/>
              </w:rPr>
              <w:t>5.1</w:t>
            </w:r>
          </w:p>
        </w:tc>
        <w:tc>
          <w:tcPr>
            <w:tcW w:w="10580" w:type="dxa"/>
            <w:vAlign w:val="bottom"/>
            <w:gridSpan w:val="3"/>
          </w:tcPr>
          <w:p>
            <w:pPr>
              <w:ind w:left="560"/>
              <w:spacing w:after="0"/>
              <w:rPr>
                <w:sz w:val="20"/>
                <w:szCs w:val="20"/>
                <w:color w:val="auto"/>
              </w:rPr>
            </w:pPr>
            <w:r>
              <w:rPr>
                <w:rFonts w:ascii="Arial" w:cs="Arial" w:eastAsia="Arial" w:hAnsi="Arial"/>
                <w:sz w:val="18"/>
                <w:szCs w:val="18"/>
                <w:color w:val="auto"/>
              </w:rPr>
              <w:t>Opinion of Appleby (Bermuda) Limited</w:t>
            </w:r>
          </w:p>
        </w:tc>
        <w:tc>
          <w:tcPr>
            <w:tcW w:w="0" w:type="dxa"/>
            <w:vAlign w:val="bottom"/>
          </w:tcPr>
          <w:p>
            <w:pPr>
              <w:spacing w:after="0"/>
              <w:rPr>
                <w:sz w:val="1"/>
                <w:szCs w:val="1"/>
                <w:color w:val="auto"/>
              </w:rPr>
            </w:pPr>
          </w:p>
        </w:tc>
      </w:tr>
      <w:tr>
        <w:trPr>
          <w:trHeight w:val="310"/>
        </w:trPr>
        <w:tc>
          <w:tcPr>
            <w:tcW w:w="460" w:type="dxa"/>
            <w:vAlign w:val="bottom"/>
          </w:tcPr>
          <w:p>
            <w:pPr>
              <w:jc w:val="right"/>
              <w:ind w:right="54"/>
              <w:spacing w:after="0"/>
              <w:rPr>
                <w:sz w:val="20"/>
                <w:szCs w:val="20"/>
                <w:color w:val="auto"/>
              </w:rPr>
            </w:pPr>
            <w:r>
              <w:rPr>
                <w:rFonts w:ascii="Arial" w:cs="Arial" w:eastAsia="Arial" w:hAnsi="Arial"/>
                <w:sz w:val="18"/>
                <w:szCs w:val="18"/>
                <w:color w:val="auto"/>
                <w:w w:val="85"/>
              </w:rPr>
              <w:t>10.1</w:t>
            </w:r>
          </w:p>
        </w:tc>
        <w:tc>
          <w:tcPr>
            <w:tcW w:w="10580" w:type="dxa"/>
            <w:vAlign w:val="bottom"/>
            <w:gridSpan w:val="3"/>
          </w:tcPr>
          <w:p>
            <w:pPr>
              <w:ind w:left="560"/>
              <w:spacing w:after="0"/>
              <w:rPr>
                <w:sz w:val="20"/>
                <w:szCs w:val="20"/>
                <w:color w:val="auto"/>
              </w:rPr>
            </w:pPr>
            <w:r>
              <w:rPr>
                <w:rFonts w:ascii="Arial" w:cs="Arial" w:eastAsia="Arial" w:hAnsi="Arial"/>
                <w:sz w:val="18"/>
                <w:szCs w:val="18"/>
                <w:color w:val="auto"/>
                <w:w w:val="91"/>
              </w:rPr>
              <w:t>2000 Employee Stock Purchase Plan (as amended and restated as of October 31, 2011), incorporated by reference to Exhibit 10.1 of the</w:t>
            </w:r>
          </w:p>
        </w:tc>
        <w:tc>
          <w:tcPr>
            <w:tcW w:w="0" w:type="dxa"/>
            <w:vAlign w:val="bottom"/>
          </w:tcPr>
          <w:p>
            <w:pPr>
              <w:spacing w:after="0"/>
              <w:rPr>
                <w:sz w:val="1"/>
                <w:szCs w:val="1"/>
                <w:color w:val="auto"/>
              </w:rPr>
            </w:pPr>
          </w:p>
        </w:tc>
      </w:tr>
      <w:tr>
        <w:trPr>
          <w:trHeight w:val="230"/>
        </w:trPr>
        <w:tc>
          <w:tcPr>
            <w:tcW w:w="460" w:type="dxa"/>
            <w:vAlign w:val="bottom"/>
          </w:tcPr>
          <w:p>
            <w:pPr>
              <w:spacing w:after="0"/>
              <w:rPr>
                <w:sz w:val="20"/>
                <w:szCs w:val="20"/>
                <w:color w:val="auto"/>
              </w:rPr>
            </w:pPr>
          </w:p>
        </w:tc>
        <w:tc>
          <w:tcPr>
            <w:tcW w:w="10580" w:type="dxa"/>
            <w:vAlign w:val="bottom"/>
            <w:gridSpan w:val="3"/>
          </w:tcPr>
          <w:p>
            <w:pPr>
              <w:ind w:left="560"/>
              <w:spacing w:after="0"/>
              <w:rPr>
                <w:sz w:val="20"/>
                <w:szCs w:val="20"/>
                <w:color w:val="auto"/>
              </w:rPr>
            </w:pPr>
            <w:r>
              <w:rPr>
                <w:rFonts w:ascii="Arial" w:cs="Arial" w:eastAsia="Arial" w:hAnsi="Arial"/>
                <w:sz w:val="18"/>
                <w:szCs w:val="18"/>
                <w:color w:val="auto"/>
              </w:rPr>
              <w:t>registrant’s Quarterly Report on Form 10-Q for the period ended October 29, 2011 as filed on December 2, 2011</w:t>
            </w:r>
          </w:p>
        </w:tc>
        <w:tc>
          <w:tcPr>
            <w:tcW w:w="0" w:type="dxa"/>
            <w:vAlign w:val="bottom"/>
          </w:tcPr>
          <w:p>
            <w:pPr>
              <w:spacing w:after="0"/>
              <w:rPr>
                <w:sz w:val="1"/>
                <w:szCs w:val="1"/>
                <w:color w:val="auto"/>
              </w:rPr>
            </w:pPr>
          </w:p>
        </w:tc>
      </w:tr>
      <w:tr>
        <w:trPr>
          <w:trHeight w:val="310"/>
        </w:trPr>
        <w:tc>
          <w:tcPr>
            <w:tcW w:w="460" w:type="dxa"/>
            <w:vAlign w:val="bottom"/>
          </w:tcPr>
          <w:p>
            <w:pPr>
              <w:jc w:val="right"/>
              <w:ind w:right="54"/>
              <w:spacing w:after="0"/>
              <w:rPr>
                <w:sz w:val="20"/>
                <w:szCs w:val="20"/>
                <w:color w:val="auto"/>
              </w:rPr>
            </w:pPr>
            <w:r>
              <w:rPr>
                <w:rFonts w:ascii="Arial" w:cs="Arial" w:eastAsia="Arial" w:hAnsi="Arial"/>
                <w:sz w:val="18"/>
                <w:szCs w:val="18"/>
                <w:color w:val="auto"/>
                <w:w w:val="85"/>
              </w:rPr>
              <w:t>10.2</w:t>
            </w:r>
          </w:p>
        </w:tc>
        <w:tc>
          <w:tcPr>
            <w:tcW w:w="10580" w:type="dxa"/>
            <w:vAlign w:val="bottom"/>
            <w:gridSpan w:val="3"/>
          </w:tcPr>
          <w:p>
            <w:pPr>
              <w:ind w:left="560"/>
              <w:spacing w:after="0"/>
              <w:rPr>
                <w:sz w:val="20"/>
                <w:szCs w:val="20"/>
                <w:color w:val="auto"/>
              </w:rPr>
            </w:pPr>
            <w:r>
              <w:rPr>
                <w:rFonts w:ascii="Arial" w:cs="Arial" w:eastAsia="Arial" w:hAnsi="Arial"/>
                <w:sz w:val="18"/>
                <w:szCs w:val="18"/>
                <w:color w:val="auto"/>
                <w:w w:val="90"/>
              </w:rPr>
              <w:t>2000 Employee Stock Purchase Plan Form of Subscription Agreement, incorporated by reference to Exhibit 10.4 of the registrant’s Annual</w:t>
            </w:r>
          </w:p>
        </w:tc>
        <w:tc>
          <w:tcPr>
            <w:tcW w:w="0" w:type="dxa"/>
            <w:vAlign w:val="bottom"/>
          </w:tcPr>
          <w:p>
            <w:pPr>
              <w:spacing w:after="0"/>
              <w:rPr>
                <w:sz w:val="1"/>
                <w:szCs w:val="1"/>
                <w:color w:val="auto"/>
              </w:rPr>
            </w:pPr>
          </w:p>
        </w:tc>
      </w:tr>
      <w:tr>
        <w:trPr>
          <w:trHeight w:val="230"/>
        </w:trPr>
        <w:tc>
          <w:tcPr>
            <w:tcW w:w="460" w:type="dxa"/>
            <w:vAlign w:val="bottom"/>
          </w:tcPr>
          <w:p>
            <w:pPr>
              <w:spacing w:after="0"/>
              <w:rPr>
                <w:sz w:val="20"/>
                <w:szCs w:val="20"/>
                <w:color w:val="auto"/>
              </w:rPr>
            </w:pPr>
          </w:p>
        </w:tc>
        <w:tc>
          <w:tcPr>
            <w:tcW w:w="10580" w:type="dxa"/>
            <w:vAlign w:val="bottom"/>
            <w:gridSpan w:val="3"/>
          </w:tcPr>
          <w:p>
            <w:pPr>
              <w:ind w:left="560"/>
              <w:spacing w:after="0"/>
              <w:rPr>
                <w:sz w:val="20"/>
                <w:szCs w:val="20"/>
                <w:color w:val="auto"/>
              </w:rPr>
            </w:pPr>
            <w:r>
              <w:rPr>
                <w:rFonts w:ascii="Arial" w:cs="Arial" w:eastAsia="Arial" w:hAnsi="Arial"/>
                <w:sz w:val="18"/>
                <w:szCs w:val="18"/>
                <w:color w:val="auto"/>
              </w:rPr>
              <w:t>Report on Form 10-K for the period ended February 2, 2013 as filed on March 29, 2013</w:t>
            </w:r>
          </w:p>
        </w:tc>
        <w:tc>
          <w:tcPr>
            <w:tcW w:w="0" w:type="dxa"/>
            <w:vAlign w:val="bottom"/>
          </w:tcPr>
          <w:p>
            <w:pPr>
              <w:spacing w:after="0"/>
              <w:rPr>
                <w:sz w:val="1"/>
                <w:szCs w:val="1"/>
                <w:color w:val="auto"/>
              </w:rPr>
            </w:pPr>
          </w:p>
        </w:tc>
      </w:tr>
      <w:tr>
        <w:trPr>
          <w:trHeight w:val="324"/>
        </w:trPr>
        <w:tc>
          <w:tcPr>
            <w:tcW w:w="460" w:type="dxa"/>
            <w:vAlign w:val="bottom"/>
          </w:tcPr>
          <w:p>
            <w:pPr>
              <w:jc w:val="right"/>
              <w:ind w:right="54"/>
              <w:spacing w:after="0"/>
              <w:rPr>
                <w:sz w:val="20"/>
                <w:szCs w:val="20"/>
                <w:color w:val="auto"/>
              </w:rPr>
            </w:pPr>
            <w:r>
              <w:rPr>
                <w:rFonts w:ascii="Arial" w:cs="Arial" w:eastAsia="Arial" w:hAnsi="Arial"/>
                <w:sz w:val="18"/>
                <w:szCs w:val="18"/>
                <w:color w:val="auto"/>
                <w:w w:val="85"/>
              </w:rPr>
              <w:t>23.1</w:t>
            </w:r>
          </w:p>
        </w:tc>
        <w:tc>
          <w:tcPr>
            <w:tcW w:w="10580" w:type="dxa"/>
            <w:vAlign w:val="bottom"/>
            <w:gridSpan w:val="3"/>
          </w:tcPr>
          <w:p>
            <w:pPr>
              <w:ind w:left="560"/>
              <w:spacing w:after="0"/>
              <w:rPr>
                <w:sz w:val="20"/>
                <w:szCs w:val="20"/>
                <w:color w:val="auto"/>
              </w:rPr>
            </w:pPr>
            <w:r>
              <w:rPr>
                <w:rFonts w:ascii="Arial" w:cs="Arial" w:eastAsia="Arial" w:hAnsi="Arial"/>
                <w:sz w:val="18"/>
                <w:szCs w:val="18"/>
                <w:color w:val="auto"/>
              </w:rPr>
              <w:t>Consent of PricewaterhouseCoopers LLP, Independent Registered Public Accounting Firm</w:t>
            </w:r>
          </w:p>
        </w:tc>
        <w:tc>
          <w:tcPr>
            <w:tcW w:w="0" w:type="dxa"/>
            <w:vAlign w:val="bottom"/>
          </w:tcPr>
          <w:p>
            <w:pPr>
              <w:spacing w:after="0"/>
              <w:rPr>
                <w:sz w:val="1"/>
                <w:szCs w:val="1"/>
                <w:color w:val="auto"/>
              </w:rPr>
            </w:pPr>
          </w:p>
        </w:tc>
      </w:tr>
      <w:tr>
        <w:trPr>
          <w:trHeight w:val="324"/>
        </w:trPr>
        <w:tc>
          <w:tcPr>
            <w:tcW w:w="460" w:type="dxa"/>
            <w:vAlign w:val="bottom"/>
          </w:tcPr>
          <w:p>
            <w:pPr>
              <w:jc w:val="right"/>
              <w:ind w:right="54"/>
              <w:spacing w:after="0"/>
              <w:rPr>
                <w:sz w:val="20"/>
                <w:szCs w:val="20"/>
                <w:color w:val="auto"/>
              </w:rPr>
            </w:pPr>
            <w:r>
              <w:rPr>
                <w:rFonts w:ascii="Arial" w:cs="Arial" w:eastAsia="Arial" w:hAnsi="Arial"/>
                <w:sz w:val="18"/>
                <w:szCs w:val="18"/>
                <w:color w:val="auto"/>
                <w:w w:val="85"/>
              </w:rPr>
              <w:t>23.2</w:t>
            </w:r>
          </w:p>
        </w:tc>
        <w:tc>
          <w:tcPr>
            <w:tcW w:w="10580" w:type="dxa"/>
            <w:vAlign w:val="bottom"/>
            <w:gridSpan w:val="3"/>
          </w:tcPr>
          <w:p>
            <w:pPr>
              <w:ind w:left="560"/>
              <w:spacing w:after="0"/>
              <w:rPr>
                <w:sz w:val="20"/>
                <w:szCs w:val="20"/>
                <w:color w:val="auto"/>
              </w:rPr>
            </w:pPr>
            <w:r>
              <w:rPr>
                <w:rFonts w:ascii="Arial" w:cs="Arial" w:eastAsia="Arial" w:hAnsi="Arial"/>
                <w:sz w:val="18"/>
                <w:szCs w:val="18"/>
                <w:color w:val="auto"/>
              </w:rPr>
              <w:t>Consent of Appleby (Bermuda) Limited (included in Exhibit 5.1)</w:t>
            </w:r>
          </w:p>
        </w:tc>
        <w:tc>
          <w:tcPr>
            <w:tcW w:w="0" w:type="dxa"/>
            <w:vAlign w:val="bottom"/>
          </w:tcPr>
          <w:p>
            <w:pPr>
              <w:spacing w:after="0"/>
              <w:rPr>
                <w:sz w:val="1"/>
                <w:szCs w:val="1"/>
                <w:color w:val="auto"/>
              </w:rPr>
            </w:pPr>
          </w:p>
        </w:tc>
      </w:tr>
      <w:tr>
        <w:trPr>
          <w:trHeight w:val="324"/>
        </w:trPr>
        <w:tc>
          <w:tcPr>
            <w:tcW w:w="460" w:type="dxa"/>
            <w:vAlign w:val="bottom"/>
          </w:tcPr>
          <w:p>
            <w:pPr>
              <w:jc w:val="right"/>
              <w:ind w:right="54"/>
              <w:spacing w:after="0"/>
              <w:rPr>
                <w:sz w:val="20"/>
                <w:szCs w:val="20"/>
                <w:color w:val="auto"/>
              </w:rPr>
            </w:pPr>
            <w:r>
              <w:rPr>
                <w:rFonts w:ascii="Arial" w:cs="Arial" w:eastAsia="Arial" w:hAnsi="Arial"/>
                <w:sz w:val="18"/>
                <w:szCs w:val="18"/>
                <w:color w:val="auto"/>
                <w:w w:val="85"/>
              </w:rPr>
              <w:t>24.1</w:t>
            </w:r>
          </w:p>
        </w:tc>
        <w:tc>
          <w:tcPr>
            <w:tcW w:w="10580" w:type="dxa"/>
            <w:vAlign w:val="bottom"/>
            <w:gridSpan w:val="3"/>
          </w:tcPr>
          <w:p>
            <w:pPr>
              <w:ind w:left="560"/>
              <w:spacing w:after="0"/>
              <w:rPr>
                <w:sz w:val="20"/>
                <w:szCs w:val="20"/>
                <w:color w:val="auto"/>
              </w:rPr>
            </w:pPr>
            <w:r>
              <w:rPr>
                <w:rFonts w:ascii="Arial" w:cs="Arial" w:eastAsia="Arial" w:hAnsi="Arial"/>
                <w:sz w:val="18"/>
                <w:szCs w:val="18"/>
                <w:color w:val="auto"/>
              </w:rPr>
              <w:t>Power of Attorney (included in signature page to this Registration Statement)</w:t>
            </w:r>
          </w:p>
        </w:tc>
        <w:tc>
          <w:tcPr>
            <w:tcW w:w="0" w:type="dxa"/>
            <w:vAlign w:val="bottom"/>
          </w:tcPr>
          <w:p>
            <w:pPr>
              <w:spacing w:after="0"/>
              <w:rPr>
                <w:sz w:val="1"/>
                <w:szCs w:val="1"/>
                <w:color w:val="auto"/>
              </w:rPr>
            </w:pPr>
          </w:p>
        </w:tc>
      </w:tr>
    </w:tbl>
    <w:p>
      <w:pPr>
        <w:sectPr>
          <w:pgSz w:w="11900" w:h="16838" w:orient="portrait"/>
          <w:cols w:equalWidth="0" w:num="1">
            <w:col w:w="11040"/>
          </w:cols>
          <w:pgMar w:left="240" w:top="270" w:right="619" w:bottom="1440" w:gutter="0" w:footer="0" w:header="0"/>
        </w:sectPr>
      </w:pPr>
    </w:p>
    <w:bookmarkStart w:id="5" w:name="page6"/>
    <w:bookmarkEnd w:id="5"/>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8"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Bermuda Office</w:t>
      </w:r>
    </w:p>
    <w:p>
      <w:pPr>
        <w:spacing w:after="0" w:line="27"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Appleby (Bermuda)</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Limited</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Canon's Court</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PO Box HM 1179</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Hamilton HM EX</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Bermuda</w:t>
      </w:r>
    </w:p>
    <w:p>
      <w:pPr>
        <w:spacing w:after="0" w:line="234"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Tel +1 441 295 2244</w:t>
      </w:r>
    </w:p>
    <w:p>
      <w:pPr>
        <w:spacing w:after="0" w:line="252"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applebyglobal.com</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0" w:lineRule="exact"/>
        <w:rPr>
          <w:sz w:val="20"/>
          <w:szCs w:val="20"/>
          <w:color w:val="auto"/>
        </w:rPr>
      </w:pPr>
    </w:p>
    <w:p>
      <w:pPr>
        <w:jc w:val="right"/>
        <w:spacing w:after="0" w:line="253" w:lineRule="auto"/>
        <w:rPr>
          <w:sz w:val="20"/>
          <w:szCs w:val="20"/>
          <w:color w:val="auto"/>
        </w:rPr>
      </w:pPr>
      <w:r>
        <w:rPr>
          <w:rFonts w:ascii="Arial" w:cs="Arial" w:eastAsia="Arial" w:hAnsi="Arial"/>
          <w:sz w:val="18"/>
          <w:szCs w:val="18"/>
          <w:color w:val="auto"/>
        </w:rPr>
        <w:t>Appleby (Bermuda) Limited (the Legal Practice) is a limited liability company incorporated in Bermuda and approved and recognised under the Bermuda Bar (Professional Companies) Rules 2009. "Partner" is a title referring to a director, shareholder or an employee of the Legal Practice. A list of such persons can be obtained from your relationship partner.</w:t>
      </w:r>
    </w:p>
    <w:p>
      <w:pPr>
        <w:spacing w:after="0" w:line="20" w:lineRule="exact"/>
        <w:rPr>
          <w:sz w:val="20"/>
          <w:szCs w:val="20"/>
          <w:color w:val="auto"/>
        </w:rPr>
      </w:pPr>
      <w:r>
        <w:rPr>
          <w:sz w:val="20"/>
          <w:szCs w:val="20"/>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34"/>
        </w:trPr>
        <w:tc>
          <w:tcPr>
            <w:tcW w:w="4040" w:type="dxa"/>
            <w:vAlign w:val="bottom"/>
          </w:tcPr>
          <w:p>
            <w:pPr>
              <w:spacing w:after="0"/>
              <w:rPr>
                <w:sz w:val="20"/>
                <w:szCs w:val="20"/>
                <w:color w:val="auto"/>
              </w:rPr>
            </w:pPr>
          </w:p>
        </w:tc>
        <w:tc>
          <w:tcPr>
            <w:tcW w:w="3400" w:type="dxa"/>
            <w:vAlign w:val="bottom"/>
          </w:tcPr>
          <w:p>
            <w:pPr>
              <w:spacing w:after="0"/>
              <w:rPr>
                <w:sz w:val="20"/>
                <w:szCs w:val="20"/>
                <w:color w:val="auto"/>
              </w:rPr>
            </w:pPr>
          </w:p>
        </w:tc>
        <w:tc>
          <w:tcPr>
            <w:tcW w:w="1000" w:type="dxa"/>
            <w:vAlign w:val="bottom"/>
          </w:tcPr>
          <w:p>
            <w:pPr>
              <w:jc w:val="right"/>
              <w:spacing w:after="0"/>
              <w:rPr>
                <w:sz w:val="20"/>
                <w:szCs w:val="20"/>
                <w:color w:val="auto"/>
              </w:rPr>
            </w:pPr>
            <w:r>
              <w:rPr>
                <w:rFonts w:ascii="Arial" w:cs="Arial" w:eastAsia="Arial" w:hAnsi="Arial"/>
                <w:sz w:val="18"/>
                <w:szCs w:val="18"/>
                <w:b w:val="1"/>
                <w:bCs w:val="1"/>
                <w:color w:val="auto"/>
              </w:rPr>
              <w:t>Exhibit 5.1</w:t>
            </w:r>
          </w:p>
        </w:tc>
        <w:tc>
          <w:tcPr>
            <w:tcW w:w="0" w:type="dxa"/>
            <w:vAlign w:val="bottom"/>
          </w:tcPr>
          <w:p>
            <w:pPr>
              <w:spacing w:after="0"/>
              <w:rPr>
                <w:sz w:val="1"/>
                <w:szCs w:val="1"/>
                <w:color w:val="auto"/>
              </w:rPr>
            </w:pPr>
          </w:p>
        </w:tc>
      </w:tr>
      <w:tr>
        <w:trPr>
          <w:trHeight w:val="445"/>
        </w:trPr>
        <w:tc>
          <w:tcPr>
            <w:tcW w:w="4040" w:type="dxa"/>
            <w:vAlign w:val="bottom"/>
          </w:tcPr>
          <w:p>
            <w:pPr>
              <w:spacing w:after="0"/>
              <w:rPr>
                <w:sz w:val="20"/>
                <w:szCs w:val="20"/>
                <w:color w:val="auto"/>
              </w:rPr>
            </w:pPr>
            <w:r>
              <w:rPr>
                <w:rFonts w:ascii="Arial" w:cs="Arial" w:eastAsia="Arial" w:hAnsi="Arial"/>
                <w:sz w:val="18"/>
                <w:szCs w:val="18"/>
                <w:b w:val="1"/>
                <w:bCs w:val="1"/>
                <w:color w:val="auto"/>
              </w:rPr>
              <w:t>Marvell Technology Group Ltd.</w:t>
            </w:r>
          </w:p>
        </w:tc>
        <w:tc>
          <w:tcPr>
            <w:tcW w:w="4400" w:type="dxa"/>
            <w:vAlign w:val="bottom"/>
            <w:gridSpan w:val="2"/>
          </w:tcPr>
          <w:p>
            <w:pPr>
              <w:jc w:val="right"/>
              <w:spacing w:after="0"/>
              <w:rPr>
                <w:sz w:val="20"/>
                <w:szCs w:val="20"/>
                <w:color w:val="auto"/>
              </w:rPr>
            </w:pPr>
            <w:r>
              <w:rPr>
                <w:rFonts w:ascii="Arial" w:cs="Arial" w:eastAsia="Arial" w:hAnsi="Arial"/>
                <w:sz w:val="18"/>
                <w:szCs w:val="18"/>
                <w:b w:val="1"/>
                <w:bCs w:val="1"/>
                <w:color w:val="auto"/>
              </w:rPr>
              <w:t xml:space="preserve">Email </w:t>
            </w:r>
            <w:r>
              <w:rPr>
                <w:rFonts w:ascii="Arial" w:cs="Arial" w:eastAsia="Arial" w:hAnsi="Arial"/>
                <w:sz w:val="18"/>
                <w:szCs w:val="18"/>
                <w:color w:val="auto"/>
              </w:rPr>
              <w:t>adfagundo@applebyglobal.com</w:t>
            </w:r>
          </w:p>
        </w:tc>
        <w:tc>
          <w:tcPr>
            <w:tcW w:w="0" w:type="dxa"/>
            <w:vAlign w:val="bottom"/>
          </w:tcPr>
          <w:p>
            <w:pPr>
              <w:spacing w:after="0"/>
              <w:rPr>
                <w:sz w:val="1"/>
                <w:szCs w:val="1"/>
                <w:color w:val="auto"/>
              </w:rPr>
            </w:pPr>
          </w:p>
        </w:tc>
      </w:tr>
      <w:tr>
        <w:trPr>
          <w:trHeight w:val="216"/>
        </w:trPr>
        <w:tc>
          <w:tcPr>
            <w:tcW w:w="4040" w:type="dxa"/>
            <w:vAlign w:val="bottom"/>
          </w:tcPr>
          <w:p>
            <w:pPr>
              <w:spacing w:after="0"/>
              <w:rPr>
                <w:sz w:val="20"/>
                <w:szCs w:val="20"/>
                <w:color w:val="auto"/>
              </w:rPr>
            </w:pPr>
            <w:r>
              <w:rPr>
                <w:rFonts w:ascii="Arial" w:cs="Arial" w:eastAsia="Arial" w:hAnsi="Arial"/>
                <w:sz w:val="18"/>
                <w:szCs w:val="18"/>
                <w:color w:val="auto"/>
              </w:rPr>
              <w:t>Canon's Court</w:t>
            </w:r>
          </w:p>
        </w:tc>
        <w:tc>
          <w:tcPr>
            <w:tcW w:w="3400" w:type="dxa"/>
            <w:vAlign w:val="bottom"/>
            <w:vMerge w:val="restart"/>
          </w:tcPr>
          <w:p>
            <w:pPr>
              <w:jc w:val="right"/>
              <w:spacing w:after="0"/>
              <w:rPr>
                <w:sz w:val="20"/>
                <w:szCs w:val="20"/>
                <w:color w:val="auto"/>
              </w:rPr>
            </w:pPr>
            <w:r>
              <w:rPr>
                <w:rFonts w:ascii="Arial" w:cs="Arial" w:eastAsia="Arial" w:hAnsi="Arial"/>
                <w:sz w:val="18"/>
                <w:szCs w:val="18"/>
                <w:b w:val="1"/>
                <w:bCs w:val="1"/>
                <w:color w:val="auto"/>
              </w:rPr>
              <w:t xml:space="preserve">Direct Dial </w:t>
            </w:r>
            <w:r>
              <w:rPr>
                <w:rFonts w:ascii="Arial" w:cs="Arial" w:eastAsia="Arial" w:hAnsi="Arial"/>
                <w:sz w:val="18"/>
                <w:szCs w:val="18"/>
                <w:color w:val="auto"/>
              </w:rPr>
              <w:t>+1</w:t>
            </w:r>
          </w:p>
        </w:tc>
        <w:tc>
          <w:tcPr>
            <w:tcW w:w="10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2"/>
        </w:trPr>
        <w:tc>
          <w:tcPr>
            <w:tcW w:w="4040" w:type="dxa"/>
            <w:vAlign w:val="bottom"/>
          </w:tcPr>
          <w:p>
            <w:pPr>
              <w:spacing w:after="0"/>
              <w:rPr>
                <w:sz w:val="20"/>
                <w:szCs w:val="20"/>
                <w:color w:val="auto"/>
              </w:rPr>
            </w:pPr>
            <w:r>
              <w:rPr>
                <w:rFonts w:ascii="Arial" w:cs="Arial" w:eastAsia="Arial" w:hAnsi="Arial"/>
                <w:sz w:val="18"/>
                <w:szCs w:val="18"/>
                <w:color w:val="auto"/>
              </w:rPr>
              <w:t>22 Victoria Street</w:t>
            </w:r>
          </w:p>
        </w:tc>
        <w:tc>
          <w:tcPr>
            <w:tcW w:w="3400" w:type="dxa"/>
            <w:vAlign w:val="bottom"/>
            <w:vMerge w:val="continue"/>
          </w:tcPr>
          <w:p>
            <w:pPr>
              <w:spacing w:after="0"/>
              <w:rPr>
                <w:sz w:val="18"/>
                <w:szCs w:val="18"/>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w w:val="88"/>
              </w:rPr>
              <w:t>441 298 3545</w:t>
            </w:r>
          </w:p>
        </w:tc>
        <w:tc>
          <w:tcPr>
            <w:tcW w:w="0" w:type="dxa"/>
            <w:vAlign w:val="bottom"/>
          </w:tcPr>
          <w:p>
            <w:pPr>
              <w:spacing w:after="0"/>
              <w:rPr>
                <w:sz w:val="1"/>
                <w:szCs w:val="1"/>
                <w:color w:val="auto"/>
              </w:rPr>
            </w:pPr>
          </w:p>
        </w:tc>
      </w:tr>
      <w:tr>
        <w:trPr>
          <w:trHeight w:val="216"/>
        </w:trPr>
        <w:tc>
          <w:tcPr>
            <w:tcW w:w="4040" w:type="dxa"/>
            <w:vAlign w:val="bottom"/>
          </w:tcPr>
          <w:p>
            <w:pPr>
              <w:spacing w:after="0"/>
              <w:rPr>
                <w:sz w:val="20"/>
                <w:szCs w:val="20"/>
                <w:color w:val="auto"/>
              </w:rPr>
            </w:pPr>
            <w:r>
              <w:rPr>
                <w:rFonts w:ascii="Arial" w:cs="Arial" w:eastAsia="Arial" w:hAnsi="Arial"/>
                <w:sz w:val="18"/>
                <w:szCs w:val="18"/>
                <w:color w:val="auto"/>
              </w:rPr>
              <w:t>Hamilton HM 12</w:t>
            </w:r>
          </w:p>
        </w:tc>
        <w:tc>
          <w:tcPr>
            <w:tcW w:w="3400" w:type="dxa"/>
            <w:vAlign w:val="bottom"/>
          </w:tcPr>
          <w:p>
            <w:pPr>
              <w:jc w:val="right"/>
              <w:spacing w:after="0"/>
              <w:rPr>
                <w:sz w:val="20"/>
                <w:szCs w:val="20"/>
                <w:color w:val="auto"/>
              </w:rPr>
            </w:pPr>
            <w:r>
              <w:rPr>
                <w:rFonts w:ascii="Arial" w:cs="Arial" w:eastAsia="Arial" w:hAnsi="Arial"/>
                <w:sz w:val="18"/>
                <w:szCs w:val="18"/>
                <w:b w:val="1"/>
                <w:bCs w:val="1"/>
                <w:color w:val="auto"/>
              </w:rPr>
              <w:t xml:space="preserve">Tel </w:t>
            </w:r>
            <w:r>
              <w:rPr>
                <w:rFonts w:ascii="Arial" w:cs="Arial" w:eastAsia="Arial" w:hAnsi="Arial"/>
                <w:sz w:val="18"/>
                <w:szCs w:val="18"/>
                <w:color w:val="auto"/>
              </w:rPr>
              <w:t>+1</w:t>
            </w:r>
          </w:p>
        </w:tc>
        <w:tc>
          <w:tcPr>
            <w:tcW w:w="1000" w:type="dxa"/>
            <w:vAlign w:val="bottom"/>
          </w:tcPr>
          <w:p>
            <w:pPr>
              <w:jc w:val="right"/>
              <w:spacing w:after="0"/>
              <w:rPr>
                <w:sz w:val="20"/>
                <w:szCs w:val="20"/>
                <w:color w:val="auto"/>
              </w:rPr>
            </w:pPr>
            <w:r>
              <w:rPr>
                <w:rFonts w:ascii="Arial" w:cs="Arial" w:eastAsia="Arial" w:hAnsi="Arial"/>
                <w:sz w:val="18"/>
                <w:szCs w:val="18"/>
                <w:color w:val="auto"/>
                <w:w w:val="88"/>
              </w:rPr>
              <w:t>441 295 2244</w:t>
            </w:r>
          </w:p>
        </w:tc>
        <w:tc>
          <w:tcPr>
            <w:tcW w:w="0" w:type="dxa"/>
            <w:vAlign w:val="bottom"/>
          </w:tcPr>
          <w:p>
            <w:pPr>
              <w:spacing w:after="0"/>
              <w:rPr>
                <w:sz w:val="1"/>
                <w:szCs w:val="1"/>
                <w:color w:val="auto"/>
              </w:rPr>
            </w:pPr>
          </w:p>
        </w:tc>
      </w:tr>
      <w:tr>
        <w:trPr>
          <w:trHeight w:val="234"/>
        </w:trPr>
        <w:tc>
          <w:tcPr>
            <w:tcW w:w="4040" w:type="dxa"/>
            <w:vAlign w:val="bottom"/>
          </w:tcPr>
          <w:p>
            <w:pPr>
              <w:spacing w:after="0"/>
              <w:rPr>
                <w:sz w:val="20"/>
                <w:szCs w:val="20"/>
                <w:color w:val="auto"/>
              </w:rPr>
            </w:pPr>
            <w:r>
              <w:rPr>
                <w:rFonts w:ascii="Arial" w:cs="Arial" w:eastAsia="Arial" w:hAnsi="Arial"/>
                <w:sz w:val="18"/>
                <w:szCs w:val="18"/>
                <w:color w:val="auto"/>
              </w:rPr>
              <w:t>Bermuda</w:t>
            </w:r>
          </w:p>
        </w:tc>
        <w:tc>
          <w:tcPr>
            <w:tcW w:w="3400" w:type="dxa"/>
            <w:vAlign w:val="bottom"/>
          </w:tcPr>
          <w:p>
            <w:pPr>
              <w:jc w:val="right"/>
              <w:spacing w:after="0"/>
              <w:rPr>
                <w:sz w:val="20"/>
                <w:szCs w:val="20"/>
                <w:color w:val="auto"/>
              </w:rPr>
            </w:pPr>
            <w:r>
              <w:rPr>
                <w:rFonts w:ascii="Arial" w:cs="Arial" w:eastAsia="Arial" w:hAnsi="Arial"/>
                <w:sz w:val="18"/>
                <w:szCs w:val="18"/>
                <w:b w:val="1"/>
                <w:bCs w:val="1"/>
                <w:color w:val="auto"/>
              </w:rPr>
              <w:t xml:space="preserve">Fax </w:t>
            </w:r>
            <w:r>
              <w:rPr>
                <w:rFonts w:ascii="Arial" w:cs="Arial" w:eastAsia="Arial" w:hAnsi="Arial"/>
                <w:sz w:val="18"/>
                <w:szCs w:val="18"/>
                <w:color w:val="auto"/>
              </w:rPr>
              <w:t>+1</w:t>
            </w:r>
          </w:p>
        </w:tc>
        <w:tc>
          <w:tcPr>
            <w:tcW w:w="1000" w:type="dxa"/>
            <w:vAlign w:val="bottom"/>
          </w:tcPr>
          <w:p>
            <w:pPr>
              <w:jc w:val="right"/>
              <w:spacing w:after="0"/>
              <w:rPr>
                <w:sz w:val="20"/>
                <w:szCs w:val="20"/>
                <w:color w:val="auto"/>
              </w:rPr>
            </w:pPr>
            <w:r>
              <w:rPr>
                <w:rFonts w:ascii="Arial" w:cs="Arial" w:eastAsia="Arial" w:hAnsi="Arial"/>
                <w:sz w:val="18"/>
                <w:szCs w:val="18"/>
                <w:color w:val="auto"/>
                <w:w w:val="88"/>
              </w:rPr>
              <w:t>441 292 8666</w:t>
            </w:r>
          </w:p>
        </w:tc>
        <w:tc>
          <w:tcPr>
            <w:tcW w:w="0" w:type="dxa"/>
            <w:vAlign w:val="bottom"/>
          </w:tcPr>
          <w:p>
            <w:pPr>
              <w:spacing w:after="0"/>
              <w:rPr>
                <w:sz w:val="1"/>
                <w:szCs w:val="1"/>
                <w:color w:val="auto"/>
              </w:rPr>
            </w:pPr>
          </w:p>
        </w:tc>
      </w:tr>
    </w:tbl>
    <w:p>
      <w:pPr>
        <w:spacing w:after="0" w:line="225"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Your Ref</w:t>
      </w:r>
    </w:p>
    <w:p>
      <w:pPr>
        <w:spacing w:after="0" w:line="266"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 xml:space="preserve">Appleby Ref </w:t>
      </w:r>
      <w:r>
        <w:rPr>
          <w:rFonts w:ascii="Arial" w:cs="Arial" w:eastAsia="Arial" w:hAnsi="Arial"/>
          <w:sz w:val="18"/>
          <w:szCs w:val="18"/>
          <w:color w:val="auto"/>
        </w:rPr>
        <w:t>124194.0042/ADF/RM</w:t>
      </w:r>
    </w:p>
    <w:p>
      <w:pPr>
        <w:spacing w:after="0" w:line="270" w:lineRule="exact"/>
        <w:rPr>
          <w:sz w:val="20"/>
          <w:szCs w:val="20"/>
          <w:color w:val="auto"/>
        </w:rPr>
      </w:pPr>
    </w:p>
    <w:p>
      <w:pPr>
        <w:jc w:val="right"/>
        <w:spacing w:after="0"/>
        <w:rPr>
          <w:sz w:val="20"/>
          <w:szCs w:val="20"/>
          <w:color w:val="auto"/>
        </w:rPr>
      </w:pPr>
      <w:r>
        <w:rPr>
          <w:rFonts w:ascii="Arial" w:cs="Arial" w:eastAsia="Arial" w:hAnsi="Arial"/>
          <w:sz w:val="18"/>
          <w:szCs w:val="18"/>
          <w:color w:val="auto"/>
        </w:rPr>
        <w:t>4 June 2015</w:t>
      </w:r>
    </w:p>
    <w:p>
      <w:pPr>
        <w:spacing w:after="0" w:line="200" w:lineRule="exact"/>
        <w:rPr>
          <w:sz w:val="20"/>
          <w:szCs w:val="20"/>
          <w:color w:val="auto"/>
        </w:rPr>
      </w:pPr>
    </w:p>
    <w:p>
      <w:pPr>
        <w:spacing w:after="0" w:line="282" w:lineRule="exact"/>
        <w:rPr>
          <w:sz w:val="20"/>
          <w:szCs w:val="20"/>
          <w:color w:val="auto"/>
        </w:rPr>
      </w:pPr>
    </w:p>
    <w:p>
      <w:pPr>
        <w:spacing w:after="0"/>
        <w:rPr>
          <w:sz w:val="20"/>
          <w:szCs w:val="20"/>
          <w:color w:val="auto"/>
        </w:rPr>
      </w:pPr>
      <w:r>
        <w:rPr>
          <w:rFonts w:ascii="Arial" w:cs="Arial" w:eastAsia="Arial" w:hAnsi="Arial"/>
          <w:sz w:val="18"/>
          <w:szCs w:val="18"/>
          <w:color w:val="auto"/>
        </w:rPr>
        <w:t>Dear Sirs</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MARVELL TECHNOLOGY GROUP LTD. (COMPANY)</w:t>
      </w:r>
    </w:p>
    <w:p>
      <w:pPr>
        <w:spacing w:after="0" w:line="229" w:lineRule="exact"/>
        <w:rPr>
          <w:sz w:val="20"/>
          <w:szCs w:val="20"/>
          <w:color w:val="auto"/>
        </w:rPr>
      </w:pPr>
    </w:p>
    <w:p>
      <w:pPr>
        <w:ind w:right="80"/>
        <w:spacing w:after="0" w:line="276" w:lineRule="auto"/>
        <w:rPr>
          <w:sz w:val="20"/>
          <w:szCs w:val="20"/>
          <w:color w:val="auto"/>
        </w:rPr>
      </w:pPr>
      <w:r>
        <w:rPr>
          <w:rFonts w:ascii="Arial" w:cs="Arial" w:eastAsia="Arial" w:hAnsi="Arial"/>
          <w:sz w:val="17"/>
          <w:szCs w:val="17"/>
          <w:color w:val="auto"/>
        </w:rPr>
        <w:t>We have acted as attorneys in Bermuda for the Company, a Bermuda company, in connection with its filing with the United States Securities and Exchange Commission of a Registration Statement on Form S-8 (</w:t>
      </w:r>
      <w:r>
        <w:rPr>
          <w:rFonts w:ascii="Arial" w:cs="Arial" w:eastAsia="Arial" w:hAnsi="Arial"/>
          <w:sz w:val="17"/>
          <w:szCs w:val="17"/>
          <w:b w:val="1"/>
          <w:bCs w:val="1"/>
          <w:color w:val="auto"/>
        </w:rPr>
        <w:t>Registration</w:t>
      </w:r>
      <w:r>
        <w:rPr>
          <w:rFonts w:ascii="Arial" w:cs="Arial" w:eastAsia="Arial" w:hAnsi="Arial"/>
          <w:sz w:val="17"/>
          <w:szCs w:val="17"/>
          <w:color w:val="auto"/>
        </w:rPr>
        <w:t xml:space="preserve"> </w:t>
      </w:r>
      <w:r>
        <w:rPr>
          <w:rFonts w:ascii="Arial" w:cs="Arial" w:eastAsia="Arial" w:hAnsi="Arial"/>
          <w:sz w:val="17"/>
          <w:szCs w:val="17"/>
          <w:b w:val="1"/>
          <w:bCs w:val="1"/>
          <w:color w:val="auto"/>
        </w:rPr>
        <w:t>Statement</w:t>
      </w:r>
      <w:r>
        <w:rPr>
          <w:rFonts w:ascii="Arial" w:cs="Arial" w:eastAsia="Arial" w:hAnsi="Arial"/>
          <w:sz w:val="17"/>
          <w:szCs w:val="17"/>
          <w:color w:val="auto"/>
        </w:rPr>
        <w:t>) with respect to 7,721,312 of the Company’s common shares, par value US$0.002 per share (</w:t>
      </w:r>
      <w:r>
        <w:rPr>
          <w:rFonts w:ascii="Arial" w:cs="Arial" w:eastAsia="Arial" w:hAnsi="Arial"/>
          <w:sz w:val="17"/>
          <w:szCs w:val="17"/>
          <w:b w:val="1"/>
          <w:bCs w:val="1"/>
          <w:color w:val="auto"/>
        </w:rPr>
        <w:t>Common Shares</w:t>
      </w:r>
      <w:r>
        <w:rPr>
          <w:rFonts w:ascii="Arial" w:cs="Arial" w:eastAsia="Arial" w:hAnsi="Arial"/>
          <w:sz w:val="17"/>
          <w:szCs w:val="17"/>
          <w:color w:val="auto"/>
        </w:rPr>
        <w:t>) to be issued pursuant to the terms of the Marvell Technology Group Ltd. 2000 Employee Stock Purchase</w:t>
      </w:r>
      <w:r>
        <w:rPr>
          <w:rFonts w:ascii="Arial" w:cs="Arial" w:eastAsia="Arial" w:hAnsi="Arial"/>
          <w:sz w:val="17"/>
          <w:szCs w:val="17"/>
          <w:b w:val="1"/>
          <w:bCs w:val="1"/>
          <w:color w:val="auto"/>
        </w:rPr>
        <w:t xml:space="preserve"> </w:t>
      </w:r>
      <w:r>
        <w:rPr>
          <w:rFonts w:ascii="Arial" w:cs="Arial" w:eastAsia="Arial" w:hAnsi="Arial"/>
          <w:sz w:val="17"/>
          <w:szCs w:val="17"/>
          <w:color w:val="auto"/>
        </w:rPr>
        <w:t>Plan (as amended and restated as of October 31, 2011) (</w:t>
      </w:r>
      <w:r>
        <w:rPr>
          <w:rFonts w:ascii="Arial" w:cs="Arial" w:eastAsia="Arial" w:hAnsi="Arial"/>
          <w:sz w:val="17"/>
          <w:szCs w:val="17"/>
          <w:b w:val="1"/>
          <w:bCs w:val="1"/>
          <w:color w:val="auto"/>
        </w:rPr>
        <w:t>Plan</w:t>
      </w:r>
      <w:r>
        <w:rPr>
          <w:rFonts w:ascii="Arial" w:cs="Arial" w:eastAsia="Arial" w:hAnsi="Arial"/>
          <w:sz w:val="17"/>
          <w:szCs w:val="17"/>
          <w:color w:val="auto"/>
        </w:rPr>
        <w:t>).</w:t>
      </w:r>
    </w:p>
    <w:p>
      <w:pPr>
        <w:spacing w:after="0" w:line="173" w:lineRule="exact"/>
        <w:rPr>
          <w:sz w:val="20"/>
          <w:szCs w:val="20"/>
          <w:color w:val="auto"/>
        </w:rPr>
      </w:pPr>
    </w:p>
    <w:p>
      <w:pPr>
        <w:jc w:val="both"/>
        <w:ind w:right="40"/>
        <w:spacing w:after="0" w:line="264" w:lineRule="auto"/>
        <w:rPr>
          <w:sz w:val="20"/>
          <w:szCs w:val="20"/>
          <w:color w:val="auto"/>
        </w:rPr>
      </w:pPr>
      <w:r>
        <w:rPr>
          <w:rFonts w:ascii="Arial" w:cs="Arial" w:eastAsia="Arial" w:hAnsi="Arial"/>
          <w:sz w:val="18"/>
          <w:szCs w:val="18"/>
          <w:color w:val="auto"/>
        </w:rPr>
        <w:t>For the purposes of this opinion we have examined and relied upon the documents listed, and in some cases defined, in the Schedule to this opinion (Documents) together with such other documentation as we have considered requisite to this opinion.</w:t>
      </w:r>
    </w:p>
    <w:p>
      <w:pPr>
        <w:spacing w:after="0" w:line="326" w:lineRule="exact"/>
        <w:rPr>
          <w:sz w:val="20"/>
          <w:szCs w:val="20"/>
          <w:color w:val="auto"/>
        </w:rPr>
      </w:pPr>
    </w:p>
    <w:p>
      <w:pPr>
        <w:ind w:left="460" w:hanging="459"/>
        <w:spacing w:after="0"/>
        <w:tabs>
          <w:tab w:leader="none" w:pos="460" w:val="left"/>
        </w:tabs>
        <w:numPr>
          <w:ilvl w:val="0"/>
          <w:numId w:val="2"/>
        </w:numPr>
        <w:rPr>
          <w:rFonts w:ascii="Arial" w:cs="Arial" w:eastAsia="Arial" w:hAnsi="Arial"/>
          <w:sz w:val="18"/>
          <w:szCs w:val="18"/>
          <w:b w:val="1"/>
          <w:bCs w:val="1"/>
          <w:color w:val="auto"/>
        </w:rPr>
      </w:pPr>
      <w:r>
        <w:rPr>
          <w:rFonts w:ascii="Arial" w:cs="Arial" w:eastAsia="Arial" w:hAnsi="Arial"/>
          <w:sz w:val="18"/>
          <w:szCs w:val="18"/>
          <w:b w:val="1"/>
          <w:bCs w:val="1"/>
          <w:color w:val="auto"/>
        </w:rPr>
        <w:t>ASSUMPTIONS</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In stating our opinion we have assumed:</w:t>
      </w:r>
    </w:p>
    <w:p>
      <w:pPr>
        <w:spacing w:after="0" w:line="131" w:lineRule="exact"/>
        <w:rPr>
          <w:sz w:val="20"/>
          <w:szCs w:val="20"/>
          <w:color w:val="auto"/>
        </w:rPr>
      </w:pPr>
    </w:p>
    <w:p>
      <w:pPr>
        <w:ind w:left="460" w:right="280" w:hanging="458"/>
        <w:spacing w:after="0" w:line="286" w:lineRule="auto"/>
        <w:tabs>
          <w:tab w:leader="none" w:pos="440" w:val="left"/>
        </w:tabs>
        <w:rPr>
          <w:sz w:val="20"/>
          <w:szCs w:val="20"/>
          <w:color w:val="auto"/>
        </w:rPr>
      </w:pPr>
      <w:r>
        <w:rPr>
          <w:rFonts w:ascii="Arial" w:cs="Arial" w:eastAsia="Arial" w:hAnsi="Arial"/>
          <w:sz w:val="18"/>
          <w:szCs w:val="18"/>
          <w:color w:val="auto"/>
        </w:rPr>
        <w:t>1.1</w:t>
      </w:r>
      <w:r>
        <w:rPr>
          <w:sz w:val="20"/>
          <w:szCs w:val="20"/>
          <w:color w:val="auto"/>
        </w:rPr>
        <w:tab/>
      </w:r>
      <w:r>
        <w:rPr>
          <w:rFonts w:ascii="Arial" w:cs="Arial" w:eastAsia="Arial" w:hAnsi="Arial"/>
          <w:sz w:val="17"/>
          <w:szCs w:val="17"/>
          <w:color w:val="auto"/>
        </w:rPr>
        <w:t>the authenticity, accuracy and completeness of all Documents and other documentation examined by us submitted to us as originals and the conformity to authentic original documents of all Documents and other documentation submitted to us as certified, conformed, notarised or photostatic copies;</w:t>
      </w:r>
    </w:p>
    <w:p>
      <w:pPr>
        <w:spacing w:after="0" w:line="71" w:lineRule="exact"/>
        <w:rPr>
          <w:sz w:val="20"/>
          <w:szCs w:val="20"/>
          <w:color w:val="auto"/>
        </w:rPr>
      </w:pPr>
    </w:p>
    <w:p>
      <w:pPr>
        <w:spacing w:after="0"/>
        <w:tabs>
          <w:tab w:leader="none" w:pos="440" w:val="left"/>
        </w:tabs>
        <w:rPr>
          <w:sz w:val="20"/>
          <w:szCs w:val="20"/>
          <w:color w:val="auto"/>
        </w:rPr>
      </w:pPr>
      <w:r>
        <w:rPr>
          <w:rFonts w:ascii="Arial" w:cs="Arial" w:eastAsia="Arial" w:hAnsi="Arial"/>
          <w:sz w:val="18"/>
          <w:szCs w:val="18"/>
          <w:color w:val="auto"/>
        </w:rPr>
        <w:t>1.2</w:t>
      </w:r>
      <w:r>
        <w:rPr>
          <w:sz w:val="20"/>
          <w:szCs w:val="20"/>
          <w:color w:val="auto"/>
        </w:rPr>
        <w:tab/>
      </w:r>
      <w:r>
        <w:rPr>
          <w:rFonts w:ascii="Arial" w:cs="Arial" w:eastAsia="Arial" w:hAnsi="Arial"/>
          <w:sz w:val="16"/>
          <w:szCs w:val="16"/>
          <w:color w:val="auto"/>
        </w:rPr>
        <w:t>the genuineness of all signatures on the Documents;</w:t>
      </w:r>
    </w:p>
    <w:p>
      <w:pPr>
        <w:spacing w:after="0" w:line="131" w:lineRule="exact"/>
        <w:rPr>
          <w:sz w:val="20"/>
          <w:szCs w:val="20"/>
          <w:color w:val="auto"/>
        </w:rPr>
      </w:pPr>
    </w:p>
    <w:p>
      <w:pPr>
        <w:ind w:left="460" w:right="680" w:hanging="458"/>
        <w:spacing w:after="0" w:line="277" w:lineRule="auto"/>
        <w:tabs>
          <w:tab w:leader="none" w:pos="440" w:val="left"/>
        </w:tabs>
        <w:rPr>
          <w:sz w:val="20"/>
          <w:szCs w:val="20"/>
          <w:color w:val="auto"/>
        </w:rPr>
      </w:pPr>
      <w:r>
        <w:rPr>
          <w:rFonts w:ascii="Arial" w:cs="Arial" w:eastAsia="Arial" w:hAnsi="Arial"/>
          <w:sz w:val="18"/>
          <w:szCs w:val="18"/>
          <w:color w:val="auto"/>
        </w:rPr>
        <w:t>1.3</w:t>
        <w:tab/>
        <w:t>that each of the Documents and other such documentation which was received by electronic means is complete, intact and in conformity with the transmission as sent;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Bermuda ¡ British Virgin Islands ¡ Cayman Islands ¡ Guernsey ¡ Hong Kong ¡ Isle of Man ¡</w:t>
      </w:r>
    </w:p>
    <w:p>
      <w:pPr>
        <w:spacing w:after="0" w:line="2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Jersey ¡ London ¡ Mauritius ¡ Seychelles ¡ Shanghai ¡ Zurich</w:t>
      </w:r>
    </w:p>
    <w:p>
      <w:pPr>
        <w:sectPr>
          <w:pgSz w:w="11900" w:h="16838" w:orient="portrait"/>
          <w:cols w:equalWidth="0" w:num="2">
            <w:col w:w="2480" w:space="340"/>
            <w:col w:w="8440"/>
          </w:cols>
          <w:pgMar w:left="280" w:top="175" w:right="359" w:bottom="1440" w:gutter="0" w:footer="0" w:header="0"/>
        </w:sectPr>
      </w:pPr>
    </w:p>
    <w:bookmarkStart w:id="6" w:name="page7"/>
    <w:bookmarkEnd w:id="6"/>
    <w:p>
      <w:pPr>
        <w:ind w:left="2120" w:right="300" w:hanging="458"/>
        <w:spacing w:after="0" w:line="277" w:lineRule="auto"/>
        <w:tabs>
          <w:tab w:leader="none" w:pos="2100" w:val="left"/>
        </w:tabs>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1.4</w:t>
        <w:tab/>
        <w:t>that there are no provisions of the laws or regulations of any jurisdiction other than Bermuda which would have a material effect on any of the opinions herein expressed;</w:t>
      </w:r>
    </w:p>
    <w:p>
      <w:pPr>
        <w:spacing w:after="0" w:line="76" w:lineRule="exact"/>
        <w:rPr>
          <w:sz w:val="20"/>
          <w:szCs w:val="20"/>
          <w:color w:val="auto"/>
        </w:rPr>
      </w:pPr>
    </w:p>
    <w:p>
      <w:pPr>
        <w:ind w:left="2120" w:right="320" w:hanging="458"/>
        <w:spacing w:after="0" w:line="342" w:lineRule="auto"/>
        <w:tabs>
          <w:tab w:leader="none" w:pos="2100" w:val="left"/>
        </w:tabs>
        <w:rPr>
          <w:sz w:val="20"/>
          <w:szCs w:val="20"/>
          <w:color w:val="auto"/>
        </w:rPr>
      </w:pPr>
      <w:r>
        <w:rPr>
          <w:rFonts w:ascii="Arial" w:cs="Arial" w:eastAsia="Arial" w:hAnsi="Arial"/>
          <w:sz w:val="18"/>
          <w:szCs w:val="18"/>
          <w:color w:val="auto"/>
        </w:rPr>
        <w:t>1.5</w:t>
      </w:r>
      <w:r>
        <w:rPr>
          <w:sz w:val="20"/>
          <w:szCs w:val="20"/>
          <w:color w:val="auto"/>
        </w:rPr>
        <w:tab/>
      </w:r>
      <w:r>
        <w:rPr>
          <w:rFonts w:ascii="Arial" w:cs="Arial" w:eastAsia="Arial" w:hAnsi="Arial"/>
          <w:sz w:val="16"/>
          <w:szCs w:val="16"/>
          <w:color w:val="auto"/>
        </w:rPr>
        <w:t>that all representations and factual statements appearing in the Registration Statement, the Plan and the Resolutions, other than as to the laws of Bermuda, are true, accurate and complete in all material respects;</w:t>
      </w:r>
    </w:p>
    <w:p>
      <w:pPr>
        <w:spacing w:after="0" w:line="29" w:lineRule="exact"/>
        <w:rPr>
          <w:sz w:val="20"/>
          <w:szCs w:val="20"/>
          <w:color w:val="auto"/>
        </w:rPr>
      </w:pPr>
    </w:p>
    <w:p>
      <w:pPr>
        <w:ind w:left="2120" w:hanging="458"/>
        <w:spacing w:after="0" w:line="270" w:lineRule="auto"/>
        <w:tabs>
          <w:tab w:leader="none" w:pos="2100" w:val="left"/>
        </w:tabs>
        <w:rPr>
          <w:sz w:val="20"/>
          <w:szCs w:val="20"/>
          <w:color w:val="auto"/>
        </w:rPr>
      </w:pPr>
      <w:r>
        <w:rPr>
          <w:rFonts w:ascii="Arial" w:cs="Arial" w:eastAsia="Arial" w:hAnsi="Arial"/>
          <w:sz w:val="18"/>
          <w:szCs w:val="18"/>
          <w:color w:val="auto"/>
        </w:rPr>
        <w:t>1.6</w:t>
      </w:r>
      <w:r>
        <w:rPr>
          <w:sz w:val="20"/>
          <w:szCs w:val="20"/>
          <w:color w:val="auto"/>
        </w:rPr>
        <w:tab/>
      </w:r>
      <w:r>
        <w:rPr>
          <w:rFonts w:ascii="Arial" w:cs="Arial" w:eastAsia="Arial" w:hAnsi="Arial"/>
          <w:sz w:val="17"/>
          <w:szCs w:val="17"/>
          <w:color w:val="auto"/>
        </w:rPr>
        <w:t>that the Resolutions are in full force and effect and have not been rescinded, either in whole or in part, and accurately record: (i) the resolutions passed by the Board of Directors and Members of the Company in meetings which were duly convened and, at each of which, a duly constituted quorum was present and voting throughout; (ii) resolutions adopted by all the Directors of the Company as unanimous written resolutions of the Board of Directors; and (iii) resolutions adopted by all the Members of the Company as unanimous written resolutions of the Members of the Company; and further that there is no matter affecting the authority of the Directors to effect the issue of the Common Shares by the Company under the terms of the Plan, not disclosed by the Constitutional Documents or the Resolutions, which would have any adverse implication in relation to the opinions expressed herein;</w:t>
      </w:r>
    </w:p>
    <w:p>
      <w:pPr>
        <w:spacing w:after="0" w:line="83" w:lineRule="exact"/>
        <w:rPr>
          <w:sz w:val="20"/>
          <w:szCs w:val="20"/>
          <w:color w:val="auto"/>
        </w:rPr>
      </w:pPr>
    </w:p>
    <w:p>
      <w:pPr>
        <w:ind w:left="2120" w:right="120" w:hanging="458"/>
        <w:spacing w:after="0" w:line="266" w:lineRule="auto"/>
        <w:tabs>
          <w:tab w:leader="none" w:pos="2100" w:val="left"/>
        </w:tabs>
        <w:rPr>
          <w:sz w:val="20"/>
          <w:szCs w:val="20"/>
          <w:color w:val="auto"/>
        </w:rPr>
      </w:pPr>
      <w:r>
        <w:rPr>
          <w:rFonts w:ascii="Arial" w:cs="Arial" w:eastAsia="Arial" w:hAnsi="Arial"/>
          <w:sz w:val="18"/>
          <w:szCs w:val="18"/>
          <w:color w:val="auto"/>
        </w:rPr>
        <w:t>1.7</w:t>
        <w:tab/>
        <w:t xml:space="preserve">that any purchase rights under the Plan relevant to this opinion (each a </w:t>
      </w:r>
      <w:r>
        <w:rPr>
          <w:rFonts w:ascii="Arial" w:cs="Arial" w:eastAsia="Arial" w:hAnsi="Arial"/>
          <w:sz w:val="18"/>
          <w:szCs w:val="18"/>
          <w:b w:val="1"/>
          <w:bCs w:val="1"/>
          <w:color w:val="auto"/>
        </w:rPr>
        <w:t>Purchase Right</w:t>
      </w:r>
      <w:r>
        <w:rPr>
          <w:rFonts w:ascii="Arial" w:cs="Arial" w:eastAsia="Arial" w:hAnsi="Arial"/>
          <w:sz w:val="18"/>
          <w:szCs w:val="18"/>
          <w:color w:val="auto"/>
        </w:rPr>
        <w:t xml:space="preserve"> and collectively, </w:t>
      </w:r>
      <w:r>
        <w:rPr>
          <w:rFonts w:ascii="Arial" w:cs="Arial" w:eastAsia="Arial" w:hAnsi="Arial"/>
          <w:sz w:val="18"/>
          <w:szCs w:val="18"/>
          <w:b w:val="1"/>
          <w:bCs w:val="1"/>
          <w:color w:val="auto"/>
        </w:rPr>
        <w:t>Purchase Rights</w:t>
      </w:r>
      <w:r>
        <w:rPr>
          <w:rFonts w:ascii="Arial" w:cs="Arial" w:eastAsia="Arial" w:hAnsi="Arial"/>
          <w:sz w:val="18"/>
          <w:szCs w:val="18"/>
          <w:color w:val="auto"/>
        </w:rPr>
        <w:t>) will constitute the legal, valid and binding obligations of the parties thereto, other than the</w:t>
      </w:r>
      <w:r>
        <w:rPr>
          <w:rFonts w:ascii="Arial" w:cs="Arial" w:eastAsia="Arial" w:hAnsi="Arial"/>
          <w:sz w:val="18"/>
          <w:szCs w:val="18"/>
          <w:b w:val="1"/>
          <w:bCs w:val="1"/>
          <w:color w:val="auto"/>
        </w:rPr>
        <w:t xml:space="preserve"> </w:t>
      </w:r>
      <w:r>
        <w:rPr>
          <w:rFonts w:ascii="Arial" w:cs="Arial" w:eastAsia="Arial" w:hAnsi="Arial"/>
          <w:sz w:val="18"/>
          <w:szCs w:val="18"/>
          <w:color w:val="auto"/>
        </w:rPr>
        <w:t>Company;</w:t>
      </w:r>
    </w:p>
    <w:p>
      <w:pPr>
        <w:spacing w:after="0" w:line="86" w:lineRule="exact"/>
        <w:rPr>
          <w:sz w:val="20"/>
          <w:szCs w:val="20"/>
          <w:color w:val="auto"/>
        </w:rPr>
      </w:pPr>
    </w:p>
    <w:p>
      <w:pPr>
        <w:ind w:left="2120" w:right="160" w:hanging="458"/>
        <w:spacing w:after="0" w:line="264" w:lineRule="auto"/>
        <w:tabs>
          <w:tab w:leader="none" w:pos="2100" w:val="left"/>
        </w:tabs>
        <w:rPr>
          <w:sz w:val="20"/>
          <w:szCs w:val="20"/>
          <w:color w:val="auto"/>
        </w:rPr>
      </w:pPr>
      <w:r>
        <w:rPr>
          <w:rFonts w:ascii="Arial" w:cs="Arial" w:eastAsia="Arial" w:hAnsi="Arial"/>
          <w:sz w:val="18"/>
          <w:szCs w:val="18"/>
          <w:color w:val="auto"/>
        </w:rPr>
        <w:t>1.8</w:t>
        <w:tab/>
        <w:t>that each Director of the Company, when the Board of Directors of the Company passed the Board Resolutions, discharged his fiduciary duty owed to the Company and acted honestly and in good faith with a view to the best interests of the Company;</w:t>
      </w:r>
    </w:p>
    <w:p>
      <w:pPr>
        <w:spacing w:after="0" w:line="87" w:lineRule="exact"/>
        <w:rPr>
          <w:sz w:val="20"/>
          <w:szCs w:val="20"/>
          <w:color w:val="auto"/>
        </w:rPr>
      </w:pPr>
    </w:p>
    <w:p>
      <w:pPr>
        <w:ind w:left="2120" w:right="180" w:hanging="458"/>
        <w:spacing w:after="0" w:line="264" w:lineRule="auto"/>
        <w:tabs>
          <w:tab w:leader="none" w:pos="2100" w:val="left"/>
        </w:tabs>
        <w:rPr>
          <w:sz w:val="20"/>
          <w:szCs w:val="20"/>
          <w:color w:val="auto"/>
        </w:rPr>
      </w:pPr>
      <w:r>
        <w:rPr>
          <w:rFonts w:ascii="Arial" w:cs="Arial" w:eastAsia="Arial" w:hAnsi="Arial"/>
          <w:sz w:val="18"/>
          <w:szCs w:val="18"/>
          <w:color w:val="auto"/>
        </w:rPr>
        <w:t>1.9</w:t>
        <w:tab/>
        <w:t>that the Company has entered into its obligations under the Plan in good faith for the purpose of carrying on its business and that, at the time it did so, there were reasonable grounds for believing that the transactions contemplated by the Plan would benefit the Company;</w:t>
      </w:r>
    </w:p>
    <w:p>
      <w:pPr>
        <w:spacing w:after="0" w:line="83" w:lineRule="exact"/>
        <w:rPr>
          <w:sz w:val="20"/>
          <w:szCs w:val="20"/>
          <w:color w:val="auto"/>
        </w:rPr>
      </w:pPr>
    </w:p>
    <w:p>
      <w:pPr>
        <w:ind w:left="2120" w:hanging="458"/>
        <w:spacing w:after="0" w:line="277" w:lineRule="auto"/>
        <w:tabs>
          <w:tab w:leader="none" w:pos="2100" w:val="left"/>
        </w:tabs>
        <w:rPr>
          <w:sz w:val="20"/>
          <w:szCs w:val="20"/>
          <w:color w:val="auto"/>
        </w:rPr>
      </w:pPr>
      <w:r>
        <w:rPr>
          <w:rFonts w:ascii="Arial" w:cs="Arial" w:eastAsia="Arial" w:hAnsi="Arial"/>
          <w:sz w:val="18"/>
          <w:szCs w:val="18"/>
          <w:color w:val="auto"/>
        </w:rPr>
        <w:t>1.10</w:t>
      </w:r>
      <w:r>
        <w:rPr>
          <w:sz w:val="20"/>
          <w:szCs w:val="20"/>
          <w:color w:val="auto"/>
        </w:rPr>
        <w:tab/>
      </w:r>
      <w:r>
        <w:rPr>
          <w:rFonts w:ascii="Arial" w:cs="Arial" w:eastAsia="Arial" w:hAnsi="Arial"/>
          <w:sz w:val="17"/>
          <w:szCs w:val="17"/>
          <w:color w:val="auto"/>
        </w:rPr>
        <w:t>that at the time of issue by the Executive Compensation Committee of the Board of Directors (</w:t>
      </w:r>
      <w:r>
        <w:rPr>
          <w:rFonts w:ascii="Arial" w:cs="Arial" w:eastAsia="Arial" w:hAnsi="Arial"/>
          <w:sz w:val="17"/>
          <w:szCs w:val="17"/>
          <w:b w:val="1"/>
          <w:bCs w:val="1"/>
          <w:color w:val="auto"/>
        </w:rPr>
        <w:t>Committee</w:t>
      </w:r>
      <w:r>
        <w:rPr>
          <w:rFonts w:ascii="Arial" w:cs="Arial" w:eastAsia="Arial" w:hAnsi="Arial"/>
          <w:sz w:val="17"/>
          <w:szCs w:val="17"/>
          <w:color w:val="auto"/>
        </w:rPr>
        <w:t>) as the Administrator (as defined in the Plan) of the Plan of any Common Shares pursuant to any Purchase Rights, such Committee was duly constituted and at the date hereof remains a duly constituted committee of the Board of Directors of the Company having the necessary powers and authorities to administer the Plan, accept enrolments and issue Common Shares pursuant to the Plan;</w:t>
      </w:r>
    </w:p>
    <w:p>
      <w:pPr>
        <w:spacing w:after="0" w:line="253" w:lineRule="exact"/>
        <w:rPr>
          <w:sz w:val="20"/>
          <w:szCs w:val="20"/>
          <w:color w:val="auto"/>
        </w:rPr>
      </w:pPr>
    </w:p>
    <w:p>
      <w:pPr>
        <w:jc w:val="center"/>
        <w:ind w:right="1060"/>
        <w:spacing w:after="0"/>
        <w:rPr>
          <w:sz w:val="20"/>
          <w:szCs w:val="20"/>
          <w:color w:val="auto"/>
        </w:rPr>
      </w:pPr>
      <w:r>
        <w:rPr>
          <w:rFonts w:ascii="Arial" w:cs="Arial" w:eastAsia="Arial" w:hAnsi="Arial"/>
          <w:sz w:val="16"/>
          <w:szCs w:val="16"/>
          <w:color w:val="auto"/>
        </w:rPr>
        <w:t>Bermuda ¡ British Virgin Islands ¡ Cayman Islands ¡ Guernsey ¡ Hong Kong ¡ Isle of Man ¡</w:t>
      </w:r>
    </w:p>
    <w:p>
      <w:pPr>
        <w:spacing w:after="0" w:line="46" w:lineRule="exact"/>
        <w:rPr>
          <w:sz w:val="20"/>
          <w:szCs w:val="20"/>
          <w:color w:val="auto"/>
        </w:rPr>
      </w:pPr>
    </w:p>
    <w:p>
      <w:pPr>
        <w:jc w:val="center"/>
        <w:ind w:right="1060"/>
        <w:spacing w:after="0"/>
        <w:rPr>
          <w:sz w:val="20"/>
          <w:szCs w:val="20"/>
          <w:color w:val="auto"/>
        </w:rPr>
      </w:pPr>
      <w:r>
        <w:rPr>
          <w:rFonts w:ascii="Arial" w:cs="Arial" w:eastAsia="Arial" w:hAnsi="Arial"/>
          <w:sz w:val="18"/>
          <w:szCs w:val="18"/>
          <w:color w:val="auto"/>
        </w:rPr>
        <w:t>Jersey ¡ London ¡ Mauritius ¡ Seychelles ¡ Shanghai ¡ Zurich</w:t>
      </w:r>
    </w:p>
    <w:p>
      <w:pPr>
        <w:spacing w:after="0" w:line="200" w:lineRule="exact"/>
        <w:rPr>
          <w:sz w:val="20"/>
          <w:szCs w:val="20"/>
          <w:color w:val="auto"/>
        </w:rPr>
      </w:pPr>
    </w:p>
    <w:p>
      <w:pPr>
        <w:spacing w:after="0" w:line="267" w:lineRule="exact"/>
        <w:rPr>
          <w:sz w:val="20"/>
          <w:szCs w:val="20"/>
          <w:color w:val="auto"/>
        </w:rPr>
      </w:pPr>
    </w:p>
    <w:p>
      <w:pPr>
        <w:ind w:left="4460"/>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0080"/>
          </w:cols>
          <w:pgMar w:left="1440" w:top="328" w:right="379" w:bottom="1440" w:gutter="0" w:footer="0" w:header="0"/>
        </w:sectPr>
      </w:pPr>
    </w:p>
    <w:bookmarkStart w:id="7" w:name="page8"/>
    <w:bookmarkEnd w:id="7"/>
    <w:p>
      <w:pPr>
        <w:ind w:left="2120" w:right="120" w:hanging="458"/>
        <w:spacing w:after="0" w:line="259" w:lineRule="auto"/>
        <w:tabs>
          <w:tab w:leader="none" w:pos="2100" w:val="left"/>
        </w:tabs>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1.11</w:t>
        <w:tab/>
        <w:t>that when the issue of any Common Shares under the Plan is authorised, the issue price will not be less than the par value of the Common Shares and that the Company will have sufficient authorised share capital to effect such issue and will continue to hold the necessary permission from the Bermuda Monetary Authority for such share issue;</w:t>
      </w:r>
    </w:p>
    <w:p>
      <w:pPr>
        <w:spacing w:after="0" w:line="92" w:lineRule="exact"/>
        <w:rPr>
          <w:sz w:val="20"/>
          <w:szCs w:val="20"/>
          <w:color w:val="auto"/>
        </w:rPr>
      </w:pPr>
    </w:p>
    <w:p>
      <w:pPr>
        <w:ind w:left="2120" w:hanging="458"/>
        <w:spacing w:after="0" w:line="259" w:lineRule="auto"/>
        <w:tabs>
          <w:tab w:leader="none" w:pos="2100" w:val="left"/>
        </w:tabs>
        <w:rPr>
          <w:sz w:val="20"/>
          <w:szCs w:val="20"/>
          <w:color w:val="auto"/>
        </w:rPr>
      </w:pPr>
      <w:r>
        <w:rPr>
          <w:rFonts w:ascii="Arial" w:cs="Arial" w:eastAsia="Arial" w:hAnsi="Arial"/>
          <w:sz w:val="18"/>
          <w:szCs w:val="18"/>
          <w:color w:val="auto"/>
        </w:rPr>
        <w:t>1.12</w:t>
        <w:tab/>
        <w:t>that in any case where Common Shares are issued by the Company pursuant to the Plan on the terms of a Purchase Right, the Company will receive prior to the allotment of shares a transfer to it an amount of cash at least equivalent to the aggregate par value of the Common Shares issued to him pursuant to that Purchase Right;</w:t>
      </w:r>
    </w:p>
    <w:p>
      <w:pPr>
        <w:spacing w:after="0" w:line="92" w:lineRule="exact"/>
        <w:rPr>
          <w:sz w:val="20"/>
          <w:szCs w:val="20"/>
          <w:color w:val="auto"/>
        </w:rPr>
      </w:pPr>
    </w:p>
    <w:p>
      <w:pPr>
        <w:ind w:left="2120" w:right="60" w:hanging="458"/>
        <w:spacing w:after="0" w:line="308" w:lineRule="auto"/>
        <w:tabs>
          <w:tab w:leader="none" w:pos="2100" w:val="left"/>
        </w:tabs>
        <w:rPr>
          <w:sz w:val="20"/>
          <w:szCs w:val="20"/>
          <w:color w:val="auto"/>
        </w:rPr>
      </w:pPr>
      <w:r>
        <w:rPr>
          <w:rFonts w:ascii="Arial" w:cs="Arial" w:eastAsia="Arial" w:hAnsi="Arial"/>
          <w:sz w:val="18"/>
          <w:szCs w:val="18"/>
          <w:color w:val="auto"/>
        </w:rPr>
        <w:t>1.13</w:t>
      </w:r>
      <w:r>
        <w:rPr>
          <w:sz w:val="20"/>
          <w:szCs w:val="20"/>
          <w:color w:val="auto"/>
        </w:rPr>
        <w:tab/>
      </w:r>
      <w:r>
        <w:rPr>
          <w:rFonts w:ascii="Arial" w:cs="Arial" w:eastAsia="Arial" w:hAnsi="Arial"/>
          <w:sz w:val="17"/>
          <w:szCs w:val="17"/>
          <w:color w:val="auto"/>
        </w:rPr>
        <w:t>that when filed with the United States Securities and Exchange Commission, the Registration Statement will not differ in any material respect from the electronic copy referred to in paragraph 1 of the Schedule;</w:t>
      </w:r>
    </w:p>
    <w:p>
      <w:pPr>
        <w:spacing w:after="0" w:line="52" w:lineRule="exact"/>
        <w:rPr>
          <w:sz w:val="20"/>
          <w:szCs w:val="20"/>
          <w:color w:val="auto"/>
        </w:rPr>
      </w:pPr>
    </w:p>
    <w:p>
      <w:pPr>
        <w:ind w:left="2120" w:right="80" w:hanging="458"/>
        <w:spacing w:after="0" w:line="312" w:lineRule="auto"/>
        <w:tabs>
          <w:tab w:leader="none" w:pos="2100" w:val="left"/>
        </w:tabs>
        <w:rPr>
          <w:sz w:val="20"/>
          <w:szCs w:val="20"/>
          <w:color w:val="auto"/>
        </w:rPr>
      </w:pPr>
      <w:r>
        <w:rPr>
          <w:rFonts w:ascii="Arial" w:cs="Arial" w:eastAsia="Arial" w:hAnsi="Arial"/>
          <w:sz w:val="18"/>
          <w:szCs w:val="18"/>
          <w:color w:val="auto"/>
        </w:rPr>
        <w:t>1.14</w:t>
      </w:r>
      <w:r>
        <w:rPr>
          <w:sz w:val="20"/>
          <w:szCs w:val="20"/>
          <w:color w:val="auto"/>
        </w:rPr>
        <w:tab/>
      </w:r>
      <w:r>
        <w:rPr>
          <w:rFonts w:ascii="Arial" w:cs="Arial" w:eastAsia="Arial" w:hAnsi="Arial"/>
          <w:sz w:val="16"/>
          <w:szCs w:val="16"/>
          <w:color w:val="auto"/>
        </w:rPr>
        <w:t>that the records which were the subject of the Company Search were complete and accurate at the date and time of such search and disclosed all information which is material for the purposes of this opinion and such information has not since the date and time of the Company Search been materially altered; and</w:t>
      </w:r>
    </w:p>
    <w:p>
      <w:pPr>
        <w:spacing w:after="0" w:line="52" w:lineRule="exact"/>
        <w:rPr>
          <w:sz w:val="20"/>
          <w:szCs w:val="20"/>
          <w:color w:val="auto"/>
        </w:rPr>
      </w:pPr>
    </w:p>
    <w:p>
      <w:pPr>
        <w:ind w:left="2120" w:right="80" w:hanging="458"/>
        <w:spacing w:after="0" w:line="286" w:lineRule="auto"/>
        <w:tabs>
          <w:tab w:leader="none" w:pos="2100" w:val="left"/>
        </w:tabs>
        <w:rPr>
          <w:sz w:val="20"/>
          <w:szCs w:val="20"/>
          <w:color w:val="auto"/>
        </w:rPr>
      </w:pPr>
      <w:r>
        <w:rPr>
          <w:rFonts w:ascii="Arial" w:cs="Arial" w:eastAsia="Arial" w:hAnsi="Arial"/>
          <w:sz w:val="18"/>
          <w:szCs w:val="18"/>
          <w:color w:val="auto"/>
        </w:rPr>
        <w:t>1.15</w:t>
      </w:r>
      <w:r>
        <w:rPr>
          <w:sz w:val="20"/>
          <w:szCs w:val="20"/>
          <w:color w:val="auto"/>
        </w:rPr>
        <w:tab/>
      </w:r>
      <w:r>
        <w:rPr>
          <w:rFonts w:ascii="Arial" w:cs="Arial" w:eastAsia="Arial" w:hAnsi="Arial"/>
          <w:sz w:val="17"/>
          <w:szCs w:val="17"/>
          <w:color w:val="auto"/>
        </w:rPr>
        <w:t>that the records which were the subject of the Litigation Search were complete and accurate at the date and time of such search and disclosed all information which is material for the purposes of this opinion and such information has not since the date and time of the Litigation Search been materially altered.</w:t>
      </w:r>
    </w:p>
    <w:p>
      <w:pPr>
        <w:spacing w:after="0" w:line="310" w:lineRule="exact"/>
        <w:rPr>
          <w:sz w:val="20"/>
          <w:szCs w:val="20"/>
          <w:color w:val="auto"/>
        </w:rPr>
      </w:pPr>
    </w:p>
    <w:p>
      <w:pPr>
        <w:ind w:left="2120" w:hanging="459"/>
        <w:spacing w:after="0"/>
        <w:tabs>
          <w:tab w:leader="none" w:pos="2120" w:val="left"/>
        </w:tabs>
        <w:numPr>
          <w:ilvl w:val="0"/>
          <w:numId w:val="3"/>
        </w:numPr>
        <w:rPr>
          <w:rFonts w:ascii="Arial" w:cs="Arial" w:eastAsia="Arial" w:hAnsi="Arial"/>
          <w:sz w:val="18"/>
          <w:szCs w:val="18"/>
          <w:color w:val="auto"/>
        </w:rPr>
      </w:pPr>
      <w:r>
        <w:rPr>
          <w:rFonts w:ascii="Arial" w:cs="Arial" w:eastAsia="Arial" w:hAnsi="Arial"/>
          <w:sz w:val="18"/>
          <w:szCs w:val="18"/>
          <w:b w:val="1"/>
          <w:bCs w:val="1"/>
          <w:color w:val="auto"/>
        </w:rPr>
        <w:t>OPINION</w:t>
      </w:r>
    </w:p>
    <w:p>
      <w:pPr>
        <w:spacing w:after="0" w:line="121" w:lineRule="exact"/>
        <w:rPr>
          <w:sz w:val="20"/>
          <w:szCs w:val="20"/>
          <w:color w:val="auto"/>
        </w:rPr>
      </w:pPr>
    </w:p>
    <w:p>
      <w:pPr>
        <w:ind w:left="1660" w:right="560"/>
        <w:spacing w:after="0" w:line="277" w:lineRule="auto"/>
        <w:rPr>
          <w:sz w:val="20"/>
          <w:szCs w:val="20"/>
          <w:color w:val="auto"/>
        </w:rPr>
      </w:pPr>
      <w:r>
        <w:rPr>
          <w:rFonts w:ascii="Arial" w:cs="Arial" w:eastAsia="Arial" w:hAnsi="Arial"/>
          <w:sz w:val="18"/>
          <w:szCs w:val="18"/>
          <w:color w:val="auto"/>
        </w:rPr>
        <w:t>Based upon and subject to the foregoing and subject to the reservations set out below and to any matters not disclosed to us, we are of the opinion that:</w:t>
      </w:r>
    </w:p>
    <w:p>
      <w:pPr>
        <w:spacing w:after="0" w:line="76" w:lineRule="exact"/>
        <w:rPr>
          <w:sz w:val="20"/>
          <w:szCs w:val="20"/>
          <w:color w:val="auto"/>
        </w:rPr>
      </w:pPr>
    </w:p>
    <w:p>
      <w:pPr>
        <w:jc w:val="both"/>
        <w:ind w:left="2120" w:hanging="458"/>
        <w:spacing w:after="0" w:line="264" w:lineRule="auto"/>
        <w:tabs>
          <w:tab w:leader="none" w:pos="2100" w:val="left"/>
        </w:tabs>
        <w:rPr>
          <w:sz w:val="20"/>
          <w:szCs w:val="20"/>
          <w:color w:val="auto"/>
        </w:rPr>
      </w:pPr>
      <w:r>
        <w:rPr>
          <w:rFonts w:ascii="Arial" w:cs="Arial" w:eastAsia="Arial" w:hAnsi="Arial"/>
          <w:sz w:val="18"/>
          <w:szCs w:val="18"/>
          <w:color w:val="auto"/>
        </w:rPr>
        <w:t>2.1</w:t>
        <w:tab/>
        <w:t>The Company is an exempted company incorporated with limited liability and is validly existing and in good standing under the laws of Bermuda and has all requisite corporate power and authority to issue the Common Shares.</w:t>
      </w:r>
    </w:p>
    <w:p>
      <w:pPr>
        <w:spacing w:after="0" w:line="87" w:lineRule="exact"/>
        <w:rPr>
          <w:sz w:val="20"/>
          <w:szCs w:val="20"/>
          <w:color w:val="auto"/>
        </w:rPr>
      </w:pPr>
    </w:p>
    <w:p>
      <w:pPr>
        <w:ind w:left="2120" w:right="20" w:hanging="458"/>
        <w:spacing w:after="0" w:line="257" w:lineRule="auto"/>
        <w:tabs>
          <w:tab w:leader="none" w:pos="2100" w:val="left"/>
        </w:tabs>
        <w:rPr>
          <w:sz w:val="20"/>
          <w:szCs w:val="20"/>
          <w:color w:val="auto"/>
        </w:rPr>
      </w:pPr>
      <w:r>
        <w:rPr>
          <w:rFonts w:ascii="Arial" w:cs="Arial" w:eastAsia="Arial" w:hAnsi="Arial"/>
          <w:sz w:val="18"/>
          <w:szCs w:val="18"/>
          <w:color w:val="auto"/>
        </w:rPr>
        <w:t>2.2</w:t>
        <w:tab/>
        <w:t>When issued and paid for pursuant to the Resolutions and the Plan, all necessary corporate action required to be taken by the Company in connection with the issue by the Company of the Common Shares pursuant to Bermuda law will have been taken by or on behalf of the Company, and all necessary approvals of Governmental authorities in Bermuda have been duly obtained for the issue by the Company of the Common Shares.</w:t>
      </w:r>
    </w:p>
    <w:p>
      <w:pPr>
        <w:spacing w:after="0" w:line="269" w:lineRule="exact"/>
        <w:rPr>
          <w:sz w:val="20"/>
          <w:szCs w:val="20"/>
          <w:color w:val="auto"/>
        </w:rPr>
      </w:pPr>
    </w:p>
    <w:p>
      <w:pPr>
        <w:jc w:val="center"/>
        <w:ind w:right="980"/>
        <w:spacing w:after="0"/>
        <w:rPr>
          <w:sz w:val="20"/>
          <w:szCs w:val="20"/>
          <w:color w:val="auto"/>
        </w:rPr>
      </w:pPr>
      <w:r>
        <w:rPr>
          <w:rFonts w:ascii="Arial" w:cs="Arial" w:eastAsia="Arial" w:hAnsi="Arial"/>
          <w:sz w:val="16"/>
          <w:szCs w:val="16"/>
          <w:color w:val="auto"/>
        </w:rPr>
        <w:t>Bermuda ¡ British Virgin Islands ¡ Cayman Islands ¡ Guernsey ¡ Hong Kong ¡ Isle of Man ¡</w:t>
      </w:r>
    </w:p>
    <w:p>
      <w:pPr>
        <w:spacing w:after="0" w:line="46" w:lineRule="exact"/>
        <w:rPr>
          <w:sz w:val="20"/>
          <w:szCs w:val="20"/>
          <w:color w:val="auto"/>
        </w:rPr>
      </w:pPr>
    </w:p>
    <w:p>
      <w:pPr>
        <w:jc w:val="center"/>
        <w:ind w:right="980"/>
        <w:spacing w:after="0"/>
        <w:rPr>
          <w:sz w:val="20"/>
          <w:szCs w:val="20"/>
          <w:color w:val="auto"/>
        </w:rPr>
      </w:pPr>
      <w:r>
        <w:rPr>
          <w:rFonts w:ascii="Arial" w:cs="Arial" w:eastAsia="Arial" w:hAnsi="Arial"/>
          <w:sz w:val="18"/>
          <w:szCs w:val="18"/>
          <w:color w:val="auto"/>
        </w:rPr>
        <w:t>Jersey ¡ London ¡ Mauritius ¡ Seychelles ¡ Shanghai ¡ Zurich</w:t>
      </w:r>
    </w:p>
    <w:p>
      <w:pPr>
        <w:spacing w:after="0" w:line="200" w:lineRule="exact"/>
        <w:rPr>
          <w:sz w:val="20"/>
          <w:szCs w:val="20"/>
          <w:color w:val="auto"/>
        </w:rPr>
      </w:pPr>
    </w:p>
    <w:p>
      <w:pPr>
        <w:spacing w:after="0" w:line="267" w:lineRule="exact"/>
        <w:rPr>
          <w:sz w:val="20"/>
          <w:szCs w:val="20"/>
          <w:color w:val="auto"/>
        </w:rPr>
      </w:pPr>
    </w:p>
    <w:p>
      <w:pPr>
        <w:ind w:left="4460"/>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0000"/>
          </w:cols>
          <w:pgMar w:left="1440" w:top="328" w:right="459" w:bottom="1440" w:gutter="0" w:footer="0" w:header="0"/>
        </w:sectPr>
      </w:pPr>
    </w:p>
    <w:bookmarkStart w:id="8" w:name="page9"/>
    <w:bookmarkEnd w:id="8"/>
    <w:p>
      <w:pPr>
        <w:ind w:left="2120" w:right="120" w:hanging="458"/>
        <w:spacing w:after="0" w:line="286" w:lineRule="auto"/>
        <w:tabs>
          <w:tab w:leader="none" w:pos="2100" w:val="left"/>
        </w:tabs>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2.3</w:t>
      </w:r>
      <w:r>
        <w:rPr>
          <w:sz w:val="20"/>
          <w:szCs w:val="20"/>
          <w:color w:val="auto"/>
        </w:rPr>
        <w:tab/>
      </w:r>
      <w:r>
        <w:rPr>
          <w:rFonts w:ascii="Arial" w:cs="Arial" w:eastAsia="Arial" w:hAnsi="Arial"/>
          <w:sz w:val="17"/>
          <w:szCs w:val="17"/>
          <w:color w:val="auto"/>
        </w:rPr>
        <w:t>When the Common Shares have been issued and paid for pursuant to and in accordance with the terms and conditions referred to or summarized in the applicable Resolutions and the Plan, the Common Shares will be validly issued, fully paid and non-assessable shares in the capital of the Company.</w:t>
      </w:r>
    </w:p>
    <w:p>
      <w:pPr>
        <w:spacing w:after="0" w:line="71" w:lineRule="exact"/>
        <w:rPr>
          <w:sz w:val="20"/>
          <w:szCs w:val="20"/>
          <w:color w:val="auto"/>
        </w:rPr>
      </w:pPr>
    </w:p>
    <w:p>
      <w:pPr>
        <w:ind w:left="2120" w:right="200" w:hanging="458"/>
        <w:spacing w:after="0" w:line="277" w:lineRule="auto"/>
        <w:tabs>
          <w:tab w:leader="none" w:pos="2100" w:val="left"/>
        </w:tabs>
        <w:rPr>
          <w:sz w:val="20"/>
          <w:szCs w:val="20"/>
          <w:color w:val="auto"/>
        </w:rPr>
      </w:pPr>
      <w:r>
        <w:rPr>
          <w:rFonts w:ascii="Arial" w:cs="Arial" w:eastAsia="Arial" w:hAnsi="Arial"/>
          <w:sz w:val="18"/>
          <w:szCs w:val="18"/>
          <w:color w:val="auto"/>
        </w:rPr>
        <w:t>2.4</w:t>
        <w:tab/>
        <w:t>There are no taxes, duties or other charges payable to or chargeable by the Government of Bermuda, or any authority or agency thereof, in respect of the issue of the Common Shares.</w:t>
      </w:r>
    </w:p>
    <w:p>
      <w:pPr>
        <w:spacing w:after="0" w:line="315" w:lineRule="exact"/>
        <w:rPr>
          <w:sz w:val="20"/>
          <w:szCs w:val="20"/>
          <w:color w:val="auto"/>
        </w:rPr>
      </w:pPr>
    </w:p>
    <w:p>
      <w:pPr>
        <w:ind w:left="2120" w:hanging="459"/>
        <w:spacing w:after="0"/>
        <w:tabs>
          <w:tab w:leader="none" w:pos="2120" w:val="left"/>
        </w:tabs>
        <w:numPr>
          <w:ilvl w:val="0"/>
          <w:numId w:val="4"/>
        </w:numPr>
        <w:rPr>
          <w:rFonts w:ascii="Arial" w:cs="Arial" w:eastAsia="Arial" w:hAnsi="Arial"/>
          <w:sz w:val="18"/>
          <w:szCs w:val="18"/>
          <w:color w:val="auto"/>
        </w:rPr>
      </w:pPr>
      <w:r>
        <w:rPr>
          <w:rFonts w:ascii="Arial" w:cs="Arial" w:eastAsia="Arial" w:hAnsi="Arial"/>
          <w:sz w:val="18"/>
          <w:szCs w:val="18"/>
          <w:b w:val="1"/>
          <w:bCs w:val="1"/>
          <w:color w:val="auto"/>
        </w:rPr>
        <w:t>RESERVATIONS</w:t>
      </w:r>
    </w:p>
    <w:p>
      <w:pPr>
        <w:spacing w:after="0" w:line="121" w:lineRule="exact"/>
        <w:rPr>
          <w:sz w:val="20"/>
          <w:szCs w:val="20"/>
          <w:color w:val="auto"/>
        </w:rPr>
      </w:pPr>
    </w:p>
    <w:p>
      <w:pPr>
        <w:ind w:left="1660"/>
        <w:spacing w:after="0"/>
        <w:rPr>
          <w:sz w:val="20"/>
          <w:szCs w:val="20"/>
          <w:color w:val="auto"/>
        </w:rPr>
      </w:pPr>
      <w:r>
        <w:rPr>
          <w:rFonts w:ascii="Arial" w:cs="Arial" w:eastAsia="Arial" w:hAnsi="Arial"/>
          <w:sz w:val="18"/>
          <w:szCs w:val="18"/>
          <w:color w:val="auto"/>
        </w:rPr>
        <w:t>We have the following reservations:</w:t>
      </w:r>
    </w:p>
    <w:p>
      <w:pPr>
        <w:spacing w:after="0" w:line="131" w:lineRule="exact"/>
        <w:rPr>
          <w:sz w:val="20"/>
          <w:szCs w:val="20"/>
          <w:color w:val="auto"/>
        </w:rPr>
      </w:pPr>
    </w:p>
    <w:p>
      <w:pPr>
        <w:ind w:left="2120" w:right="100" w:hanging="458"/>
        <w:spacing w:after="0" w:line="286" w:lineRule="auto"/>
        <w:tabs>
          <w:tab w:leader="none" w:pos="2100" w:val="left"/>
        </w:tabs>
        <w:rPr>
          <w:sz w:val="20"/>
          <w:szCs w:val="20"/>
          <w:color w:val="auto"/>
        </w:rPr>
      </w:pPr>
      <w:r>
        <w:rPr>
          <w:rFonts w:ascii="Arial" w:cs="Arial" w:eastAsia="Arial" w:hAnsi="Arial"/>
          <w:sz w:val="18"/>
          <w:szCs w:val="18"/>
          <w:color w:val="auto"/>
        </w:rPr>
        <w:t>3.1</w:t>
      </w:r>
      <w:r>
        <w:rPr>
          <w:sz w:val="20"/>
          <w:szCs w:val="20"/>
          <w:color w:val="auto"/>
        </w:rPr>
        <w:tab/>
      </w:r>
      <w:r>
        <w:rPr>
          <w:rFonts w:ascii="Arial" w:cs="Arial" w:eastAsia="Arial" w:hAnsi="Arial"/>
          <w:sz w:val="17"/>
          <w:szCs w:val="17"/>
          <w:color w:val="auto"/>
        </w:rPr>
        <w:t>We express no opinion as to any law other than Bermuda law and none of the opinions expressed herein relates to compliance with or matters governed by the laws of any jurisdiction except Bermuda. This opinion is limited to Bermuda law as applied by the courts of Bermuda at the date hereof.</w:t>
      </w:r>
    </w:p>
    <w:p>
      <w:pPr>
        <w:spacing w:after="0" w:line="71" w:lineRule="exact"/>
        <w:rPr>
          <w:sz w:val="20"/>
          <w:szCs w:val="20"/>
          <w:color w:val="auto"/>
        </w:rPr>
      </w:pPr>
    </w:p>
    <w:p>
      <w:pPr>
        <w:ind w:left="2120" w:right="120" w:hanging="458"/>
        <w:spacing w:after="0" w:line="255" w:lineRule="auto"/>
        <w:tabs>
          <w:tab w:leader="none" w:pos="2100" w:val="left"/>
        </w:tabs>
        <w:rPr>
          <w:sz w:val="20"/>
          <w:szCs w:val="20"/>
          <w:color w:val="auto"/>
        </w:rPr>
      </w:pPr>
      <w:r>
        <w:rPr>
          <w:rFonts w:ascii="Arial" w:cs="Arial" w:eastAsia="Arial" w:hAnsi="Arial"/>
          <w:sz w:val="18"/>
          <w:szCs w:val="18"/>
          <w:color w:val="auto"/>
        </w:rPr>
        <w:t>3.2</w:t>
        <w:tab/>
        <w:t>Any reference in this opinion to Common Shares being “non-assessable” shall mean, in relation to fully paid shares of the Company and subject to any contrary provision in any agreement in writing between the Company and the holder of such Common Shares, that no shareholder shall be bound by an alteration to the Memorandum of Association or Bye-laws of the Company after the date on which he or she became a shareholder, if and so far as the alteration requires him or her to take, or subscribe for additional shares, or in any way increases his or her liability to contribute to the share capital of, or otherwise to pay money to, the Company.</w:t>
      </w:r>
    </w:p>
    <w:p>
      <w:pPr>
        <w:spacing w:after="0" w:line="95" w:lineRule="exact"/>
        <w:rPr>
          <w:sz w:val="20"/>
          <w:szCs w:val="20"/>
          <w:color w:val="auto"/>
        </w:rPr>
      </w:pPr>
    </w:p>
    <w:p>
      <w:pPr>
        <w:ind w:left="2120" w:right="220" w:hanging="458"/>
        <w:spacing w:after="0" w:line="277" w:lineRule="auto"/>
        <w:tabs>
          <w:tab w:leader="none" w:pos="2100" w:val="left"/>
        </w:tabs>
        <w:rPr>
          <w:sz w:val="20"/>
          <w:szCs w:val="20"/>
          <w:color w:val="auto"/>
        </w:rPr>
      </w:pPr>
      <w:r>
        <w:rPr>
          <w:rFonts w:ascii="Arial" w:cs="Arial" w:eastAsia="Arial" w:hAnsi="Arial"/>
          <w:sz w:val="18"/>
          <w:szCs w:val="18"/>
          <w:color w:val="auto"/>
        </w:rPr>
        <w:t>3.3</w:t>
        <w:tab/>
        <w:t>Searches of the Register of Companies at the office of the Registrar of Companies are not conclusive and it should be noted that the Register of Companies does not reveal:</w:t>
      </w:r>
    </w:p>
    <w:p>
      <w:pPr>
        <w:spacing w:after="0" w:line="76" w:lineRule="exact"/>
        <w:rPr>
          <w:sz w:val="20"/>
          <w:szCs w:val="20"/>
          <w:color w:val="auto"/>
        </w:rPr>
      </w:pPr>
    </w:p>
    <w:p>
      <w:pPr>
        <w:jc w:val="both"/>
        <w:ind w:left="2580" w:hanging="458"/>
        <w:spacing w:after="0" w:line="279" w:lineRule="auto"/>
        <w:rPr>
          <w:sz w:val="20"/>
          <w:szCs w:val="20"/>
          <w:color w:val="auto"/>
        </w:rPr>
      </w:pPr>
      <w:r>
        <w:rPr>
          <w:rFonts w:ascii="Arial" w:cs="Arial" w:eastAsia="Arial" w:hAnsi="Arial"/>
          <w:sz w:val="17"/>
          <w:szCs w:val="17"/>
          <w:color w:val="auto"/>
        </w:rPr>
        <w:t>3.3.1 details of matters which have been lodged for filing or registration which as a matter of general practice of the Registrar of Companies would have or should have been disclosed on the public file but have not actually been registered or to the extent that they have been registered have not been disclosed or do not appear in the public records at the date and time the search is concluded; or</w:t>
      </w:r>
    </w:p>
    <w:p>
      <w:pPr>
        <w:spacing w:after="0" w:line="77" w:lineRule="exact"/>
        <w:rPr>
          <w:sz w:val="20"/>
          <w:szCs w:val="20"/>
          <w:color w:val="auto"/>
        </w:rPr>
      </w:pPr>
    </w:p>
    <w:p>
      <w:pPr>
        <w:ind w:left="2580" w:right="700" w:hanging="458"/>
        <w:spacing w:after="0" w:line="277" w:lineRule="auto"/>
        <w:rPr>
          <w:sz w:val="20"/>
          <w:szCs w:val="20"/>
          <w:color w:val="auto"/>
        </w:rPr>
      </w:pPr>
      <w:r>
        <w:rPr>
          <w:rFonts w:ascii="Arial" w:cs="Arial" w:eastAsia="Arial" w:hAnsi="Arial"/>
          <w:sz w:val="18"/>
          <w:szCs w:val="18"/>
          <w:color w:val="auto"/>
        </w:rPr>
        <w:t>3.3.2 details of matters which should have been lodged for registration but have not been lodged for registration at the date the search is concluded.</w:t>
      </w:r>
    </w:p>
    <w:p>
      <w:pPr>
        <w:spacing w:after="0" w:line="251" w:lineRule="exact"/>
        <w:rPr>
          <w:sz w:val="20"/>
          <w:szCs w:val="20"/>
          <w:color w:val="auto"/>
        </w:rPr>
      </w:pPr>
    </w:p>
    <w:p>
      <w:pPr>
        <w:jc w:val="center"/>
        <w:ind w:right="1040"/>
        <w:spacing w:after="0"/>
        <w:rPr>
          <w:sz w:val="20"/>
          <w:szCs w:val="20"/>
          <w:color w:val="auto"/>
        </w:rPr>
      </w:pPr>
      <w:r>
        <w:rPr>
          <w:rFonts w:ascii="Arial" w:cs="Arial" w:eastAsia="Arial" w:hAnsi="Arial"/>
          <w:sz w:val="16"/>
          <w:szCs w:val="16"/>
          <w:color w:val="auto"/>
        </w:rPr>
        <w:t>Bermuda ¡ British Virgin Islands ¡ Cayman Islands ¡ Guernsey ¡ Hong Kong ¡ Isle of Man ¡</w:t>
      </w:r>
    </w:p>
    <w:p>
      <w:pPr>
        <w:spacing w:after="0" w:line="46" w:lineRule="exact"/>
        <w:rPr>
          <w:sz w:val="20"/>
          <w:szCs w:val="20"/>
          <w:color w:val="auto"/>
        </w:rPr>
      </w:pPr>
    </w:p>
    <w:p>
      <w:pPr>
        <w:jc w:val="center"/>
        <w:ind w:right="1040"/>
        <w:spacing w:after="0"/>
        <w:rPr>
          <w:sz w:val="20"/>
          <w:szCs w:val="20"/>
          <w:color w:val="auto"/>
        </w:rPr>
      </w:pPr>
      <w:r>
        <w:rPr>
          <w:rFonts w:ascii="Arial" w:cs="Arial" w:eastAsia="Arial" w:hAnsi="Arial"/>
          <w:sz w:val="18"/>
          <w:szCs w:val="18"/>
          <w:color w:val="auto"/>
        </w:rPr>
        <w:t>Jersey ¡ London ¡ Mauritius ¡ Seychelles ¡ Shanghai ¡ Zurich</w:t>
      </w:r>
    </w:p>
    <w:p>
      <w:pPr>
        <w:spacing w:after="0" w:line="200" w:lineRule="exact"/>
        <w:rPr>
          <w:sz w:val="20"/>
          <w:szCs w:val="20"/>
          <w:color w:val="auto"/>
        </w:rPr>
      </w:pPr>
    </w:p>
    <w:p>
      <w:pPr>
        <w:spacing w:after="0" w:line="267" w:lineRule="exact"/>
        <w:rPr>
          <w:sz w:val="20"/>
          <w:szCs w:val="20"/>
          <w:color w:val="auto"/>
        </w:rPr>
      </w:pPr>
    </w:p>
    <w:p>
      <w:pPr>
        <w:ind w:left="4460"/>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0060"/>
          </w:cols>
          <w:pgMar w:left="1440" w:top="328" w:right="399" w:bottom="1440" w:gutter="0" w:footer="0" w:header="0"/>
        </w:sectPr>
      </w:pPr>
    </w:p>
    <w:bookmarkStart w:id="9" w:name="page10"/>
    <w:bookmarkEnd w:id="9"/>
    <w:p>
      <w:pPr>
        <w:ind w:left="2120" w:right="380" w:hanging="458"/>
        <w:spacing w:after="0" w:line="264" w:lineRule="auto"/>
        <w:tabs>
          <w:tab w:leader="none" w:pos="2100" w:val="left"/>
        </w:tabs>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3.4</w:t>
        <w:tab/>
        <w:t>In order to issue this opinion we have carried out the Searches as referred to in paragraphs 5 and 6 of the Schedule and have not enquired as to whether there has been any change since the date and time of the Searches.</w:t>
      </w:r>
    </w:p>
    <w:p>
      <w:pPr>
        <w:spacing w:after="0" w:line="87" w:lineRule="exact"/>
        <w:rPr>
          <w:sz w:val="20"/>
          <w:szCs w:val="20"/>
          <w:color w:val="auto"/>
        </w:rPr>
      </w:pPr>
    </w:p>
    <w:p>
      <w:pPr>
        <w:ind w:left="2120" w:right="80" w:hanging="458"/>
        <w:spacing w:after="0" w:line="277" w:lineRule="auto"/>
        <w:tabs>
          <w:tab w:leader="none" w:pos="2100" w:val="left"/>
        </w:tabs>
        <w:rPr>
          <w:sz w:val="20"/>
          <w:szCs w:val="20"/>
          <w:color w:val="auto"/>
        </w:rPr>
      </w:pPr>
      <w:r>
        <w:rPr>
          <w:rFonts w:ascii="Arial" w:cs="Arial" w:eastAsia="Arial" w:hAnsi="Arial"/>
          <w:sz w:val="18"/>
          <w:szCs w:val="18"/>
          <w:color w:val="auto"/>
        </w:rPr>
        <w:t>3.5</w:t>
        <w:tab/>
        <w:t>In opinion paragraph 2.1 above the term “good standing” means that the Company has received a Certificate of Compliance issued by the Registrar of Companies.</w:t>
      </w:r>
    </w:p>
    <w:p>
      <w:pPr>
        <w:spacing w:after="0" w:line="315" w:lineRule="exact"/>
        <w:rPr>
          <w:sz w:val="20"/>
          <w:szCs w:val="20"/>
          <w:color w:val="auto"/>
        </w:rPr>
      </w:pPr>
    </w:p>
    <w:p>
      <w:pPr>
        <w:ind w:left="2120" w:hanging="459"/>
        <w:spacing w:after="0"/>
        <w:tabs>
          <w:tab w:leader="none" w:pos="2120" w:val="left"/>
        </w:tabs>
        <w:numPr>
          <w:ilvl w:val="0"/>
          <w:numId w:val="5"/>
        </w:numPr>
        <w:rPr>
          <w:rFonts w:ascii="Arial" w:cs="Arial" w:eastAsia="Arial" w:hAnsi="Arial"/>
          <w:sz w:val="18"/>
          <w:szCs w:val="18"/>
          <w:color w:val="auto"/>
        </w:rPr>
      </w:pPr>
      <w:r>
        <w:rPr>
          <w:rFonts w:ascii="Arial" w:cs="Arial" w:eastAsia="Arial" w:hAnsi="Arial"/>
          <w:sz w:val="18"/>
          <w:szCs w:val="18"/>
          <w:b w:val="1"/>
          <w:bCs w:val="1"/>
          <w:color w:val="auto"/>
        </w:rPr>
        <w:t>DISCLOSURE</w:t>
      </w:r>
    </w:p>
    <w:p>
      <w:pPr>
        <w:spacing w:after="0" w:line="121" w:lineRule="exact"/>
        <w:rPr>
          <w:sz w:val="20"/>
          <w:szCs w:val="20"/>
          <w:color w:val="auto"/>
        </w:rPr>
      </w:pPr>
    </w:p>
    <w:p>
      <w:pPr>
        <w:ind w:left="1660"/>
        <w:spacing w:after="0" w:line="257" w:lineRule="auto"/>
        <w:rPr>
          <w:sz w:val="20"/>
          <w:szCs w:val="20"/>
          <w:color w:val="auto"/>
        </w:rPr>
      </w:pPr>
      <w:r>
        <w:rPr>
          <w:rFonts w:ascii="Arial" w:cs="Arial" w:eastAsia="Arial" w:hAnsi="Arial"/>
          <w:sz w:val="18"/>
          <w:szCs w:val="18"/>
          <w:color w:val="auto"/>
        </w:rPr>
        <w:t>This opinion is addressed to you in connection with the registration of the Common Shares with the United States Securities and Exchange Commission. Further, this opinion speaks as of its date and is strictly limited to the matters stated herein and we assume no obligation to review or update this opinion if applicable law or the existing facts or circumstances should change. We hereby consent to the inclusion of the opinion as an exhibit to the Registration Statement.</w:t>
      </w:r>
    </w:p>
    <w:p>
      <w:pPr>
        <w:spacing w:after="0" w:line="188" w:lineRule="exact"/>
        <w:rPr>
          <w:sz w:val="20"/>
          <w:szCs w:val="20"/>
          <w:color w:val="auto"/>
        </w:rPr>
      </w:pPr>
    </w:p>
    <w:p>
      <w:pPr>
        <w:ind w:left="1660" w:right="160"/>
        <w:spacing w:after="0" w:line="308" w:lineRule="auto"/>
        <w:rPr>
          <w:sz w:val="20"/>
          <w:szCs w:val="20"/>
          <w:color w:val="auto"/>
        </w:rPr>
      </w:pPr>
      <w:r>
        <w:rPr>
          <w:rFonts w:ascii="Arial" w:cs="Arial" w:eastAsia="Arial" w:hAnsi="Arial"/>
          <w:sz w:val="17"/>
          <w:szCs w:val="17"/>
          <w:color w:val="auto"/>
        </w:rPr>
        <w:t>This opinion is governed by and is to be construed in accordance with Bermuda law. It is given on the basis that it will not give rise to any legal proceedings with respect thereto in any jurisdiction other than Bermuda.</w:t>
      </w:r>
    </w:p>
    <w:p>
      <w:pPr>
        <w:spacing w:after="0" w:line="147" w:lineRule="exact"/>
        <w:rPr>
          <w:sz w:val="20"/>
          <w:szCs w:val="20"/>
          <w:color w:val="auto"/>
        </w:rPr>
      </w:pPr>
    </w:p>
    <w:p>
      <w:pPr>
        <w:ind w:left="1660"/>
        <w:spacing w:after="0"/>
        <w:rPr>
          <w:sz w:val="20"/>
          <w:szCs w:val="20"/>
          <w:color w:val="auto"/>
        </w:rPr>
      </w:pPr>
      <w:r>
        <w:rPr>
          <w:rFonts w:ascii="Arial" w:cs="Arial" w:eastAsia="Arial" w:hAnsi="Arial"/>
          <w:sz w:val="18"/>
          <w:szCs w:val="18"/>
          <w:color w:val="auto"/>
        </w:rPr>
        <w:t>Yours faithfully</w:t>
      </w:r>
    </w:p>
    <w:p>
      <w:pPr>
        <w:spacing w:after="0" w:line="225" w:lineRule="exact"/>
        <w:rPr>
          <w:sz w:val="20"/>
          <w:szCs w:val="20"/>
          <w:color w:val="auto"/>
        </w:rPr>
      </w:pPr>
    </w:p>
    <w:p>
      <w:pPr>
        <w:ind w:left="1660"/>
        <w:spacing w:after="0"/>
        <w:rPr>
          <w:sz w:val="20"/>
          <w:szCs w:val="20"/>
          <w:color w:val="auto"/>
        </w:rPr>
      </w:pPr>
      <w:r>
        <w:rPr>
          <w:rFonts w:ascii="Arial" w:cs="Arial" w:eastAsia="Arial" w:hAnsi="Arial"/>
          <w:sz w:val="18"/>
          <w:szCs w:val="18"/>
          <w:color w:val="auto"/>
        </w:rPr>
        <w:t>/s/ Appleby (Bermuda) Limited</w:t>
      </w:r>
    </w:p>
    <w:p>
      <w:pPr>
        <w:spacing w:after="0" w:line="221" w:lineRule="exact"/>
        <w:rPr>
          <w:sz w:val="20"/>
          <w:szCs w:val="20"/>
          <w:color w:val="auto"/>
        </w:rPr>
      </w:pPr>
    </w:p>
    <w:p>
      <w:pPr>
        <w:ind w:left="1660"/>
        <w:spacing w:after="0"/>
        <w:rPr>
          <w:sz w:val="20"/>
          <w:szCs w:val="20"/>
          <w:color w:val="auto"/>
        </w:rPr>
      </w:pPr>
      <w:r>
        <w:rPr>
          <w:rFonts w:ascii="Arial" w:cs="Arial" w:eastAsia="Arial" w:hAnsi="Arial"/>
          <w:sz w:val="18"/>
          <w:szCs w:val="18"/>
          <w:b w:val="1"/>
          <w:bCs w:val="1"/>
          <w:color w:val="auto"/>
        </w:rPr>
        <w:t>Appleby (Bermuda) Limited</w:t>
      </w:r>
    </w:p>
    <w:p>
      <w:pPr>
        <w:spacing w:after="0" w:line="310" w:lineRule="exact"/>
        <w:rPr>
          <w:sz w:val="20"/>
          <w:szCs w:val="20"/>
          <w:color w:val="auto"/>
        </w:rPr>
      </w:pPr>
    </w:p>
    <w:p>
      <w:pPr>
        <w:jc w:val="center"/>
        <w:ind w:right="1000"/>
        <w:spacing w:after="0"/>
        <w:rPr>
          <w:sz w:val="20"/>
          <w:szCs w:val="20"/>
          <w:color w:val="auto"/>
        </w:rPr>
      </w:pPr>
      <w:r>
        <w:rPr>
          <w:rFonts w:ascii="Arial" w:cs="Arial" w:eastAsia="Arial" w:hAnsi="Arial"/>
          <w:sz w:val="16"/>
          <w:szCs w:val="16"/>
          <w:color w:val="auto"/>
        </w:rPr>
        <w:t>Bermuda ¡ British Virgin Islands ¡ Cayman Islands ¡ Guernsey ¡ Hong Kong ¡ Isle of Man ¡</w:t>
      </w:r>
    </w:p>
    <w:p>
      <w:pPr>
        <w:spacing w:after="0" w:line="46" w:lineRule="exact"/>
        <w:rPr>
          <w:sz w:val="20"/>
          <w:szCs w:val="20"/>
          <w:color w:val="auto"/>
        </w:rPr>
      </w:pPr>
    </w:p>
    <w:p>
      <w:pPr>
        <w:jc w:val="center"/>
        <w:ind w:right="1000"/>
        <w:spacing w:after="0"/>
        <w:rPr>
          <w:sz w:val="20"/>
          <w:szCs w:val="20"/>
          <w:color w:val="auto"/>
        </w:rPr>
      </w:pPr>
      <w:r>
        <w:rPr>
          <w:rFonts w:ascii="Arial" w:cs="Arial" w:eastAsia="Arial" w:hAnsi="Arial"/>
          <w:sz w:val="18"/>
          <w:szCs w:val="18"/>
          <w:color w:val="auto"/>
        </w:rPr>
        <w:t>Jersey ¡ London ¡ Mauritius ¡ Seychelles ¡ Shanghai ¡ Zurich</w:t>
      </w:r>
    </w:p>
    <w:p>
      <w:pPr>
        <w:spacing w:after="0" w:line="200" w:lineRule="exact"/>
        <w:rPr>
          <w:sz w:val="20"/>
          <w:szCs w:val="20"/>
          <w:color w:val="auto"/>
        </w:rPr>
      </w:pPr>
    </w:p>
    <w:p>
      <w:pPr>
        <w:spacing w:after="0" w:line="267" w:lineRule="exact"/>
        <w:rPr>
          <w:sz w:val="20"/>
          <w:szCs w:val="20"/>
          <w:color w:val="auto"/>
        </w:rPr>
      </w:pPr>
    </w:p>
    <w:p>
      <w:pPr>
        <w:ind w:left="4460"/>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0020"/>
          </w:cols>
          <w:pgMar w:left="1440" w:top="328" w:right="439" w:bottom="1440" w:gutter="0" w:footer="0" w:header="0"/>
        </w:sectPr>
      </w:pPr>
    </w:p>
    <w:bookmarkStart w:id="10" w:name="page11"/>
    <w:bookmarkEnd w:id="10"/>
    <w:p>
      <w:pPr>
        <w:ind w:left="538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SCHEDULE</w:t>
      </w:r>
    </w:p>
    <w:p>
      <w:pPr>
        <w:spacing w:after="0" w:line="256" w:lineRule="exact"/>
        <w:rPr>
          <w:sz w:val="20"/>
          <w:szCs w:val="20"/>
          <w:color w:val="auto"/>
        </w:rPr>
      </w:pPr>
    </w:p>
    <w:p>
      <w:pPr>
        <w:ind w:left="2120" w:right="20" w:hanging="459"/>
        <w:spacing w:after="0" w:line="277" w:lineRule="auto"/>
        <w:tabs>
          <w:tab w:leader="none" w:pos="2120" w:val="left"/>
        </w:tabs>
        <w:numPr>
          <w:ilvl w:val="0"/>
          <w:numId w:val="6"/>
        </w:numPr>
        <w:rPr>
          <w:rFonts w:ascii="Arial" w:cs="Arial" w:eastAsia="Arial" w:hAnsi="Arial"/>
          <w:sz w:val="18"/>
          <w:szCs w:val="18"/>
          <w:color w:val="auto"/>
        </w:rPr>
      </w:pPr>
      <w:r>
        <w:rPr>
          <w:rFonts w:ascii="Arial" w:cs="Arial" w:eastAsia="Arial" w:hAnsi="Arial"/>
          <w:sz w:val="18"/>
          <w:szCs w:val="18"/>
          <w:color w:val="auto"/>
        </w:rPr>
        <w:t>An electronic copy of the Form S-8 Registration Statement received on 25 March 2015 (excluding the exhibits and excluding the documents incorporated by reference).</w:t>
      </w:r>
    </w:p>
    <w:p>
      <w:pPr>
        <w:spacing w:after="0" w:line="75" w:lineRule="exact"/>
        <w:rPr>
          <w:rFonts w:ascii="Arial" w:cs="Arial" w:eastAsia="Arial" w:hAnsi="Arial"/>
          <w:sz w:val="18"/>
          <w:szCs w:val="18"/>
          <w:color w:val="auto"/>
        </w:rPr>
      </w:pPr>
    </w:p>
    <w:p>
      <w:pPr>
        <w:ind w:left="2120" w:right="160" w:hanging="459"/>
        <w:spacing w:after="0" w:line="277" w:lineRule="auto"/>
        <w:tabs>
          <w:tab w:leader="none" w:pos="2120" w:val="left"/>
        </w:tabs>
        <w:numPr>
          <w:ilvl w:val="0"/>
          <w:numId w:val="6"/>
        </w:numPr>
        <w:rPr>
          <w:rFonts w:ascii="Arial" w:cs="Arial" w:eastAsia="Arial" w:hAnsi="Arial"/>
          <w:sz w:val="18"/>
          <w:szCs w:val="18"/>
          <w:color w:val="auto"/>
        </w:rPr>
      </w:pPr>
      <w:r>
        <w:rPr>
          <w:rFonts w:ascii="Arial" w:cs="Arial" w:eastAsia="Arial" w:hAnsi="Arial"/>
          <w:sz w:val="18"/>
          <w:szCs w:val="18"/>
          <w:color w:val="auto"/>
        </w:rPr>
        <w:t>An electronic copy of the Marvell Technology Group Ltd. 2000 Employee Stock Purchase Plan (as amended and restated as of 31 October 2011).</w:t>
      </w:r>
    </w:p>
    <w:p>
      <w:pPr>
        <w:spacing w:after="0" w:line="75" w:lineRule="exact"/>
        <w:rPr>
          <w:rFonts w:ascii="Arial" w:cs="Arial" w:eastAsia="Arial" w:hAnsi="Arial"/>
          <w:sz w:val="18"/>
          <w:szCs w:val="18"/>
          <w:color w:val="auto"/>
        </w:rPr>
      </w:pPr>
    </w:p>
    <w:p>
      <w:pPr>
        <w:ind w:left="2120" w:hanging="459"/>
        <w:spacing w:after="0" w:line="284" w:lineRule="auto"/>
        <w:tabs>
          <w:tab w:leader="none" w:pos="2120" w:val="left"/>
        </w:tabs>
        <w:numPr>
          <w:ilvl w:val="0"/>
          <w:numId w:val="6"/>
        </w:numPr>
        <w:rPr>
          <w:rFonts w:ascii="Arial" w:cs="Arial" w:eastAsia="Arial" w:hAnsi="Arial"/>
          <w:sz w:val="16"/>
          <w:szCs w:val="16"/>
          <w:color w:val="auto"/>
        </w:rPr>
      </w:pPr>
      <w:r>
        <w:rPr>
          <w:rFonts w:ascii="Arial" w:cs="Arial" w:eastAsia="Arial" w:hAnsi="Arial"/>
          <w:sz w:val="16"/>
          <w:szCs w:val="16"/>
          <w:color w:val="auto"/>
        </w:rPr>
        <w:t xml:space="preserve">Copies of the Minutes of the Meeting of the Board of Directors of the Company held on 8 May 2000, the Minutes of the Meeting of the Board of Directors of the Company held on 7 November 2002, the Written Resolution of the Board of Directors of the Company effective on 1 May 2003, the Minutes of the Meeting of the Board of Directors of the Company held on 7 May 2003, the Minutes of the Meeting of the Board of Directors of the Company held on 5 April 2004, the Minutes of the Meeting of the Board of Directors of the Company held on 7 April 2005, the Minutes of the Meeting of the Board of Directors of the Company held on 7 April 2006, the Minutes of the Meeting of the Board of Directors of the Company held on 1 December 2006, the Written Resolutions of the Board of Directors of the Company effective on 1 June 2007, the Minutes of the Meeting of the Board of Directors of the Company held on 28 December 2007, the Minutes of the Meeting of the Board of Directors of the Company held on 21 March 2008, the Minutes of the Meeting of the Board of Directors of the Company held on 20 October 2008, the Minutes of the Meeting of the Board of Directors of the Company held on June 10, 2009, the Minutes of the Meeting of the Board of Directors of the Company held on 26 August 2009, the Minutes of the Meeting of the Board of Directors of the Company held on October 22, 2009, the Minutes of the Meeting of the Board of Directors of the Company held on 30 November 2009, the Minutes of the Meeting of the Board of Directors of the Company held on 13 December 2010, the Minutes of the Meeting of the Board of Directors of the Company held on 31 October 2011, an extract of the resolutions adopted at the Meeting of the Board of Directors held on 15 March 2012, the Minutes of the Meeting of the Board of Directors held on 12–14 December 2012, the Minutes of the Meeting of the Board of Directors held on December 13-14 2013 and the Minutes of the Meeting of the Board of Directors held on 27 March 2015 (collectively, </w:t>
      </w:r>
      <w:r>
        <w:rPr>
          <w:rFonts w:ascii="Arial" w:cs="Arial" w:eastAsia="Arial" w:hAnsi="Arial"/>
          <w:sz w:val="16"/>
          <w:szCs w:val="16"/>
          <w:b w:val="1"/>
          <w:bCs w:val="1"/>
          <w:color w:val="auto"/>
        </w:rPr>
        <w:t>Board Resolutions</w:t>
      </w:r>
      <w:r>
        <w:rPr>
          <w:rFonts w:ascii="Arial" w:cs="Arial" w:eastAsia="Arial" w:hAnsi="Arial"/>
          <w:sz w:val="16"/>
          <w:szCs w:val="16"/>
          <w:color w:val="auto"/>
        </w:rPr>
        <w:t>), the Minutes of the Meeting of the Members of the Company held on 17 June 2000, and the Minutes of the Meeting of the Members of the Company held on 27 June 2003 (</w:t>
      </w:r>
      <w:r>
        <w:rPr>
          <w:rFonts w:ascii="Arial" w:cs="Arial" w:eastAsia="Arial" w:hAnsi="Arial"/>
          <w:sz w:val="16"/>
          <w:szCs w:val="16"/>
          <w:b w:val="1"/>
          <w:bCs w:val="1"/>
          <w:color w:val="auto"/>
        </w:rPr>
        <w:t>Members’ Resolutions</w:t>
      </w:r>
      <w:r>
        <w:rPr>
          <w:rFonts w:ascii="Arial" w:cs="Arial" w:eastAsia="Arial" w:hAnsi="Arial"/>
          <w:sz w:val="16"/>
          <w:szCs w:val="16"/>
          <w:color w:val="auto"/>
        </w:rPr>
        <w:t xml:space="preserve"> and together with the Board Resolutions, </w:t>
      </w:r>
      <w:r>
        <w:rPr>
          <w:rFonts w:ascii="Arial" w:cs="Arial" w:eastAsia="Arial" w:hAnsi="Arial"/>
          <w:sz w:val="16"/>
          <w:szCs w:val="16"/>
          <w:b w:val="1"/>
          <w:bCs w:val="1"/>
          <w:color w:val="auto"/>
        </w:rPr>
        <w:t>Resolutions</w:t>
      </w:r>
      <w:r>
        <w:rPr>
          <w:rFonts w:ascii="Arial" w:cs="Arial" w:eastAsia="Arial" w:hAnsi="Arial"/>
          <w:sz w:val="16"/>
          <w:szCs w:val="16"/>
          <w:color w:val="auto"/>
        </w:rPr>
        <w:t>).</w:t>
      </w:r>
    </w:p>
    <w:p>
      <w:pPr>
        <w:spacing w:after="0" w:line="261" w:lineRule="exact"/>
        <w:rPr>
          <w:sz w:val="20"/>
          <w:szCs w:val="20"/>
          <w:color w:val="auto"/>
        </w:rPr>
      </w:pPr>
    </w:p>
    <w:p>
      <w:pPr>
        <w:jc w:val="center"/>
        <w:ind w:right="1080"/>
        <w:spacing w:after="0"/>
        <w:rPr>
          <w:sz w:val="20"/>
          <w:szCs w:val="20"/>
          <w:color w:val="auto"/>
        </w:rPr>
      </w:pPr>
      <w:r>
        <w:rPr>
          <w:rFonts w:ascii="Arial" w:cs="Arial" w:eastAsia="Arial" w:hAnsi="Arial"/>
          <w:sz w:val="16"/>
          <w:szCs w:val="16"/>
          <w:color w:val="auto"/>
        </w:rPr>
        <w:t>Bermuda ¡ British Virgin Islands ¡ Cayman Islands ¡ Guernsey ¡ Hong Kong ¡ Isle of Man ¡</w:t>
      </w:r>
    </w:p>
    <w:p>
      <w:pPr>
        <w:spacing w:after="0" w:line="46" w:lineRule="exact"/>
        <w:rPr>
          <w:sz w:val="20"/>
          <w:szCs w:val="20"/>
          <w:color w:val="auto"/>
        </w:rPr>
      </w:pPr>
    </w:p>
    <w:p>
      <w:pPr>
        <w:jc w:val="center"/>
        <w:ind w:right="1080"/>
        <w:spacing w:after="0"/>
        <w:rPr>
          <w:sz w:val="20"/>
          <w:szCs w:val="20"/>
          <w:color w:val="auto"/>
        </w:rPr>
      </w:pPr>
      <w:r>
        <w:rPr>
          <w:rFonts w:ascii="Arial" w:cs="Arial" w:eastAsia="Arial" w:hAnsi="Arial"/>
          <w:sz w:val="18"/>
          <w:szCs w:val="18"/>
          <w:color w:val="auto"/>
        </w:rPr>
        <w:t>Jersey ¡ London ¡ Mauritius ¡ Seychelles ¡ Shanghai ¡ Zurich</w:t>
      </w:r>
    </w:p>
    <w:p>
      <w:pPr>
        <w:spacing w:after="0" w:line="200" w:lineRule="exact"/>
        <w:rPr>
          <w:sz w:val="20"/>
          <w:szCs w:val="20"/>
          <w:color w:val="auto"/>
        </w:rPr>
      </w:pPr>
    </w:p>
    <w:p>
      <w:pPr>
        <w:spacing w:after="0" w:line="267" w:lineRule="exact"/>
        <w:rPr>
          <w:sz w:val="20"/>
          <w:szCs w:val="20"/>
          <w:color w:val="auto"/>
        </w:rPr>
      </w:pPr>
    </w:p>
    <w:p>
      <w:pPr>
        <w:ind w:left="4460"/>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0100"/>
          </w:cols>
          <w:pgMar w:left="1440" w:top="324" w:right="359" w:bottom="1440" w:gutter="0" w:footer="0" w:header="0"/>
        </w:sectPr>
      </w:pPr>
    </w:p>
    <w:bookmarkStart w:id="11" w:name="page12"/>
    <w:bookmarkEnd w:id="11"/>
    <w:p>
      <w:pPr>
        <w:ind w:left="2120" w:right="300" w:hanging="459"/>
        <w:spacing w:after="0" w:line="264" w:lineRule="auto"/>
        <w:tabs>
          <w:tab w:leader="none" w:pos="2120" w:val="left"/>
        </w:tabs>
        <w:numPr>
          <w:ilvl w:val="0"/>
          <w:numId w:val="7"/>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The entries and filings shown in respect of the Company on the file of the Company maintained in the Register of Companies at the office of the Registrar of Companies in Hamilton, Bermuda, as revealed by a search done on 4 June 2015 at 9.00 am (Bermuda time) </w:t>
      </w:r>
      <w:r>
        <w:rPr>
          <w:rFonts w:ascii="Arial" w:cs="Arial" w:eastAsia="Arial" w:hAnsi="Arial"/>
          <w:sz w:val="18"/>
          <w:szCs w:val="18"/>
          <w:b w:val="1"/>
          <w:bCs w:val="1"/>
          <w:color w:val="auto"/>
        </w:rPr>
        <w:t>(Company Search)</w:t>
      </w:r>
      <w:r>
        <w:rPr>
          <w:rFonts w:ascii="Arial" w:cs="Arial" w:eastAsia="Arial" w:hAnsi="Arial"/>
          <w:sz w:val="18"/>
          <w:szCs w:val="18"/>
          <w:color w:val="auto"/>
        </w:rPr>
        <w:t>.</w:t>
      </w:r>
    </w:p>
    <w:p>
      <w:pPr>
        <w:spacing w:after="0" w:line="86" w:lineRule="exact"/>
        <w:rPr>
          <w:rFonts w:ascii="Arial" w:cs="Arial" w:eastAsia="Arial" w:hAnsi="Arial"/>
          <w:sz w:val="18"/>
          <w:szCs w:val="18"/>
          <w:color w:val="auto"/>
        </w:rPr>
      </w:pPr>
    </w:p>
    <w:p>
      <w:pPr>
        <w:jc w:val="both"/>
        <w:ind w:left="2120" w:hanging="459"/>
        <w:spacing w:after="0" w:line="264" w:lineRule="auto"/>
        <w:tabs>
          <w:tab w:leader="none" w:pos="2120" w:val="left"/>
        </w:tabs>
        <w:numPr>
          <w:ilvl w:val="0"/>
          <w:numId w:val="7"/>
        </w:numPr>
        <w:rPr>
          <w:rFonts w:ascii="Arial" w:cs="Arial" w:eastAsia="Arial" w:hAnsi="Arial"/>
          <w:sz w:val="18"/>
          <w:szCs w:val="18"/>
          <w:color w:val="auto"/>
        </w:rPr>
      </w:pPr>
      <w:r>
        <w:rPr>
          <w:rFonts w:ascii="Arial" w:cs="Arial" w:eastAsia="Arial" w:hAnsi="Arial"/>
          <w:sz w:val="18"/>
          <w:szCs w:val="18"/>
          <w:color w:val="auto"/>
        </w:rPr>
        <w:t>The entries and filings shown in respect of the Company in the Supreme Court Causes Book maintained at the Registry of the Supreme Court in Hamilton, Bermuda, as revealed by a search done on 4 June 2015 at 8.30 am (Bermuda time) (</w:t>
      </w:r>
      <w:r>
        <w:rPr>
          <w:rFonts w:ascii="Arial" w:cs="Arial" w:eastAsia="Arial" w:hAnsi="Arial"/>
          <w:sz w:val="18"/>
          <w:szCs w:val="18"/>
          <w:b w:val="1"/>
          <w:bCs w:val="1"/>
          <w:color w:val="auto"/>
        </w:rPr>
        <w:t>Litigation Search</w:t>
      </w:r>
      <w:r>
        <w:rPr>
          <w:rFonts w:ascii="Arial" w:cs="Arial" w:eastAsia="Arial" w:hAnsi="Arial"/>
          <w:sz w:val="18"/>
          <w:szCs w:val="18"/>
          <w:color w:val="auto"/>
        </w:rPr>
        <w:t>).</w:t>
      </w:r>
    </w:p>
    <w:p>
      <w:pPr>
        <w:spacing w:after="0" w:line="82" w:lineRule="exact"/>
        <w:rPr>
          <w:rFonts w:ascii="Arial" w:cs="Arial" w:eastAsia="Arial" w:hAnsi="Arial"/>
          <w:sz w:val="18"/>
          <w:szCs w:val="18"/>
          <w:color w:val="auto"/>
        </w:rPr>
      </w:pPr>
    </w:p>
    <w:p>
      <w:pPr>
        <w:ind w:left="2120"/>
        <w:spacing w:after="0"/>
        <w:rPr>
          <w:rFonts w:ascii="Arial" w:cs="Arial" w:eastAsia="Arial" w:hAnsi="Arial"/>
          <w:sz w:val="18"/>
          <w:szCs w:val="18"/>
          <w:color w:val="auto"/>
        </w:rPr>
      </w:pPr>
      <w:r>
        <w:rPr>
          <w:rFonts w:ascii="Arial" w:cs="Arial" w:eastAsia="Arial" w:hAnsi="Arial"/>
          <w:sz w:val="18"/>
          <w:szCs w:val="18"/>
          <w:color w:val="auto"/>
        </w:rPr>
        <w:t xml:space="preserve">(The Company Search and the Litigation Search are collectively referred to as the </w:t>
      </w:r>
      <w:r>
        <w:rPr>
          <w:rFonts w:ascii="Arial" w:cs="Arial" w:eastAsia="Arial" w:hAnsi="Arial"/>
          <w:sz w:val="18"/>
          <w:szCs w:val="18"/>
          <w:b w:val="1"/>
          <w:bCs w:val="1"/>
          <w:color w:val="auto"/>
        </w:rPr>
        <w:t>Searches</w:t>
      </w:r>
      <w:r>
        <w:rPr>
          <w:rFonts w:ascii="Arial" w:cs="Arial" w:eastAsia="Arial" w:hAnsi="Arial"/>
          <w:sz w:val="18"/>
          <w:szCs w:val="18"/>
          <w:color w:val="auto"/>
        </w:rPr>
        <w:t>).</w:t>
      </w:r>
    </w:p>
    <w:p>
      <w:pPr>
        <w:spacing w:after="0" w:line="134" w:lineRule="exact"/>
        <w:rPr>
          <w:rFonts w:ascii="Arial" w:cs="Arial" w:eastAsia="Arial" w:hAnsi="Arial"/>
          <w:sz w:val="18"/>
          <w:szCs w:val="18"/>
          <w:color w:val="auto"/>
        </w:rPr>
      </w:pPr>
    </w:p>
    <w:p>
      <w:pPr>
        <w:ind w:left="2120" w:right="40" w:hanging="459"/>
        <w:spacing w:after="0" w:line="264" w:lineRule="auto"/>
        <w:tabs>
          <w:tab w:leader="none" w:pos="2120" w:val="left"/>
        </w:tabs>
        <w:numPr>
          <w:ilvl w:val="0"/>
          <w:numId w:val="7"/>
        </w:numPr>
        <w:rPr>
          <w:rFonts w:ascii="Arial" w:cs="Arial" w:eastAsia="Arial" w:hAnsi="Arial"/>
          <w:sz w:val="18"/>
          <w:szCs w:val="18"/>
          <w:color w:val="auto"/>
        </w:rPr>
      </w:pPr>
      <w:r>
        <w:rPr>
          <w:rFonts w:ascii="Arial" w:cs="Arial" w:eastAsia="Arial" w:hAnsi="Arial"/>
          <w:sz w:val="18"/>
          <w:szCs w:val="18"/>
          <w:color w:val="auto"/>
        </w:rPr>
        <w:t xml:space="preserve">A certified copy of the Certificate of Incorporation, Memorandum of Association and the Third Amended and Restated Bye-laws of the Company adopted at the annual general meeting on 8 July 2010 (collectively referred to as </w:t>
      </w:r>
      <w:r>
        <w:rPr>
          <w:rFonts w:ascii="Arial" w:cs="Arial" w:eastAsia="Arial" w:hAnsi="Arial"/>
          <w:sz w:val="18"/>
          <w:szCs w:val="18"/>
          <w:b w:val="1"/>
          <w:bCs w:val="1"/>
          <w:color w:val="auto"/>
        </w:rPr>
        <w:t>Constitutional Documents</w:t>
      </w:r>
      <w:r>
        <w:rPr>
          <w:rFonts w:ascii="Arial" w:cs="Arial" w:eastAsia="Arial" w:hAnsi="Arial"/>
          <w:sz w:val="18"/>
          <w:szCs w:val="18"/>
          <w:color w:val="auto"/>
        </w:rPr>
        <w:t>).</w:t>
      </w:r>
    </w:p>
    <w:p>
      <w:pPr>
        <w:spacing w:after="0" w:line="86" w:lineRule="exact"/>
        <w:rPr>
          <w:rFonts w:ascii="Arial" w:cs="Arial" w:eastAsia="Arial" w:hAnsi="Arial"/>
          <w:sz w:val="18"/>
          <w:szCs w:val="18"/>
          <w:color w:val="auto"/>
        </w:rPr>
      </w:pPr>
    </w:p>
    <w:p>
      <w:pPr>
        <w:ind w:left="2120" w:right="100" w:hanging="459"/>
        <w:spacing w:after="0" w:line="342" w:lineRule="auto"/>
        <w:tabs>
          <w:tab w:leader="none" w:pos="2120" w:val="left"/>
        </w:tabs>
        <w:numPr>
          <w:ilvl w:val="0"/>
          <w:numId w:val="7"/>
        </w:numPr>
        <w:rPr>
          <w:rFonts w:ascii="Arial" w:cs="Arial" w:eastAsia="Arial" w:hAnsi="Arial"/>
          <w:sz w:val="16"/>
          <w:szCs w:val="16"/>
          <w:color w:val="auto"/>
        </w:rPr>
      </w:pPr>
      <w:r>
        <w:rPr>
          <w:rFonts w:ascii="Arial" w:cs="Arial" w:eastAsia="Arial" w:hAnsi="Arial"/>
          <w:sz w:val="16"/>
          <w:szCs w:val="16"/>
          <w:color w:val="auto"/>
        </w:rPr>
        <w:t>A copy of the permission dated 31 May 2000 given by the Bermuda Monetary Authority under the Exchange Control Act 1972 and related regulations for the issue of shares in the capital of the Company.</w:t>
      </w:r>
    </w:p>
    <w:p>
      <w:pPr>
        <w:spacing w:after="0" w:line="29" w:lineRule="exact"/>
        <w:rPr>
          <w:rFonts w:ascii="Arial" w:cs="Arial" w:eastAsia="Arial" w:hAnsi="Arial"/>
          <w:sz w:val="16"/>
          <w:szCs w:val="16"/>
          <w:color w:val="auto"/>
        </w:rPr>
      </w:pPr>
    </w:p>
    <w:p>
      <w:pPr>
        <w:ind w:left="2120" w:right="100" w:hanging="459"/>
        <w:spacing w:after="0" w:line="257" w:lineRule="auto"/>
        <w:tabs>
          <w:tab w:leader="none" w:pos="2120" w:val="left"/>
        </w:tabs>
        <w:numPr>
          <w:ilvl w:val="0"/>
          <w:numId w:val="7"/>
        </w:numPr>
        <w:rPr>
          <w:rFonts w:ascii="Arial" w:cs="Arial" w:eastAsia="Arial" w:hAnsi="Arial"/>
          <w:sz w:val="18"/>
          <w:szCs w:val="18"/>
          <w:color w:val="auto"/>
        </w:rPr>
      </w:pPr>
      <w:r>
        <w:rPr>
          <w:rFonts w:ascii="Arial" w:cs="Arial" w:eastAsia="Arial" w:hAnsi="Arial"/>
          <w:sz w:val="18"/>
          <w:szCs w:val="18"/>
          <w:color w:val="auto"/>
        </w:rPr>
        <w:t>A copy of the Notice to the Public dated 1 June 2005 issued by the Bermuda Monetary Authority under the Exchange Control Act 1972 and related regulations which grants general permission for the issue and transferability of Equity Securities of a Bermuda company which are listed on an Appointed Stock exchange, from and/or to a person who is non-resident in Bermuda, for as long as the Equity Securities of the company remain so listed.</w:t>
      </w:r>
    </w:p>
    <w:p>
      <w:pPr>
        <w:spacing w:after="0" w:line="93" w:lineRule="exact"/>
        <w:rPr>
          <w:rFonts w:ascii="Arial" w:cs="Arial" w:eastAsia="Arial" w:hAnsi="Arial"/>
          <w:sz w:val="18"/>
          <w:szCs w:val="18"/>
          <w:color w:val="auto"/>
        </w:rPr>
      </w:pPr>
    </w:p>
    <w:p>
      <w:pPr>
        <w:ind w:left="2120" w:hanging="459"/>
        <w:spacing w:after="0"/>
        <w:tabs>
          <w:tab w:leader="none" w:pos="2120" w:val="left"/>
        </w:tabs>
        <w:numPr>
          <w:ilvl w:val="0"/>
          <w:numId w:val="7"/>
        </w:numPr>
        <w:rPr>
          <w:rFonts w:ascii="Arial" w:cs="Arial" w:eastAsia="Arial" w:hAnsi="Arial"/>
          <w:sz w:val="18"/>
          <w:szCs w:val="18"/>
          <w:color w:val="auto"/>
        </w:rPr>
      </w:pPr>
      <w:r>
        <w:rPr>
          <w:rFonts w:ascii="Arial" w:cs="Arial" w:eastAsia="Arial" w:hAnsi="Arial"/>
          <w:sz w:val="18"/>
          <w:szCs w:val="18"/>
          <w:color w:val="auto"/>
        </w:rPr>
        <w:t>A Certificate of Compliance issued by the Registrar of Companies and dated 4 June 2015.</w:t>
      </w:r>
    </w:p>
    <w:p>
      <w:pPr>
        <w:spacing w:after="0" w:line="130" w:lineRule="exact"/>
        <w:rPr>
          <w:rFonts w:ascii="Arial" w:cs="Arial" w:eastAsia="Arial" w:hAnsi="Arial"/>
          <w:sz w:val="18"/>
          <w:szCs w:val="18"/>
          <w:color w:val="auto"/>
        </w:rPr>
      </w:pPr>
    </w:p>
    <w:p>
      <w:pPr>
        <w:ind w:left="2120" w:hanging="459"/>
        <w:spacing w:after="0"/>
        <w:tabs>
          <w:tab w:leader="none" w:pos="2120" w:val="left"/>
        </w:tabs>
        <w:numPr>
          <w:ilvl w:val="0"/>
          <w:numId w:val="7"/>
        </w:numPr>
        <w:rPr>
          <w:rFonts w:ascii="Arial" w:cs="Arial" w:eastAsia="Arial" w:hAnsi="Arial"/>
          <w:sz w:val="18"/>
          <w:szCs w:val="18"/>
          <w:color w:val="auto"/>
        </w:rPr>
      </w:pPr>
      <w:r>
        <w:rPr>
          <w:rFonts w:ascii="Arial" w:cs="Arial" w:eastAsia="Arial" w:hAnsi="Arial"/>
          <w:sz w:val="18"/>
          <w:szCs w:val="18"/>
          <w:color w:val="auto"/>
        </w:rPr>
        <w:t>A copy of the share register of the Company as of 31 March 2015.</w:t>
      </w:r>
    </w:p>
    <w:p>
      <w:pPr>
        <w:spacing w:after="0" w:line="306" w:lineRule="exact"/>
        <w:rPr>
          <w:sz w:val="20"/>
          <w:szCs w:val="20"/>
          <w:color w:val="auto"/>
        </w:rPr>
      </w:pPr>
    </w:p>
    <w:p>
      <w:pPr>
        <w:jc w:val="center"/>
        <w:ind w:right="1060"/>
        <w:spacing w:after="0"/>
        <w:rPr>
          <w:sz w:val="20"/>
          <w:szCs w:val="20"/>
          <w:color w:val="auto"/>
        </w:rPr>
      </w:pPr>
      <w:r>
        <w:rPr>
          <w:rFonts w:ascii="Arial" w:cs="Arial" w:eastAsia="Arial" w:hAnsi="Arial"/>
          <w:sz w:val="16"/>
          <w:szCs w:val="16"/>
          <w:color w:val="auto"/>
        </w:rPr>
        <w:t>Bermuda ¡ British Virgin Islands ¡ Cayman Islands ¡ Guernsey ¡ Hong Kong ¡ Isle of Man ¡</w:t>
      </w:r>
    </w:p>
    <w:p>
      <w:pPr>
        <w:spacing w:after="0" w:line="46" w:lineRule="exact"/>
        <w:rPr>
          <w:sz w:val="20"/>
          <w:szCs w:val="20"/>
          <w:color w:val="auto"/>
        </w:rPr>
      </w:pPr>
    </w:p>
    <w:p>
      <w:pPr>
        <w:jc w:val="center"/>
        <w:ind w:right="1060"/>
        <w:spacing w:after="0"/>
        <w:rPr>
          <w:sz w:val="20"/>
          <w:szCs w:val="20"/>
          <w:color w:val="auto"/>
        </w:rPr>
      </w:pPr>
      <w:r>
        <w:rPr>
          <w:rFonts w:ascii="Arial" w:cs="Arial" w:eastAsia="Arial" w:hAnsi="Arial"/>
          <w:sz w:val="18"/>
          <w:szCs w:val="18"/>
          <w:color w:val="auto"/>
        </w:rPr>
        <w:t>Jersey ¡ London ¡ Mauritius ¡ Seychelles ¡ Shanghai ¡ Zurich</w:t>
      </w:r>
    </w:p>
    <w:p>
      <w:pPr>
        <w:spacing w:after="0" w:line="200" w:lineRule="exact"/>
        <w:rPr>
          <w:sz w:val="20"/>
          <w:szCs w:val="20"/>
          <w:color w:val="auto"/>
        </w:rPr>
      </w:pPr>
    </w:p>
    <w:p>
      <w:pPr>
        <w:spacing w:after="0" w:line="267" w:lineRule="exact"/>
        <w:rPr>
          <w:sz w:val="20"/>
          <w:szCs w:val="20"/>
          <w:color w:val="auto"/>
        </w:rPr>
      </w:pPr>
    </w:p>
    <w:p>
      <w:pPr>
        <w:ind w:left="4460"/>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0080"/>
          </w:cols>
          <w:pgMar w:left="1440" w:top="328" w:right="379" w:bottom="1440" w:gutter="0" w:footer="0" w:header="0"/>
        </w:sectPr>
      </w:pPr>
    </w:p>
    <w:bookmarkStart w:id="12" w:name="page13"/>
    <w:bookmarkEnd w:id="12"/>
    <w:p>
      <w:pPr>
        <w:jc w:val="right"/>
        <w:spacing w:after="0"/>
        <w:rPr>
          <w:sz w:val="20"/>
          <w:szCs w:val="20"/>
          <w:color w:val="auto"/>
        </w:rPr>
      </w:pPr>
      <w:r>
        <w:rPr>
          <w:rFonts w:ascii="Arial" w:cs="Arial" w:eastAsia="Arial" w:hAnsi="Arial"/>
          <w:sz w:val="18"/>
          <w:szCs w:val="18"/>
          <w:b w:val="1"/>
          <w:bCs w:val="1"/>
          <w:color w:val="auto"/>
        </w:rPr>
        <w:t>Exhibit 23.1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CONSENT OF INDEPENDENT REGISTERED PUBLIC ACCOUNTING FIRM</w:t>
      </w:r>
    </w:p>
    <w:p>
      <w:pPr>
        <w:spacing w:after="0" w:line="229" w:lineRule="exact"/>
        <w:rPr>
          <w:sz w:val="20"/>
          <w:szCs w:val="20"/>
          <w:color w:val="auto"/>
        </w:rPr>
      </w:pPr>
    </w:p>
    <w:p>
      <w:pPr>
        <w:ind w:right="440"/>
        <w:spacing w:after="0" w:line="286" w:lineRule="auto"/>
        <w:rPr>
          <w:sz w:val="20"/>
          <w:szCs w:val="20"/>
          <w:color w:val="auto"/>
        </w:rPr>
      </w:pPr>
      <w:r>
        <w:rPr>
          <w:rFonts w:ascii="Arial" w:cs="Arial" w:eastAsia="Arial" w:hAnsi="Arial"/>
          <w:sz w:val="17"/>
          <w:szCs w:val="17"/>
          <w:color w:val="auto"/>
        </w:rPr>
        <w:t>We hereby consent to the incorporation by reference in this Registration Statement on Form S-8 of Marvell Technology Group Ltd. of our report dated March 26, 2015 relating to the financial statements, financial statement schedule and the effectiveness of internal control over financial reporting, which appears in the Marvell Technology Group Ltd. Annual Report on Form 10-K for the year ended January 31, 2015.</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color w:val="auto"/>
        </w:rPr>
        <w:t>/s/ PricewaterhouseCoopers LLP</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San Jose, California</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June 4, 2015</w:t>
      </w:r>
    </w:p>
    <w:sectPr>
      <w:pgSz w:w="11900" w:h="16838" w:orient="portrait"/>
      <w:cols w:equalWidth="0" w:num="1">
        <w:col w:w="11420"/>
      </w:cols>
      <w:pgMar w:left="240" w:top="121"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25558EC"/>
    <w:multiLevelType w:val="hybridMultilevel"/>
    <w:lvl w:ilvl="0">
      <w:lvlJc w:val="left"/>
      <w:lvlText w:val="(%1)"/>
      <w:numFmt w:val="decimal"/>
      <w:start w:val="1"/>
    </w:lvl>
  </w:abstractNum>
  <w:abstractNum w:abstractNumId="1">
    <w:nsid w:val="238E1F29"/>
    <w:multiLevelType w:val="hybridMultilevel"/>
    <w:lvl w:ilvl="0">
      <w:lvlJc w:val="left"/>
      <w:lvlText w:val="%1."/>
      <w:numFmt w:val="decimal"/>
      <w:start w:val="1"/>
    </w:lvl>
  </w:abstractNum>
  <w:abstractNum w:abstractNumId="2">
    <w:nsid w:val="46E87CCD"/>
    <w:multiLevelType w:val="hybridMultilevel"/>
    <w:lvl w:ilvl="0">
      <w:lvlJc w:val="left"/>
      <w:lvlText w:val="%1."/>
      <w:numFmt w:val="decimal"/>
      <w:start w:val="2"/>
    </w:lvl>
  </w:abstractNum>
  <w:abstractNum w:abstractNumId="3">
    <w:nsid w:val="3D1B58BA"/>
    <w:multiLevelType w:val="hybridMultilevel"/>
    <w:lvl w:ilvl="0">
      <w:lvlJc w:val="left"/>
      <w:lvlText w:val="%1."/>
      <w:numFmt w:val="decimal"/>
      <w:start w:val="3"/>
    </w:lvl>
  </w:abstractNum>
  <w:abstractNum w:abstractNumId="4">
    <w:nsid w:val="507ED7AB"/>
    <w:multiLevelType w:val="hybridMultilevel"/>
    <w:lvl w:ilvl="0">
      <w:lvlJc w:val="left"/>
      <w:lvlText w:val="%1."/>
      <w:numFmt w:val="decimal"/>
      <w:start w:val="4"/>
    </w:lvl>
  </w:abstractNum>
  <w:abstractNum w:abstractNumId="5">
    <w:nsid w:val="2EB141F2"/>
    <w:multiLevelType w:val="hybridMultilevel"/>
    <w:lvl w:ilvl="0">
      <w:lvlJc w:val="left"/>
      <w:lvlText w:val="%1."/>
      <w:numFmt w:val="decimal"/>
      <w:start w:val="1"/>
    </w:lvl>
  </w:abstractNum>
  <w:abstractNum w:abstractNumId="6">
    <w:nsid w:val="41B71EFB"/>
    <w:multiLevelType w:val="hybridMultilevel"/>
    <w:lvl w:ilvl="0">
      <w:lvlJc w:val="left"/>
      <w:lvlText w:val="%1."/>
      <w:numFmt w:val="decimal"/>
      <w:start w:val="4"/>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2019-12-07T02:52:41Z</dcterms:created>
  <dcterms:modified xsi:type="dcterms:W3CDTF">2019-12-07T02:52:41Z</dcterms:modified>
</cp:coreProperties>
</file>